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6.xml" ContentType="application/vnd.openxmlformats-officedocument.wordprocessingml.header+xml"/>
  <Override PartName="/word/footer42.xml" ContentType="application/vnd.openxmlformats-officedocument.wordprocessingml.footer+xml"/>
  <Override PartName="/word/header7.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5913" w:val="left" w:leader="none"/>
        </w:tabs>
        <w:spacing w:line="240" w:lineRule="auto" w:before="36"/>
        <w:ind w:left="138" w:right="1055"/>
        <w:jc w:val="left"/>
      </w:pPr>
      <w:r>
        <w:rPr>
          <w:spacing w:val="-1"/>
        </w:rPr>
        <w:t>公司代码：</w:t>
      </w:r>
      <w:r>
        <w:rPr>
          <w:rFonts w:ascii="宋体" w:hAnsi="宋体" w:cs="宋体" w:eastAsia="宋体" w:hint="default"/>
          <w:spacing w:val="-1"/>
        </w:rPr>
        <w:t>600446</w:t>
        <w:tab/>
      </w:r>
      <w:r>
        <w:rPr>
          <w:spacing w:val="-2"/>
        </w:rPr>
        <w:t>公司简称：金证股份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055" w:hanging="1268"/>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深圳市金证科技股份有限公司</w:t>
      </w:r>
      <w:r>
        <w:rPr>
          <w:rFonts w:ascii="黑体" w:hAnsi="黑体" w:cs="黑体" w:eastAsia="黑体" w:hint="default"/>
          <w:b/>
          <w:bCs/>
          <w:color w:val="FF0000"/>
          <w:spacing w:val="44"/>
          <w:w w:val="95"/>
          <w:sz w:val="44"/>
          <w:szCs w:val="44"/>
        </w:rPr>
        <w:t> </w:t>
      </w:r>
      <w:r>
        <w:rPr>
          <w:rFonts w:ascii="黑体" w:hAnsi="黑体" w:cs="黑体" w:eastAsia="黑体" w:hint="default"/>
          <w:b/>
          <w:bCs/>
          <w:color w:val="FF0000"/>
          <w:spacing w:val="44"/>
          <w:w w:val="95"/>
          <w:sz w:val="44"/>
          <w:szCs w:val="44"/>
        </w:rPr>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6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3341" w:right="3438"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0"/>
        <w:rPr>
          <w:rFonts w:ascii="黑体" w:hAnsi="黑体" w:cs="黑体" w:eastAsia="黑体" w:hint="default"/>
          <w:b/>
          <w:bCs/>
          <w:sz w:val="21"/>
          <w:szCs w:val="21"/>
        </w:rPr>
      </w:pPr>
    </w:p>
    <w:p>
      <w:pPr>
        <w:pStyle w:val="Heading2"/>
        <w:spacing w:line="357" w:lineRule="auto" w:before="0"/>
        <w:ind w:left="505" w:right="0" w:hanging="368"/>
        <w:jc w:val="left"/>
        <w:rPr>
          <w:b w:val="0"/>
          <w:bCs w:val="0"/>
        </w:rPr>
      </w:pPr>
      <w:r>
        <w:rPr>
          <w:spacing w:val="2"/>
          <w:sz w:val="21"/>
          <w:szCs w:val="21"/>
        </w:rPr>
        <w:t>一、</w:t>
      </w:r>
      <w:r>
        <w:rPr>
          <w:spacing w:val="2"/>
        </w:rPr>
        <w:t>本公司董事会、监事会及董事、监事、高级管理人员保证年度报告内容的真实、</w:t>
      </w:r>
      <w:r>
        <w:rPr>
          <w:spacing w:val="-117"/>
        </w:rPr>
        <w:t> </w:t>
      </w:r>
      <w:r>
        <w:rPr>
          <w:spacing w:val="-117"/>
        </w:rPr>
      </w:r>
      <w:r>
        <w:rPr/>
        <w:t>准确、完整，不存在虚假记载、误导性陈述或重大遗漏，并承担个别和连带的法</w:t>
      </w:r>
      <w:r>
        <w:rPr>
          <w:w w:val="99"/>
        </w:rPr>
        <w:t> </w:t>
      </w:r>
      <w:r>
        <w:rPr/>
        <w:t>律责任。</w:t>
      </w:r>
      <w:r>
        <w:rPr>
          <w:b w:val="0"/>
          <w:bCs w:val="0"/>
        </w:rPr>
      </w:r>
    </w:p>
    <w:p>
      <w:pPr>
        <w:spacing w:before="36"/>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4"/>
          <w:szCs w:val="24"/>
        </w:rPr>
        <w:t>未出席董事情况</w:t>
      </w:r>
      <w:r>
        <w:rPr>
          <w:rFonts w:ascii="宋体" w:hAnsi="宋体" w:cs="宋体" w:eastAsia="宋体" w:hint="default"/>
          <w:sz w:val="24"/>
          <w:szCs w:val="24"/>
        </w:rPr>
      </w:r>
    </w:p>
    <w:p>
      <w:pPr>
        <w:spacing w:line="240" w:lineRule="auto" w:before="9"/>
        <w:rPr>
          <w:rFonts w:ascii="宋体" w:hAnsi="宋体" w:cs="宋体" w:eastAsia="宋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63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8" w:right="0"/>
              <w:jc w:val="left"/>
              <w:rPr>
                <w:rFonts w:ascii="宋体" w:hAnsi="宋体" w:cs="宋体" w:eastAsia="宋体" w:hint="default"/>
                <w:sz w:val="24"/>
                <w:szCs w:val="24"/>
              </w:rPr>
            </w:pPr>
            <w:r>
              <w:rPr>
                <w:rFonts w:ascii="宋体" w:hAnsi="宋体" w:cs="宋体" w:eastAsia="宋体" w:hint="default"/>
                <w:sz w:val="24"/>
                <w:szCs w:val="24"/>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52" w:right="0"/>
              <w:jc w:val="left"/>
              <w:rPr>
                <w:rFonts w:ascii="宋体" w:hAnsi="宋体" w:cs="宋体" w:eastAsia="宋体" w:hint="default"/>
                <w:sz w:val="24"/>
                <w:szCs w:val="24"/>
              </w:rPr>
            </w:pPr>
            <w:r>
              <w:rPr>
                <w:rFonts w:ascii="宋体" w:hAnsi="宋体" w:cs="宋体" w:eastAsia="宋体" w:hint="default"/>
                <w:sz w:val="24"/>
                <w:szCs w:val="24"/>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未出席董事的原因说</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75" w:right="0"/>
              <w:jc w:val="left"/>
              <w:rPr>
                <w:rFonts w:ascii="宋体" w:hAnsi="宋体" w:cs="宋体" w:eastAsia="宋体" w:hint="default"/>
                <w:sz w:val="24"/>
                <w:szCs w:val="24"/>
              </w:rPr>
            </w:pPr>
            <w:r>
              <w:rPr>
                <w:rFonts w:ascii="宋体" w:hAnsi="宋体" w:cs="宋体" w:eastAsia="宋体" w:hint="default"/>
                <w:sz w:val="24"/>
                <w:szCs w:val="24"/>
              </w:rPr>
              <w:t>被委托人姓名</w:t>
            </w:r>
          </w:p>
        </w:tc>
      </w:tr>
      <w:tr>
        <w:trPr>
          <w:trHeight w:val="32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黄宇翔</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因公务无法出席</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徐岷波</w:t>
            </w:r>
          </w:p>
        </w:tc>
      </w:tr>
    </w:tbl>
    <w:p>
      <w:pPr>
        <w:spacing w:line="240" w:lineRule="auto" w:before="8"/>
        <w:rPr>
          <w:rFonts w:ascii="宋体" w:hAnsi="宋体" w:cs="宋体" w:eastAsia="宋体" w:hint="default"/>
          <w:b/>
          <w:bCs/>
          <w:sz w:val="18"/>
          <w:szCs w:val="18"/>
        </w:rPr>
      </w:pPr>
    </w:p>
    <w:p>
      <w:pPr>
        <w:pStyle w:val="Heading2"/>
        <w:spacing w:line="240" w:lineRule="auto"/>
        <w:ind w:left="138" w:right="0"/>
        <w:jc w:val="left"/>
        <w:rPr>
          <w:b w:val="0"/>
          <w:bCs w:val="0"/>
        </w:rPr>
      </w:pPr>
      <w:r>
        <w:rPr>
          <w:w w:val="100"/>
          <w:sz w:val="21"/>
          <w:szCs w:val="21"/>
        </w:rPr>
        <w:t>三、</w:t>
      </w:r>
      <w:r>
        <w:rPr>
          <w:spacing w:val="-10"/>
          <w:sz w:val="21"/>
          <w:szCs w:val="21"/>
        </w:rPr>
        <w:t> </w:t>
      </w:r>
      <w:r>
        <w:rPr>
          <w:spacing w:val="2"/>
          <w:w w:val="99"/>
        </w:rPr>
        <w:t>大</w:t>
      </w:r>
      <w:r>
        <w:rPr>
          <w:w w:val="99"/>
        </w:rPr>
        <w:t>华</w:t>
      </w:r>
      <w:r>
        <w:rPr>
          <w:spacing w:val="2"/>
          <w:w w:val="99"/>
        </w:rPr>
        <w:t>会</w:t>
      </w:r>
      <w:r>
        <w:rPr>
          <w:w w:val="99"/>
        </w:rPr>
        <w:t>计师</w:t>
      </w:r>
      <w:r>
        <w:rPr>
          <w:spacing w:val="2"/>
          <w:w w:val="99"/>
        </w:rPr>
        <w:t>事</w:t>
      </w:r>
      <w:r>
        <w:rPr>
          <w:w w:val="99"/>
        </w:rPr>
        <w:t>务</w:t>
      </w:r>
      <w:r>
        <w:rPr>
          <w:spacing w:val="-117"/>
          <w:w w:val="99"/>
        </w:rPr>
        <w:t>所</w:t>
      </w:r>
      <w:r>
        <w:rPr>
          <w:w w:val="99"/>
        </w:rPr>
        <w:t>（特</w:t>
      </w:r>
      <w:r>
        <w:rPr>
          <w:spacing w:val="2"/>
          <w:w w:val="99"/>
        </w:rPr>
        <w:t>殊</w:t>
      </w:r>
      <w:r>
        <w:rPr>
          <w:w w:val="99"/>
        </w:rPr>
        <w:t>普</w:t>
      </w:r>
      <w:r>
        <w:rPr>
          <w:spacing w:val="2"/>
          <w:w w:val="99"/>
        </w:rPr>
        <w:t>通</w:t>
      </w:r>
      <w:r>
        <w:rPr>
          <w:w w:val="99"/>
        </w:rPr>
        <w:t>合</w:t>
      </w:r>
      <w:r>
        <w:rPr>
          <w:spacing w:val="2"/>
          <w:w w:val="99"/>
        </w:rPr>
        <w:t>伙</w:t>
      </w:r>
      <w:r>
        <w:rPr>
          <w:spacing w:val="-120"/>
          <w:w w:val="99"/>
        </w:rPr>
        <w:t>）</w:t>
      </w:r>
      <w:r>
        <w:rPr>
          <w:spacing w:val="2"/>
          <w:w w:val="99"/>
        </w:rPr>
        <w:t>为</w:t>
      </w:r>
      <w:r>
        <w:rPr>
          <w:w w:val="99"/>
        </w:rPr>
        <w:t>本公司</w:t>
      </w:r>
      <w:r>
        <w:rPr>
          <w:spacing w:val="2"/>
          <w:w w:val="99"/>
        </w:rPr>
        <w:t>出</w:t>
      </w:r>
      <w:r>
        <w:rPr>
          <w:w w:val="99"/>
        </w:rPr>
        <w:t>具</w:t>
      </w:r>
      <w:r>
        <w:rPr>
          <w:spacing w:val="3"/>
          <w:w w:val="99"/>
        </w:rPr>
        <w:t>了</w:t>
      </w:r>
      <w:r>
        <w:rPr>
          <w:w w:val="99"/>
        </w:rPr>
        <w:t>标准</w:t>
      </w:r>
      <w:r>
        <w:rPr>
          <w:spacing w:val="2"/>
          <w:w w:val="99"/>
        </w:rPr>
        <w:t>无</w:t>
      </w:r>
      <w:r>
        <w:rPr>
          <w:w w:val="99"/>
        </w:rPr>
        <w:t>保</w:t>
      </w:r>
      <w:r>
        <w:rPr>
          <w:spacing w:val="2"/>
          <w:w w:val="99"/>
        </w:rPr>
        <w:t>留</w:t>
      </w:r>
      <w:r>
        <w:rPr>
          <w:w w:val="99"/>
        </w:rPr>
        <w:t>意</w:t>
      </w:r>
      <w:r>
        <w:rPr>
          <w:spacing w:val="1"/>
          <w:w w:val="99"/>
        </w:rPr>
        <w:t>见</w:t>
      </w:r>
      <w:r>
        <w:rPr>
          <w:spacing w:val="2"/>
          <w:w w:val="99"/>
        </w:rPr>
        <w:t>的</w:t>
      </w:r>
      <w:r>
        <w:rPr>
          <w:w w:val="99"/>
        </w:rPr>
        <w:t>审</w:t>
      </w:r>
      <w:r>
        <w:rPr>
          <w:spacing w:val="2"/>
          <w:w w:val="99"/>
        </w:rPr>
        <w:t>计</w:t>
      </w:r>
      <w:r>
        <w:rPr>
          <w:w w:val="99"/>
        </w:rPr>
        <w:t>报告。</w:t>
      </w:r>
      <w:r>
        <w:rPr>
          <w:b w:val="0"/>
          <w:bCs w:val="0"/>
        </w:rPr>
      </w:r>
    </w:p>
    <w:p>
      <w:pPr>
        <w:pStyle w:val="Heading2"/>
        <w:spacing w:line="355" w:lineRule="auto" w:before="154"/>
        <w:ind w:left="505" w:right="0" w:hanging="368"/>
        <w:jc w:val="left"/>
        <w:rPr>
          <w:b w:val="0"/>
          <w:bCs w:val="0"/>
        </w:rPr>
      </w:pPr>
      <w:r>
        <w:rPr>
          <w:spacing w:val="-4"/>
          <w:w w:val="99"/>
          <w:sz w:val="21"/>
          <w:szCs w:val="21"/>
        </w:rPr>
        <w:t>四、</w:t>
      </w:r>
      <w:r>
        <w:rPr>
          <w:spacing w:val="-4"/>
          <w:w w:val="99"/>
        </w:rPr>
        <w:t>公司负责人赵剑、主管会计工作负责人周永洪及会计机构负责人（会计主管人员）</w:t>
      </w:r>
      <w:r>
        <w:rPr>
          <w:spacing w:val="-84"/>
          <w:w w:val="99"/>
        </w:rPr>
        <w:t> </w:t>
      </w:r>
      <w:r>
        <w:rPr>
          <w:spacing w:val="-84"/>
          <w:w w:val="99"/>
        </w:rPr>
      </w:r>
      <w:r>
        <w:rPr/>
        <w:t>周永洪声明：保证年度报告中财务报告的真实、准确、完整。</w:t>
      </w:r>
      <w:r>
        <w:rPr>
          <w:b w:val="0"/>
          <w:bCs w:val="0"/>
        </w:rPr>
      </w:r>
    </w:p>
    <w:p>
      <w:pPr>
        <w:pStyle w:val="Heading2"/>
        <w:spacing w:line="240" w:lineRule="auto" w:before="38"/>
        <w:ind w:left="138" w:right="0"/>
        <w:jc w:val="left"/>
        <w:rPr>
          <w:b w:val="0"/>
          <w:bCs w:val="0"/>
        </w:rPr>
      </w:pPr>
      <w:r>
        <w:rPr>
          <w:sz w:val="21"/>
          <w:szCs w:val="21"/>
        </w:rPr>
        <w:t>五、</w:t>
      </w:r>
      <w:r>
        <w:rPr>
          <w:spacing w:val="-43"/>
          <w:sz w:val="21"/>
          <w:szCs w:val="2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8"/>
          <w:szCs w:val="18"/>
        </w:rPr>
      </w:pPr>
    </w:p>
    <w:p>
      <w:pPr>
        <w:pStyle w:val="BodyText"/>
        <w:spacing w:line="314" w:lineRule="auto"/>
        <w:ind w:left="138" w:right="214" w:firstLine="367"/>
        <w:jc w:val="both"/>
      </w:pPr>
      <w:r>
        <w:rPr>
          <w:spacing w:val="-3"/>
        </w:rPr>
        <w:t>本年度公司利润分配方案拟为：公司以本年度母公司净利润</w:t>
      </w:r>
      <w:r>
        <w:rPr>
          <w:rFonts w:ascii="宋体" w:hAnsi="宋体" w:cs="宋体" w:eastAsia="宋体" w:hint="default"/>
          <w:spacing w:val="-3"/>
        </w:rPr>
        <w:t>7,527.24</w:t>
      </w:r>
      <w:r>
        <w:rPr>
          <w:spacing w:val="-3"/>
        </w:rPr>
        <w:t>万元为基数，提取</w:t>
      </w:r>
      <w:r>
        <w:rPr>
          <w:rFonts w:ascii="宋体" w:hAnsi="宋体" w:cs="宋体" w:eastAsia="宋体" w:hint="default"/>
          <w:spacing w:val="-3"/>
        </w:rPr>
        <w:t>10%</w:t>
      </w:r>
      <w:r>
        <w:rPr>
          <w:spacing w:val="-3"/>
        </w:rPr>
        <w:t>的</w:t>
      </w:r>
      <w:r>
        <w:rPr>
          <w:w w:val="100"/>
        </w:rPr>
        <w:t> </w:t>
      </w:r>
      <w:r>
        <w:rPr>
          <w:spacing w:val="13"/>
        </w:rPr>
        <w:t>法定盈余公积金</w:t>
      </w:r>
      <w:r>
        <w:rPr>
          <w:rFonts w:ascii="宋体" w:hAnsi="宋体" w:cs="宋体" w:eastAsia="宋体" w:hint="default"/>
          <w:spacing w:val="13"/>
        </w:rPr>
        <w:t>752.72</w:t>
      </w:r>
      <w:r>
        <w:rPr>
          <w:spacing w:val="13"/>
        </w:rPr>
        <w:t>万元，按以上比例提取法定盈余公积金后，母公司未分配的利润为</w:t>
      </w:r>
      <w:r>
        <w:rPr>
          <w:spacing w:val="-19"/>
        </w:rPr>
        <w:t> </w:t>
      </w:r>
      <w:r>
        <w:rPr>
          <w:spacing w:val="-19"/>
        </w:rPr>
      </w:r>
      <w:r>
        <w:rPr>
          <w:rFonts w:ascii="宋体" w:hAnsi="宋体" w:cs="宋体" w:eastAsia="宋体" w:hint="default"/>
          <w:spacing w:val="-3"/>
          <w:w w:val="100"/>
        </w:rPr>
        <w:t>37,369.75</w:t>
      </w:r>
      <w:r>
        <w:rPr>
          <w:spacing w:val="-3"/>
          <w:w w:val="100"/>
        </w:rPr>
        <w:t>万元。公司以当前总股本</w:t>
      </w:r>
      <w:r>
        <w:rPr>
          <w:rFonts w:ascii="宋体" w:hAnsi="宋体" w:cs="宋体" w:eastAsia="宋体" w:hint="default"/>
          <w:spacing w:val="-3"/>
          <w:w w:val="100"/>
        </w:rPr>
        <w:t>853,210,484</w:t>
      </w:r>
      <w:r>
        <w:rPr>
          <w:spacing w:val="-3"/>
          <w:w w:val="100"/>
        </w:rPr>
        <w:t>股为基数</w:t>
      </w:r>
      <w:r>
        <w:rPr>
          <w:rFonts w:ascii="宋体" w:hAnsi="宋体" w:cs="宋体" w:eastAsia="宋体" w:hint="default"/>
          <w:spacing w:val="-3"/>
          <w:w w:val="100"/>
        </w:rPr>
        <w:t>,</w:t>
      </w:r>
      <w:r>
        <w:rPr>
          <w:spacing w:val="-3"/>
          <w:w w:val="100"/>
        </w:rPr>
        <w:t>拟向全体股东每</w:t>
      </w:r>
      <w:r>
        <w:rPr>
          <w:rFonts w:ascii="宋体" w:hAnsi="宋体" w:cs="宋体" w:eastAsia="宋体" w:hint="default"/>
          <w:spacing w:val="-3"/>
          <w:w w:val="100"/>
        </w:rPr>
        <w:t>10</w:t>
      </w:r>
      <w:r>
        <w:rPr>
          <w:spacing w:val="-3"/>
          <w:w w:val="100"/>
        </w:rPr>
        <w:t>股派发现金股利</w:t>
      </w:r>
      <w:r>
        <w:rPr>
          <w:rFonts w:ascii="宋体" w:hAnsi="宋体" w:cs="宋体" w:eastAsia="宋体" w:hint="default"/>
          <w:spacing w:val="-3"/>
          <w:w w:val="100"/>
        </w:rPr>
        <w:t>0.31</w:t>
      </w:r>
      <w:r>
        <w:rPr>
          <w:rFonts w:ascii="宋体" w:hAnsi="宋体" w:cs="宋体" w:eastAsia="宋体" w:hint="default"/>
          <w:spacing w:val="-93"/>
          <w:w w:val="100"/>
        </w:rPr>
        <w:t> </w:t>
      </w:r>
      <w:r>
        <w:rPr>
          <w:rFonts w:ascii="宋体" w:hAnsi="宋体" w:cs="宋体" w:eastAsia="宋体" w:hint="default"/>
          <w:spacing w:val="-93"/>
          <w:w w:val="100"/>
        </w:rPr>
      </w:r>
      <w:r>
        <w:rPr/>
        <w:t>元</w:t>
      </w:r>
      <w:r>
        <w:rPr>
          <w:rFonts w:ascii="宋体" w:hAnsi="宋体" w:cs="宋体" w:eastAsia="宋体" w:hint="default"/>
        </w:rPr>
        <w:t>(</w:t>
      </w:r>
      <w:r>
        <w:rPr/>
        <w:t>含税</w:t>
      </w:r>
      <w:r>
        <w:rPr>
          <w:rFonts w:ascii="宋体" w:hAnsi="宋体" w:cs="宋体" w:eastAsia="宋体" w:hint="default"/>
        </w:rPr>
        <w:t>),</w:t>
      </w:r>
      <w:r>
        <w:rPr/>
        <w:t>共计派发现金股利</w:t>
      </w:r>
      <w:r>
        <w:rPr>
          <w:rFonts w:ascii="宋体" w:hAnsi="宋体" w:cs="宋体" w:eastAsia="宋体" w:hint="default"/>
        </w:rPr>
        <w:t>2,644.95</w:t>
      </w:r>
      <w:r>
        <w:rPr/>
        <w:t>万元。</w:t>
      </w:r>
    </w:p>
    <w:p>
      <w:pPr>
        <w:spacing w:line="251"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26"/>
          <w:sz w:val="21"/>
          <w:szCs w:val="21"/>
        </w:rPr>
        <w:t> </w:t>
      </w:r>
      <w:r>
        <w:rPr>
          <w:rFonts w:ascii="宋体" w:hAnsi="宋体" w:cs="宋体" w:eastAsia="宋体" w:hint="default"/>
          <w:b/>
          <w:bCs/>
          <w:sz w:val="24"/>
          <w:szCs w:val="24"/>
        </w:rPr>
        <w:t>前瞻性陈述的风险声明</w:t>
      </w:r>
      <w:r>
        <w:rPr>
          <w:rFonts w:ascii="宋体" w:hAnsi="宋体" w:cs="宋体" w:eastAsia="宋体" w:hint="default"/>
          <w:sz w:val="24"/>
          <w:szCs w:val="24"/>
        </w:rPr>
      </w:r>
    </w:p>
    <w:p>
      <w:pPr>
        <w:pStyle w:val="BodyText"/>
        <w:spacing w:line="307" w:lineRule="auto" w:before="157"/>
        <w:ind w:left="558" w:right="0" w:hanging="420"/>
        <w:jc w:val="left"/>
      </w:pPr>
      <w:r>
        <w:rPr/>
        <w:t>√适用</w:t>
      </w:r>
      <w:r>
        <w:rPr>
          <w:spacing w:val="-2"/>
        </w:rPr>
        <w:t> </w:t>
      </w:r>
      <w:r>
        <w:rPr/>
        <w:t>□不适用</w:t>
      </w:r>
      <w:r>
        <w:rPr>
          <w:w w:val="100"/>
        </w:rPr>
        <w:t> </w:t>
      </w:r>
      <w:r>
        <w:rPr>
          <w:spacing w:val="-2"/>
        </w:rPr>
        <w:t>本报告中所涉及的未来计划、发展战略等前瞻性描述不构成公司对投资者的实质承诺，敬请</w:t>
      </w:r>
    </w:p>
    <w:p>
      <w:pPr>
        <w:pStyle w:val="BodyText"/>
        <w:spacing w:line="240" w:lineRule="auto" w:before="26"/>
        <w:ind w:left="138" w:right="0"/>
        <w:jc w:val="left"/>
      </w:pPr>
      <w:r>
        <w:rPr/>
        <w:t>投资者注意投资风险。</w:t>
      </w:r>
    </w:p>
    <w:p>
      <w:pPr>
        <w:pStyle w:val="Heading2"/>
        <w:spacing w:line="240" w:lineRule="auto" w:before="2"/>
        <w:ind w:left="138" w:right="0"/>
        <w:jc w:val="left"/>
        <w:rPr>
          <w:b w:val="0"/>
          <w:bCs w:val="0"/>
        </w:rPr>
      </w:pPr>
      <w:r>
        <w:rPr>
          <w:sz w:val="21"/>
          <w:szCs w:val="21"/>
        </w:rPr>
        <w:t>七、</w:t>
      </w:r>
      <w:r>
        <w:rPr/>
        <w:t>是否存在被控股股东及其关联方非经营性占用资金情况</w:t>
      </w:r>
      <w:r>
        <w:rPr>
          <w:b w:val="0"/>
          <w:bCs w:val="0"/>
        </w:rPr>
      </w:r>
    </w:p>
    <w:p>
      <w:pPr>
        <w:spacing w:line="240" w:lineRule="auto" w:before="12"/>
        <w:rPr>
          <w:rFonts w:ascii="宋体" w:hAnsi="宋体" w:cs="宋体" w:eastAsia="宋体" w:hint="default"/>
          <w:b/>
          <w:bCs/>
          <w:sz w:val="17"/>
          <w:szCs w:val="17"/>
        </w:rPr>
      </w:pPr>
    </w:p>
    <w:p>
      <w:pPr>
        <w:pStyle w:val="BodyText"/>
        <w:spacing w:line="240" w:lineRule="auto"/>
        <w:ind w:left="138" w:right="0"/>
        <w:jc w:val="left"/>
      </w:pPr>
      <w:r>
        <w:rPr>
          <w:w w:val="100"/>
        </w:rPr>
        <w:t>否</w:t>
      </w:r>
    </w:p>
    <w:p>
      <w:pPr>
        <w:pStyle w:val="Heading2"/>
        <w:tabs>
          <w:tab w:pos="781" w:val="left" w:leader="none"/>
        </w:tabs>
        <w:spacing w:line="240" w:lineRule="auto" w:before="2"/>
        <w:ind w:left="138" w:right="0"/>
        <w:jc w:val="left"/>
        <w:rPr>
          <w:b w:val="0"/>
          <w:bCs w:val="0"/>
        </w:rPr>
      </w:pPr>
      <w:r>
        <w:rPr>
          <w:sz w:val="21"/>
          <w:szCs w:val="21"/>
        </w:rPr>
        <w:t>八、</w:t>
        <w:tab/>
      </w:r>
      <w:r>
        <w:rPr/>
        <w:t>是否存在违反规定决策程序对外提供担保的情况？</w:t>
      </w:r>
      <w:r>
        <w:rPr>
          <w:b w:val="0"/>
          <w:bCs w:val="0"/>
        </w:rPr>
      </w:r>
    </w:p>
    <w:p>
      <w:pPr>
        <w:pStyle w:val="BodyText"/>
        <w:spacing w:line="270" w:lineRule="exact" w:before="160"/>
        <w:ind w:left="138" w:right="0"/>
        <w:jc w:val="left"/>
      </w:pPr>
      <w:r>
        <w:rPr>
          <w:w w:val="100"/>
        </w:rPr>
        <w:t>否</w:t>
      </w:r>
    </w:p>
    <w:p>
      <w:pPr>
        <w:tabs>
          <w:tab w:pos="781" w:val="left" w:leader="none"/>
        </w:tabs>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九、</w:t>
        <w:tab/>
      </w:r>
      <w:r>
        <w:rPr>
          <w:rFonts w:ascii="宋体" w:hAnsi="宋体" w:cs="宋体" w:eastAsia="宋体" w:hint="default"/>
          <w:b/>
          <w:bCs/>
          <w:sz w:val="24"/>
          <w:szCs w:val="24"/>
        </w:rPr>
        <w:t>重大风险提示</w:t>
      </w:r>
      <w:r>
        <w:rPr>
          <w:rFonts w:ascii="宋体" w:hAnsi="宋体" w:cs="宋体" w:eastAsia="宋体" w:hint="default"/>
          <w:sz w:val="24"/>
          <w:szCs w:val="24"/>
        </w:rPr>
      </w:r>
    </w:p>
    <w:p>
      <w:pPr>
        <w:pStyle w:val="BodyText"/>
        <w:spacing w:line="355" w:lineRule="auto" w:before="160"/>
        <w:ind w:left="138" w:right="290" w:firstLine="367"/>
        <w:jc w:val="both"/>
      </w:pPr>
      <w:r>
        <w:rPr>
          <w:spacing w:val="-2"/>
        </w:rPr>
        <w:t>报告期内，公司不存在重大风险事项。公司已在本报告中详细描述可能面对的风险及应对措</w:t>
      </w:r>
      <w:r>
        <w:rPr>
          <w:w w:val="100"/>
        </w:rPr>
        <w:t> </w:t>
      </w:r>
      <w:r>
        <w:rPr/>
        <w:t>施，敬请查阅本报告第四节经营情况讨论与分析中“可能面对的风险”内容。</w:t>
      </w:r>
    </w:p>
    <w:p>
      <w:pPr>
        <w:spacing w:before="26"/>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4253" w:right="423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66"/>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公司简介和主要财务指标</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rPr>
          </w:pPr>
          <w:hyperlink w:history="true" w:anchor="_TOC_250009">
            <w:r>
              <w:rPr/>
              <w:t>第三节</w:t>
              <w:tab/>
              <w:t>公司业务概要</w:t>
            </w:r>
            <w:r>
              <w:rPr>
                <w:rFonts w:ascii="Times New Roman" w:hAnsi="Times New Roman" w:cs="Times New Roman" w:eastAsia="Times New Roman" w:hint="default"/>
              </w:rPr>
              <w:tab/>
              <w:t>8</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8">
            <w:r>
              <w:rPr/>
              <w:t>第四节</w:t>
              <w:tab/>
              <w:t>经营情况讨论与分析</w:t>
            </w:r>
            <w:r>
              <w:rPr>
                <w:rFonts w:ascii="Times New Roman" w:hAnsi="Times New Roman" w:cs="Times New Roman" w:eastAsia="Times New Roman" w:hint="default"/>
              </w:rPr>
              <w:tab/>
              <w:t>10</w:t>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23</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普通股股份变动及股东情况</w:t>
            </w:r>
            <w:r>
              <w:rPr>
                <w:rFonts w:ascii="Times New Roman" w:hAnsi="Times New Roman" w:cs="Times New Roman" w:eastAsia="Times New Roman" w:hint="default"/>
              </w:rPr>
              <w:tab/>
              <w:t>32</w:t>
            </w:r>
          </w:hyperlink>
        </w:p>
        <w:p>
          <w:pPr>
            <w:pStyle w:val="TOC1"/>
            <w:tabs>
              <w:tab w:pos="1397" w:val="left" w:leader="none"/>
              <w:tab w:pos="8961" w:val="right" w:leader="dot"/>
            </w:tabs>
            <w:spacing w:line="240" w:lineRule="auto" w:before="134"/>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35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36</w:t>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44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公司债券相关情况</w:t>
            </w:r>
            <w:r>
              <w:rPr>
                <w:rFonts w:ascii="Times New Roman" w:hAnsi="Times New Roman" w:cs="Times New Roman" w:eastAsia="Times New Roman" w:hint="default"/>
              </w:rPr>
              <w:tab/>
              <w:t>48</w:t>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rPr>
          </w:pPr>
          <w:hyperlink w:history="true" w:anchor="_TOC_250001">
            <w:r>
              <w:rPr/>
              <w:t>第十一节</w:t>
              <w:tab/>
              <w:t>财务报告</w:t>
            </w:r>
            <w:r>
              <w:rPr>
                <w:rFonts w:ascii="Times New Roman" w:hAnsi="Times New Roman" w:cs="Times New Roman" w:eastAsia="Times New Roman" w:hint="default"/>
              </w:rPr>
              <w:tab/>
              <w:t>52</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0">
            <w:r>
              <w:rPr/>
              <w:t>第十二节</w:t>
              <w:tab/>
              <w:t>备查文件目录</w:t>
            </w:r>
            <w:r>
              <w:rPr>
                <w:rFonts w:ascii="Times New Roman" w:hAnsi="Times New Roman" w:cs="Times New Roman" w:eastAsia="Times New Roman" w:hint="default"/>
              </w:rPr>
              <w:tab/>
              <w:t>173</w:t>
            </w:r>
          </w:hyperlink>
        </w:p>
        <w:p>
          <w:pPr/>
          <w:r>
            <w:fldChar w:fldCharType="end"/>
          </w:r>
        </w:p>
      </w:sdtContent>
    </w:sdt>
    <w:p>
      <w:pPr>
        <w:spacing w:after="0"/>
        <w:sectPr>
          <w:pgSz w:w="11910" w:h="16840"/>
          <w:pgMar w:header="880" w:footer="1195" w:top="1120" w:bottom="1380" w:left="1660" w:right="1160"/>
        </w:sectPr>
      </w:pPr>
    </w:p>
    <w:p>
      <w:pPr>
        <w:spacing w:line="240" w:lineRule="auto" w:before="10"/>
        <w:rPr>
          <w:rFonts w:ascii="Times New Roman" w:hAnsi="Times New Roman" w:cs="Times New Roman" w:eastAsia="Times New Roman" w:hint="default"/>
          <w:sz w:val="35"/>
          <w:szCs w:val="35"/>
        </w:rPr>
      </w:pPr>
    </w:p>
    <w:p>
      <w:pPr>
        <w:pStyle w:val="Heading1"/>
        <w:tabs>
          <w:tab w:pos="1260" w:val="left" w:leader="none"/>
        </w:tabs>
        <w:spacing w:line="240" w:lineRule="auto" w:before="0"/>
        <w:ind w:left="0" w:right="17"/>
        <w:jc w:val="center"/>
        <w:rPr>
          <w:b w:val="0"/>
          <w:bCs w:val="0"/>
        </w:rPr>
      </w:pPr>
      <w:bookmarkStart w:name="_TOC_250011" w:id="1"/>
      <w:r>
        <w:rPr>
          <w:w w:val="95"/>
        </w:rPr>
        <w:t>第一节</w:t>
        <w:tab/>
      </w:r>
      <w:r>
        <w:rPr/>
        <w:t>释义</w:t>
      </w:r>
      <w:bookmarkEnd w:id="1"/>
      <w:r>
        <w:rPr>
          <w:b w:val="0"/>
          <w:bCs w:val="0"/>
        </w:rPr>
      </w:r>
    </w:p>
    <w:p>
      <w:pPr>
        <w:pStyle w:val="Heading2"/>
        <w:spacing w:line="240" w:lineRule="auto" w:before="246"/>
        <w:ind w:right="215"/>
        <w:jc w:val="left"/>
        <w:rPr>
          <w:b w:val="0"/>
          <w:bCs w:val="0"/>
        </w:rPr>
      </w:pPr>
      <w:r>
        <w:rPr/>
        <w:t>一、</w:t>
      </w:r>
      <w:r>
        <w:rPr>
          <w:spacing w:val="-14"/>
        </w:rPr>
        <w:t> </w:t>
      </w:r>
      <w:r>
        <w:rPr/>
        <w:t>释义</w:t>
      </w:r>
      <w:r>
        <w:rPr>
          <w:b w:val="0"/>
          <w:bCs w:val="0"/>
        </w:rPr>
      </w:r>
    </w:p>
    <w:p>
      <w:pPr>
        <w:pStyle w:val="BodyText"/>
        <w:spacing w:line="240" w:lineRule="auto" w:before="64"/>
        <w:ind w:right="215"/>
        <w:jc w:val="left"/>
      </w:pPr>
      <w:r>
        <w:rPr/>
        <w:t>在本报告书中，除非文义另有所指，下列词语具有如下含义：</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1202"/>
        <w:gridCol w:w="4830"/>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7"/>
        <w:rPr>
          <w:rFonts w:ascii="宋体" w:hAnsi="宋体" w:cs="宋体" w:eastAsia="宋体" w:hint="default"/>
          <w:sz w:val="20"/>
          <w:szCs w:val="20"/>
        </w:rPr>
      </w:pPr>
    </w:p>
    <w:p>
      <w:pPr>
        <w:pStyle w:val="Heading1"/>
        <w:tabs>
          <w:tab w:pos="3717" w:val="left" w:leader="none"/>
        </w:tabs>
        <w:spacing w:line="240" w:lineRule="auto"/>
        <w:ind w:left="2457" w:right="215"/>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1"/>
        <w:rPr>
          <w:rFonts w:ascii="黑体" w:hAnsi="黑体" w:cs="黑体" w:eastAsia="黑体" w:hint="default"/>
          <w:b/>
          <w:bCs/>
          <w:sz w:val="16"/>
          <w:szCs w:val="16"/>
        </w:rPr>
      </w:pPr>
    </w:p>
    <w:p>
      <w:pPr>
        <w:pStyle w:val="Heading2"/>
        <w:spacing w:line="240" w:lineRule="auto"/>
        <w:ind w:right="215"/>
        <w:jc w:val="left"/>
        <w:rPr>
          <w:b w:val="0"/>
          <w:bCs w:val="0"/>
        </w:rPr>
      </w:pPr>
      <w:r>
        <w:rPr>
          <w:spacing w:val="3"/>
        </w:rPr>
        <w:t>一、公司信息</w:t>
      </w:r>
      <w:r>
        <w:rPr>
          <w:b w:val="0"/>
          <w:bCs w:val="0"/>
          <w:spacing w:val="3"/>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金证股份</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SHENZHEN KINGDOM SCI-TECH CO.</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LTD</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赵剑</w:t>
            </w:r>
          </w:p>
        </w:tc>
      </w:tr>
    </w:tbl>
    <w:p>
      <w:pPr>
        <w:spacing w:line="240" w:lineRule="auto" w:before="6"/>
        <w:rPr>
          <w:rFonts w:ascii="宋体" w:hAnsi="宋体" w:cs="宋体" w:eastAsia="宋体" w:hint="default"/>
          <w:b/>
          <w:bCs/>
          <w:sz w:val="20"/>
          <w:szCs w:val="20"/>
        </w:rPr>
      </w:pPr>
    </w:p>
    <w:p>
      <w:pPr>
        <w:pStyle w:val="Heading2"/>
        <w:spacing w:line="240" w:lineRule="auto"/>
        <w:ind w:right="215"/>
        <w:jc w:val="left"/>
        <w:rPr>
          <w:b w:val="0"/>
          <w:bCs w:val="0"/>
        </w:rPr>
      </w:pPr>
      <w:r>
        <w:rPr>
          <w:spacing w:val="2"/>
        </w:rPr>
        <w:t>二、联系人和联系方式</w:t>
      </w:r>
      <w:r>
        <w:rPr>
          <w:b w:val="0"/>
          <w:bCs w:val="0"/>
          <w:spacing w:val="2"/>
        </w:rPr>
      </w:r>
    </w:p>
    <w:p>
      <w:pPr>
        <w:spacing w:line="240" w:lineRule="auto" w:before="4"/>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6"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55"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姚震</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科技大楼（</w:t>
            </w:r>
            <w:r>
              <w:rPr>
                <w:rFonts w:ascii="宋体" w:hAnsi="宋体" w:cs="宋体" w:eastAsia="宋体" w:hint="default"/>
                <w:sz w:val="21"/>
                <w:szCs w:val="21"/>
              </w:rPr>
              <w:t>8-9</w:t>
            </w:r>
            <w:r>
              <w:rPr>
                <w:rFonts w:ascii="宋体" w:hAnsi="宋体" w:cs="宋体" w:eastAsia="宋体" w:hint="default"/>
                <w:sz w:val="21"/>
                <w:szCs w:val="21"/>
              </w:rPr>
              <w:t>楼）</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0755-86393989</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0755-86393989</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yaozhen@szkingdom.com</w:t>
              </w:r>
            </w:hyperlink>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20"/>
          <w:szCs w:val="20"/>
        </w:rPr>
      </w:pPr>
    </w:p>
    <w:p>
      <w:pPr>
        <w:pStyle w:val="Heading2"/>
        <w:spacing w:line="240" w:lineRule="auto"/>
        <w:ind w:right="215"/>
        <w:jc w:val="left"/>
        <w:rPr>
          <w:b w:val="0"/>
          <w:bCs w:val="0"/>
        </w:rPr>
      </w:pPr>
      <w:r>
        <w:rPr>
          <w:spacing w:val="2"/>
        </w:rPr>
        <w:t>三、基本情况简介</w:t>
      </w:r>
      <w:r>
        <w:rPr>
          <w:b w:val="0"/>
          <w:bCs w:val="0"/>
          <w:spacing w:val="2"/>
        </w:rPr>
      </w:r>
    </w:p>
    <w:p>
      <w:pPr>
        <w:spacing w:line="240" w:lineRule="auto" w:before="4"/>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深圳市南山区高新南五道金证科技大楼（</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楼）</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518057</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深圳市南山区高新南五道金证科技大楼（</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518057</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http://www.szkingdom.com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9">
              <w:r>
                <w:rPr>
                  <w:rFonts w:ascii="宋体"/>
                  <w:sz w:val="21"/>
                </w:rPr>
                <w:t>jzkj@szkingdom.com</w:t>
              </w:r>
            </w:hyperlink>
          </w:p>
        </w:tc>
      </w:tr>
    </w:tbl>
    <w:p>
      <w:pPr>
        <w:spacing w:line="240" w:lineRule="auto" w:before="3"/>
        <w:rPr>
          <w:rFonts w:ascii="宋体" w:hAnsi="宋体" w:cs="宋体" w:eastAsia="宋体" w:hint="default"/>
          <w:b/>
          <w:bCs/>
          <w:sz w:val="20"/>
          <w:szCs w:val="20"/>
        </w:rPr>
      </w:pPr>
    </w:p>
    <w:p>
      <w:pPr>
        <w:pStyle w:val="Heading2"/>
        <w:spacing w:line="240" w:lineRule="auto"/>
        <w:ind w:right="215"/>
        <w:jc w:val="left"/>
        <w:rPr>
          <w:b w:val="0"/>
          <w:bCs w:val="0"/>
        </w:rPr>
      </w:pPr>
      <w:r>
        <w:rPr>
          <w:spacing w:val="2"/>
        </w:rPr>
        <w:t>四、信息披露及备置地点</w:t>
      </w:r>
      <w:r>
        <w:rPr>
          <w:b w:val="0"/>
          <w:bCs w:val="0"/>
          <w:spacing w:val="2"/>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http://www.sse.com.cn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上海证券交易所与公司董事会办公室</w:t>
            </w:r>
          </w:p>
        </w:tc>
      </w:tr>
    </w:tbl>
    <w:p>
      <w:pPr>
        <w:spacing w:line="240" w:lineRule="auto" w:before="3"/>
        <w:rPr>
          <w:rFonts w:ascii="宋体" w:hAnsi="宋体" w:cs="宋体" w:eastAsia="宋体" w:hint="default"/>
          <w:b/>
          <w:bCs/>
          <w:sz w:val="20"/>
          <w:szCs w:val="20"/>
        </w:rPr>
      </w:pPr>
    </w:p>
    <w:p>
      <w:pPr>
        <w:pStyle w:val="Heading2"/>
        <w:spacing w:line="240" w:lineRule="auto"/>
        <w:ind w:right="215"/>
        <w:jc w:val="left"/>
        <w:rPr>
          <w:b w:val="0"/>
          <w:bCs w:val="0"/>
        </w:rPr>
      </w:pPr>
      <w:r>
        <w:rPr>
          <w:spacing w:val="2"/>
        </w:rPr>
        <w:t>五、公司股票简况</w:t>
      </w:r>
      <w:r>
        <w:rPr>
          <w:b w:val="0"/>
          <w:bCs w:val="0"/>
          <w:spacing w:val="2"/>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金证股份</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600446</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8"/>
        <w:rPr>
          <w:rFonts w:ascii="宋体" w:hAnsi="宋体" w:cs="宋体" w:eastAsia="宋体" w:hint="default"/>
          <w:b/>
          <w:bCs/>
          <w:sz w:val="25"/>
          <w:szCs w:val="25"/>
        </w:rPr>
      </w:pPr>
    </w:p>
    <w:p>
      <w:pPr>
        <w:pStyle w:val="Heading2"/>
        <w:spacing w:line="240" w:lineRule="auto"/>
        <w:ind w:right="215"/>
        <w:jc w:val="left"/>
        <w:rPr>
          <w:b w:val="0"/>
          <w:bCs w:val="0"/>
        </w:rPr>
      </w:pPr>
      <w:r>
        <w:rPr>
          <w:spacing w:val="2"/>
        </w:rPr>
        <w:t>六、其他相关资料</w:t>
      </w:r>
      <w:r>
        <w:rPr>
          <w:b w:val="0"/>
          <w:bCs w:val="0"/>
          <w:spacing w:val="2"/>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中国北京</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杨劼、程纯</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深圳市福田区金田路</w:t>
            </w:r>
            <w:r>
              <w:rPr>
                <w:rFonts w:ascii="宋体" w:hAnsi="宋体" w:cs="宋体" w:eastAsia="宋体" w:hint="default"/>
                <w:spacing w:val="-52"/>
                <w:sz w:val="21"/>
                <w:szCs w:val="21"/>
              </w:rPr>
              <w:t> </w:t>
            </w:r>
            <w:r>
              <w:rPr>
                <w:rFonts w:ascii="宋体" w:hAnsi="宋体" w:cs="宋体" w:eastAsia="宋体" w:hint="default"/>
                <w:sz w:val="21"/>
                <w:szCs w:val="21"/>
              </w:rPr>
              <w:t>4036</w:t>
            </w:r>
            <w:r>
              <w:rPr>
                <w:rFonts w:ascii="宋体" w:hAnsi="宋体" w:cs="宋体" w:eastAsia="宋体" w:hint="default"/>
                <w:spacing w:val="-54"/>
                <w:sz w:val="21"/>
                <w:szCs w:val="21"/>
              </w:rPr>
              <w:t> </w:t>
            </w:r>
            <w:r>
              <w:rPr>
                <w:rFonts w:ascii="宋体" w:hAnsi="宋体" w:cs="宋体" w:eastAsia="宋体" w:hint="default"/>
                <w:sz w:val="21"/>
                <w:szCs w:val="21"/>
              </w:rPr>
              <w:t>号荣超大厦</w:t>
            </w:r>
            <w:r>
              <w:rPr>
                <w:rFonts w:ascii="宋体" w:hAnsi="宋体" w:cs="宋体" w:eastAsia="宋体" w:hint="default"/>
                <w:spacing w:val="-52"/>
                <w:sz w:val="21"/>
                <w:szCs w:val="21"/>
              </w:rPr>
              <w:t> </w:t>
            </w:r>
            <w:r>
              <w:rPr>
                <w:rFonts w:ascii="宋体" w:hAnsi="宋体" w:cs="宋体" w:eastAsia="宋体" w:hint="default"/>
                <w:sz w:val="21"/>
                <w:szCs w:val="21"/>
              </w:rPr>
              <w:t>16-20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层</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程建新、孟娜</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东北证券股份有限公司</w:t>
            </w:r>
          </w:p>
        </w:tc>
      </w:tr>
      <w:tr>
        <w:trPr>
          <w:trHeight w:val="28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吉林省长春市自由大路</w:t>
            </w:r>
            <w:r>
              <w:rPr>
                <w:rFonts w:ascii="宋体" w:hAnsi="宋体" w:cs="宋体" w:eastAsia="宋体" w:hint="default"/>
                <w:spacing w:val="-55"/>
                <w:sz w:val="21"/>
                <w:szCs w:val="21"/>
              </w:rPr>
              <w:t> </w:t>
            </w:r>
            <w:r>
              <w:rPr>
                <w:rFonts w:ascii="宋体" w:hAnsi="宋体" w:cs="宋体" w:eastAsia="宋体" w:hint="default"/>
                <w:sz w:val="21"/>
                <w:szCs w:val="21"/>
              </w:rPr>
              <w:t>1138</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邵其军、辛博坤</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年年报披露</w:t>
            </w:r>
          </w:p>
        </w:tc>
      </w:tr>
    </w:tbl>
    <w:p>
      <w:pPr>
        <w:spacing w:line="240" w:lineRule="auto" w:before="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spacing w:line="240" w:lineRule="auto"/>
        <w:ind w:right="-18"/>
        <w:jc w:val="left"/>
        <w:rPr>
          <w:b w:val="0"/>
          <w:bCs w:val="0"/>
        </w:rPr>
      </w:pPr>
      <w:r>
        <w:rPr/>
        <w:t>七、</w:t>
      </w:r>
      <w:r>
        <w:rPr>
          <w:spacing w:val="-37"/>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160" w:space="2361"/>
            <w:col w:w="2769"/>
          </w:cols>
        </w:sectPr>
      </w:pPr>
    </w:p>
    <w:p>
      <w:pPr>
        <w:spacing w:line="240" w:lineRule="auto" w:before="2"/>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932"/>
        <w:gridCol w:w="1897"/>
        <w:gridCol w:w="1952"/>
        <w:gridCol w:w="1373"/>
        <w:gridCol w:w="1897"/>
      </w:tblGrid>
      <w:tr>
        <w:trPr>
          <w:trHeight w:val="60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3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03" w:right="101" w:firstLine="50"/>
              <w:jc w:val="left"/>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4,227,745,965.28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3,665,606,591.22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2,614,879,856.61</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132,000,143.37</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235,078,925.34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254,749,363.52</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2"/>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122,331,203.58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246,615,747.20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234,506,855.33</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107,373,057.80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20,918,234.92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413.30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179,371,397.26</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311" w:right="153"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1,888,054,211.53</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1,469,925,048.73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1,283,260,473.01</w:t>
            </w:r>
          </w:p>
        </w:tc>
      </w:tr>
      <w:tr>
        <w:trPr>
          <w:trHeight w:val="29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4,546,819,933.07</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3,174,533,467.02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43.23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3,055,262,139.73</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21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0.1581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-43.54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0.1581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-43.54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0.1465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-51.17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17.13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8.71</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23.78</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88" w:right="0"/>
              <w:jc w:val="left"/>
              <w:rPr>
                <w:rFonts w:ascii="宋体" w:hAnsi="宋体" w:cs="宋体" w:eastAsia="宋体" w:hint="default"/>
                <w:sz w:val="21"/>
                <w:szCs w:val="21"/>
              </w:rPr>
            </w:pPr>
            <w:r>
              <w:rPr>
                <w:rFonts w:ascii="宋体"/>
                <w:sz w:val="21"/>
              </w:rPr>
              <w:t>17.97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7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10.17</w:t>
            </w:r>
            <w:r>
              <w:rPr>
                <w:rFonts w:ascii="宋体" w:hAnsi="宋体" w:cs="宋体" w:eastAsia="宋体" w:hint="default"/>
                <w:sz w:val="21"/>
                <w:szCs w:val="21"/>
              </w:rPr>
              <w:t>个</w:t>
            </w:r>
          </w:p>
          <w:p>
            <w:pPr>
              <w:pStyle w:val="TableParagraph"/>
              <w:spacing w:line="273" w:lineRule="exact"/>
              <w:ind w:left="7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97" w:right="0"/>
              <w:jc w:val="left"/>
              <w:rPr>
                <w:rFonts w:ascii="宋体" w:hAnsi="宋体" w:cs="宋体" w:eastAsia="宋体" w:hint="default"/>
                <w:sz w:val="21"/>
                <w:szCs w:val="21"/>
              </w:rPr>
            </w:pPr>
            <w:r>
              <w:rPr>
                <w:rFonts w:ascii="宋体"/>
                <w:sz w:val="21"/>
              </w:rPr>
              <w:t>22.09</w:t>
            </w:r>
          </w:p>
        </w:tc>
      </w:tr>
    </w:tbl>
    <w:p>
      <w:pPr>
        <w:spacing w:line="240" w:lineRule="auto" w:before="4"/>
        <w:rPr>
          <w:rFonts w:ascii="宋体" w:hAnsi="宋体" w:cs="宋体" w:eastAsia="宋体" w:hint="default"/>
          <w:b/>
          <w:bCs/>
          <w:sz w:val="18"/>
          <w:szCs w:val="18"/>
        </w:rPr>
      </w:pPr>
    </w:p>
    <w:p>
      <w:pPr>
        <w:pStyle w:val="BodyText"/>
        <w:spacing w:line="274" w:lineRule="exact" w:before="36"/>
        <w:ind w:right="215"/>
        <w:jc w:val="left"/>
      </w:pPr>
      <w:r>
        <w:rPr/>
        <w:t>报告期末公司前三年主要会计数据和财务指标的说明</w:t>
      </w:r>
    </w:p>
    <w:p>
      <w:pPr>
        <w:pStyle w:val="BodyText"/>
        <w:spacing w:line="274" w:lineRule="exact"/>
        <w:ind w:right="215"/>
        <w:jc w:val="left"/>
      </w:pPr>
      <w:r>
        <w:rPr/>
        <w:t>□适用</w:t>
      </w:r>
      <w:r>
        <w:rPr>
          <w:spacing w:val="-1"/>
        </w:rPr>
        <w:t> </w:t>
      </w:r>
      <w:r>
        <w:rPr/>
        <w:t>√不适用</w:t>
      </w:r>
    </w:p>
    <w:p>
      <w:pPr>
        <w:pStyle w:val="Heading2"/>
        <w:spacing w:line="240" w:lineRule="auto" w:before="50"/>
        <w:ind w:right="215"/>
        <w:jc w:val="left"/>
        <w:rPr>
          <w:b w:val="0"/>
          <w:bCs w:val="0"/>
        </w:rPr>
      </w:pPr>
      <w:r>
        <w:rPr/>
        <w:t>八、</w:t>
      </w:r>
      <w:r>
        <w:rPr>
          <w:spacing w:val="-37"/>
        </w:rPr>
        <w:t> </w:t>
      </w:r>
      <w:r>
        <w:rPr/>
        <w:t>境内外会计准则下会计数据差异</w:t>
      </w:r>
      <w:r>
        <w:rPr>
          <w:b w:val="0"/>
          <w:bCs w:val="0"/>
        </w:rPr>
      </w:r>
    </w:p>
    <w:p>
      <w:pPr>
        <w:pStyle w:val="Heading2"/>
        <w:spacing w:line="312" w:lineRule="exact" w:before="88"/>
        <w:ind w:left="638" w:right="215"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spacing w:val="6"/>
        </w:rPr>
        <w:t>同时按照国际会计准则与按中国会计准则披露的财务报告中净利润和归属于上</w:t>
      </w:r>
      <w:r>
        <w:rPr>
          <w:w w:val="99"/>
        </w:rPr>
        <w:t> </w:t>
      </w:r>
      <w:r>
        <w:rPr/>
        <w:t>市公司股东的净资产差异情况</w:t>
      </w:r>
      <w:r>
        <w:rPr>
          <w:b w:val="0"/>
          <w:bCs w:val="0"/>
        </w:rPr>
      </w:r>
    </w:p>
    <w:p>
      <w:pPr>
        <w:pStyle w:val="BodyText"/>
        <w:spacing w:line="240" w:lineRule="auto" w:before="33"/>
        <w:ind w:right="215"/>
        <w:jc w:val="left"/>
      </w:pPr>
      <w:r>
        <w:rPr/>
        <w:t>□适用</w:t>
      </w:r>
      <w:r>
        <w:rPr>
          <w:spacing w:val="-1"/>
        </w:rPr>
        <w:t> </w:t>
      </w:r>
      <w:r>
        <w:rPr/>
        <w:t>√不适用</w:t>
      </w:r>
    </w:p>
    <w:p>
      <w:pPr>
        <w:pStyle w:val="Heading2"/>
        <w:spacing w:line="312" w:lineRule="exact" w:before="83"/>
        <w:ind w:left="585" w:right="215" w:hanging="3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41"/>
        </w:rPr>
        <w:t> </w:t>
      </w:r>
      <w:r>
        <w:rPr>
          <w:spacing w:val="7"/>
        </w:rPr>
        <w:t>同时按照境外会计准则与按中国会计准则披露的财务报告中净利润和归属于上</w:t>
      </w:r>
      <w:r>
        <w:rPr>
          <w:spacing w:val="7"/>
          <w:w w:val="99"/>
        </w:rPr>
        <w:t> </w:t>
      </w:r>
      <w:r>
        <w:rPr/>
        <w:t>市公司股东的净资产差异情况</w:t>
      </w:r>
      <w:r>
        <w:rPr>
          <w:b w:val="0"/>
          <w:bCs w:val="0"/>
        </w:rPr>
      </w:r>
    </w:p>
    <w:p>
      <w:pPr>
        <w:pStyle w:val="BodyText"/>
        <w:spacing w:line="240" w:lineRule="auto" w:before="33"/>
        <w:ind w:right="215"/>
        <w:jc w:val="left"/>
      </w:pPr>
      <w:r>
        <w:rPr/>
        <w:t>□适用</w:t>
      </w:r>
      <w:r>
        <w:rPr>
          <w:spacing w:val="-1"/>
        </w:rPr>
        <w:t> </w:t>
      </w:r>
      <w:r>
        <w:rPr/>
        <w:t>√不适用</w:t>
      </w:r>
    </w:p>
    <w:p>
      <w:pPr>
        <w:pStyle w:val="Heading2"/>
        <w:spacing w:line="240" w:lineRule="auto" w:before="52"/>
        <w:ind w:right="21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境内外会计准则差异的说明：</w:t>
      </w:r>
      <w:r>
        <w:rPr>
          <w:b w:val="0"/>
          <w:bCs w:val="0"/>
        </w:rPr>
      </w:r>
    </w:p>
    <w:p>
      <w:pPr>
        <w:pStyle w:val="BodyText"/>
        <w:spacing w:line="240" w:lineRule="auto" w:before="31"/>
        <w:ind w:right="215"/>
        <w:jc w:val="left"/>
      </w:pPr>
      <w:r>
        <w:rPr/>
        <w:t>□适用</w:t>
      </w:r>
      <w:r>
        <w:rPr>
          <w:spacing w:val="-1"/>
        </w:rPr>
        <w:t> </w:t>
      </w:r>
      <w:r>
        <w:rPr/>
        <w:t>√不适用</w:t>
      </w:r>
    </w:p>
    <w:p>
      <w:pPr>
        <w:pStyle w:val="Heading2"/>
        <w:spacing w:line="240" w:lineRule="auto" w:before="52"/>
        <w:ind w:right="215"/>
        <w:jc w:val="left"/>
        <w:rPr>
          <w:b w:val="0"/>
          <w:bCs w:val="0"/>
        </w:rPr>
      </w:pPr>
      <w:r>
        <w:rPr/>
        <w:t>九、 </w:t>
      </w:r>
      <w:r>
        <w:rPr>
          <w:rFonts w:ascii="Arial" w:hAnsi="Arial" w:cs="Arial" w:eastAsia="Arial" w:hint="default"/>
        </w:rPr>
        <w:t>2017</w:t>
      </w:r>
      <w:r>
        <w:rPr>
          <w:rFonts w:ascii="Arial" w:hAnsi="Arial" w:cs="Arial" w:eastAsia="Arial" w:hint="default"/>
          <w:spacing w:val="-48"/>
        </w:rPr>
        <w:t> </w:t>
      </w:r>
      <w:r>
        <w:rPr/>
        <w:t>年分季度主要财务数据</w:t>
      </w:r>
      <w:r>
        <w:rPr>
          <w:b w:val="0"/>
          <w:bCs w:val="0"/>
        </w:rPr>
      </w:r>
    </w:p>
    <w:p>
      <w:pPr>
        <w:pStyle w:val="BodyText"/>
        <w:tabs>
          <w:tab w:pos="1051" w:val="left" w:leader="none"/>
        </w:tabs>
        <w:spacing w:line="240" w:lineRule="auto" w:before="47"/>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702"/>
        <w:gridCol w:w="1844"/>
        <w:gridCol w:w="1702"/>
        <w:gridCol w:w="1709"/>
      </w:tblGrid>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center"/>
              <w:rPr>
                <w:rFonts w:ascii="宋体" w:hAnsi="宋体" w:cs="宋体" w:eastAsia="宋体" w:hint="default"/>
                <w:sz w:val="21"/>
                <w:szCs w:val="21"/>
              </w:rPr>
            </w:pPr>
            <w:r>
              <w:rPr>
                <w:rFonts w:ascii="宋体"/>
                <w:sz w:val="21"/>
              </w:rPr>
              <w:t>839,476,771.39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998,303,321.46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929,669,075.24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1,460,296,797.</w:t>
            </w:r>
          </w:p>
          <w:p>
            <w:pPr>
              <w:pStyle w:val="TableParagraph"/>
              <w:spacing w:line="274" w:lineRule="exact"/>
              <w:ind w:right="101"/>
              <w:jc w:val="right"/>
              <w:rPr>
                <w:rFonts w:ascii="宋体" w:hAnsi="宋体" w:cs="宋体" w:eastAsia="宋体" w:hint="default"/>
                <w:sz w:val="21"/>
                <w:szCs w:val="21"/>
              </w:rPr>
            </w:pPr>
            <w:r>
              <w:rPr>
                <w:rFonts w:ascii="宋体"/>
                <w:sz w:val="21"/>
              </w:rPr>
              <w:t>19</w:t>
            </w: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center"/>
              <w:rPr>
                <w:rFonts w:ascii="宋体" w:hAnsi="宋体" w:cs="宋体" w:eastAsia="宋体" w:hint="default"/>
                <w:sz w:val="21"/>
                <w:szCs w:val="21"/>
              </w:rPr>
            </w:pPr>
            <w:r>
              <w:rPr>
                <w:rFonts w:ascii="宋体"/>
                <w:sz w:val="21"/>
              </w:rPr>
              <w:t>-25,837,229.18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46,153,619.09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9,246,087.31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102,437,666.15</w:t>
            </w:r>
          </w:p>
        </w:tc>
      </w:tr>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21"/>
                <w:szCs w:val="21"/>
              </w:rPr>
            </w:pPr>
            <w:r>
              <w:rPr>
                <w:rFonts w:ascii="宋体"/>
                <w:sz w:val="21"/>
              </w:rPr>
              <w:t>-30,321,338.26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44,402,478.43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2,015,033.32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106,235,030.09</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-223,986,670.8</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-26,006,140.91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68,218,826.01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289,147,043.54</w:t>
            </w: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1040"/>
        </w:sectPr>
      </w:pPr>
    </w:p>
    <w:p>
      <w:pPr>
        <w:pStyle w:val="BodyText"/>
        <w:spacing w:line="273" w:lineRule="exact" w:before="36"/>
        <w:ind w:right="0"/>
        <w:jc w:val="left"/>
      </w:pPr>
      <w:r>
        <w:rPr>
          <w:spacing w:val="-2"/>
        </w:rPr>
        <w:t>季度数据与已披露定期报告数据差异说明</w:t>
      </w:r>
    </w:p>
    <w:p>
      <w:pPr>
        <w:pStyle w:val="BodyText"/>
        <w:tabs>
          <w:tab w:pos="1060" w:val="left" w:leader="none"/>
        </w:tabs>
        <w:spacing w:line="273" w:lineRule="exact"/>
        <w:ind w:right="0"/>
        <w:jc w:val="left"/>
      </w:pPr>
      <w:r>
        <w:rPr>
          <w:spacing w:val="-1"/>
        </w:rPr>
        <w:t>□适用</w:t>
        <w:tab/>
      </w:r>
      <w:r>
        <w:rPr>
          <w:spacing w:val="-2"/>
        </w:rPr>
        <w:t>√不适用</w:t>
      </w:r>
    </w:p>
    <w:p>
      <w:pPr>
        <w:pStyle w:val="Heading2"/>
        <w:spacing w:line="240" w:lineRule="auto" w:before="52"/>
        <w:ind w:right="0"/>
        <w:jc w:val="left"/>
        <w:rPr>
          <w:b w:val="0"/>
          <w:bCs w:val="0"/>
        </w:rPr>
      </w:pPr>
      <w:r>
        <w:rPr/>
        <w:t>十、非经常性损益项目和金额</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004" w:space="272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7"/>
        <w:gridCol w:w="1688"/>
        <w:gridCol w:w="998"/>
        <w:gridCol w:w="1688"/>
        <w:gridCol w:w="1579"/>
      </w:tblGrid>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hanging="75"/>
              <w:jc w:val="left"/>
              <w:rPr>
                <w:rFonts w:ascii="宋体" w:hAnsi="宋体" w:cs="宋体" w:eastAsia="宋体" w:hint="default"/>
                <w:sz w:val="21"/>
                <w:szCs w:val="21"/>
              </w:rPr>
            </w:pPr>
            <w:r>
              <w:rPr>
                <w:rFonts w:ascii="宋体" w:hAnsi="宋体" w:cs="宋体" w:eastAsia="宋体" w:hint="default"/>
                <w:spacing w:val="-16"/>
                <w:sz w:val="21"/>
                <w:szCs w:val="21"/>
              </w:rPr>
              <w:t>附注（如</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1,018,681.59</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67,124.96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8,494,917.35</w:t>
            </w: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计入当期损益的政府补助，但与</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6"/>
                <w:sz w:val="21"/>
                <w:szCs w:val="21"/>
              </w:rPr>
              <w:t>公司正常经营业务密切相关，符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合国家政策规定、按照一定标准</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sz w:val="21"/>
              </w:rPr>
              <w:t>24,937,781.42</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25,617,126.85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14,466,704.31</w:t>
            </w:r>
          </w:p>
        </w:tc>
      </w:tr>
      <w:tr>
        <w:trPr>
          <w:trHeight w:val="55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企业取得子公司、联营企业及合</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97"/>
        <w:gridCol w:w="1688"/>
        <w:gridCol w:w="998"/>
        <w:gridCol w:w="1688"/>
        <w:gridCol w:w="1579"/>
      </w:tblGrid>
      <w:tr>
        <w:trPr>
          <w:trHeight w:val="82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营企业的投资成本小于取得投</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pacing w:val="-2"/>
                <w:sz w:val="21"/>
                <w:szCs w:val="21"/>
              </w:rPr>
              <w:t>资时应享有被投资单位可辨认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净资产公允价值产生的收益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585,816.04</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6"/>
                <w:sz w:val="21"/>
                <w:szCs w:val="21"/>
              </w:rPr>
              <w:t>有效套期保值业务外，持有交易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性金融资产、交易性金融负债产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生的公允价值变动损益，以及处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置交易性金融资产、交易性金融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21.52</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1,847,611.52</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534,010.20</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1,115,148.30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w:t>
            </w:r>
          </w:p>
          <w:p>
            <w:pPr>
              <w:pStyle w:val="TableParagraph"/>
              <w:spacing w:line="272" w:lineRule="exact" w:before="26"/>
              <w:ind w:left="103" w:right="247"/>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整对当期损益的影响</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-14,910,499.53</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-40,789,817.96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281,868.41</w:t>
            </w: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-1,674,188.60</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-1,244,417.19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-95,804.77</w:t>
            </w: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-822,682.85</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1,850,401.66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-2,905,177.11</w:t>
            </w: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9,668,939.79</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-11,536,821.86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20,242,508.19</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spacing w:line="240" w:lineRule="auto"/>
        <w:ind w:right="-18"/>
        <w:jc w:val="left"/>
        <w:rPr>
          <w:b w:val="0"/>
          <w:bCs w:val="0"/>
        </w:rPr>
      </w:pPr>
      <w:r>
        <w:rPr/>
        <w:t>十一、</w:t>
      </w:r>
      <w:r>
        <w:rPr>
          <w:spacing w:val="-8"/>
        </w:rPr>
        <w:t> </w:t>
      </w:r>
      <w:r>
        <w:rPr/>
        <w:t>采用公允价值计量的项目</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07" w:space="28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22"/>
        <w:gridCol w:w="1697"/>
        <w:gridCol w:w="1776"/>
        <w:gridCol w:w="1687"/>
        <w:gridCol w:w="1966"/>
      </w:tblGrid>
      <w:tr>
        <w:trPr>
          <w:trHeight w:val="555"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sz w:val="21"/>
              </w:rPr>
              <w:t>5,011,739.00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sz w:val="21"/>
              </w:rPr>
              <w:t>40,491,927.29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480,188.30</w:t>
            </w:r>
          </w:p>
        </w:tc>
        <w:tc>
          <w:tcPr>
            <w:tcW w:w="19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22"/>
        <w:gridCol w:w="1697"/>
        <w:gridCol w:w="1776"/>
        <w:gridCol w:w="1687"/>
        <w:gridCol w:w="1966"/>
      </w:tblGrid>
      <w:tr>
        <w:trPr>
          <w:trHeight w:val="28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6" w:right="0"/>
              <w:jc w:val="left"/>
              <w:rPr>
                <w:rFonts w:ascii="宋体" w:hAnsi="宋体" w:cs="宋体" w:eastAsia="宋体" w:hint="default"/>
                <w:sz w:val="21"/>
                <w:szCs w:val="21"/>
              </w:rPr>
            </w:pPr>
            <w:r>
              <w:rPr>
                <w:rFonts w:ascii="宋体"/>
                <w:sz w:val="21"/>
              </w:rPr>
              <w:t>5,011,739.00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7" w:right="0"/>
              <w:jc w:val="left"/>
              <w:rPr>
                <w:rFonts w:ascii="宋体" w:hAnsi="宋体" w:cs="宋体" w:eastAsia="宋体" w:hint="default"/>
                <w:sz w:val="21"/>
                <w:szCs w:val="21"/>
              </w:rPr>
            </w:pPr>
            <w:r>
              <w:rPr>
                <w:rFonts w:ascii="宋体"/>
                <w:sz w:val="21"/>
              </w:rPr>
              <w:t>40,491,927.29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sz w:val="21"/>
              </w:rPr>
              <w:t>480,188.30</w:t>
            </w:r>
          </w:p>
        </w:tc>
        <w:tc>
          <w:tcPr>
            <w:tcW w:w="19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spacing w:line="240" w:lineRule="auto"/>
        <w:ind w:right="-18"/>
        <w:jc w:val="left"/>
        <w:rPr>
          <w:b w:val="0"/>
          <w:bCs w:val="0"/>
        </w:rPr>
      </w:pPr>
      <w:r>
        <w:rPr/>
        <w:t>十二、</w:t>
      </w:r>
      <w:r>
        <w:rPr>
          <w:spacing w:val="-3"/>
        </w:rPr>
        <w:t> </w:t>
      </w:r>
      <w:r>
        <w:rPr/>
        <w:t>其他</w:t>
      </w:r>
      <w:r>
        <w:rPr>
          <w:b w:val="0"/>
          <w:bCs w:val="0"/>
        </w:rPr>
      </w:r>
    </w:p>
    <w:p>
      <w:pPr>
        <w:pStyle w:val="BodyText"/>
        <w:spacing w:line="240" w:lineRule="auto" w:before="61"/>
        <w:ind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1"/>
        <w:rPr>
          <w:rFonts w:ascii="宋体" w:hAnsi="宋体" w:cs="宋体" w:eastAsia="宋体" w:hint="default"/>
          <w:sz w:val="27"/>
          <w:szCs w:val="27"/>
        </w:rPr>
      </w:pPr>
    </w:p>
    <w:p>
      <w:pPr>
        <w:pStyle w:val="Heading1"/>
        <w:tabs>
          <w:tab w:pos="1478" w:val="left" w:leader="none"/>
        </w:tabs>
        <w:spacing w:line="240" w:lineRule="auto" w:before="0"/>
        <w:ind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580" w:right="1040"/>
          <w:cols w:num="2" w:equalWidth="0">
            <w:col w:w="1795" w:space="1148"/>
            <w:col w:w="6347"/>
          </w:cols>
        </w:sectPr>
      </w:pPr>
    </w:p>
    <w:p>
      <w:pPr>
        <w:spacing w:line="240" w:lineRule="auto" w:before="11"/>
        <w:rPr>
          <w:rFonts w:ascii="黑体" w:hAnsi="黑体" w:cs="黑体" w:eastAsia="黑体" w:hint="default"/>
          <w:b/>
          <w:bCs/>
          <w:sz w:val="16"/>
          <w:szCs w:val="16"/>
        </w:rPr>
      </w:pPr>
    </w:p>
    <w:p>
      <w:pPr>
        <w:pStyle w:val="Heading2"/>
        <w:spacing w:line="240" w:lineRule="auto"/>
        <w:ind w:right="0"/>
        <w:jc w:val="both"/>
        <w:rPr>
          <w:b w:val="0"/>
          <w:bCs w:val="0"/>
        </w:rPr>
      </w:pPr>
      <w:r>
        <w:rPr/>
        <w:t>一、 </w:t>
      </w:r>
      <w:r>
        <w:rPr>
          <w:spacing w:val="110"/>
        </w:rPr>
        <w:t> </w:t>
      </w:r>
      <w:r>
        <w:rPr/>
        <w:t>报告期内公司所从事的主要业务、经营模式及行业情况说明</w:t>
      </w:r>
      <w:r>
        <w:rPr>
          <w:b w:val="0"/>
          <w:bCs w:val="0"/>
        </w:rPr>
      </w:r>
    </w:p>
    <w:p>
      <w:pPr>
        <w:pStyle w:val="BodyText"/>
        <w:spacing w:line="240" w:lineRule="auto" w:before="64"/>
        <w:ind w:left="638" w:right="215"/>
        <w:jc w:val="left"/>
      </w:pPr>
      <w:r>
        <w:rPr/>
        <w:t>证券</w:t>
      </w:r>
      <w:r>
        <w:rPr>
          <w:spacing w:val="-53"/>
        </w:rPr>
        <w:t> </w:t>
      </w:r>
      <w:r>
        <w:rPr>
          <w:rFonts w:ascii="宋体" w:hAnsi="宋体" w:cs="宋体" w:eastAsia="宋体" w:hint="default"/>
        </w:rPr>
        <w:t>IT</w:t>
      </w:r>
      <w:r>
        <w:rPr>
          <w:rFonts w:ascii="宋体" w:hAnsi="宋体" w:cs="宋体" w:eastAsia="宋体" w:hint="default"/>
          <w:spacing w:val="-53"/>
        </w:rPr>
        <w:t> </w:t>
      </w:r>
      <w:r>
        <w:rPr/>
        <w:t>业务：</w:t>
      </w:r>
    </w:p>
    <w:p>
      <w:pPr>
        <w:pStyle w:val="BodyText"/>
        <w:spacing w:line="357" w:lineRule="auto" w:before="133"/>
        <w:ind w:right="228" w:firstLine="419"/>
        <w:jc w:val="right"/>
      </w:pPr>
      <w:r>
        <w:rPr/>
        <w:t>证券 </w:t>
      </w:r>
      <w:r>
        <w:rPr>
          <w:rFonts w:ascii="宋体" w:hAnsi="宋体" w:cs="宋体" w:eastAsia="宋体" w:hint="default"/>
        </w:rPr>
        <w:t>IT</w:t>
      </w:r>
      <w:r>
        <w:rPr>
          <w:rFonts w:ascii="宋体" w:hAnsi="宋体" w:cs="宋体" w:eastAsia="宋体" w:hint="default"/>
          <w:spacing w:val="-61"/>
        </w:rPr>
        <w:t> </w:t>
      </w:r>
      <w:r>
        <w:rPr>
          <w:spacing w:val="-4"/>
        </w:rPr>
        <w:t>业务作为公司的立足之本，是公司最重要的主营业务之一。公司凭借多年积累的核心</w:t>
      </w:r>
      <w:r>
        <w:rPr>
          <w:w w:val="100"/>
        </w:rPr>
        <w:t> </w:t>
      </w:r>
      <w:r>
        <w:rPr>
          <w:spacing w:val="-2"/>
        </w:rPr>
        <w:t>技术实力，以及完全自主研发的基础技术框架，全力打造中国金融证券软件的民族品牌。公司产</w:t>
      </w:r>
      <w:r>
        <w:rPr>
          <w:spacing w:val="-52"/>
        </w:rPr>
        <w:t> </w:t>
      </w:r>
      <w:r>
        <w:rPr>
          <w:spacing w:val="-52"/>
        </w:rPr>
      </w:r>
      <w:r>
        <w:rPr>
          <w:spacing w:val="-4"/>
        </w:rPr>
        <w:t>品覆盖券商经纪、资管、自营、投行四大主营业务，形成“软件</w:t>
      </w:r>
      <w:r>
        <w:rPr>
          <w:rFonts w:ascii="宋体" w:hAnsi="宋体" w:cs="宋体" w:eastAsia="宋体" w:hint="default"/>
          <w:spacing w:val="-4"/>
        </w:rPr>
        <w:t>+</w:t>
      </w:r>
      <w:r>
        <w:rPr>
          <w:spacing w:val="-4"/>
        </w:rPr>
        <w:t>服务”的经营模式。报告期内公</w:t>
      </w:r>
      <w:r>
        <w:rPr>
          <w:spacing w:val="-54"/>
        </w:rPr>
        <w:t> </w:t>
      </w:r>
      <w:r>
        <w:rPr>
          <w:spacing w:val="-54"/>
        </w:rPr>
      </w:r>
      <w:r>
        <w:rPr>
          <w:spacing w:val="-2"/>
        </w:rPr>
        <w:t>司在实现对监管业务和技术改造服务的基础上，大力拓展市场，同时加大内部产品的研发投入。</w:t>
      </w:r>
      <w:r>
        <w:rPr>
          <w:spacing w:val="-52"/>
        </w:rPr>
        <w:t> </w:t>
      </w:r>
      <w:r>
        <w:rPr>
          <w:spacing w:val="-52"/>
        </w:rPr>
      </w:r>
      <w:r>
        <w:rPr>
          <w:spacing w:val="-2"/>
        </w:rPr>
        <w:t>在交易结算服务层面，公司助力平安证券、东方财富证券构建交易系统多节点，提升交易处</w:t>
      </w:r>
      <w:r>
        <w:rPr>
          <w:w w:val="100"/>
        </w:rPr>
        <w:t> </w:t>
      </w:r>
      <w:r>
        <w:rPr>
          <w:spacing w:val="-2"/>
        </w:rPr>
        <w:t>理量与性能；针对不同投资者的交易诉求，提供覆盖前、中、后台的极速智能交易服务；同时，</w:t>
      </w:r>
    </w:p>
    <w:p>
      <w:pPr>
        <w:pStyle w:val="BodyText"/>
        <w:spacing w:line="355" w:lineRule="auto" w:before="30"/>
        <w:ind w:left="638" w:right="215" w:hanging="420"/>
        <w:jc w:val="left"/>
      </w:pPr>
      <w:r>
        <w:rPr/>
        <w:t>公司重构原有清算体系，集清算、簿记、用户服务为一体的结算服务体系已经投产试运行。</w:t>
      </w:r>
      <w:r>
        <w:rPr>
          <w:w w:val="100"/>
        </w:rPr>
        <w:t> </w:t>
      </w:r>
      <w:r>
        <w:rPr>
          <w:spacing w:val="-2"/>
        </w:rPr>
        <w:t>在综合运营服务层面，公司着力打造的综合运营平台，实现自顶向下的运营改革，即实现柜</w:t>
      </w:r>
    </w:p>
    <w:p>
      <w:pPr>
        <w:pStyle w:val="BodyText"/>
        <w:spacing w:line="357" w:lineRule="auto" w:before="32"/>
        <w:ind w:right="230"/>
        <w:jc w:val="both"/>
      </w:pPr>
      <w:r>
        <w:rPr>
          <w:spacing w:val="-4"/>
        </w:rPr>
        <w:t>面业务的集中运营和公司级运营的统一整合，已经与</w:t>
      </w:r>
      <w:r>
        <w:rPr>
          <w:spacing w:val="-26"/>
        </w:rPr>
        <w:t> </w:t>
      </w:r>
      <w:r>
        <w:rPr>
          <w:rFonts w:ascii="宋体" w:hAnsi="宋体" w:cs="宋体" w:eastAsia="宋体" w:hint="default"/>
        </w:rPr>
        <w:t>10</w:t>
      </w:r>
      <w:r>
        <w:rPr>
          <w:rFonts w:ascii="宋体" w:hAnsi="宋体" w:cs="宋体" w:eastAsia="宋体" w:hint="default"/>
          <w:spacing w:val="-29"/>
        </w:rPr>
        <w:t> </w:t>
      </w:r>
      <w:r>
        <w:rPr>
          <w:spacing w:val="-4"/>
        </w:rPr>
        <w:t>余家券商客户达成合作意向，其业务覆盖</w:t>
      </w:r>
      <w:r>
        <w:rPr>
          <w:spacing w:val="-95"/>
        </w:rPr>
        <w:t> </w:t>
      </w:r>
      <w:r>
        <w:rPr>
          <w:spacing w:val="-95"/>
        </w:rPr>
      </w:r>
      <w:r>
        <w:rPr/>
        <w:t>面（覆盖账户、资金、交易、运维、管理等）处于市场领先地位。</w:t>
      </w:r>
    </w:p>
    <w:p>
      <w:pPr>
        <w:pStyle w:val="BodyText"/>
        <w:spacing w:line="357" w:lineRule="auto" w:before="30"/>
        <w:ind w:right="237" w:firstLine="419"/>
        <w:jc w:val="both"/>
      </w:pPr>
      <w:r>
        <w:rPr>
          <w:spacing w:val="-2"/>
        </w:rPr>
        <w:t>在适当性管理层面，公司提升产品管理中心与账户管理系统的业务应用，通过对客户账户与</w:t>
      </w:r>
      <w:r>
        <w:rPr>
          <w:w w:val="100"/>
        </w:rPr>
        <w:t> </w:t>
      </w:r>
      <w:r>
        <w:rPr>
          <w:spacing w:val="-2"/>
        </w:rPr>
        <w:t>交易的适当性匹配，充分满足行业对于适当性管理的要求；此外，公司始终跟随监管步伐，完成</w:t>
      </w:r>
      <w:r>
        <w:rPr>
          <w:spacing w:val="-25"/>
        </w:rPr>
        <w:t> </w:t>
      </w:r>
      <w:r>
        <w:rPr>
          <w:spacing w:val="-25"/>
        </w:rPr>
      </w:r>
      <w:r>
        <w:rPr>
          <w:spacing w:val="-2"/>
        </w:rPr>
        <w:t>深登存管优化、沪深债券信用申购、临时停市、股票质押资金专户改造等，助力证券公司在满足</w:t>
      </w:r>
      <w:r>
        <w:rPr>
          <w:spacing w:val="-25"/>
        </w:rPr>
        <w:t> </w:t>
      </w:r>
      <w:r>
        <w:rPr>
          <w:spacing w:val="-25"/>
        </w:rPr>
      </w:r>
      <w:r>
        <w:rPr/>
        <w:t>合规合法的要求下实现业务的创新。</w:t>
      </w:r>
    </w:p>
    <w:p>
      <w:pPr>
        <w:pStyle w:val="BodyText"/>
        <w:spacing w:line="355" w:lineRule="auto" w:before="30"/>
        <w:ind w:right="237" w:firstLine="419"/>
        <w:jc w:val="both"/>
      </w:pPr>
      <w:r>
        <w:rPr>
          <w:spacing w:val="-2"/>
        </w:rPr>
        <w:t>报告期内，公司承建行业内引起广泛关注的申万宏源交易结算项目；以及承建光大证券云订</w:t>
      </w:r>
      <w:r>
        <w:rPr>
          <w:w w:val="100"/>
        </w:rPr>
        <w:t> </w:t>
      </w:r>
      <w:r>
        <w:rPr>
          <w:spacing w:val="-2"/>
        </w:rPr>
        <w:t>单项目，公司也借此机会进一步扩展上海技术中心，加大上海地区的资源投入，为公司拓展上海</w:t>
      </w:r>
      <w:r>
        <w:rPr>
          <w:spacing w:val="-25"/>
        </w:rPr>
        <w:t> </w:t>
      </w:r>
      <w:r>
        <w:rPr>
          <w:spacing w:val="-25"/>
        </w:rPr>
      </w:r>
      <w:r>
        <w:rPr/>
        <w:t>市场打下坚实的基础。</w:t>
      </w:r>
    </w:p>
    <w:p>
      <w:pPr>
        <w:pStyle w:val="BodyText"/>
        <w:spacing w:line="360" w:lineRule="auto" w:before="32"/>
        <w:ind w:right="123" w:firstLine="419"/>
        <w:jc w:val="left"/>
      </w:pPr>
      <w:r>
        <w:rPr/>
        <w:t>报告期内，公司加大对于证券</w:t>
      </w:r>
      <w:r>
        <w:rPr>
          <w:spacing w:val="-36"/>
        </w:rPr>
        <w:t> </w:t>
      </w:r>
      <w:r>
        <w:rPr>
          <w:rFonts w:ascii="宋体" w:hAnsi="宋体" w:cs="宋体" w:eastAsia="宋体" w:hint="default"/>
        </w:rPr>
        <w:t>IT</w:t>
      </w:r>
      <w:r>
        <w:rPr>
          <w:rFonts w:ascii="宋体" w:hAnsi="宋体" w:cs="宋体" w:eastAsia="宋体" w:hint="default"/>
          <w:spacing w:val="-37"/>
        </w:rPr>
        <w:t> </w:t>
      </w:r>
      <w:r>
        <w:rPr/>
        <w:t>的研发投入，主要集中在创新技术与智能服务，如</w:t>
      </w:r>
      <w:r>
        <w:rPr>
          <w:spacing w:val="-31"/>
        </w:rPr>
        <w:t> </w:t>
      </w:r>
      <w:r>
        <w:rPr>
          <w:rFonts w:ascii="宋体" w:hAnsi="宋体" w:cs="宋体" w:eastAsia="宋体" w:hint="default"/>
        </w:rPr>
        <w:t>Spark</w:t>
      </w:r>
      <w:r>
        <w:rPr/>
        <w:t>、</w:t>
      </w:r>
      <w:r>
        <w:rPr>
          <w:w w:val="100"/>
        </w:rPr>
        <w:t> </w:t>
      </w:r>
      <w:r>
        <w:rPr>
          <w:rFonts w:ascii="宋体" w:hAnsi="宋体" w:cs="宋体" w:eastAsia="宋体" w:hint="default"/>
        </w:rPr>
        <w:t>Hadoop</w:t>
      </w:r>
      <w:r>
        <w:rPr/>
        <w:t>、微服务等与证券业务的融合，较大幅度提升系统处理性能和优化原有的业务处理逻辑。</w:t>
      </w:r>
    </w:p>
    <w:p>
      <w:pPr>
        <w:pStyle w:val="BodyText"/>
        <w:spacing w:line="355" w:lineRule="auto" w:before="28"/>
        <w:ind w:left="638" w:right="215"/>
        <w:jc w:val="left"/>
      </w:pPr>
      <w:r>
        <w:rPr/>
        <w:t>资管</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spacing w:val="-2"/>
        </w:rPr>
        <w:t>在严监管的整体市场背景下，新筹基金公司、新设立基金独立销售机构数量有所减少，行业</w:t>
      </w:r>
    </w:p>
    <w:p>
      <w:pPr>
        <w:pStyle w:val="BodyText"/>
        <w:spacing w:line="357" w:lineRule="auto" w:before="32"/>
        <w:ind w:right="230"/>
        <w:jc w:val="both"/>
      </w:pPr>
      <w:r>
        <w:rPr>
          <w:spacing w:val="-5"/>
        </w:rPr>
        <w:t>增量市场萎缩。但得益于公司贯彻落实自</w:t>
      </w:r>
      <w:r>
        <w:rPr>
          <w:spacing w:val="-23"/>
        </w:rPr>
        <w:t> </w:t>
      </w:r>
      <w:r>
        <w:rPr>
          <w:rFonts w:ascii="宋体" w:hAnsi="宋体" w:cs="宋体" w:eastAsia="宋体" w:hint="default"/>
        </w:rPr>
        <w:t>2016</w:t>
      </w:r>
      <w:r>
        <w:rPr>
          <w:rFonts w:ascii="宋体" w:hAnsi="宋体" w:cs="宋体" w:eastAsia="宋体" w:hint="default"/>
          <w:spacing w:val="-23"/>
        </w:rPr>
        <w:t> </w:t>
      </w:r>
      <w:r>
        <w:rPr>
          <w:spacing w:val="-4"/>
        </w:rPr>
        <w:t>年即开始落实的“三极支撑”的发展策略，加强传</w:t>
      </w:r>
      <w:r>
        <w:rPr>
          <w:spacing w:val="-92"/>
        </w:rPr>
        <w:t> </w:t>
      </w:r>
      <w:r>
        <w:rPr>
          <w:spacing w:val="-92"/>
        </w:rPr>
      </w:r>
      <w:r>
        <w:rPr>
          <w:spacing w:val="-2"/>
        </w:rPr>
        <w:t>统成熟产品的进一步标准化和各类解决方案的整体化设计，加大对存量客户的支持和服务力度，</w:t>
      </w:r>
      <w:r>
        <w:rPr>
          <w:spacing w:val="-25"/>
        </w:rPr>
        <w:t> </w:t>
      </w:r>
      <w:r>
        <w:rPr>
          <w:spacing w:val="-25"/>
        </w:rPr>
      </w:r>
      <w:r>
        <w:rPr>
          <w:spacing w:val="-2"/>
        </w:rPr>
        <w:t>深度发掘市场机会，同时进一步加强创新投入，扩大新技术的应用范围，加快创新产品的产品化</w:t>
      </w:r>
      <w:r>
        <w:rPr>
          <w:spacing w:val="-25"/>
        </w:rPr>
        <w:t> </w:t>
      </w:r>
      <w:r>
        <w:rPr>
          <w:spacing w:val="-25"/>
        </w:rPr>
      </w:r>
      <w:r>
        <w:rPr/>
        <w:t>进程。公司</w:t>
      </w:r>
      <w:r>
        <w:rPr>
          <w:spacing w:val="-54"/>
        </w:rPr>
        <w:t> </w:t>
      </w:r>
      <w:r>
        <w:rPr>
          <w:rFonts w:ascii="宋体" w:hAnsi="宋体" w:cs="宋体" w:eastAsia="宋体" w:hint="default"/>
        </w:rPr>
        <w:t>2017</w:t>
      </w:r>
      <w:r>
        <w:rPr>
          <w:rFonts w:ascii="宋体" w:hAnsi="宋体" w:cs="宋体" w:eastAsia="宋体" w:hint="default"/>
          <w:spacing w:val="-54"/>
        </w:rPr>
        <w:t> </w:t>
      </w:r>
      <w:r>
        <w:rPr/>
        <w:t>年全年基金</w:t>
      </w:r>
      <w:r>
        <w:rPr>
          <w:spacing w:val="-54"/>
        </w:rPr>
        <w:t> </w:t>
      </w:r>
      <w:r>
        <w:rPr>
          <w:rFonts w:ascii="宋体" w:hAnsi="宋体" w:cs="宋体" w:eastAsia="宋体" w:hint="default"/>
        </w:rPr>
        <w:t>IT</w:t>
      </w:r>
      <w:r>
        <w:rPr>
          <w:rFonts w:ascii="宋体" w:hAnsi="宋体" w:cs="宋体" w:eastAsia="宋体" w:hint="default"/>
          <w:spacing w:val="-56"/>
        </w:rPr>
        <w:t> </w:t>
      </w:r>
      <w:r>
        <w:rPr/>
        <w:t>业务仍保持了稳定健康发展。</w:t>
      </w:r>
    </w:p>
    <w:p>
      <w:pPr>
        <w:pStyle w:val="BodyText"/>
        <w:spacing w:line="240" w:lineRule="auto" w:before="30"/>
        <w:ind w:left="638" w:right="215"/>
        <w:jc w:val="left"/>
      </w:pPr>
      <w:r>
        <w:rPr/>
        <w:t>综合金融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208" w:firstLine="419"/>
        <w:jc w:val="both"/>
      </w:pPr>
      <w:r>
        <w:rPr>
          <w:spacing w:val="-1"/>
          <w:w w:val="100"/>
        </w:rPr>
        <w:t>公司综合金融</w:t>
      </w:r>
      <w:r>
        <w:rPr>
          <w:w w:val="100"/>
        </w:rPr>
        <w:t> </w:t>
      </w:r>
      <w:r>
        <w:rPr>
          <w:rFonts w:ascii="宋体" w:hAnsi="宋体" w:cs="宋体" w:eastAsia="宋体" w:hint="default"/>
          <w:spacing w:val="-2"/>
          <w:w w:val="100"/>
        </w:rPr>
        <w:t>IT</w:t>
      </w:r>
      <w:r>
        <w:rPr>
          <w:rFonts w:ascii="宋体" w:hAnsi="宋体" w:cs="宋体" w:eastAsia="宋体" w:hint="default"/>
          <w:spacing w:val="-85"/>
          <w:w w:val="100"/>
        </w:rPr>
        <w:t> </w:t>
      </w:r>
      <w:r>
        <w:rPr>
          <w:spacing w:val="-5"/>
          <w:w w:val="100"/>
        </w:rPr>
        <w:t>业务服务领域主要定位于场外市场，致力于为场外市场提供一体化整体解决</w:t>
      </w:r>
      <w:r>
        <w:rPr>
          <w:w w:val="100"/>
        </w:rPr>
        <w:t> </w:t>
      </w:r>
      <w:r>
        <w:rPr>
          <w:spacing w:val="-2"/>
        </w:rPr>
        <w:t>方案，同时为金融行业提供全方位的数据报送类产品、监管与数据分析应用解决方案。业务领域</w:t>
      </w:r>
      <w:r>
        <w:rPr>
          <w:spacing w:val="-25"/>
        </w:rPr>
        <w:t> </w:t>
      </w:r>
      <w:r>
        <w:rPr>
          <w:spacing w:val="-25"/>
        </w:rPr>
      </w:r>
      <w:r>
        <w:rPr>
          <w:spacing w:val="-2"/>
        </w:rPr>
        <w:t>涵盖区域股权、产权、金融资产、大宗商品现货、文化艺术品、环境能源、其他各类要素交易市</w:t>
      </w:r>
      <w:r>
        <w:rPr>
          <w:spacing w:val="-25"/>
        </w:rPr>
        <w:t> </w:t>
      </w:r>
      <w:r>
        <w:rPr>
          <w:spacing w:val="-25"/>
        </w:rPr>
      </w:r>
      <w:r>
        <w:rPr>
          <w:spacing w:val="-6"/>
        </w:rPr>
        <w:t>场及传统金融行业等，能够为所服务的各行业领域提供软硬件开发和销售、业务咨询、人力外包、</w:t>
      </w:r>
      <w:r>
        <w:rPr>
          <w:spacing w:val="-54"/>
        </w:rPr>
        <w:t> </w:t>
      </w:r>
      <w:r>
        <w:rPr>
          <w:spacing w:val="-54"/>
        </w:rPr>
      </w:r>
      <w:r>
        <w:rPr/>
        <w:t>数据服务和云运营服务。</w:t>
      </w:r>
    </w:p>
    <w:p>
      <w:pPr>
        <w:pStyle w:val="BodyText"/>
        <w:spacing w:line="357" w:lineRule="auto" w:before="30"/>
        <w:ind w:left="138" w:right="101" w:firstLine="419"/>
        <w:jc w:val="left"/>
      </w:pPr>
      <w:r>
        <w:rPr>
          <w:spacing w:val="-9"/>
          <w:w w:val="100"/>
        </w:rPr>
        <w:t>公司目前在区域股权领域，已与</w:t>
      </w:r>
      <w:r>
        <w:rPr>
          <w:w w:val="100"/>
        </w:rPr>
        <w:t> </w:t>
      </w:r>
      <w:r>
        <w:rPr>
          <w:rFonts w:ascii="宋体" w:hAnsi="宋体" w:cs="宋体" w:eastAsia="宋体" w:hint="default"/>
          <w:spacing w:val="-2"/>
          <w:w w:val="100"/>
        </w:rPr>
        <w:t>20</w:t>
      </w:r>
      <w:r>
        <w:rPr>
          <w:rFonts w:ascii="宋体" w:hAnsi="宋体" w:cs="宋体" w:eastAsia="宋体" w:hint="default"/>
          <w:spacing w:val="-83"/>
          <w:w w:val="100"/>
        </w:rPr>
        <w:t> </w:t>
      </w:r>
      <w:r>
        <w:rPr>
          <w:spacing w:val="-6"/>
          <w:w w:val="100"/>
        </w:rPr>
        <w:t>余家区域股权交易中心建立合作关系，处于市场领先地位；</w:t>
      </w:r>
      <w:r>
        <w:rPr>
          <w:w w:val="100"/>
        </w:rPr>
        <w:t> </w:t>
      </w:r>
      <w:r>
        <w:rPr/>
        <w:t>在金融资产领域，通过产品的创新带动业务发展，目前已拥有多家具有强大创新性的金融资产交</w:t>
      </w:r>
      <w:r>
        <w:rPr>
          <w:w w:val="100"/>
        </w:rPr>
        <w:t> </w:t>
      </w:r>
      <w:r>
        <w:rPr/>
        <w:t>易中心客户；在公共资源领域，凭借多年在场外各类要素交易市场以及在整个金融行业的监管和</w:t>
      </w:r>
      <w:r>
        <w:rPr>
          <w:w w:val="100"/>
        </w:rPr>
        <w:t> </w:t>
      </w:r>
      <w:r>
        <w:rPr/>
        <w:t>大数据应用领域的信息系统建设经验和技术积累，新推出公共资源交易电子服务平台、电子交易</w:t>
      </w:r>
      <w:r>
        <w:rPr>
          <w:w w:val="100"/>
        </w:rPr>
        <w:t> </w:t>
      </w:r>
      <w:r>
        <w:rPr/>
        <w:t>平台、数据报送和电子监管平台，陆续投入商用。</w:t>
      </w:r>
    </w:p>
    <w:p>
      <w:pPr>
        <w:pStyle w:val="BodyText"/>
        <w:spacing w:line="240" w:lineRule="auto" w:before="32"/>
        <w:ind w:left="558" w:right="101"/>
        <w:jc w:val="left"/>
      </w:pPr>
      <w:r>
        <w:rPr/>
        <w:t>科技金融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p>
    <w:p>
      <w:pPr>
        <w:pStyle w:val="BodyText"/>
        <w:spacing w:line="355" w:lineRule="auto" w:before="133"/>
        <w:ind w:left="138" w:right="208" w:firstLine="419"/>
        <w:jc w:val="both"/>
      </w:pPr>
      <w:r>
        <w:rPr>
          <w:rFonts w:ascii="宋体" w:hAnsi="宋体" w:cs="宋体" w:eastAsia="宋体" w:hint="default"/>
        </w:rPr>
        <w:t>2017</w:t>
      </w:r>
      <w:r>
        <w:rPr>
          <w:rFonts w:ascii="宋体" w:hAnsi="宋体" w:cs="宋体" w:eastAsia="宋体" w:hint="default"/>
          <w:spacing w:val="-7"/>
        </w:rPr>
        <w:t> </w:t>
      </w:r>
      <w:r>
        <w:rPr>
          <w:spacing w:val="-3"/>
        </w:rPr>
        <w:t>年，公司“科技金融”业务持续稳健发展，产品范围和产品深度均有明显提升，在网上</w:t>
      </w:r>
      <w:r>
        <w:rPr>
          <w:w w:val="100"/>
        </w:rPr>
        <w:t> </w:t>
      </w:r>
      <w:r>
        <w:rPr/>
        <w:t>营业厅、金融产品商城、智能客服、投教基地、模拟炒股等产品基础上新增了</w:t>
      </w:r>
      <w:r>
        <w:rPr>
          <w:spacing w:val="-54"/>
        </w:rPr>
        <w:t> </w:t>
      </w:r>
      <w:r>
        <w:rPr>
          <w:rFonts w:ascii="宋体" w:hAnsi="宋体" w:cs="宋体" w:eastAsia="宋体" w:hint="default"/>
        </w:rPr>
        <w:t>i</w:t>
      </w:r>
      <w:r>
        <w:rPr>
          <w:rFonts w:ascii="宋体" w:hAnsi="宋体" w:cs="宋体" w:eastAsia="宋体" w:hint="default"/>
          <w:spacing w:val="-55"/>
        </w:rPr>
        <w:t> </w:t>
      </w:r>
      <w:r>
        <w:rPr/>
        <w:t>微服、适当性管</w:t>
      </w:r>
      <w:r>
        <w:rPr>
          <w:w w:val="100"/>
        </w:rPr>
        <w:t> </w:t>
      </w:r>
      <w:r>
        <w:rPr>
          <w:spacing w:val="-2"/>
        </w:rPr>
        <w:t>理中台、营销展业平台、互联网保险综合解决方案、综合金服解决方案等创新产品，并为金融机</w:t>
      </w:r>
      <w:r>
        <w:rPr>
          <w:spacing w:val="-26"/>
        </w:rPr>
        <w:t> </w:t>
      </w:r>
      <w:r>
        <w:rPr>
          <w:spacing w:val="-26"/>
        </w:rPr>
      </w:r>
      <w:r>
        <w:rPr/>
        <w:t>构提供科技金融规划咨询服务和技术服务。</w:t>
      </w:r>
    </w:p>
    <w:p>
      <w:pPr>
        <w:pStyle w:val="Heading2"/>
        <w:tabs>
          <w:tab w:pos="977" w:val="left" w:leader="none"/>
        </w:tabs>
        <w:spacing w:line="240" w:lineRule="auto" w:before="88"/>
        <w:ind w:left="138" w:right="101"/>
        <w:jc w:val="left"/>
        <w:rPr>
          <w:b w:val="0"/>
          <w:bCs w:val="0"/>
        </w:rPr>
      </w:pPr>
      <w:r>
        <w:rPr/>
        <w:t>二、</w:t>
        <w:tab/>
        <w:t>报告期内公司主要资产发生重大变化情况的说明</w:t>
      </w:r>
      <w:r>
        <w:rPr>
          <w:b w:val="0"/>
          <w:bCs w:val="0"/>
        </w:rPr>
      </w:r>
    </w:p>
    <w:p>
      <w:pPr>
        <w:pStyle w:val="BodyText"/>
        <w:spacing w:line="240" w:lineRule="auto" w:before="62"/>
        <w:ind w:left="138" w:right="101"/>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tabs>
          <w:tab w:pos="977" w:val="left" w:leader="none"/>
        </w:tabs>
        <w:spacing w:line="240" w:lineRule="auto" w:before="0"/>
        <w:ind w:left="138" w:right="101"/>
        <w:jc w:val="left"/>
        <w:rPr>
          <w:b w:val="0"/>
          <w:bCs w:val="0"/>
        </w:rPr>
      </w:pPr>
      <w:r>
        <w:rPr/>
        <w:t>三、</w:t>
        <w:tab/>
        <w:t>报告期内核心竞争力分析</w:t>
      </w:r>
      <w:r>
        <w:rPr>
          <w:b w:val="0"/>
          <w:bCs w:val="0"/>
        </w:rPr>
      </w:r>
    </w:p>
    <w:p>
      <w:pPr>
        <w:pStyle w:val="BodyText"/>
        <w:spacing w:line="272" w:lineRule="exact" w:before="92"/>
        <w:ind w:left="558" w:right="6832" w:hanging="420"/>
        <w:jc w:val="left"/>
      </w:pPr>
      <w:r>
        <w:rPr/>
        <w:t>√适用</w:t>
      </w:r>
      <w:r>
        <w:rPr>
          <w:spacing w:val="-2"/>
        </w:rPr>
        <w:t> </w:t>
      </w:r>
      <w:r>
        <w:rPr/>
        <w:t>□不适用</w:t>
      </w:r>
      <w:r>
        <w:rPr>
          <w:w w:val="100"/>
        </w:rPr>
        <w:t> </w:t>
      </w:r>
      <w:r>
        <w:rPr>
          <w:rFonts w:ascii="宋体" w:hAnsi="宋体" w:cs="宋体" w:eastAsia="宋体" w:hint="default"/>
          <w:spacing w:val="-1"/>
        </w:rPr>
        <w:t>A</w:t>
      </w:r>
      <w:r>
        <w:rPr>
          <w:spacing w:val="-1"/>
        </w:rPr>
        <w:t>、领先的产业地位</w:t>
      </w:r>
    </w:p>
    <w:p>
      <w:pPr>
        <w:pStyle w:val="BodyText"/>
        <w:spacing w:line="355" w:lineRule="auto" w:before="110"/>
        <w:ind w:left="138" w:right="208" w:firstLine="419"/>
        <w:jc w:val="both"/>
      </w:pPr>
      <w:r>
        <w:rPr/>
        <w:t>经过 </w:t>
      </w:r>
      <w:r>
        <w:rPr>
          <w:rFonts w:ascii="宋体" w:hAnsi="宋体" w:cs="宋体" w:eastAsia="宋体" w:hint="default"/>
        </w:rPr>
        <w:t>20</w:t>
      </w:r>
      <w:r>
        <w:rPr>
          <w:rFonts w:ascii="宋体" w:hAnsi="宋体" w:cs="宋体" w:eastAsia="宋体" w:hint="default"/>
          <w:spacing w:val="-66"/>
        </w:rPr>
        <w:t> </w:t>
      </w:r>
      <w:r>
        <w:rPr>
          <w:spacing w:val="-4"/>
        </w:rPr>
        <w:t>余年的发展，公司已成为国内最大的金融证券软件开发商和系统集成商之一，在所处</w:t>
      </w:r>
      <w:r>
        <w:rPr>
          <w:w w:val="100"/>
        </w:rPr>
        <w:t> </w:t>
      </w:r>
      <w:r>
        <w:rPr>
          <w:spacing w:val="-2"/>
        </w:rPr>
        <w:t>行业的市场地位、核心技术、核心团队、企业资质、业务协同等方面已取得一定的领先优势，公</w:t>
      </w:r>
      <w:r>
        <w:rPr>
          <w:spacing w:val="-25"/>
        </w:rPr>
        <w:t> </w:t>
      </w:r>
      <w:r>
        <w:rPr>
          <w:spacing w:val="-25"/>
        </w:rPr>
      </w:r>
      <w:r>
        <w:rPr/>
        <w:t>司的软件品牌也广泛得到行业和社会的认可。</w:t>
      </w:r>
    </w:p>
    <w:p>
      <w:pPr>
        <w:pStyle w:val="BodyText"/>
        <w:spacing w:line="240" w:lineRule="auto" w:before="32"/>
        <w:ind w:left="558" w:right="101"/>
        <w:jc w:val="left"/>
      </w:pPr>
      <w:r>
        <w:rPr>
          <w:rFonts w:ascii="宋体" w:hAnsi="宋体" w:cs="宋体" w:eastAsia="宋体" w:hint="default"/>
        </w:rPr>
        <w:t>B</w:t>
      </w:r>
      <w:r>
        <w:rPr/>
        <w:t>、行业领先的技术与研发实力</w:t>
      </w:r>
    </w:p>
    <w:p>
      <w:pPr>
        <w:pStyle w:val="BodyText"/>
        <w:spacing w:line="355" w:lineRule="auto" w:before="136"/>
        <w:ind w:left="138" w:right="207" w:firstLine="419"/>
        <w:jc w:val="both"/>
      </w:pPr>
      <w:r>
        <w:rPr/>
        <w:t>公司始终致力于推动金融证券领域的 </w:t>
      </w:r>
      <w:r>
        <w:rPr>
          <w:rFonts w:ascii="宋体" w:hAnsi="宋体" w:cs="宋体" w:eastAsia="宋体" w:hint="default"/>
        </w:rPr>
        <w:t>IT</w:t>
      </w:r>
      <w:r>
        <w:rPr>
          <w:rFonts w:ascii="宋体" w:hAnsi="宋体" w:cs="宋体" w:eastAsia="宋体" w:hint="default"/>
          <w:spacing w:val="-74"/>
        </w:rPr>
        <w:t> </w:t>
      </w:r>
      <w:r>
        <w:rPr>
          <w:spacing w:val="-6"/>
        </w:rPr>
        <w:t>技术发展，多年的技术积累形成技术平台，并保持着</w:t>
      </w:r>
      <w:r>
        <w:rPr>
          <w:w w:val="100"/>
        </w:rPr>
        <w:t> </w:t>
      </w:r>
      <w:r>
        <w:rPr>
          <w:spacing w:val="-2"/>
        </w:rPr>
        <w:t>在这一领域的领先优势。公司是首批国家级高新技术企业，连续十几年跻身中国软件百强，具备</w:t>
      </w:r>
      <w:r>
        <w:rPr>
          <w:spacing w:val="-25"/>
        </w:rPr>
        <w:t> </w:t>
      </w:r>
      <w:r>
        <w:rPr>
          <w:spacing w:val="-25"/>
        </w:rPr>
      </w:r>
      <w:r>
        <w:rPr>
          <w:spacing w:val="-3"/>
        </w:rPr>
        <w:t>国家计算机信息系统集成一级等资质，并且通过</w:t>
      </w:r>
      <w:r>
        <w:rPr>
          <w:spacing w:val="-37"/>
        </w:rPr>
        <w:t> </w:t>
      </w:r>
      <w:r>
        <w:rPr>
          <w:rFonts w:ascii="宋体" w:hAnsi="宋体" w:cs="宋体" w:eastAsia="宋体" w:hint="default"/>
        </w:rPr>
        <w:t>CMMI5</w:t>
      </w:r>
      <w:r>
        <w:rPr>
          <w:rFonts w:ascii="宋体" w:hAnsi="宋体" w:cs="宋体" w:eastAsia="宋体" w:hint="default"/>
          <w:spacing w:val="-33"/>
        </w:rPr>
        <w:t> </w:t>
      </w:r>
      <w:r>
        <w:rPr>
          <w:spacing w:val="-3"/>
        </w:rPr>
        <w:t>级认证。公司目前拥有研发人才超过</w:t>
      </w:r>
      <w:r>
        <w:rPr>
          <w:spacing w:val="-34"/>
        </w:rPr>
        <w:t> </w:t>
      </w:r>
      <w:r>
        <w:rPr>
          <w:rFonts w:ascii="宋体" w:hAnsi="宋体" w:cs="宋体" w:eastAsia="宋体" w:hint="default"/>
        </w:rPr>
        <w:t>2000</w:t>
      </w:r>
      <w:r>
        <w:rPr>
          <w:rFonts w:ascii="宋体" w:hAnsi="宋体" w:cs="宋体" w:eastAsia="宋体" w:hint="default"/>
          <w:spacing w:val="-98"/>
        </w:rPr>
        <w:t> </w:t>
      </w:r>
      <w:r>
        <w:rPr>
          <w:rFonts w:ascii="宋体" w:hAnsi="宋体" w:cs="宋体" w:eastAsia="宋体" w:hint="default"/>
          <w:spacing w:val="-98"/>
        </w:rPr>
      </w:r>
      <w:r>
        <w:rPr>
          <w:spacing w:val="-4"/>
        </w:rPr>
        <w:t>人，并具备新一代研发平台和新一代证券</w:t>
      </w:r>
      <w:r>
        <w:rPr>
          <w:spacing w:val="-26"/>
        </w:rPr>
        <w:t> </w:t>
      </w:r>
      <w:r>
        <w:rPr>
          <w:rFonts w:ascii="宋体" w:hAnsi="宋体" w:cs="宋体" w:eastAsia="宋体" w:hint="default"/>
        </w:rPr>
        <w:t>IT</w:t>
      </w:r>
      <w:r>
        <w:rPr>
          <w:rFonts w:ascii="宋体" w:hAnsi="宋体" w:cs="宋体" w:eastAsia="宋体" w:hint="default"/>
          <w:spacing w:val="-30"/>
        </w:rPr>
        <w:t> </w:t>
      </w:r>
      <w:r>
        <w:rPr>
          <w:spacing w:val="-4"/>
        </w:rPr>
        <w:t>系统架构，为未来发展提供强大的技术保障与研发支</w:t>
      </w:r>
      <w:r>
        <w:rPr>
          <w:spacing w:val="-94"/>
        </w:rPr>
        <w:t> </w:t>
      </w:r>
      <w:r>
        <w:rPr>
          <w:spacing w:val="-94"/>
        </w:rPr>
      </w:r>
      <w:r>
        <w:rPr/>
        <w:t>持。</w:t>
      </w:r>
    </w:p>
    <w:p>
      <w:pPr>
        <w:pStyle w:val="BodyText"/>
        <w:spacing w:line="355" w:lineRule="auto" w:before="34"/>
        <w:ind w:left="558" w:right="101"/>
        <w:jc w:val="left"/>
      </w:pPr>
      <w:r>
        <w:rPr>
          <w:rFonts w:ascii="宋体" w:hAnsi="宋体" w:cs="宋体" w:eastAsia="宋体" w:hint="default"/>
        </w:rPr>
        <w:t>C</w:t>
      </w:r>
      <w:r>
        <w:rPr/>
        <w:t>、成熟的产品线布局优势</w:t>
      </w:r>
      <w:r>
        <w:rPr>
          <w:w w:val="100"/>
        </w:rPr>
        <w:t> </w:t>
      </w:r>
      <w:r>
        <w:rPr>
          <w:spacing w:val="-2"/>
        </w:rPr>
        <w:t>经过多年的研发积累，公司已完成金融各细分行业领域的产品线储备，能提供行业内最全面</w:t>
      </w:r>
    </w:p>
    <w:p>
      <w:pPr>
        <w:pStyle w:val="BodyText"/>
        <w:spacing w:line="357" w:lineRule="auto" w:before="32"/>
        <w:ind w:left="138" w:right="218"/>
        <w:jc w:val="left"/>
      </w:pPr>
      <w:r>
        <w:rPr/>
        <w:t>的</w:t>
      </w:r>
      <w:r>
        <w:rPr>
          <w:spacing w:val="-54"/>
        </w:rPr>
        <w:t> </w:t>
      </w:r>
      <w:r>
        <w:rPr>
          <w:rFonts w:ascii="宋体" w:hAnsi="宋体" w:cs="宋体" w:eastAsia="宋体" w:hint="default"/>
        </w:rPr>
        <w:t>IT</w:t>
      </w:r>
      <w:r>
        <w:rPr>
          <w:rFonts w:ascii="宋体" w:hAnsi="宋体" w:cs="宋体" w:eastAsia="宋体" w:hint="default"/>
          <w:spacing w:val="-56"/>
        </w:rPr>
        <w:t> </w:t>
      </w:r>
      <w:r>
        <w:rPr/>
        <w:t>服务。公司以证券</w:t>
      </w:r>
      <w:r>
        <w:rPr>
          <w:spacing w:val="-56"/>
        </w:rPr>
        <w:t> </w:t>
      </w:r>
      <w:r>
        <w:rPr>
          <w:rFonts w:ascii="宋体" w:hAnsi="宋体" w:cs="宋体" w:eastAsia="宋体" w:hint="default"/>
        </w:rPr>
        <w:t>IT</w:t>
      </w:r>
      <w:r>
        <w:rPr>
          <w:rFonts w:ascii="宋体" w:hAnsi="宋体" w:cs="宋体" w:eastAsia="宋体" w:hint="default"/>
          <w:spacing w:val="-54"/>
        </w:rPr>
        <w:t> </w:t>
      </w:r>
      <w:r>
        <w:rPr/>
        <w:t>为基础，现已具备针对证券、基金、银行、保险、信托、期货、交易</w:t>
      </w:r>
      <w:r>
        <w:rPr>
          <w:w w:val="100"/>
        </w:rPr>
        <w:t> </w:t>
      </w:r>
      <w:r>
        <w:rPr/>
        <w:t>所等多类机构的完整产品线。</w:t>
      </w:r>
    </w:p>
    <w:p>
      <w:pPr>
        <w:pStyle w:val="BodyText"/>
        <w:spacing w:line="240" w:lineRule="auto" w:before="30"/>
        <w:ind w:left="558" w:right="101"/>
        <w:jc w:val="left"/>
      </w:pPr>
      <w:r>
        <w:rPr>
          <w:rFonts w:ascii="宋体" w:hAnsi="宋体" w:cs="宋体" w:eastAsia="宋体" w:hint="default"/>
        </w:rPr>
        <w:t>D</w:t>
      </w:r>
      <w:r>
        <w:rPr/>
        <w:t>、平台化的管理模式</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17" w:firstLine="419"/>
        <w:jc w:val="both"/>
      </w:pPr>
      <w:r>
        <w:rPr>
          <w:spacing w:val="-2"/>
        </w:rPr>
        <w:t>公司大力推动</w:t>
      </w:r>
      <w:r>
        <w:rPr>
          <w:rFonts w:ascii="宋体" w:hAnsi="宋体" w:cs="宋体" w:eastAsia="宋体" w:hint="default"/>
          <w:spacing w:val="-2"/>
        </w:rPr>
        <w:t>"</w:t>
      </w:r>
      <w:r>
        <w:rPr>
          <w:spacing w:val="-2"/>
        </w:rPr>
        <w:t>平台化</w:t>
      </w:r>
      <w:r>
        <w:rPr>
          <w:rFonts w:ascii="宋体" w:hAnsi="宋体" w:cs="宋体" w:eastAsia="宋体" w:hint="default"/>
          <w:spacing w:val="-2"/>
        </w:rPr>
        <w:t>"</w:t>
      </w:r>
      <w:r>
        <w:rPr>
          <w:spacing w:val="-2"/>
        </w:rPr>
        <w:t>管理模式的落地，鼓励管理人员在公司平台创业，推动成熟业务及创</w:t>
      </w:r>
      <w:r>
        <w:rPr>
          <w:w w:val="100"/>
        </w:rPr>
        <w:t> </w:t>
      </w:r>
      <w:r>
        <w:rPr>
          <w:spacing w:val="-2"/>
        </w:rPr>
        <w:t>新业务成立事业部和子公司，并将管理重心放在塑造平台功能、捕捉市场机会、培育内部业务团</w:t>
      </w:r>
      <w:r>
        <w:rPr>
          <w:spacing w:val="-25"/>
        </w:rPr>
        <w:t> </w:t>
      </w:r>
      <w:r>
        <w:rPr>
          <w:spacing w:val="-25"/>
        </w:rPr>
      </w:r>
      <w:r>
        <w:rPr>
          <w:spacing w:val="-2"/>
        </w:rPr>
        <w:t>队、吸纳外部企业和团队等方面，以孵化新技术新产品，推动技术和产品向市场的转化。平台化</w:t>
      </w:r>
      <w:r>
        <w:rPr>
          <w:spacing w:val="-25"/>
        </w:rPr>
        <w:t> </w:t>
      </w:r>
      <w:r>
        <w:rPr>
          <w:spacing w:val="-25"/>
        </w:rPr>
      </w:r>
      <w:r>
        <w:rPr>
          <w:spacing w:val="-2"/>
        </w:rPr>
        <w:t>的管理模式从组织机制上保障对优势资源与人才的吸引力，使员工能够分享企业成长的收益，充</w:t>
      </w:r>
      <w:r>
        <w:rPr>
          <w:spacing w:val="-25"/>
        </w:rPr>
        <w:t> </w:t>
      </w:r>
      <w:r>
        <w:rPr>
          <w:spacing w:val="-25"/>
        </w:rPr>
      </w:r>
      <w:r>
        <w:rPr/>
        <w:t>分激发其活力与创造力，提升公司的核心竞争能力。</w:t>
      </w:r>
    </w:p>
    <w:p>
      <w:pPr>
        <w:pStyle w:val="Heading1"/>
        <w:tabs>
          <w:tab w:pos="3918" w:val="left" w:leader="none"/>
        </w:tabs>
        <w:spacing w:line="240" w:lineRule="auto" w:before="75"/>
        <w:ind w:left="2658" w:right="1055"/>
        <w:jc w:val="left"/>
        <w:rPr>
          <w:b w:val="0"/>
          <w:bCs w:val="0"/>
        </w:rPr>
      </w:pPr>
      <w:bookmarkStart w:name="_TOC_250008" w:id="4"/>
      <w:r>
        <w:rPr>
          <w:w w:val="95"/>
        </w:rPr>
        <w:t>第四节</w:t>
        <w:tab/>
      </w:r>
      <w:r>
        <w:rPr/>
        <w:t>经营情况讨论与分析</w:t>
      </w:r>
      <w:bookmarkEnd w:id="4"/>
      <w:r>
        <w:rPr>
          <w:b w:val="0"/>
          <w:bCs w:val="0"/>
        </w:rPr>
      </w:r>
    </w:p>
    <w:p>
      <w:pPr>
        <w:pStyle w:val="Heading2"/>
        <w:spacing w:line="240" w:lineRule="auto" w:before="246"/>
        <w:ind w:left="138" w:right="1055"/>
        <w:jc w:val="left"/>
        <w:rPr>
          <w:b w:val="0"/>
          <w:bCs w:val="0"/>
        </w:rPr>
      </w:pPr>
      <w:r>
        <w:rPr/>
        <w:t>一、经营情况讨论与分析</w:t>
      </w:r>
      <w:r>
        <w:rPr>
          <w:b w:val="0"/>
          <w:bCs w:val="0"/>
        </w:rPr>
      </w:r>
    </w:p>
    <w:p>
      <w:pPr>
        <w:pStyle w:val="BodyText"/>
        <w:spacing w:line="357" w:lineRule="auto" w:before="64"/>
        <w:ind w:left="610" w:right="4740" w:firstLine="67"/>
        <w:jc w:val="left"/>
      </w:pPr>
      <w:r>
        <w:rPr>
          <w:spacing w:val="-2"/>
        </w:rPr>
        <w:t>报告期内，公司主要工作如下：</w:t>
      </w:r>
      <w:r>
        <w:rPr>
          <w:w w:val="100"/>
        </w:rPr>
        <w:t> </w:t>
      </w:r>
      <w:r>
        <w:rPr/>
        <w:t>组织层面：</w:t>
      </w:r>
    </w:p>
    <w:p>
      <w:pPr>
        <w:pStyle w:val="BodyText"/>
        <w:spacing w:line="355" w:lineRule="auto" w:before="32"/>
        <w:ind w:left="138" w:right="108" w:firstLine="472"/>
        <w:jc w:val="both"/>
      </w:pPr>
      <w:r>
        <w:rPr>
          <w:spacing w:val="-3"/>
        </w:rPr>
        <w:t>“平台化管理”模式持续推进。根据战略规划，公司持续推进“平台化”业务模式，报告期</w:t>
      </w:r>
      <w:r>
        <w:rPr>
          <w:w w:val="100"/>
        </w:rPr>
        <w:t> </w:t>
      </w:r>
      <w:r>
        <w:rPr>
          <w:spacing w:val="-2"/>
        </w:rPr>
        <w:t>内公司与深圳市金锐联投资企业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共同投资设立控股子公司深圳市睿服科技有限公司。</w:t>
      </w:r>
    </w:p>
    <w:p>
      <w:pPr>
        <w:pStyle w:val="BodyText"/>
        <w:spacing w:line="355" w:lineRule="auto" w:before="32"/>
        <w:ind w:left="610" w:right="7092"/>
        <w:jc w:val="left"/>
      </w:pPr>
      <w:r>
        <w:rPr/>
        <w:t>经营层面：</w:t>
      </w:r>
      <w:r>
        <w:rPr>
          <w:spacing w:val="-102"/>
        </w:rPr>
        <w:t> </w:t>
      </w:r>
      <w:r>
        <w:rPr>
          <w:spacing w:val="-102"/>
        </w:rPr>
      </w:r>
      <w:r>
        <w:rPr/>
        <w:t>证券</w:t>
      </w:r>
      <w:r>
        <w:rPr>
          <w:spacing w:val="-53"/>
        </w:rPr>
        <w:t> </w:t>
      </w:r>
      <w:r>
        <w:rPr>
          <w:rFonts w:ascii="宋体" w:hAnsi="宋体" w:cs="宋体" w:eastAsia="宋体" w:hint="default"/>
        </w:rPr>
        <w:t>IT</w:t>
      </w:r>
      <w:r>
        <w:rPr>
          <w:rFonts w:ascii="宋体" w:hAnsi="宋体" w:cs="宋体" w:eastAsia="宋体" w:hint="default"/>
          <w:spacing w:val="-53"/>
        </w:rPr>
        <w:t> </w:t>
      </w:r>
      <w:r>
        <w:rPr/>
        <w:t>业务：</w:t>
      </w:r>
    </w:p>
    <w:p>
      <w:pPr>
        <w:pStyle w:val="BodyText"/>
        <w:spacing w:line="357" w:lineRule="auto" w:before="32"/>
        <w:ind w:left="138" w:right="108" w:firstLine="472"/>
        <w:jc w:val="both"/>
      </w:pPr>
      <w:r>
        <w:rPr/>
        <w:t>随着公司在证券领域布局的面向服务的证券业务综合服务平台</w:t>
      </w:r>
      <w:r>
        <w:rPr>
          <w:spacing w:val="-48"/>
        </w:rPr>
        <w:t> </w:t>
      </w:r>
      <w:r>
        <w:rPr>
          <w:rFonts w:ascii="宋体" w:hAnsi="宋体" w:cs="宋体" w:eastAsia="宋体" w:hint="default"/>
        </w:rPr>
        <w:t>FS1.0</w:t>
      </w:r>
      <w:r>
        <w:rPr>
          <w:rFonts w:ascii="宋体" w:hAnsi="宋体" w:cs="宋体" w:eastAsia="宋体" w:hint="default"/>
          <w:spacing w:val="-48"/>
        </w:rPr>
        <w:t> </w:t>
      </w:r>
      <w:r>
        <w:rPr>
          <w:spacing w:val="-6"/>
        </w:rPr>
        <w:t>的落地，公司开始探索</w:t>
      </w:r>
      <w:r>
        <w:rPr>
          <w:w w:val="100"/>
        </w:rPr>
        <w:t> </w:t>
      </w:r>
      <w:r>
        <w:rPr/>
        <w:t>创新技术在证券行业的全新应用，</w:t>
      </w:r>
      <w:r>
        <w:rPr>
          <w:rFonts w:ascii="宋体" w:hAnsi="宋体" w:cs="宋体" w:eastAsia="宋体" w:hint="default"/>
        </w:rPr>
        <w:t>FS2.0</w:t>
      </w:r>
      <w:r>
        <w:rPr>
          <w:rFonts w:ascii="宋体" w:hAnsi="宋体" w:cs="宋体" w:eastAsia="宋体" w:hint="default"/>
          <w:spacing w:val="-56"/>
        </w:rPr>
        <w:t> </w:t>
      </w:r>
      <w:r>
        <w:rPr/>
        <w:t>也开始了部分的产品布局。</w:t>
      </w:r>
      <w:r>
        <w:rPr>
          <w:rFonts w:ascii="宋体" w:hAnsi="宋体" w:cs="宋体" w:eastAsia="宋体" w:hint="default"/>
        </w:rPr>
        <w:t>2017</w:t>
      </w:r>
      <w:r>
        <w:rPr>
          <w:rFonts w:ascii="宋体" w:hAnsi="宋体" w:cs="宋体" w:eastAsia="宋体" w:hint="default"/>
          <w:spacing w:val="-56"/>
        </w:rPr>
        <w:t> </w:t>
      </w:r>
      <w:r>
        <w:rPr/>
        <w:t>年公司在积极响应交易</w:t>
      </w:r>
      <w:r>
        <w:rPr>
          <w:w w:val="100"/>
        </w:rPr>
        <w:t> </w:t>
      </w:r>
      <w:r>
        <w:rPr>
          <w:spacing w:val="-2"/>
        </w:rPr>
        <w:t>所、登记公司等机构不断完善标准化金融产品的同时，也为券商在落实自身差异化业务的发展过</w:t>
      </w:r>
      <w:r>
        <w:rPr>
          <w:spacing w:val="-25"/>
        </w:rPr>
        <w:t> </w:t>
      </w:r>
      <w:r>
        <w:rPr>
          <w:spacing w:val="-25"/>
        </w:rPr>
      </w:r>
      <w:r>
        <w:rPr/>
        <w:t>程中提供核心</w:t>
      </w:r>
      <w:r>
        <w:rPr>
          <w:spacing w:val="-53"/>
        </w:rPr>
        <w:t> </w:t>
      </w:r>
      <w:r>
        <w:rPr>
          <w:rFonts w:ascii="宋体" w:hAnsi="宋体" w:cs="宋体" w:eastAsia="宋体" w:hint="default"/>
        </w:rPr>
        <w:t>IT</w:t>
      </w:r>
      <w:r>
        <w:rPr>
          <w:rFonts w:ascii="宋体" w:hAnsi="宋体" w:cs="宋体" w:eastAsia="宋体" w:hint="default"/>
          <w:spacing w:val="-53"/>
        </w:rPr>
        <w:t> </w:t>
      </w:r>
      <w:r>
        <w:rPr/>
        <w:t>支持。</w:t>
      </w:r>
    </w:p>
    <w:p>
      <w:pPr>
        <w:pStyle w:val="BodyText"/>
        <w:spacing w:line="357" w:lineRule="auto" w:before="30"/>
        <w:ind w:left="138" w:right="108" w:firstLine="472"/>
        <w:jc w:val="both"/>
      </w:pPr>
      <w:r>
        <w:rPr>
          <w:spacing w:val="-3"/>
        </w:rPr>
        <w:t>公司在支持券商传统标准化产品方面，继续完善相关基础职能，即在传统多节点基础上，进</w:t>
      </w:r>
      <w:r>
        <w:rPr>
          <w:w w:val="100"/>
        </w:rPr>
        <w:t> </w:t>
      </w:r>
      <w:r>
        <w:rPr>
          <w:spacing w:val="-2"/>
        </w:rPr>
        <w:t>行营业部跨节点的多节点改造，完成券商关于深登二期优化、沪深债券信用申购、股票质押业务</w:t>
      </w:r>
      <w:r>
        <w:rPr>
          <w:spacing w:val="-25"/>
        </w:rPr>
        <w:t> </w:t>
      </w:r>
      <w:r>
        <w:rPr>
          <w:spacing w:val="-25"/>
        </w:rPr>
      </w:r>
      <w:r>
        <w:rPr>
          <w:spacing w:val="-2"/>
        </w:rPr>
        <w:t>新规和临时停市等工作，并且针对最新的投资者适当性管理，通过与全市场多家券商多次沟通研</w:t>
      </w:r>
      <w:r>
        <w:rPr>
          <w:spacing w:val="-25"/>
        </w:rPr>
        <w:t> </w:t>
      </w:r>
      <w:r>
        <w:rPr>
          <w:spacing w:val="-25"/>
        </w:rPr>
      </w:r>
      <w:r>
        <w:rPr/>
        <w:t>讨的基础上，全面助力券商满足监管对于适当性的需求。</w:t>
      </w:r>
    </w:p>
    <w:p>
      <w:pPr>
        <w:pStyle w:val="BodyText"/>
        <w:spacing w:line="357" w:lineRule="auto" w:before="30"/>
        <w:ind w:left="138" w:right="108" w:firstLine="472"/>
        <w:jc w:val="both"/>
      </w:pPr>
      <w:r>
        <w:rPr>
          <w:spacing w:val="-3"/>
        </w:rPr>
        <w:t>公司在支持券商创新个性化产品方面，公司全力打造的“基于登记和簿记的清算平台”实现</w:t>
      </w:r>
      <w:r>
        <w:rPr>
          <w:w w:val="100"/>
        </w:rPr>
        <w:t> </w:t>
      </w:r>
      <w:r>
        <w:rPr/>
        <w:t>全业务、多批次清算，应用</w:t>
      </w:r>
      <w:r>
        <w:rPr>
          <w:spacing w:val="-55"/>
        </w:rPr>
        <w:t> </w:t>
      </w:r>
      <w:r>
        <w:rPr>
          <w:rFonts w:ascii="宋体" w:hAnsi="宋体" w:cs="宋体" w:eastAsia="宋体" w:hint="default"/>
        </w:rPr>
        <w:t>Spark</w:t>
      </w:r>
      <w:r>
        <w:rPr/>
        <w:t>、</w:t>
      </w:r>
      <w:r>
        <w:rPr>
          <w:rFonts w:ascii="宋体" w:hAnsi="宋体" w:cs="宋体" w:eastAsia="宋体" w:hint="default"/>
        </w:rPr>
        <w:t>Hadoop</w:t>
      </w:r>
      <w:r>
        <w:rPr>
          <w:rFonts w:ascii="宋体" w:hAnsi="宋体" w:cs="宋体" w:eastAsia="宋体" w:hint="default"/>
          <w:spacing w:val="-55"/>
        </w:rPr>
        <w:t> </w:t>
      </w:r>
      <w:r>
        <w:rPr/>
        <w:t>等创新技术大幅提升清算性能，为券商日终清算的正</w:t>
      </w:r>
      <w:r>
        <w:rPr>
          <w:w w:val="100"/>
        </w:rPr>
        <w:t> </w:t>
      </w:r>
      <w:r>
        <w:rPr>
          <w:spacing w:val="-2"/>
        </w:rPr>
        <w:t>确性和效率提供更坚实的保障。此外，公司全力推出自动化测试平台，为券商提供覆盖所有系统</w:t>
      </w:r>
      <w:r>
        <w:rPr>
          <w:spacing w:val="-25"/>
        </w:rPr>
        <w:t> </w:t>
      </w:r>
      <w:r>
        <w:rPr>
          <w:spacing w:val="-25"/>
        </w:rPr>
      </w:r>
      <w:r>
        <w:rPr>
          <w:spacing w:val="-2"/>
        </w:rPr>
        <w:t>的测试用例，大幅解放生产力。基于券商数以亿计的存量档案分散管理以及监管对于一户一档档</w:t>
      </w:r>
      <w:r>
        <w:rPr>
          <w:spacing w:val="-25"/>
        </w:rPr>
        <w:t> </w:t>
      </w:r>
      <w:r>
        <w:rPr>
          <w:spacing w:val="-25"/>
        </w:rPr>
      </w:r>
      <w:r>
        <w:rPr>
          <w:spacing w:val="-2"/>
        </w:rPr>
        <w:t>案管理的要求，公司打造的档案信息管理系统，实现对存量档案和新增档案的电子化以及无纸化</w:t>
      </w:r>
      <w:r>
        <w:rPr>
          <w:spacing w:val="-25"/>
        </w:rPr>
        <w:t> </w:t>
      </w:r>
      <w:r>
        <w:rPr>
          <w:spacing w:val="-25"/>
        </w:rPr>
      </w:r>
      <w:r>
        <w:rPr>
          <w:spacing w:val="-2"/>
        </w:rPr>
        <w:t>管理等，可为证券公司提供系统上的“一户一档”。公司产品从原来基于交易结算开始拓展到运</w:t>
      </w:r>
      <w:r>
        <w:rPr>
          <w:spacing w:val="-25"/>
        </w:rPr>
        <w:t> </w:t>
      </w:r>
      <w:r>
        <w:rPr>
          <w:spacing w:val="-25"/>
        </w:rPr>
      </w:r>
      <w:r>
        <w:rPr/>
        <w:t>营运维和内部管理，充分考虑券商的实际业务场景，为券商提供根据针对性的解决方案。</w:t>
      </w:r>
    </w:p>
    <w:p>
      <w:pPr>
        <w:pStyle w:val="BodyText"/>
        <w:spacing w:line="355" w:lineRule="auto" w:before="32"/>
        <w:ind w:left="138" w:right="108" w:firstLine="472"/>
        <w:jc w:val="both"/>
      </w:pPr>
      <w:r>
        <w:rPr>
          <w:spacing w:val="-3"/>
        </w:rPr>
        <w:t>公司在为券商提供产品服务的基础上，为助力证券公司多元化、差异化的业务发展，进一步</w:t>
      </w:r>
      <w:r>
        <w:rPr>
          <w:w w:val="100"/>
        </w:rPr>
        <w:t> </w:t>
      </w:r>
      <w:r>
        <w:rPr/>
        <w:t>开放自主研发的中间件平台，券商可自主掌控系统并实现业务的快速响应。</w:t>
      </w:r>
    </w:p>
    <w:p>
      <w:pPr>
        <w:pStyle w:val="BodyText"/>
        <w:spacing w:line="355" w:lineRule="auto" w:before="32"/>
        <w:ind w:left="610" w:right="0"/>
        <w:jc w:val="left"/>
      </w:pPr>
      <w:r>
        <w:rPr/>
        <w:t>资管</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spacing w:val="-3"/>
        </w:rPr>
        <w:t>存量市场方面，除传统持续化升级、改造及功能扩展需求外，适当性、反洗钱改造等行业监</w:t>
      </w:r>
    </w:p>
    <w:p>
      <w:pPr>
        <w:pStyle w:val="BodyText"/>
        <w:spacing w:line="240" w:lineRule="auto" w:before="35"/>
        <w:ind w:left="138" w:right="1055"/>
        <w:jc w:val="left"/>
      </w:pPr>
      <w:r>
        <w:rPr/>
        <w:t>管新规的出台亦带来较普遍可观的市场。</w:t>
      </w:r>
    </w:p>
    <w:p>
      <w:pPr>
        <w:spacing w:after="0" w:line="240" w:lineRule="auto"/>
        <w:jc w:val="left"/>
        <w:sectPr>
          <w:footerReference w:type="default" r:id="rId11"/>
          <w:pgSz w:w="11910" w:h="16840"/>
          <w:pgMar w:footer="1195" w:header="880" w:top="1120" w:bottom="1380" w:left="1660" w:right="1160"/>
        </w:sectPr>
      </w:pPr>
    </w:p>
    <w:p>
      <w:pPr>
        <w:spacing w:line="240" w:lineRule="auto" w:before="4"/>
        <w:rPr>
          <w:rFonts w:ascii="宋体" w:hAnsi="宋体" w:cs="宋体" w:eastAsia="宋体" w:hint="default"/>
          <w:sz w:val="25"/>
          <w:szCs w:val="25"/>
        </w:rPr>
      </w:pPr>
    </w:p>
    <w:p>
      <w:pPr>
        <w:pStyle w:val="BodyText"/>
        <w:spacing w:line="357" w:lineRule="auto" w:before="36"/>
        <w:ind w:right="123" w:firstLine="472"/>
        <w:jc w:val="left"/>
      </w:pPr>
      <w:r>
        <w:rPr/>
        <w:t>在增量市场方面，公司基于近年来的产品创新，在行业拓展和市场竞争方面均有可喜突破，</w:t>
      </w:r>
      <w:r>
        <w:rPr>
          <w:w w:val="100"/>
        </w:rPr>
        <w:t> </w:t>
      </w:r>
      <w:r>
        <w:rPr/>
        <w:t>除传统基金行业与券商资管行业外，在信托行业核心业务系统、商业银行私募服务系统等方面均</w:t>
      </w:r>
      <w:r>
        <w:rPr>
          <w:w w:val="100"/>
        </w:rPr>
        <w:t> </w:t>
      </w:r>
      <w:r>
        <w:rPr/>
        <w:t>获得一定项目机会，并在占据较强优势的资管互联网金融业务市场领域与多家基金公司、互联网</w:t>
      </w:r>
      <w:r>
        <w:rPr>
          <w:w w:val="100"/>
        </w:rPr>
        <w:t> </w:t>
      </w:r>
      <w:r>
        <w:rPr/>
        <w:t>公司展开合作。</w:t>
      </w:r>
    </w:p>
    <w:p>
      <w:pPr>
        <w:pStyle w:val="BodyText"/>
        <w:spacing w:line="355" w:lineRule="auto" w:before="30"/>
        <w:ind w:left="690" w:right="215"/>
        <w:jc w:val="left"/>
      </w:pPr>
      <w:r>
        <w:rPr/>
        <w:t>综合金融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spacing w:val="-3"/>
        </w:rPr>
        <w:t>报告期内，公司加大监管与数据应用领域的市场销售力度，同时面向综合金融全行业快速业</w:t>
      </w:r>
    </w:p>
    <w:p>
      <w:pPr>
        <w:pStyle w:val="BodyText"/>
        <w:spacing w:line="355" w:lineRule="auto" w:before="34"/>
        <w:ind w:left="690" w:right="222" w:hanging="473"/>
        <w:jc w:val="left"/>
      </w:pPr>
      <w:r>
        <w:rPr/>
        <w:t>务拓展，在金融资产、产股权、公共资源、证券监管与数据报送方面斩获一系列新单。</w:t>
      </w:r>
      <w:r>
        <w:rPr>
          <w:w w:val="100"/>
        </w:rPr>
        <w:t> </w:t>
      </w:r>
      <w:r>
        <w:rPr>
          <w:spacing w:val="-3"/>
        </w:rPr>
        <w:t>报告期内，金融资产领域新增客户</w:t>
      </w:r>
      <w:r>
        <w:rPr>
          <w:spacing w:val="-34"/>
        </w:rPr>
        <w:t> </w:t>
      </w:r>
      <w:r>
        <w:rPr>
          <w:rFonts w:ascii="宋体" w:hAnsi="宋体" w:cs="宋体" w:eastAsia="宋体" w:hint="default"/>
        </w:rPr>
        <w:t>4</w:t>
      </w:r>
      <w:r>
        <w:rPr>
          <w:rFonts w:ascii="宋体" w:hAnsi="宋体" w:cs="宋体" w:eastAsia="宋体" w:hint="default"/>
          <w:spacing w:val="-38"/>
        </w:rPr>
        <w:t> </w:t>
      </w:r>
      <w:r>
        <w:rPr>
          <w:spacing w:val="-3"/>
        </w:rPr>
        <w:t>家；产股权领域新增客户</w:t>
      </w:r>
      <w:r>
        <w:rPr>
          <w:spacing w:val="-34"/>
        </w:rPr>
        <w:t> </w:t>
      </w:r>
      <w:r>
        <w:rPr>
          <w:rFonts w:ascii="宋体" w:hAnsi="宋体" w:cs="宋体" w:eastAsia="宋体" w:hint="default"/>
        </w:rPr>
        <w:t>1</w:t>
      </w:r>
      <w:r>
        <w:rPr>
          <w:rFonts w:ascii="宋体" w:hAnsi="宋体" w:cs="宋体" w:eastAsia="宋体" w:hint="default"/>
          <w:spacing w:val="-36"/>
        </w:rPr>
        <w:t> </w:t>
      </w:r>
      <w:r>
        <w:rPr>
          <w:spacing w:val="-3"/>
        </w:rPr>
        <w:t>家；公共资源领域新增客户</w:t>
      </w:r>
    </w:p>
    <w:p>
      <w:pPr>
        <w:pStyle w:val="BodyText"/>
        <w:spacing w:line="355" w:lineRule="auto" w:before="33"/>
        <w:ind w:right="227"/>
        <w:jc w:val="both"/>
      </w:pPr>
      <w:r>
        <w:rPr>
          <w:rFonts w:ascii="宋体" w:hAnsi="宋体" w:cs="宋体" w:eastAsia="宋体" w:hint="default"/>
        </w:rPr>
        <w:t>1</w:t>
      </w:r>
      <w:r>
        <w:rPr>
          <w:rFonts w:ascii="宋体" w:hAnsi="宋体" w:cs="宋体" w:eastAsia="宋体" w:hint="default"/>
          <w:spacing w:val="-39"/>
        </w:rPr>
        <w:t> </w:t>
      </w:r>
      <w:r>
        <w:rPr>
          <w:spacing w:val="-3"/>
        </w:rPr>
        <w:t>家；监管与数据应用领域全新开发客户</w:t>
      </w:r>
      <w:r>
        <w:rPr>
          <w:spacing w:val="-39"/>
        </w:rPr>
        <w:t> </w:t>
      </w:r>
      <w:r>
        <w:rPr>
          <w:rFonts w:ascii="宋体" w:hAnsi="宋体" w:cs="宋体" w:eastAsia="宋体" w:hint="default"/>
        </w:rPr>
        <w:t>5</w:t>
      </w:r>
      <w:r>
        <w:rPr>
          <w:rFonts w:ascii="宋体" w:hAnsi="宋体" w:cs="宋体" w:eastAsia="宋体" w:hint="default"/>
          <w:spacing w:val="-42"/>
        </w:rPr>
        <w:t> </w:t>
      </w:r>
      <w:r>
        <w:rPr>
          <w:spacing w:val="-3"/>
        </w:rPr>
        <w:t>家，目前与公司合作的证券公司客户数达到</w:t>
      </w:r>
      <w:r>
        <w:rPr>
          <w:spacing w:val="-38"/>
        </w:rPr>
        <w:t> </w:t>
      </w:r>
      <w:r>
        <w:rPr>
          <w:rFonts w:ascii="宋体" w:hAnsi="宋体" w:cs="宋体" w:eastAsia="宋体" w:hint="default"/>
        </w:rPr>
        <w:t>60</w:t>
      </w:r>
      <w:r>
        <w:rPr>
          <w:rFonts w:ascii="宋体" w:hAnsi="宋体" w:cs="宋体" w:eastAsia="宋体" w:hint="default"/>
          <w:spacing w:val="-39"/>
        </w:rPr>
        <w:t> </w:t>
      </w:r>
      <w:r>
        <w:rPr>
          <w:spacing w:val="-6"/>
        </w:rPr>
        <w:t>家，市</w:t>
      </w:r>
      <w:r>
        <w:rPr>
          <w:spacing w:val="-99"/>
        </w:rPr>
        <w:t> </w:t>
      </w:r>
      <w:r>
        <w:rPr>
          <w:spacing w:val="-99"/>
        </w:rPr>
      </w:r>
      <w:r>
        <w:rPr>
          <w:spacing w:val="-2"/>
        </w:rPr>
        <w:t>场占有率持续提升，</w:t>
      </w:r>
      <w:r>
        <w:rPr>
          <w:rFonts w:ascii="宋体" w:hAnsi="宋体" w:cs="宋体" w:eastAsia="宋体" w:hint="default"/>
          <w:spacing w:val="-2"/>
        </w:rPr>
        <w:t>2017</w:t>
      </w:r>
      <w:r>
        <w:rPr>
          <w:rFonts w:ascii="宋体" w:hAnsi="宋体" w:cs="宋体" w:eastAsia="宋体" w:hint="default"/>
          <w:spacing w:val="26"/>
        </w:rPr>
        <w:t> </w:t>
      </w:r>
      <w:r>
        <w:rPr>
          <w:spacing w:val="-2"/>
        </w:rPr>
        <w:t>年全面推广资管报送、股票质押报送系统，取得了明显的市场效果。</w:t>
      </w:r>
    </w:p>
    <w:p>
      <w:pPr>
        <w:pStyle w:val="BodyText"/>
        <w:spacing w:line="355" w:lineRule="auto" w:before="34"/>
        <w:ind w:left="690" w:right="215"/>
        <w:jc w:val="left"/>
      </w:pPr>
      <w:r>
        <w:rPr/>
        <w:t>科技金融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spacing w:val="-3"/>
        </w:rPr>
        <w:t>公司契合行业监管要求及行业发展需要，逐步完善了公司产品体系，并实现了金融机构互联</w:t>
      </w:r>
    </w:p>
    <w:p>
      <w:pPr>
        <w:pStyle w:val="BodyText"/>
        <w:spacing w:line="357" w:lineRule="auto" w:before="32"/>
        <w:ind w:right="237"/>
        <w:jc w:val="both"/>
      </w:pPr>
      <w:r>
        <w:rPr>
          <w:spacing w:val="-2"/>
        </w:rPr>
        <w:t>网化解决方案一站式服务，为金融机构实现线上线下服务提供了便捷的服务通道，提升了金融行</w:t>
      </w:r>
      <w:r>
        <w:rPr>
          <w:spacing w:val="-25"/>
        </w:rPr>
        <w:t> </w:t>
      </w:r>
      <w:r>
        <w:rPr>
          <w:spacing w:val="-25"/>
        </w:rPr>
      </w:r>
      <w:r>
        <w:rPr>
          <w:spacing w:val="-2"/>
        </w:rPr>
        <w:t>业服务效率，为金融机构打造品牌价值、增量扩展、产品展销、在线服务提供了重要支撑。截至</w:t>
      </w:r>
      <w:r>
        <w:rPr>
          <w:spacing w:val="-25"/>
        </w:rPr>
        <w:t> </w:t>
      </w:r>
      <w:r>
        <w:rPr>
          <w:spacing w:val="-25"/>
        </w:rPr>
      </w:r>
      <w:r>
        <w:rPr>
          <w:rFonts w:ascii="宋体" w:hAnsi="宋体" w:cs="宋体" w:eastAsia="宋体" w:hint="default"/>
        </w:rPr>
        <w:t>2017</w:t>
      </w:r>
      <w:r>
        <w:rPr>
          <w:rFonts w:ascii="宋体" w:hAnsi="宋体" w:cs="宋体" w:eastAsia="宋体" w:hint="default"/>
          <w:spacing w:val="-56"/>
        </w:rPr>
        <w:t> </w:t>
      </w:r>
      <w:r>
        <w:rPr/>
        <w:t>年公司已为中国人保、长江证券、国元证券、东北证券、渤海证券、红塔证券等近</w:t>
      </w:r>
      <w:r>
        <w:rPr>
          <w:spacing w:val="-53"/>
        </w:rPr>
        <w:t> </w:t>
      </w:r>
      <w:r>
        <w:rPr>
          <w:rFonts w:ascii="宋体" w:hAnsi="宋体" w:cs="宋体" w:eastAsia="宋体" w:hint="default"/>
        </w:rPr>
        <w:t>20</w:t>
      </w:r>
      <w:r>
        <w:rPr>
          <w:rFonts w:ascii="宋体" w:hAnsi="宋体" w:cs="宋体" w:eastAsia="宋体" w:hint="default"/>
          <w:spacing w:val="-56"/>
        </w:rPr>
        <w:t> </w:t>
      </w:r>
      <w:r>
        <w:rPr/>
        <w:t>家机</w:t>
      </w:r>
      <w:r>
        <w:rPr>
          <w:w w:val="100"/>
        </w:rPr>
        <w:t> </w:t>
      </w:r>
      <w:r>
        <w:rPr/>
        <w:t>构提供解决方案。</w:t>
      </w:r>
    </w:p>
    <w:p>
      <w:pPr>
        <w:pStyle w:val="Heading2"/>
        <w:spacing w:line="240" w:lineRule="auto" w:before="84"/>
        <w:ind w:right="0"/>
        <w:jc w:val="both"/>
        <w:rPr>
          <w:b w:val="0"/>
          <w:bCs w:val="0"/>
        </w:rPr>
      </w:pPr>
      <w:r>
        <w:rPr/>
        <w:t>二、报告期内主要经营情况</w:t>
      </w:r>
      <w:r>
        <w:rPr>
          <w:b w:val="0"/>
          <w:bCs w:val="0"/>
        </w:rPr>
      </w:r>
    </w:p>
    <w:p>
      <w:pPr>
        <w:pStyle w:val="BodyText"/>
        <w:spacing w:line="355" w:lineRule="auto" w:before="64"/>
        <w:ind w:right="239" w:firstLine="367"/>
        <w:jc w:val="left"/>
      </w:pPr>
      <w:r>
        <w:rPr/>
        <w:t>公司</w:t>
      </w:r>
      <w:r>
        <w:rPr>
          <w:spacing w:val="-54"/>
        </w:rPr>
        <w:t> </w:t>
      </w:r>
      <w:r>
        <w:rPr>
          <w:rFonts w:ascii="宋体" w:hAnsi="宋体" w:cs="宋体" w:eastAsia="宋体" w:hint="default"/>
        </w:rPr>
        <w:t>2017</w:t>
      </w:r>
      <w:r>
        <w:rPr>
          <w:rFonts w:ascii="宋体" w:hAnsi="宋体" w:cs="宋体" w:eastAsia="宋体" w:hint="default"/>
          <w:spacing w:val="-56"/>
        </w:rPr>
        <w:t> </w:t>
      </w:r>
      <w:r>
        <w:rPr/>
        <w:t>年实现营业收入</w:t>
      </w:r>
      <w:r>
        <w:rPr>
          <w:spacing w:val="-53"/>
        </w:rPr>
        <w:t> </w:t>
      </w:r>
      <w:r>
        <w:rPr>
          <w:rFonts w:ascii="宋体" w:hAnsi="宋体" w:cs="宋体" w:eastAsia="宋体" w:hint="default"/>
        </w:rPr>
        <w:t>422,774.60</w:t>
      </w:r>
      <w:r>
        <w:rPr>
          <w:rFonts w:ascii="宋体" w:hAnsi="宋体" w:cs="宋体" w:eastAsia="宋体" w:hint="default"/>
          <w:spacing w:val="-56"/>
        </w:rPr>
        <w:t> </w:t>
      </w:r>
      <w:r>
        <w:rPr/>
        <w:t>万元，同比增长</w:t>
      </w:r>
      <w:r>
        <w:rPr>
          <w:spacing w:val="-54"/>
        </w:rPr>
        <w:t> </w:t>
      </w:r>
      <w:r>
        <w:rPr>
          <w:rFonts w:ascii="宋体" w:hAnsi="宋体" w:cs="宋体" w:eastAsia="宋体" w:hint="default"/>
        </w:rPr>
        <w:t>15.34%</w:t>
      </w:r>
      <w:r>
        <w:rPr/>
        <w:t>；归属于上市公司股东的净利</w:t>
      </w:r>
      <w:r>
        <w:rPr>
          <w:w w:val="100"/>
        </w:rPr>
        <w:t> </w:t>
      </w:r>
      <w:r>
        <w:rPr/>
        <w:t>润</w:t>
      </w:r>
      <w:r>
        <w:rPr>
          <w:spacing w:val="-54"/>
        </w:rPr>
        <w:t> </w:t>
      </w:r>
      <w:r>
        <w:rPr>
          <w:rFonts w:ascii="宋体" w:hAnsi="宋体" w:cs="宋体" w:eastAsia="宋体" w:hint="default"/>
        </w:rPr>
        <w:t>13,200.14</w:t>
      </w:r>
      <w:r>
        <w:rPr>
          <w:rFonts w:ascii="宋体" w:hAnsi="宋体" w:cs="宋体" w:eastAsia="宋体" w:hint="default"/>
          <w:spacing w:val="-54"/>
        </w:rPr>
        <w:t> </w:t>
      </w:r>
      <w:r>
        <w:rPr/>
        <w:t>万元，同比下降</w:t>
      </w:r>
      <w:r>
        <w:rPr>
          <w:spacing w:val="-54"/>
        </w:rPr>
        <w:t> </w:t>
      </w:r>
      <w:r>
        <w:rPr>
          <w:rFonts w:ascii="宋体" w:hAnsi="宋体" w:cs="宋体" w:eastAsia="宋体" w:hint="default"/>
        </w:rPr>
        <w:t>43.85%</w:t>
      </w:r>
      <w:r>
        <w:rPr/>
        <w:t>；归属于上市公司股东的扣除非经常性损益的净利润</w:t>
      </w:r>
      <w:r>
        <w:rPr>
          <w:w w:val="100"/>
        </w:rPr>
        <w:t> </w:t>
      </w:r>
      <w:r>
        <w:rPr>
          <w:rFonts w:ascii="宋体" w:hAnsi="宋体" w:cs="宋体" w:eastAsia="宋体" w:hint="default"/>
        </w:rPr>
        <w:t>12,233.12</w:t>
      </w:r>
      <w:r>
        <w:rPr>
          <w:rFonts w:ascii="宋体" w:hAnsi="宋体" w:cs="宋体" w:eastAsia="宋体" w:hint="default"/>
          <w:spacing w:val="-54"/>
        </w:rPr>
        <w:t> </w:t>
      </w:r>
      <w:r>
        <w:rPr/>
        <w:t>万元，同比下降</w:t>
      </w:r>
      <w:r>
        <w:rPr>
          <w:spacing w:val="-51"/>
        </w:rPr>
        <w:t> </w:t>
      </w:r>
      <w:r>
        <w:rPr>
          <w:rFonts w:ascii="宋体" w:hAnsi="宋体" w:cs="宋体" w:eastAsia="宋体" w:hint="default"/>
        </w:rPr>
        <w:t>50.4%</w:t>
      </w:r>
      <w:r>
        <w:rPr/>
        <w:t>。</w:t>
      </w:r>
    </w:p>
    <w:p>
      <w:pPr>
        <w:spacing w:after="0" w:line="355" w:lineRule="auto"/>
        <w:jc w:val="left"/>
        <w:sectPr>
          <w:footerReference w:type="default" r:id="rId12"/>
          <w:pgSz w:w="11910" w:h="16840"/>
          <w:pgMar w:footer="1195" w:header="880" w:top="1120" w:bottom="1380" w:left="1580" w:right="1040"/>
          <w:pgNumType w:start="11"/>
        </w:sectPr>
      </w:pPr>
    </w:p>
    <w:p>
      <w:pPr>
        <w:pStyle w:val="Heading2"/>
        <w:tabs>
          <w:tab w:pos="1057" w:val="left" w:leader="none"/>
        </w:tabs>
        <w:spacing w:line="240" w:lineRule="auto" w:before="86"/>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w w:val="95"/>
        </w:rPr>
        <w:t>主营业务分析</w:t>
      </w:r>
      <w:r>
        <w:rPr>
          <w:b w:val="0"/>
          <w:bCs w:val="0"/>
        </w:rPr>
      </w:r>
    </w:p>
    <w:p>
      <w:pPr>
        <w:spacing w:line="240" w:lineRule="auto" w:before="0"/>
        <w:rPr>
          <w:rFonts w:ascii="宋体" w:hAnsi="宋体" w:cs="宋体" w:eastAsia="宋体" w:hint="default"/>
          <w:b/>
          <w:bCs/>
          <w:sz w:val="35"/>
          <w:szCs w:val="35"/>
        </w:rPr>
      </w:pPr>
      <w:r>
        <w:rPr/>
        <w:br w:type="column"/>
      </w:r>
      <w:r>
        <w:rPr>
          <w:rFonts w:ascii="宋体"/>
          <w:b/>
          <w:sz w:val="35"/>
        </w:rPr>
      </w:r>
    </w:p>
    <w:p>
      <w:pPr>
        <w:pStyle w:val="Heading2"/>
        <w:spacing w:line="240" w:lineRule="auto" w:before="0"/>
        <w:ind w:left="107" w:right="0"/>
        <w:jc w:val="left"/>
        <w:rPr>
          <w:b w:val="0"/>
          <w:bCs w:val="0"/>
        </w:rPr>
      </w:pPr>
      <w:r>
        <w:rPr/>
        <w:t>利润表及现金流量表相关科目变动分析表</w:t>
      </w:r>
      <w:r>
        <w:rPr>
          <w:b w:val="0"/>
          <w:bCs w:val="0"/>
        </w:rPr>
      </w:r>
    </w:p>
    <w:p>
      <w:pPr>
        <w:pStyle w:val="BodyText"/>
        <w:tabs>
          <w:tab w:pos="5354" w:val="left" w:leader="none"/>
        </w:tabs>
        <w:spacing w:line="240" w:lineRule="auto" w:before="64"/>
        <w:ind w:left="440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03" w:space="40"/>
            <w:col w:w="674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8"/>
        <w:gridCol w:w="1897"/>
      </w:tblGrid>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4,227,745,965.28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3,665,606,591.22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15.34</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3,122,635,455.36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2,731,441,355.92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14.32</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151,561,569.36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122,497,290.31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23.73</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705,850,685.90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572,277,686.50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23.34</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9,121,650.86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-99,151,625.59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109.20</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107,373,057.80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20,918,234.92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413.30</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-333,916,960.85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200,466,701.45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-266.57</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1,191,415,644.76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-150,523,355.51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891.52</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488,135,725.89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437,663,541.50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11.53</w:t>
            </w:r>
          </w:p>
        </w:tc>
      </w:tr>
    </w:tbl>
    <w:p>
      <w:pPr>
        <w:spacing w:line="240" w:lineRule="auto" w:before="2"/>
        <w:rPr>
          <w:rFonts w:ascii="宋体" w:hAnsi="宋体" w:cs="宋体" w:eastAsia="宋体" w:hint="default"/>
          <w:sz w:val="23"/>
          <w:szCs w:val="23"/>
        </w:rPr>
      </w:pPr>
    </w:p>
    <w:p>
      <w:pPr>
        <w:pStyle w:val="Heading2"/>
        <w:spacing w:line="240" w:lineRule="auto"/>
        <w:ind w:right="215"/>
        <w:jc w:val="left"/>
        <w:rPr>
          <w:b w:val="0"/>
          <w:bCs w:val="0"/>
        </w:rPr>
      </w:pPr>
      <w:r>
        <w:rPr>
          <w:rFonts w:ascii="宋体" w:hAnsi="宋体" w:cs="宋体" w:eastAsia="宋体" w:hint="default"/>
        </w:rPr>
        <w:t>1.</w:t>
      </w:r>
      <w:r>
        <w:rPr>
          <w:rFonts w:ascii="宋体" w:hAnsi="宋体" w:cs="宋体" w:eastAsia="宋体" w:hint="default"/>
          <w:spacing w:val="55"/>
        </w:rPr>
        <w:t> </w:t>
      </w:r>
      <w:r>
        <w:rPr/>
        <w:t>收入和成本分析</w:t>
      </w:r>
      <w:r>
        <w:rPr>
          <w:b w:val="0"/>
          <w:bCs w:val="0"/>
        </w:rPr>
      </w:r>
    </w:p>
    <w:p>
      <w:pPr>
        <w:pStyle w:val="BodyText"/>
        <w:spacing w:line="240" w:lineRule="auto" w:before="64"/>
        <w:ind w:right="21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(1).</w:t>
      </w:r>
      <w:r>
        <w:rPr>
          <w:rFonts w:ascii="宋体" w:hAnsi="宋体" w:cs="宋体" w:eastAsia="宋体" w:hint="default"/>
          <w:spacing w:val="-41"/>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tabs>
          <w:tab w:pos="1164" w:val="left" w:leader="none"/>
        </w:tabs>
        <w:spacing w:line="240" w:lineRule="auto" w:before="142"/>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882" w:space="185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419"/>
        <w:gridCol w:w="1558"/>
        <w:gridCol w:w="1138"/>
        <w:gridCol w:w="989"/>
        <w:gridCol w:w="853"/>
        <w:gridCol w:w="1284"/>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3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70" w:right="17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05" w:right="101"/>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2" w:firstLine="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计算机信息服务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4,192,146,2</w:t>
            </w:r>
          </w:p>
          <w:p>
            <w:pPr>
              <w:pStyle w:val="TableParagraph"/>
              <w:spacing w:line="274" w:lineRule="exact"/>
              <w:ind w:left="780" w:right="0"/>
              <w:jc w:val="left"/>
              <w:rPr>
                <w:rFonts w:ascii="宋体" w:hAnsi="宋体" w:cs="宋体" w:eastAsia="宋体" w:hint="default"/>
                <w:sz w:val="21"/>
                <w:szCs w:val="21"/>
              </w:rPr>
            </w:pPr>
            <w:r>
              <w:rPr>
                <w:rFonts w:ascii="宋体"/>
                <w:sz w:val="21"/>
              </w:rPr>
              <w:t>60.81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3,106,526,26</w:t>
            </w:r>
          </w:p>
          <w:p>
            <w:pPr>
              <w:pStyle w:val="TableParagraph"/>
              <w:spacing w:line="274" w:lineRule="exact"/>
              <w:ind w:left="1022" w:right="0"/>
              <w:jc w:val="left"/>
              <w:rPr>
                <w:rFonts w:ascii="宋体" w:hAnsi="宋体" w:cs="宋体" w:eastAsia="宋体" w:hint="default"/>
                <w:sz w:val="21"/>
                <w:szCs w:val="21"/>
              </w:rPr>
            </w:pPr>
            <w:r>
              <w:rPr>
                <w:rFonts w:ascii="宋体"/>
                <w:sz w:val="21"/>
              </w:rPr>
              <w:t>5.36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25.90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14.32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0.74</w:t>
            </w:r>
          </w:p>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10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3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70" w:right="17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2" w:firstLine="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自制软件销售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111,826,313</w:t>
            </w:r>
          </w:p>
          <w:p>
            <w:pPr>
              <w:pStyle w:val="TableParagraph"/>
              <w:spacing w:line="273" w:lineRule="exact"/>
              <w:ind w:right="98"/>
              <w:jc w:val="right"/>
              <w:rPr>
                <w:rFonts w:ascii="宋体" w:hAnsi="宋体" w:cs="宋体" w:eastAsia="宋体" w:hint="default"/>
                <w:sz w:val="21"/>
                <w:szCs w:val="21"/>
              </w:rPr>
            </w:pPr>
            <w:r>
              <w:rPr>
                <w:rFonts w:ascii="宋体"/>
                <w:sz w:val="21"/>
              </w:rPr>
              <w:t>.32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5,513,264.74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204.92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1,847.</w:t>
            </w:r>
          </w:p>
          <w:p>
            <w:pPr>
              <w:pStyle w:val="TableParagraph"/>
              <w:spacing w:line="273" w:lineRule="exact"/>
              <w:ind w:left="528" w:right="0"/>
              <w:jc w:val="left"/>
              <w:rPr>
                <w:rFonts w:ascii="宋体" w:hAnsi="宋体" w:cs="宋体" w:eastAsia="宋体" w:hint="default"/>
                <w:sz w:val="21"/>
                <w:szCs w:val="21"/>
              </w:rPr>
            </w:pPr>
            <w:r>
              <w:rPr>
                <w:rFonts w:ascii="宋体"/>
                <w:sz w:val="21"/>
              </w:rPr>
              <w:t>93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4.16</w:t>
            </w:r>
          </w:p>
          <w:p>
            <w:pPr>
              <w:pStyle w:val="TableParagraph"/>
              <w:spacing w:line="273"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222,945,436</w:t>
            </w:r>
          </w:p>
          <w:p>
            <w:pPr>
              <w:pStyle w:val="TableParagraph"/>
              <w:spacing w:line="274" w:lineRule="exact"/>
              <w:ind w:right="98"/>
              <w:jc w:val="right"/>
              <w:rPr>
                <w:rFonts w:ascii="宋体" w:hAnsi="宋体" w:cs="宋体" w:eastAsia="宋体" w:hint="default"/>
                <w:sz w:val="21"/>
                <w:szCs w:val="21"/>
              </w:rPr>
            </w:pPr>
            <w:r>
              <w:rPr>
                <w:rFonts w:ascii="宋体"/>
                <w:sz w:val="21"/>
              </w:rPr>
              <w:t>.23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196,479,436.</w:t>
            </w:r>
          </w:p>
          <w:p>
            <w:pPr>
              <w:pStyle w:val="TableParagraph"/>
              <w:spacing w:line="274" w:lineRule="exact"/>
              <w:ind w:right="105"/>
              <w:jc w:val="right"/>
              <w:rPr>
                <w:rFonts w:ascii="宋体" w:hAnsi="宋体" w:cs="宋体" w:eastAsia="宋体" w:hint="default"/>
                <w:sz w:val="21"/>
                <w:szCs w:val="21"/>
              </w:rPr>
            </w:pPr>
            <w:r>
              <w:rPr>
                <w:rFonts w:ascii="宋体"/>
                <w:sz w:val="21"/>
              </w:rPr>
              <w:t>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0.98</w:t>
            </w:r>
          </w:p>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582,743,911</w:t>
            </w:r>
          </w:p>
          <w:p>
            <w:pPr>
              <w:pStyle w:val="TableParagraph"/>
              <w:spacing w:line="274" w:lineRule="exact"/>
              <w:ind w:right="98"/>
              <w:jc w:val="right"/>
              <w:rPr>
                <w:rFonts w:ascii="宋体" w:hAnsi="宋体" w:cs="宋体" w:eastAsia="宋体" w:hint="default"/>
                <w:sz w:val="21"/>
                <w:szCs w:val="21"/>
              </w:rPr>
            </w:pPr>
            <w:r>
              <w:rPr>
                <w:rFonts w:ascii="宋体"/>
                <w:sz w:val="21"/>
              </w:rPr>
              <w:t>.04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101,781,283.</w:t>
            </w:r>
          </w:p>
          <w:p>
            <w:pPr>
              <w:pStyle w:val="TableParagraph"/>
              <w:spacing w:line="274" w:lineRule="exact"/>
              <w:ind w:right="105"/>
              <w:jc w:val="right"/>
              <w:rPr>
                <w:rFonts w:ascii="宋体" w:hAnsi="宋体" w:cs="宋体" w:eastAsia="宋体" w:hint="default"/>
                <w:sz w:val="21"/>
                <w:szCs w:val="21"/>
              </w:rPr>
            </w:pPr>
            <w:r>
              <w:rPr>
                <w:rFonts w:ascii="宋体"/>
                <w:sz w:val="21"/>
              </w:rPr>
              <w:t>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82.53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-29.57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6.79</w:t>
            </w:r>
          </w:p>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系统</w:t>
            </w:r>
            <w:r>
              <w:rPr>
                <w:rFonts w:ascii="宋体" w:hAnsi="宋体" w:cs="宋体" w:eastAsia="宋体" w:hint="default"/>
                <w:spacing w:val="-3"/>
                <w:w w:val="100"/>
                <w:sz w:val="21"/>
                <w:szCs w:val="21"/>
              </w:rPr>
              <w:t>维</w:t>
            </w:r>
            <w:r>
              <w:rPr>
                <w:rFonts w:ascii="宋体" w:hAnsi="宋体" w:cs="宋体" w:eastAsia="宋体" w:hint="default"/>
                <w:w w:val="100"/>
                <w:sz w:val="21"/>
                <w:szCs w:val="21"/>
              </w:rPr>
              <w:t>护</w:t>
            </w:r>
            <w:r>
              <w:rPr>
                <w:rFonts w:ascii="宋体" w:hAnsi="宋体" w:cs="宋体" w:eastAsia="宋体" w:hint="default"/>
                <w:spacing w:val="-89"/>
                <w:w w:val="100"/>
                <w:sz w:val="21"/>
                <w:szCs w:val="21"/>
              </w:rPr>
              <w:t>、</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443,686,415</w:t>
            </w:r>
          </w:p>
          <w:p>
            <w:pPr>
              <w:pStyle w:val="TableParagraph"/>
              <w:spacing w:line="274" w:lineRule="exact"/>
              <w:ind w:right="98"/>
              <w:jc w:val="right"/>
              <w:rPr>
                <w:rFonts w:ascii="宋体" w:hAnsi="宋体" w:cs="宋体" w:eastAsia="宋体" w:hint="default"/>
                <w:sz w:val="21"/>
                <w:szCs w:val="21"/>
              </w:rPr>
            </w:pPr>
            <w:r>
              <w:rPr>
                <w:rFonts w:ascii="宋体"/>
                <w:sz w:val="21"/>
              </w:rPr>
              <w:t>.57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189,808,660.</w:t>
            </w:r>
          </w:p>
          <w:p>
            <w:pPr>
              <w:pStyle w:val="TableParagraph"/>
              <w:spacing w:line="274" w:lineRule="exact"/>
              <w:ind w:right="105"/>
              <w:jc w:val="right"/>
              <w:rPr>
                <w:rFonts w:ascii="宋体" w:hAnsi="宋体" w:cs="宋体" w:eastAsia="宋体" w:hint="default"/>
                <w:sz w:val="21"/>
                <w:szCs w:val="21"/>
              </w:rPr>
            </w:pPr>
            <w:r>
              <w:rPr>
                <w:rFonts w:ascii="宋体"/>
                <w:sz w:val="21"/>
              </w:rPr>
              <w:t>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57.22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8.90</w:t>
            </w:r>
          </w:p>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建安工程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137,993,823</w:t>
            </w:r>
          </w:p>
          <w:p>
            <w:pPr>
              <w:pStyle w:val="TableParagraph"/>
              <w:spacing w:line="274" w:lineRule="exact"/>
              <w:ind w:right="98"/>
              <w:jc w:val="right"/>
              <w:rPr>
                <w:rFonts w:ascii="宋体" w:hAnsi="宋体" w:cs="宋体" w:eastAsia="宋体" w:hint="default"/>
                <w:sz w:val="21"/>
                <w:szCs w:val="21"/>
              </w:rPr>
            </w:pPr>
            <w:r>
              <w:rPr>
                <w:rFonts w:ascii="宋体"/>
                <w:sz w:val="21"/>
              </w:rPr>
              <w:t>.68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114,323,913.</w:t>
            </w:r>
          </w:p>
          <w:p>
            <w:pPr>
              <w:pStyle w:val="TableParagraph"/>
              <w:spacing w:line="274" w:lineRule="exact"/>
              <w:ind w:right="105"/>
              <w:jc w:val="right"/>
              <w:rPr>
                <w:rFonts w:ascii="宋体" w:hAnsi="宋体" w:cs="宋体" w:eastAsia="宋体" w:hint="default"/>
                <w:sz w:val="21"/>
                <w:szCs w:val="21"/>
              </w:rPr>
            </w:pPr>
            <w:r>
              <w:rPr>
                <w:rFonts w:ascii="宋体"/>
                <w:sz w:val="21"/>
              </w:rPr>
              <w:t>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1.27</w:t>
            </w:r>
          </w:p>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2,692,950,3</w:t>
            </w:r>
          </w:p>
          <w:p>
            <w:pPr>
              <w:pStyle w:val="TableParagraph"/>
              <w:spacing w:line="273" w:lineRule="exact"/>
              <w:ind w:left="780" w:right="0"/>
              <w:jc w:val="left"/>
              <w:rPr>
                <w:rFonts w:ascii="宋体" w:hAnsi="宋体" w:cs="宋体" w:eastAsia="宋体" w:hint="default"/>
                <w:sz w:val="21"/>
                <w:szCs w:val="21"/>
              </w:rPr>
            </w:pPr>
            <w:r>
              <w:rPr>
                <w:rFonts w:ascii="宋体"/>
                <w:sz w:val="21"/>
              </w:rPr>
              <w:t>60.97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2,498,619,70</w:t>
            </w:r>
          </w:p>
          <w:p>
            <w:pPr>
              <w:pStyle w:val="TableParagraph"/>
              <w:spacing w:line="273" w:lineRule="exact"/>
              <w:ind w:left="1022" w:right="0"/>
              <w:jc w:val="left"/>
              <w:rPr>
                <w:rFonts w:ascii="宋体" w:hAnsi="宋体" w:cs="宋体" w:eastAsia="宋体" w:hint="default"/>
                <w:sz w:val="21"/>
                <w:szCs w:val="21"/>
              </w:rPr>
            </w:pPr>
            <w:r>
              <w:rPr>
                <w:rFonts w:ascii="宋体"/>
                <w:sz w:val="21"/>
              </w:rPr>
              <w:t>6.44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7.22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21.20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22.51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0.99</w:t>
            </w:r>
          </w:p>
          <w:p>
            <w:pPr>
              <w:pStyle w:val="TableParagraph"/>
              <w:spacing w:line="273"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3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70" w:right="17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05" w:right="101"/>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2" w:firstLine="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365,201,863</w:t>
            </w:r>
          </w:p>
          <w:p>
            <w:pPr>
              <w:pStyle w:val="TableParagraph"/>
              <w:spacing w:line="274" w:lineRule="exact"/>
              <w:ind w:right="98"/>
              <w:jc w:val="right"/>
              <w:rPr>
                <w:rFonts w:ascii="宋体" w:hAnsi="宋体" w:cs="宋体" w:eastAsia="宋体" w:hint="default"/>
                <w:sz w:val="21"/>
                <w:szCs w:val="21"/>
              </w:rPr>
            </w:pPr>
            <w:r>
              <w:rPr>
                <w:rFonts w:ascii="宋体"/>
                <w:sz w:val="21"/>
              </w:rPr>
              <w:t>.66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188,788,628.</w:t>
            </w:r>
          </w:p>
          <w:p>
            <w:pPr>
              <w:pStyle w:val="TableParagraph"/>
              <w:spacing w:line="274" w:lineRule="exact"/>
              <w:ind w:right="105"/>
              <w:jc w:val="right"/>
              <w:rPr>
                <w:rFonts w:ascii="宋体" w:hAnsi="宋体" w:cs="宋体" w:eastAsia="宋体" w:hint="default"/>
                <w:sz w:val="21"/>
                <w:szCs w:val="21"/>
              </w:rPr>
            </w:pPr>
            <w:r>
              <w:rPr>
                <w:rFonts w:ascii="宋体"/>
                <w:sz w:val="21"/>
              </w:rPr>
              <w:t>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4.74</w:t>
            </w:r>
          </w:p>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180,687,938</w:t>
            </w:r>
          </w:p>
          <w:p>
            <w:pPr>
              <w:pStyle w:val="TableParagraph"/>
              <w:spacing w:line="275" w:lineRule="exact"/>
              <w:ind w:right="98"/>
              <w:jc w:val="right"/>
              <w:rPr>
                <w:rFonts w:ascii="宋体" w:hAnsi="宋体" w:cs="宋体" w:eastAsia="宋体" w:hint="default"/>
                <w:sz w:val="21"/>
                <w:szCs w:val="21"/>
              </w:rPr>
            </w:pPr>
            <w:r>
              <w:rPr>
                <w:rFonts w:ascii="宋体"/>
                <w:sz w:val="21"/>
              </w:rPr>
              <w:t>.04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18,308,027.8</w:t>
            </w:r>
          </w:p>
          <w:p>
            <w:pPr>
              <w:pStyle w:val="TableParagraph"/>
              <w:spacing w:line="275" w:lineRule="exact"/>
              <w:ind w:right="105"/>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89.87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765.62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855.22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0.95</w:t>
            </w:r>
          </w:p>
          <w:p>
            <w:pPr>
              <w:pStyle w:val="TableParagraph"/>
              <w:spacing w:line="275"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3,638,925,0</w:t>
            </w:r>
          </w:p>
          <w:p>
            <w:pPr>
              <w:pStyle w:val="TableParagraph"/>
              <w:spacing w:line="273" w:lineRule="exact"/>
              <w:ind w:left="780" w:right="0"/>
              <w:jc w:val="left"/>
              <w:rPr>
                <w:rFonts w:ascii="宋体" w:hAnsi="宋体" w:cs="宋体" w:eastAsia="宋体" w:hint="default"/>
                <w:sz w:val="21"/>
                <w:szCs w:val="21"/>
              </w:rPr>
            </w:pPr>
            <w:r>
              <w:rPr>
                <w:rFonts w:ascii="宋体"/>
                <w:sz w:val="21"/>
              </w:rPr>
              <w:t>95.94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2,896,461,40</w:t>
            </w:r>
          </w:p>
          <w:p>
            <w:pPr>
              <w:pStyle w:val="TableParagraph"/>
              <w:spacing w:line="273" w:lineRule="exact"/>
              <w:ind w:left="1022" w:right="0"/>
              <w:jc w:val="left"/>
              <w:rPr>
                <w:rFonts w:ascii="宋体" w:hAnsi="宋体" w:cs="宋体" w:eastAsia="宋体" w:hint="default"/>
                <w:sz w:val="21"/>
                <w:szCs w:val="21"/>
              </w:rPr>
            </w:pPr>
            <w:r>
              <w:rPr>
                <w:rFonts w:ascii="宋体"/>
                <w:sz w:val="21"/>
              </w:rPr>
              <w:t>3.81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10.34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14.00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2.56</w:t>
            </w:r>
          </w:p>
          <w:p>
            <w:pPr>
              <w:pStyle w:val="TableParagraph"/>
              <w:spacing w:line="273" w:lineRule="exact"/>
              <w:ind w:left="33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7,331,363.1</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2,968,204.99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59.51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60.28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149.40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14.47</w:t>
            </w:r>
          </w:p>
          <w:p>
            <w:pPr>
              <w:pStyle w:val="TableParagraph"/>
              <w:spacing w:line="273" w:lineRule="exact"/>
              <w:ind w:left="23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6"/>
        <w:rPr>
          <w:rFonts w:ascii="宋体" w:hAnsi="宋体" w:cs="宋体" w:eastAsia="宋体" w:hint="default"/>
          <w:sz w:val="18"/>
          <w:szCs w:val="18"/>
        </w:rPr>
      </w:pPr>
    </w:p>
    <w:p>
      <w:pPr>
        <w:pStyle w:val="BodyText"/>
        <w:spacing w:line="273" w:lineRule="exact" w:before="36"/>
        <w:ind w:right="215"/>
        <w:jc w:val="left"/>
      </w:pPr>
      <w:r>
        <w:rPr/>
        <w:t>主营业务分行业、分产品、分地区情况的说明</w:t>
      </w:r>
    </w:p>
    <w:p>
      <w:pPr>
        <w:pStyle w:val="BodyText"/>
        <w:spacing w:line="271" w:lineRule="exact"/>
        <w:ind w:right="215"/>
        <w:jc w:val="left"/>
      </w:pPr>
      <w:r>
        <w:rPr/>
        <w:t>√适用</w:t>
      </w:r>
      <w:r>
        <w:rPr>
          <w:spacing w:val="-1"/>
        </w:rPr>
        <w:t> </w:t>
      </w:r>
      <w:r>
        <w:rPr/>
        <w:t>□不适用</w:t>
      </w:r>
    </w:p>
    <w:p>
      <w:pPr>
        <w:pStyle w:val="BodyText"/>
        <w:spacing w:line="357" w:lineRule="auto"/>
        <w:ind w:right="215"/>
        <w:jc w:val="left"/>
      </w:pPr>
      <w:r>
        <w:rPr>
          <w:spacing w:val="-2"/>
        </w:rPr>
        <w:t>自制软件销售收入增长</w:t>
      </w:r>
      <w:r>
        <w:rPr/>
        <w:t> </w:t>
      </w:r>
      <w:r>
        <w:rPr>
          <w:rFonts w:ascii="宋体" w:hAnsi="宋体" w:cs="宋体" w:eastAsia="宋体" w:hint="default"/>
          <w:spacing w:val="-2"/>
        </w:rPr>
        <w:t>204.92%</w:t>
      </w:r>
      <w:r>
        <w:rPr>
          <w:spacing w:val="-2"/>
        </w:rPr>
        <w:t>，主要系公司增加自有技术产品销售替代部分定制软件销售，自</w:t>
      </w:r>
      <w:r>
        <w:rPr>
          <w:spacing w:val="-77"/>
        </w:rPr>
        <w:t> </w:t>
      </w:r>
      <w:r>
        <w:rPr>
          <w:spacing w:val="-77"/>
        </w:rPr>
      </w:r>
      <w:r>
        <w:rPr/>
        <w:t>制软件销售成本也相应增长，</w:t>
      </w:r>
    </w:p>
    <w:p>
      <w:pPr>
        <w:pStyle w:val="Heading2"/>
        <w:spacing w:line="240" w:lineRule="auto" w:before="84"/>
        <w:ind w:right="215"/>
        <w:jc w:val="left"/>
        <w:rPr>
          <w:b w:val="0"/>
          <w:bCs w:val="0"/>
        </w:rPr>
      </w:pPr>
      <w:r>
        <w:rPr>
          <w:rFonts w:ascii="宋体" w:hAnsi="宋体" w:cs="宋体" w:eastAsia="宋体" w:hint="default"/>
        </w:rPr>
        <w:t>(2).</w:t>
      </w:r>
      <w:r>
        <w:rPr>
          <w:rFonts w:ascii="宋体" w:hAnsi="宋体" w:cs="宋体" w:eastAsia="宋体" w:hint="default"/>
          <w:spacing w:val="-41"/>
        </w:rPr>
        <w:t> </w:t>
      </w:r>
      <w:r>
        <w:rPr/>
        <w:t>产销量情况分析表</w:t>
      </w:r>
      <w:r>
        <w:rPr>
          <w:b w:val="0"/>
          <w:bCs w:val="0"/>
        </w:rPr>
      </w:r>
    </w:p>
    <w:p>
      <w:pPr>
        <w:pStyle w:val="BodyText"/>
        <w:spacing w:line="240" w:lineRule="auto" w:before="64"/>
        <w:ind w:right="21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0"/>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2"/>
        <w:ind w:right="0"/>
        <w:jc w:val="left"/>
      </w:pPr>
      <w:r>
        <w:rPr/>
        <w:t>单位：元</w:t>
      </w:r>
    </w:p>
    <w:p>
      <w:pPr>
        <w:spacing w:after="0" w:line="240" w:lineRule="auto"/>
        <w:jc w:val="left"/>
        <w:sectPr>
          <w:type w:val="continuous"/>
          <w:pgSz w:w="11910" w:h="16840"/>
          <w:pgMar w:top="1120" w:bottom="1380" w:left="1580" w:right="1040"/>
          <w:cols w:num="2" w:equalWidth="0">
            <w:col w:w="1989" w:space="6004"/>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853"/>
        <w:gridCol w:w="1133"/>
        <w:gridCol w:w="1109"/>
        <w:gridCol w:w="1159"/>
        <w:gridCol w:w="1133"/>
        <w:gridCol w:w="1136"/>
        <w:gridCol w:w="859"/>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5" w:right="101"/>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9" w:right="125"/>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64" w:right="151" w:hanging="212"/>
              <w:jc w:val="left"/>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9"/>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37" w:lineRule="auto" w:before="2"/>
              <w:ind w:left="142" w:right="139"/>
              <w:jc w:val="center"/>
              <w:rPr>
                <w:rFonts w:ascii="宋体" w:hAnsi="宋体" w:cs="宋体" w:eastAsia="宋体" w:hint="default"/>
                <w:sz w:val="21"/>
                <w:szCs w:val="21"/>
              </w:rPr>
            </w:pP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3" w:right="21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计算机信息服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3,106,52</w:t>
            </w:r>
          </w:p>
          <w:p>
            <w:pPr>
              <w:pStyle w:val="TableParagraph"/>
              <w:spacing w:line="274" w:lineRule="exact"/>
              <w:ind w:left="179" w:right="0"/>
              <w:jc w:val="left"/>
              <w:rPr>
                <w:rFonts w:ascii="宋体" w:hAnsi="宋体" w:cs="宋体" w:eastAsia="宋体" w:hint="default"/>
                <w:sz w:val="21"/>
                <w:szCs w:val="21"/>
              </w:rPr>
            </w:pPr>
            <w:r>
              <w:rPr>
                <w:rFonts w:ascii="宋体"/>
                <w:sz w:val="21"/>
              </w:rPr>
              <w:t>6,265.36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2,717,35</w:t>
            </w:r>
          </w:p>
          <w:p>
            <w:pPr>
              <w:pStyle w:val="TableParagraph"/>
              <w:spacing w:line="274" w:lineRule="exact"/>
              <w:ind w:left="206" w:right="0"/>
              <w:jc w:val="left"/>
              <w:rPr>
                <w:rFonts w:ascii="宋体" w:hAnsi="宋体" w:cs="宋体" w:eastAsia="宋体" w:hint="default"/>
                <w:sz w:val="21"/>
                <w:szCs w:val="21"/>
              </w:rPr>
            </w:pPr>
            <w:r>
              <w:rPr>
                <w:rFonts w:ascii="宋体"/>
                <w:sz w:val="21"/>
              </w:rPr>
              <w:t>2,945.00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14.32</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9" w:right="125"/>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151" w:hanging="212"/>
              <w:jc w:val="left"/>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9"/>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37" w:lineRule="auto"/>
              <w:ind w:left="142" w:right="139"/>
              <w:jc w:val="center"/>
              <w:rPr>
                <w:rFonts w:ascii="宋体" w:hAnsi="宋体" w:cs="宋体" w:eastAsia="宋体" w:hint="default"/>
                <w:sz w:val="21"/>
                <w:szCs w:val="21"/>
              </w:rPr>
            </w:pP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3" w:right="21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自制软件销售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sz w:val="21"/>
              </w:rPr>
              <w:t>5,513,26</w:t>
            </w:r>
          </w:p>
          <w:p>
            <w:pPr>
              <w:pStyle w:val="TableParagraph"/>
              <w:spacing w:line="273" w:lineRule="exact"/>
              <w:ind w:left="599" w:right="0"/>
              <w:jc w:val="left"/>
              <w:rPr>
                <w:rFonts w:ascii="宋体" w:hAnsi="宋体" w:cs="宋体" w:eastAsia="宋体" w:hint="default"/>
                <w:sz w:val="21"/>
                <w:szCs w:val="21"/>
              </w:rPr>
            </w:pPr>
            <w:r>
              <w:rPr>
                <w:rFonts w:ascii="宋体"/>
                <w:sz w:val="21"/>
              </w:rPr>
              <w:t>4.74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283,032.</w:t>
            </w:r>
          </w:p>
          <w:p>
            <w:pPr>
              <w:pStyle w:val="TableParagraph"/>
              <w:spacing w:line="273" w:lineRule="exact"/>
              <w:ind w:right="101"/>
              <w:jc w:val="right"/>
              <w:rPr>
                <w:rFonts w:ascii="宋体" w:hAnsi="宋体" w:cs="宋体" w:eastAsia="宋体" w:hint="default"/>
                <w:sz w:val="21"/>
                <w:szCs w:val="21"/>
              </w:rPr>
            </w:pPr>
            <w:r>
              <w:rPr>
                <w:rFonts w:ascii="宋体"/>
                <w:sz w:val="21"/>
              </w:rPr>
              <w:t>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1,847.93</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196,479,</w:t>
            </w:r>
          </w:p>
          <w:p>
            <w:pPr>
              <w:pStyle w:val="TableParagraph"/>
              <w:spacing w:line="274" w:lineRule="exact"/>
              <w:ind w:left="388" w:right="0"/>
              <w:jc w:val="left"/>
              <w:rPr>
                <w:rFonts w:ascii="宋体" w:hAnsi="宋体" w:cs="宋体" w:eastAsia="宋体" w:hint="default"/>
                <w:sz w:val="21"/>
                <w:szCs w:val="21"/>
              </w:rPr>
            </w:pPr>
            <w:r>
              <w:rPr>
                <w:rFonts w:ascii="宋体"/>
                <w:sz w:val="21"/>
              </w:rPr>
              <w:t>436.68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214,447,</w:t>
            </w:r>
          </w:p>
          <w:p>
            <w:pPr>
              <w:pStyle w:val="TableParagraph"/>
              <w:spacing w:line="274" w:lineRule="exact"/>
              <w:ind w:left="415" w:right="0"/>
              <w:jc w:val="left"/>
              <w:rPr>
                <w:rFonts w:ascii="宋体" w:hAnsi="宋体" w:cs="宋体" w:eastAsia="宋体" w:hint="default"/>
                <w:sz w:val="21"/>
                <w:szCs w:val="21"/>
              </w:rPr>
            </w:pPr>
            <w:r>
              <w:rPr>
                <w:rFonts w:ascii="宋体"/>
                <w:sz w:val="21"/>
              </w:rPr>
              <w:t>520.92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-8.38</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定制软件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101,781,</w:t>
            </w:r>
          </w:p>
          <w:p>
            <w:pPr>
              <w:pStyle w:val="TableParagraph"/>
              <w:spacing w:line="274" w:lineRule="exact"/>
              <w:ind w:left="388" w:right="0"/>
              <w:jc w:val="left"/>
              <w:rPr>
                <w:rFonts w:ascii="宋体" w:hAnsi="宋体" w:cs="宋体" w:eastAsia="宋体" w:hint="default"/>
                <w:sz w:val="21"/>
                <w:szCs w:val="21"/>
              </w:rPr>
            </w:pPr>
            <w:r>
              <w:rPr>
                <w:rFonts w:ascii="宋体"/>
                <w:sz w:val="21"/>
              </w:rPr>
              <w:t>283.42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144,516,</w:t>
            </w:r>
          </w:p>
          <w:p>
            <w:pPr>
              <w:pStyle w:val="TableParagraph"/>
              <w:spacing w:line="274" w:lineRule="exact"/>
              <w:ind w:left="415" w:right="0"/>
              <w:jc w:val="left"/>
              <w:rPr>
                <w:rFonts w:ascii="宋体" w:hAnsi="宋体" w:cs="宋体" w:eastAsia="宋体" w:hint="default"/>
                <w:sz w:val="21"/>
                <w:szCs w:val="21"/>
              </w:rPr>
            </w:pPr>
            <w:r>
              <w:rPr>
                <w:rFonts w:ascii="宋体"/>
                <w:sz w:val="21"/>
              </w:rPr>
              <w:t>438.60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-29.57</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系统维护、技术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189,808,</w:t>
            </w:r>
          </w:p>
          <w:p>
            <w:pPr>
              <w:pStyle w:val="TableParagraph"/>
              <w:spacing w:line="274" w:lineRule="exact"/>
              <w:ind w:left="388" w:right="0"/>
              <w:jc w:val="left"/>
              <w:rPr>
                <w:rFonts w:ascii="宋体" w:hAnsi="宋体" w:cs="宋体" w:eastAsia="宋体" w:hint="default"/>
                <w:sz w:val="21"/>
                <w:szCs w:val="21"/>
              </w:rPr>
            </w:pPr>
            <w:r>
              <w:rPr>
                <w:rFonts w:ascii="宋体"/>
                <w:sz w:val="21"/>
              </w:rPr>
              <w:t>660.33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204,514,</w:t>
            </w:r>
          </w:p>
          <w:p>
            <w:pPr>
              <w:pStyle w:val="TableParagraph"/>
              <w:spacing w:line="274" w:lineRule="exact"/>
              <w:ind w:left="415" w:right="0"/>
              <w:jc w:val="left"/>
              <w:rPr>
                <w:rFonts w:ascii="宋体" w:hAnsi="宋体" w:cs="宋体" w:eastAsia="宋体" w:hint="default"/>
                <w:sz w:val="21"/>
                <w:szCs w:val="21"/>
              </w:rPr>
            </w:pPr>
            <w:r>
              <w:rPr>
                <w:rFonts w:ascii="宋体"/>
                <w:sz w:val="21"/>
              </w:rPr>
              <w:t>610.32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-7.19</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建安工程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114,323,</w:t>
            </w:r>
          </w:p>
          <w:p>
            <w:pPr>
              <w:pStyle w:val="TableParagraph"/>
              <w:spacing w:line="274" w:lineRule="exact"/>
              <w:ind w:left="388" w:right="0"/>
              <w:jc w:val="left"/>
              <w:rPr>
                <w:rFonts w:ascii="宋体" w:hAnsi="宋体" w:cs="宋体" w:eastAsia="宋体" w:hint="default"/>
                <w:sz w:val="21"/>
                <w:szCs w:val="21"/>
              </w:rPr>
            </w:pPr>
            <w:r>
              <w:rPr>
                <w:rFonts w:ascii="宋体"/>
                <w:sz w:val="21"/>
              </w:rPr>
              <w:t>913.75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114,137,</w:t>
            </w:r>
          </w:p>
          <w:p>
            <w:pPr>
              <w:pStyle w:val="TableParagraph"/>
              <w:spacing w:line="274" w:lineRule="exact"/>
              <w:ind w:left="415" w:right="0"/>
              <w:jc w:val="left"/>
              <w:rPr>
                <w:rFonts w:ascii="宋体" w:hAnsi="宋体" w:cs="宋体" w:eastAsia="宋体" w:hint="default"/>
                <w:sz w:val="21"/>
                <w:szCs w:val="21"/>
              </w:rPr>
            </w:pPr>
            <w:r>
              <w:rPr>
                <w:rFonts w:ascii="宋体"/>
                <w:sz w:val="21"/>
              </w:rPr>
              <w:t>335.48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2,498,61</w:t>
            </w:r>
          </w:p>
          <w:p>
            <w:pPr>
              <w:pStyle w:val="TableParagraph"/>
              <w:spacing w:line="273" w:lineRule="exact"/>
              <w:ind w:left="179" w:right="0"/>
              <w:jc w:val="left"/>
              <w:rPr>
                <w:rFonts w:ascii="宋体" w:hAnsi="宋体" w:cs="宋体" w:eastAsia="宋体" w:hint="default"/>
                <w:sz w:val="21"/>
                <w:szCs w:val="21"/>
              </w:rPr>
            </w:pPr>
            <w:r>
              <w:rPr>
                <w:rFonts w:ascii="宋体"/>
                <w:sz w:val="21"/>
              </w:rPr>
              <w:t>9,706.44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80.44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2,039,45</w:t>
            </w:r>
          </w:p>
          <w:p>
            <w:pPr>
              <w:pStyle w:val="TableParagraph"/>
              <w:spacing w:line="273" w:lineRule="exact"/>
              <w:ind w:left="206" w:right="0"/>
              <w:jc w:val="left"/>
              <w:rPr>
                <w:rFonts w:ascii="宋体" w:hAnsi="宋体" w:cs="宋体" w:eastAsia="宋体" w:hint="default"/>
                <w:sz w:val="21"/>
                <w:szCs w:val="21"/>
              </w:rPr>
            </w:pPr>
            <w:r>
              <w:rPr>
                <w:rFonts w:ascii="宋体"/>
                <w:sz w:val="21"/>
              </w:rPr>
              <w:t>4,007.36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75.05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22.51</w:t>
            </w:r>
          </w:p>
        </w:tc>
        <w:tc>
          <w:tcPr>
            <w:tcW w:w="8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15"/>
        <w:jc w:val="left"/>
      </w:pPr>
      <w:r>
        <w:rPr/>
        <w:t>成本分析其他情况说明</w:t>
      </w:r>
    </w:p>
    <w:p>
      <w:pPr>
        <w:pStyle w:val="BodyText"/>
        <w:spacing w:line="273" w:lineRule="exact"/>
        <w:ind w:right="215"/>
        <w:jc w:val="left"/>
      </w:pPr>
      <w:r>
        <w:rPr/>
        <w:t>□适用</w:t>
      </w:r>
      <w:r>
        <w:rPr>
          <w:spacing w:val="-1"/>
        </w:rPr>
        <w:t> </w:t>
      </w:r>
      <w:r>
        <w:rPr/>
        <w:t>√不适用</w:t>
      </w:r>
    </w:p>
    <w:p>
      <w:pPr>
        <w:pStyle w:val="Heading2"/>
        <w:spacing w:line="240" w:lineRule="auto" w:before="52"/>
        <w:ind w:right="215"/>
        <w:jc w:val="left"/>
        <w:rPr>
          <w:b w:val="0"/>
          <w:bCs w:val="0"/>
        </w:rPr>
      </w:pPr>
      <w:r>
        <w:rPr>
          <w:rFonts w:ascii="宋体" w:hAnsi="宋体" w:cs="宋体" w:eastAsia="宋体" w:hint="default"/>
        </w:rPr>
        <w:t>(4).</w:t>
      </w:r>
      <w:r>
        <w:rPr>
          <w:rFonts w:ascii="宋体" w:hAnsi="宋体" w:cs="宋体" w:eastAsia="宋体" w:hint="default"/>
          <w:spacing w:val="-40"/>
        </w:rPr>
        <w:t> </w:t>
      </w:r>
      <w:r>
        <w:rPr/>
        <w:t>主要销售客户及主要供应商情况</w:t>
      </w:r>
      <w:r>
        <w:rPr>
          <w:b w:val="0"/>
          <w:bCs w:val="0"/>
        </w:rPr>
      </w:r>
    </w:p>
    <w:p>
      <w:pPr>
        <w:pStyle w:val="BodyText"/>
        <w:spacing w:line="274" w:lineRule="exact" w:before="61"/>
        <w:ind w:right="215"/>
        <w:jc w:val="left"/>
      </w:pPr>
      <w:r>
        <w:rPr/>
        <w:t>√适用</w:t>
      </w:r>
      <w:r>
        <w:rPr>
          <w:spacing w:val="-1"/>
        </w:rPr>
        <w:t> </w:t>
      </w:r>
      <w:r>
        <w:rPr/>
        <w:t>□不适用</w:t>
      </w:r>
    </w:p>
    <w:p>
      <w:pPr>
        <w:pStyle w:val="BodyText"/>
        <w:spacing w:line="272" w:lineRule="exact" w:before="27"/>
        <w:ind w:right="3122"/>
        <w:jc w:val="left"/>
      </w:pPr>
      <w:r>
        <w:rPr/>
        <w:t>前五名客户销售额</w:t>
      </w:r>
      <w:r>
        <w:rPr>
          <w:spacing w:val="-54"/>
        </w:rPr>
        <w:t> </w:t>
      </w:r>
      <w:r>
        <w:rPr>
          <w:rFonts w:ascii="宋体" w:hAnsi="宋体" w:cs="宋体" w:eastAsia="宋体" w:hint="default"/>
        </w:rPr>
        <w:t>34,404.66</w:t>
      </w:r>
      <w:r>
        <w:rPr>
          <w:rFonts w:ascii="宋体" w:hAnsi="宋体" w:cs="宋体" w:eastAsia="宋体" w:hint="default"/>
          <w:spacing w:val="-53"/>
        </w:rPr>
        <w:t> </w:t>
      </w:r>
      <w:r>
        <w:rPr/>
        <w:t>万元，占年度销售总额</w:t>
      </w:r>
      <w:r>
        <w:rPr>
          <w:spacing w:val="-54"/>
        </w:rPr>
        <w:t> </w:t>
      </w:r>
      <w:r>
        <w:rPr>
          <w:rFonts w:ascii="宋体" w:hAnsi="宋体" w:cs="宋体" w:eastAsia="宋体" w:hint="default"/>
        </w:rPr>
        <w:t>8.14%</w:t>
      </w:r>
      <w:r>
        <w:rPr/>
        <w:t>；</w:t>
      </w:r>
      <w:r>
        <w:rPr>
          <w:w w:val="100"/>
        </w:rPr>
        <w:t> </w:t>
      </w:r>
      <w:r>
        <w:rPr/>
        <w:t>前五名供应商采购额</w:t>
      </w:r>
      <w:r>
        <w:rPr>
          <w:spacing w:val="-54"/>
        </w:rPr>
        <w:t> </w:t>
      </w:r>
      <w:r>
        <w:rPr>
          <w:rFonts w:ascii="宋体" w:hAnsi="宋体" w:cs="宋体" w:eastAsia="宋体" w:hint="default"/>
        </w:rPr>
        <w:t>27,376.63</w:t>
      </w:r>
      <w:r>
        <w:rPr>
          <w:rFonts w:ascii="宋体" w:hAnsi="宋体" w:cs="宋体" w:eastAsia="宋体" w:hint="default"/>
          <w:spacing w:val="-56"/>
        </w:rPr>
        <w:t> </w:t>
      </w:r>
      <w:r>
        <w:rPr/>
        <w:t>万元，占年度采购总额</w:t>
      </w:r>
      <w:r>
        <w:rPr>
          <w:spacing w:val="-54"/>
        </w:rPr>
        <w:t> </w:t>
      </w:r>
      <w:r>
        <w:rPr>
          <w:rFonts w:ascii="宋体" w:hAnsi="宋体" w:cs="宋体" w:eastAsia="宋体" w:hint="default"/>
        </w:rPr>
        <w:t>69.57%</w:t>
      </w:r>
      <w:r>
        <w:rPr/>
        <w:t>；</w:t>
      </w:r>
    </w:p>
    <w:p>
      <w:pPr>
        <w:pStyle w:val="Heading2"/>
        <w:spacing w:line="240" w:lineRule="auto" w:before="27"/>
        <w:ind w:right="215"/>
        <w:jc w:val="left"/>
        <w:rPr>
          <w:b w:val="0"/>
          <w:bCs w:val="0"/>
        </w:rPr>
      </w:pPr>
      <w:r>
        <w:rPr>
          <w:rFonts w:ascii="宋体" w:hAnsi="宋体" w:cs="宋体" w:eastAsia="宋体" w:hint="default"/>
        </w:rPr>
        <w:t>2.</w:t>
      </w:r>
      <w:r>
        <w:rPr>
          <w:rFonts w:ascii="宋体" w:hAnsi="宋体" w:cs="宋体" w:eastAsia="宋体" w:hint="default"/>
          <w:spacing w:val="58"/>
        </w:rPr>
        <w:t> </w:t>
      </w:r>
      <w:r>
        <w:rPr/>
        <w:t>费用</w:t>
      </w:r>
      <w:r>
        <w:rPr>
          <w:b w:val="0"/>
          <w:bCs w:val="0"/>
        </w:rPr>
      </w:r>
    </w:p>
    <w:p>
      <w:pPr>
        <w:spacing w:line="288" w:lineRule="auto" w:before="6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3.</w:t>
      </w:r>
      <w:r>
        <w:rPr>
          <w:rFonts w:ascii="宋体" w:hAnsi="宋体" w:cs="宋体" w:eastAsia="宋体" w:hint="default"/>
          <w:b/>
          <w:bCs/>
          <w:spacing w:val="56"/>
          <w:sz w:val="24"/>
          <w:szCs w:val="24"/>
        </w:rPr>
        <w:t> </w:t>
      </w:r>
      <w:r>
        <w:rPr>
          <w:rFonts w:ascii="宋体" w:hAnsi="宋体" w:cs="宋体" w:eastAsia="宋体" w:hint="default"/>
          <w:b/>
          <w:bCs/>
          <w:sz w:val="24"/>
          <w:szCs w:val="24"/>
        </w:rPr>
        <w:t>研发投入</w:t>
      </w:r>
      <w:r>
        <w:rPr>
          <w:rFonts w:ascii="宋体" w:hAnsi="宋体" w:cs="宋体" w:eastAsia="宋体" w:hint="default"/>
          <w:b/>
          <w:bCs/>
          <w:w w:val="99"/>
          <w:sz w:val="24"/>
          <w:szCs w:val="24"/>
        </w:rPr>
        <w:t> </w:t>
      </w:r>
      <w:r>
        <w:rPr>
          <w:rFonts w:ascii="宋体" w:hAnsi="宋体" w:cs="宋体" w:eastAsia="宋体" w:hint="default"/>
          <w:b/>
          <w:bCs/>
          <w:sz w:val="21"/>
          <w:szCs w:val="21"/>
        </w:rPr>
        <w:t>研发投入情况表</w:t>
      </w:r>
      <w:r>
        <w:rPr>
          <w:rFonts w:ascii="宋体" w:hAnsi="宋体" w:cs="宋体" w:eastAsia="宋体" w:hint="default"/>
          <w:sz w:val="21"/>
          <w:szCs w:val="21"/>
        </w:rPr>
      </w:r>
    </w:p>
    <w:p>
      <w:pPr>
        <w:tabs>
          <w:tab w:pos="1060" w:val="left" w:leader="none"/>
        </w:tabs>
        <w:spacing w:line="290" w:lineRule="auto" w:before="14"/>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情况说明</w:t>
      </w:r>
      <w:r>
        <w:rPr>
          <w:rFonts w:ascii="宋体" w:hAnsi="宋体" w:cs="宋体" w:eastAsia="宋体" w:hint="default"/>
          <w:sz w:val="21"/>
          <w:szCs w:val="21"/>
        </w:rPr>
      </w:r>
    </w:p>
    <w:p>
      <w:pPr>
        <w:pStyle w:val="BodyText"/>
        <w:spacing w:line="240" w:lineRule="auto" w:before="12"/>
        <w:ind w:right="215"/>
        <w:jc w:val="left"/>
      </w:pPr>
      <w:r>
        <w:rPr/>
        <w:t>□适用</w:t>
      </w:r>
      <w:r>
        <w:rPr>
          <w:spacing w:val="-1"/>
        </w:rPr>
        <w:t> </w:t>
      </w:r>
      <w:r>
        <w:rPr/>
        <w:t>√不适用</w:t>
      </w:r>
    </w:p>
    <w:p>
      <w:pPr>
        <w:pStyle w:val="Heading2"/>
        <w:spacing w:line="240" w:lineRule="auto" w:before="50"/>
        <w:ind w:right="215"/>
        <w:jc w:val="left"/>
        <w:rPr>
          <w:b w:val="0"/>
          <w:bCs w:val="0"/>
        </w:rPr>
      </w:pPr>
      <w:r>
        <w:rPr>
          <w:rFonts w:ascii="宋体" w:hAnsi="宋体" w:cs="宋体" w:eastAsia="宋体" w:hint="default"/>
        </w:rPr>
        <w:t>4.</w:t>
      </w:r>
      <w:r>
        <w:rPr>
          <w:rFonts w:ascii="宋体" w:hAnsi="宋体" w:cs="宋体" w:eastAsia="宋体" w:hint="default"/>
          <w:spacing w:val="55"/>
        </w:rPr>
        <w:t> </w:t>
      </w:r>
      <w:r>
        <w:rPr/>
        <w:t>现金流</w:t>
      </w:r>
      <w:r>
        <w:rPr>
          <w:b w:val="0"/>
          <w:bCs w:val="0"/>
        </w:rPr>
      </w:r>
    </w:p>
    <w:p>
      <w:pPr>
        <w:pStyle w:val="BodyText"/>
        <w:spacing w:line="240" w:lineRule="auto" w:before="64"/>
        <w:ind w:right="215"/>
        <w:jc w:val="left"/>
      </w:pPr>
      <w:r>
        <w:rPr/>
        <w:t>□适用</w:t>
      </w:r>
      <w:r>
        <w:rPr>
          <w:spacing w:val="-1"/>
        </w:rPr>
        <w:t> </w:t>
      </w:r>
      <w:r>
        <w:rPr/>
        <w:t>√不适用</w:t>
      </w:r>
    </w:p>
    <w:p>
      <w:pPr>
        <w:pStyle w:val="Heading2"/>
        <w:tabs>
          <w:tab w:pos="1057" w:val="left" w:leader="none"/>
        </w:tabs>
        <w:spacing w:line="240" w:lineRule="auto" w:before="52"/>
        <w:ind w:right="21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61"/>
        <w:ind w:right="21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tabs>
          <w:tab w:pos="1057" w:val="left" w:leader="none"/>
        </w:tabs>
        <w:spacing w:line="240" w:lineRule="auto"/>
        <w:ind w:right="-19"/>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1060" w:val="left" w:leader="none"/>
        </w:tabs>
        <w:spacing w:line="240" w:lineRule="auto" w:before="64"/>
        <w:ind w:right="-19"/>
        <w:jc w:val="left"/>
      </w:pPr>
      <w:r>
        <w:rPr>
          <w:spacing w:val="-1"/>
        </w:rPr>
        <w:t>√适用</w:t>
        <w:tab/>
      </w:r>
      <w:r>
        <w:rPr>
          <w:spacing w:val="-2"/>
        </w:rPr>
        <w:t>□不适用</w:t>
      </w:r>
    </w:p>
    <w:p>
      <w:pPr>
        <w:pStyle w:val="Heading2"/>
        <w:spacing w:line="240" w:lineRule="auto" w:before="52"/>
        <w:ind w:right="-19"/>
        <w:jc w:val="left"/>
        <w:rPr>
          <w:b w:val="0"/>
          <w:bCs w:val="0"/>
        </w:rPr>
      </w:pPr>
      <w:r>
        <w:rPr>
          <w:rFonts w:ascii="宋体" w:hAnsi="宋体" w:cs="宋体" w:eastAsia="宋体" w:hint="default"/>
        </w:rPr>
        <w:t>1.</w:t>
      </w:r>
      <w:r>
        <w:rPr>
          <w:rFonts w:ascii="宋体" w:hAnsi="宋体" w:cs="宋体" w:eastAsia="宋体" w:hint="default"/>
          <w:spacing w:val="60"/>
        </w:rPr>
        <w:t> </w:t>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3227" w:space="4766"/>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1983"/>
        <w:gridCol w:w="852"/>
        <w:gridCol w:w="1704"/>
        <w:gridCol w:w="852"/>
        <w:gridCol w:w="853"/>
        <w:gridCol w:w="1706"/>
      </w:tblGrid>
      <w:tr>
        <w:trPr>
          <w:trHeight w:val="164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05" w:right="101"/>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1"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8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1,556,869,998.14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604,865,145.22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157.39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主要系本期非公</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z w:val="21"/>
                <w:szCs w:val="21"/>
              </w:rPr>
              <w:t>开募集资金、发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行债券筹资导致</w:t>
            </w: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63,889,792.76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97,157,988.76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-34.24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主要系子公司</w:t>
            </w:r>
            <w:r>
              <w:rPr>
                <w:rFonts w:ascii="宋体" w:hAnsi="宋体" w:cs="宋体" w:eastAsia="宋体" w:hint="default"/>
                <w:spacing w:val="16"/>
                <w:sz w:val="21"/>
                <w:szCs w:val="21"/>
              </w:rPr>
              <w:t>-</w:t>
            </w:r>
          </w:p>
          <w:p>
            <w:pPr>
              <w:pStyle w:val="TableParagraph"/>
              <w:spacing w:line="237" w:lineRule="auto"/>
              <w:ind w:left="100" w:right="100"/>
              <w:jc w:val="both"/>
              <w:rPr>
                <w:rFonts w:ascii="宋体" w:hAnsi="宋体" w:cs="宋体" w:eastAsia="宋体" w:hint="default"/>
                <w:sz w:val="21"/>
                <w:szCs w:val="21"/>
              </w:rPr>
            </w:pPr>
            <w:r>
              <w:rPr>
                <w:rFonts w:ascii="宋体" w:hAnsi="宋体" w:cs="宋体" w:eastAsia="宋体" w:hint="default"/>
                <w:sz w:val="21"/>
                <w:szCs w:val="21"/>
              </w:rPr>
              <w:t>齐普生应收票据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结算货款减少导</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致</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569,738,219.86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12.53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430,844,864.34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13.57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32.24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主要系本期收入</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z w:val="21"/>
                <w:szCs w:val="21"/>
              </w:rPr>
              <w:t>增长，客户回款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较慢所致</w:t>
            </w:r>
          </w:p>
        </w:tc>
      </w:tr>
      <w:tr>
        <w:trPr>
          <w:trHeight w:val="164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22,898,048.04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72,850,314.73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-68.57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主要系母公司</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按</w:t>
            </w:r>
            <w:r>
              <w:rPr>
                <w:rFonts w:ascii="宋体" w:hAnsi="宋体" w:cs="宋体" w:eastAsia="宋体" w:hint="default"/>
                <w:spacing w:val="-77"/>
                <w:sz w:val="21"/>
                <w:szCs w:val="21"/>
              </w:rPr>
              <w:t> </w:t>
            </w:r>
            <w:r>
              <w:rPr>
                <w:rFonts w:ascii="宋体" w:hAnsi="宋体" w:cs="宋体" w:eastAsia="宋体" w:hint="default"/>
                <w:sz w:val="21"/>
                <w:szCs w:val="21"/>
              </w:rPr>
              <w:t>协</w:t>
            </w:r>
            <w:r>
              <w:rPr>
                <w:rFonts w:ascii="宋体" w:hAnsi="宋体" w:cs="宋体" w:eastAsia="宋体" w:hint="default"/>
                <w:spacing w:val="-74"/>
                <w:sz w:val="21"/>
                <w:szCs w:val="21"/>
              </w:rPr>
              <w:t> </w:t>
            </w:r>
            <w:r>
              <w:rPr>
                <w:rFonts w:ascii="宋体" w:hAnsi="宋体" w:cs="宋体" w:eastAsia="宋体" w:hint="default"/>
                <w:sz w:val="21"/>
                <w:szCs w:val="21"/>
              </w:rPr>
              <w:t>议</w:t>
            </w:r>
            <w:r>
              <w:rPr>
                <w:rFonts w:ascii="宋体" w:hAnsi="宋体" w:cs="宋体" w:eastAsia="宋体" w:hint="default"/>
                <w:spacing w:val="-74"/>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付深圳光启梦想</w:t>
            </w:r>
          </w:p>
          <w:p>
            <w:pPr>
              <w:pStyle w:val="TableParagraph"/>
              <w:spacing w:line="272" w:lineRule="exact" w:before="2"/>
              <w:ind w:left="100" w:right="53"/>
              <w:jc w:val="left"/>
              <w:rPr>
                <w:rFonts w:ascii="宋体" w:hAnsi="宋体" w:cs="宋体" w:eastAsia="宋体" w:hint="default"/>
                <w:sz w:val="21"/>
                <w:szCs w:val="21"/>
              </w:rPr>
            </w:pPr>
            <w:r>
              <w:rPr>
                <w:rFonts w:ascii="宋体" w:hAnsi="宋体" w:cs="宋体" w:eastAsia="宋体" w:hint="default"/>
                <w:spacing w:val="36"/>
                <w:sz w:val="21"/>
                <w:szCs w:val="21"/>
              </w:rPr>
              <w:t>科技有限公司</w:t>
            </w:r>
            <w:r>
              <w:rPr>
                <w:rFonts w:ascii="宋体" w:hAnsi="宋体" w:cs="宋体" w:eastAsia="宋体" w:hint="default"/>
                <w:spacing w:val="-89"/>
                <w:sz w:val="21"/>
                <w:szCs w:val="21"/>
              </w:rPr>
              <w:t> </w:t>
            </w:r>
            <w:r>
              <w:rPr>
                <w:rFonts w:ascii="宋体" w:hAnsi="宋体" w:cs="宋体" w:eastAsia="宋体" w:hint="default"/>
                <w:sz w:val="21"/>
                <w:szCs w:val="21"/>
              </w:rPr>
              <w:t>4365</w:t>
            </w:r>
            <w:r>
              <w:rPr>
                <w:rFonts w:ascii="宋体" w:hAnsi="宋体" w:cs="宋体" w:eastAsia="宋体" w:hint="default"/>
                <w:spacing w:val="35"/>
                <w:sz w:val="21"/>
                <w:szCs w:val="21"/>
              </w:rPr>
              <w:t> </w:t>
            </w:r>
            <w:r>
              <w:rPr>
                <w:rFonts w:ascii="宋体" w:hAnsi="宋体" w:cs="宋体" w:eastAsia="宋体" w:hint="default"/>
                <w:sz w:val="21"/>
                <w:szCs w:val="21"/>
              </w:rPr>
              <w:t>万</w:t>
            </w:r>
            <w:r>
              <w:rPr>
                <w:rFonts w:ascii="宋体" w:hAnsi="宋体" w:cs="宋体" w:eastAsia="宋体" w:hint="default"/>
                <w:spacing w:val="-77"/>
                <w:sz w:val="21"/>
                <w:szCs w:val="21"/>
              </w:rPr>
              <w:t> </w:t>
            </w:r>
            <w:r>
              <w:rPr>
                <w:rFonts w:ascii="宋体" w:hAnsi="宋体" w:cs="宋体" w:eastAsia="宋体" w:hint="default"/>
                <w:sz w:val="21"/>
                <w:szCs w:val="21"/>
              </w:rPr>
              <w:t>元</w:t>
            </w:r>
            <w:r>
              <w:rPr>
                <w:rFonts w:ascii="宋体" w:hAnsi="宋体" w:cs="宋体" w:eastAsia="宋体" w:hint="default"/>
                <w:spacing w:val="-73"/>
                <w:sz w:val="21"/>
                <w:szCs w:val="21"/>
              </w:rPr>
              <w:t> </w:t>
            </w:r>
            <w:r>
              <w:rPr>
                <w:rFonts w:ascii="宋体" w:hAnsi="宋体" w:cs="宋体" w:eastAsia="宋体" w:hint="default"/>
                <w:sz w:val="21"/>
                <w:szCs w:val="21"/>
              </w:rPr>
              <w:t>收</w:t>
            </w:r>
            <w:r>
              <w:rPr>
                <w:rFonts w:ascii="宋体" w:hAnsi="宋体" w:cs="宋体" w:eastAsia="宋体" w:hint="default"/>
                <w:spacing w:val="-73"/>
                <w:sz w:val="21"/>
                <w:szCs w:val="21"/>
              </w:rPr>
              <w:t> </w:t>
            </w:r>
            <w:r>
              <w:rPr>
                <w:rFonts w:ascii="宋体" w:hAnsi="宋体" w:cs="宋体" w:eastAsia="宋体" w:hint="default"/>
                <w:sz w:val="21"/>
                <w:szCs w:val="21"/>
              </w:rPr>
              <w:t>回</w:t>
            </w:r>
          </w:p>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导致</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1,183,600.69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649,590.49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82.21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主要系委托贷款</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z w:val="21"/>
                <w:szCs w:val="21"/>
              </w:rPr>
              <w:t>利息收入增加所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致</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其他应收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48,534,024.01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37,334,754.54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主要系往来款增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加所致</w:t>
            </w:r>
          </w:p>
        </w:tc>
      </w:tr>
      <w:tr>
        <w:trPr>
          <w:trHeight w:val="110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1,061,951,443.45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847,170,217.92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26.69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25.35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主要系在执行项</w:t>
            </w:r>
          </w:p>
          <w:p>
            <w:pPr>
              <w:pStyle w:val="TableParagraph"/>
              <w:spacing w:line="237" w:lineRule="auto"/>
              <w:ind w:left="100" w:right="100"/>
              <w:jc w:val="both"/>
              <w:rPr>
                <w:rFonts w:ascii="宋体" w:hAnsi="宋体" w:cs="宋体" w:eastAsia="宋体" w:hint="default"/>
                <w:sz w:val="21"/>
                <w:szCs w:val="21"/>
              </w:rPr>
            </w:pPr>
            <w:r>
              <w:rPr>
                <w:rFonts w:ascii="宋体" w:hAnsi="宋体" w:cs="宋体" w:eastAsia="宋体" w:hint="default"/>
                <w:sz w:val="21"/>
                <w:szCs w:val="21"/>
              </w:rPr>
              <w:t>目增加及子公司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齐普生从供应商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处提货增加所致</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其他流动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22,350,650.10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37,936,054.01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-41.08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主要系待抵扣增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值税减少所致</w:t>
            </w: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可供出售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125,195,642.84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87,215,454.55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43.55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主要系子公司金</w:t>
            </w:r>
          </w:p>
          <w:p>
            <w:pPr>
              <w:pStyle w:val="TableParagraph"/>
              <w:spacing w:line="237" w:lineRule="auto" w:before="2"/>
              <w:ind w:left="100" w:right="100"/>
              <w:jc w:val="both"/>
              <w:rPr>
                <w:rFonts w:ascii="宋体" w:hAnsi="宋体" w:cs="宋体" w:eastAsia="宋体" w:hint="default"/>
                <w:sz w:val="21"/>
                <w:szCs w:val="21"/>
              </w:rPr>
            </w:pPr>
            <w:r>
              <w:rPr>
                <w:rFonts w:ascii="宋体" w:hAnsi="宋体" w:cs="宋体" w:eastAsia="宋体" w:hint="default"/>
                <w:sz w:val="21"/>
                <w:szCs w:val="21"/>
              </w:rPr>
              <w:t>证财富购置有市</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场报价的基金产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品所致</w:t>
            </w:r>
          </w:p>
        </w:tc>
      </w:tr>
      <w:tr>
        <w:trPr>
          <w:trHeight w:val="164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长期股权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127,274,092.63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82,389,619.00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54.48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主要系本期对外</w:t>
            </w:r>
          </w:p>
          <w:p>
            <w:pPr>
              <w:pStyle w:val="TableParagraph"/>
              <w:spacing w:line="237" w:lineRule="auto" w:before="2"/>
              <w:ind w:left="100" w:right="100"/>
              <w:jc w:val="both"/>
              <w:rPr>
                <w:rFonts w:ascii="宋体" w:hAnsi="宋体" w:cs="宋体" w:eastAsia="宋体" w:hint="default"/>
                <w:sz w:val="21"/>
                <w:szCs w:val="21"/>
              </w:rPr>
            </w:pPr>
            <w:r>
              <w:rPr>
                <w:rFonts w:ascii="宋体" w:hAnsi="宋体" w:cs="宋体" w:eastAsia="宋体" w:hint="default"/>
                <w:sz w:val="21"/>
                <w:szCs w:val="21"/>
              </w:rPr>
              <w:t>投资增加所致，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增加星网信通、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金证文体、武汉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无线飞翔等权益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法核算公司</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317,678,338.93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215,098,858.94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47.69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主要系全资子公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司—南京金证信</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9"/>
        <w:gridCol w:w="1983"/>
        <w:gridCol w:w="852"/>
        <w:gridCol w:w="1704"/>
        <w:gridCol w:w="852"/>
        <w:gridCol w:w="853"/>
        <w:gridCol w:w="1706"/>
      </w:tblGrid>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息及成都金证信</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z w:val="21"/>
                <w:szCs w:val="21"/>
              </w:rPr>
              <w:t>息办公楼建设施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工导致。</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长期待摊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8,564,856.38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4,899,259.95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74.82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主要系房屋装修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费增加所致</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递延所得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13,179,484.98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9,638,835.83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36.73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主要系坏账准备</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z w:val="21"/>
                <w:szCs w:val="21"/>
              </w:rPr>
              <w:t>及未实现内部交</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易增加所致</w:t>
            </w:r>
          </w:p>
        </w:tc>
      </w:tr>
      <w:tr>
        <w:trPr>
          <w:trHeight w:val="8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595,331,567.76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272.08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主要系母公司及</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z w:val="21"/>
                <w:szCs w:val="21"/>
              </w:rPr>
              <w:t>齐普生借款增加</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所致</w:t>
            </w:r>
          </w:p>
        </w:tc>
      </w:tr>
      <w:tr>
        <w:trPr>
          <w:trHeight w:val="555"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6,954,670.00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10,642,582.00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-34.65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主要是票据结算</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减少所致</w:t>
            </w:r>
          </w:p>
        </w:tc>
      </w:tr>
      <w:tr>
        <w:trPr>
          <w:trHeight w:val="55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3,005,879.08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369,424.66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713.66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主要系应付债券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计提的票面利息</w:t>
            </w: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其他应付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133,326,446.83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275,681,607.87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-51.64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主要系应付收购</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子公司—联龙博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通股权转让款减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少所致</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47,898,000.00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主要系母公司借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款增加所致</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345,367,117.34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主要系本期母公</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z w:val="21"/>
                <w:szCs w:val="21"/>
              </w:rPr>
              <w:t>司对外发行债券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导致</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900"/>
        </w:sectPr>
      </w:pPr>
    </w:p>
    <w:p>
      <w:pPr>
        <w:pStyle w:val="BodyText"/>
        <w:spacing w:line="241" w:lineRule="exact"/>
        <w:ind w:right="-18"/>
        <w:jc w:val="left"/>
      </w:pPr>
      <w:r>
        <w:rPr/>
        <w:t>其他说明</w:t>
      </w:r>
    </w:p>
    <w:p>
      <w:pPr>
        <w:pStyle w:val="Heading2"/>
        <w:spacing w:line="240" w:lineRule="auto" w:before="50"/>
        <w:ind w:right="-18"/>
        <w:jc w:val="left"/>
        <w:rPr>
          <w:b w:val="0"/>
          <w:bCs w:val="0"/>
        </w:rPr>
      </w:pPr>
      <w:r>
        <w:rPr>
          <w:rFonts w:ascii="宋体" w:hAnsi="宋体" w:cs="宋体" w:eastAsia="宋体" w:hint="default"/>
        </w:rPr>
        <w:t>2.</w:t>
      </w:r>
      <w:r>
        <w:rPr>
          <w:rFonts w:ascii="宋体" w:hAnsi="宋体" w:cs="宋体" w:eastAsia="宋体" w:hint="default"/>
          <w:spacing w:val="61"/>
        </w:rPr>
        <w:t> </w:t>
      </w:r>
      <w:r>
        <w:rPr/>
        <w:t>截至报告期末主要资产受限情况</w:t>
      </w:r>
      <w:r>
        <w:rPr>
          <w:b w:val="0"/>
          <w:bCs w:val="0"/>
        </w:rPr>
      </w:r>
    </w:p>
    <w:p>
      <w:pPr>
        <w:pStyle w:val="BodyText"/>
        <w:tabs>
          <w:tab w:pos="1060" w:val="left" w:leader="none"/>
        </w:tabs>
        <w:spacing w:line="240" w:lineRule="auto" w:before="64"/>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right="0"/>
        <w:jc w:val="left"/>
      </w:pPr>
      <w:r>
        <w:rPr/>
        <w:t>单位：万元</w:t>
      </w:r>
    </w:p>
    <w:p>
      <w:pPr>
        <w:spacing w:after="0" w:line="240" w:lineRule="auto"/>
        <w:jc w:val="left"/>
        <w:sectPr>
          <w:type w:val="continuous"/>
          <w:pgSz w:w="11910" w:h="16840"/>
          <w:pgMar w:top="1120" w:bottom="1380" w:left="1580" w:right="900"/>
          <w:cols w:num="2" w:equalWidth="0">
            <w:col w:w="4018" w:space="3764"/>
            <w:col w:w="1648"/>
          </w:cols>
        </w:sectPr>
      </w:pPr>
    </w:p>
    <w:p>
      <w:pPr>
        <w:spacing w:line="240" w:lineRule="auto" w:before="7"/>
        <w:rPr>
          <w:rFonts w:ascii="宋体" w:hAnsi="宋体" w:cs="宋体" w:eastAsia="宋体" w:hint="default"/>
          <w:sz w:val="2"/>
          <w:szCs w:val="2"/>
        </w:rPr>
      </w:pPr>
    </w:p>
    <w:tbl>
      <w:tblPr>
        <w:tblW w:w="0" w:type="auto"/>
        <w:jc w:val="left"/>
        <w:tblInd w:w="189" w:type="dxa"/>
        <w:tblLayout w:type="fixed"/>
        <w:tblCellMar>
          <w:top w:w="0" w:type="dxa"/>
          <w:left w:w="0" w:type="dxa"/>
          <w:bottom w:w="0" w:type="dxa"/>
          <w:right w:w="0" w:type="dxa"/>
        </w:tblCellMar>
        <w:tblLook w:val="01E0"/>
      </w:tblPr>
      <w:tblGrid>
        <w:gridCol w:w="1044"/>
        <w:gridCol w:w="2134"/>
        <w:gridCol w:w="1274"/>
        <w:gridCol w:w="1275"/>
        <w:gridCol w:w="3353"/>
      </w:tblGrid>
      <w:tr>
        <w:trPr>
          <w:trHeight w:val="310" w:hRule="exact"/>
        </w:trPr>
        <w:tc>
          <w:tcPr>
            <w:tcW w:w="1044" w:type="dxa"/>
            <w:vMerge w:val="restart"/>
            <w:tcBorders>
              <w:top w:val="single" w:sz="12" w:space="0" w:color="000000"/>
              <w:left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b/>
                <w:bCs/>
                <w:sz w:val="21"/>
                <w:szCs w:val="21"/>
              </w:rPr>
              <w:t>序列</w:t>
            </w:r>
            <w:r>
              <w:rPr>
                <w:rFonts w:ascii="宋体" w:hAnsi="宋体" w:cs="宋体" w:eastAsia="宋体" w:hint="default"/>
                <w:sz w:val="21"/>
                <w:szCs w:val="21"/>
              </w:rPr>
            </w:r>
          </w:p>
        </w:tc>
        <w:tc>
          <w:tcPr>
            <w:tcW w:w="2134" w:type="dxa"/>
            <w:vMerge w:val="restart"/>
            <w:tcBorders>
              <w:top w:val="single" w:sz="12"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4" w:type="dxa"/>
            <w:tcBorders>
              <w:top w:val="single" w:sz="12" w:space="0" w:color="000000"/>
              <w:left w:val="single" w:sz="8" w:space="0" w:color="000000"/>
              <w:bottom w:val="nil" w:sz="6" w:space="0" w:color="auto"/>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b/>
                <w:w w:val="95"/>
                <w:sz w:val="21"/>
              </w:rPr>
              <w:t>2017-12-31</w:t>
            </w:r>
            <w:r>
              <w:rPr>
                <w:rFonts w:ascii="宋体"/>
                <w:sz w:val="21"/>
              </w:rPr>
            </w:r>
          </w:p>
        </w:tc>
        <w:tc>
          <w:tcPr>
            <w:tcW w:w="1275" w:type="dxa"/>
            <w:tcBorders>
              <w:top w:val="single" w:sz="12" w:space="0" w:color="000000"/>
              <w:left w:val="single" w:sz="8" w:space="0" w:color="000000"/>
              <w:bottom w:val="nil" w:sz="6" w:space="0" w:color="auto"/>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b/>
                <w:w w:val="95"/>
                <w:sz w:val="21"/>
              </w:rPr>
              <w:t>2016-12-31</w:t>
            </w:r>
            <w:r>
              <w:rPr>
                <w:rFonts w:ascii="宋体"/>
                <w:sz w:val="21"/>
              </w:rPr>
            </w:r>
          </w:p>
        </w:tc>
        <w:tc>
          <w:tcPr>
            <w:tcW w:w="3353" w:type="dxa"/>
            <w:vMerge w:val="restart"/>
            <w:tcBorders>
              <w:top w:val="single" w:sz="12" w:space="0" w:color="000000"/>
              <w:left w:val="single" w:sz="8"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b/>
                <w:bCs/>
                <w:sz w:val="21"/>
                <w:szCs w:val="21"/>
              </w:rPr>
              <w:t>限制原因</w:t>
            </w:r>
            <w:r>
              <w:rPr>
                <w:rFonts w:ascii="宋体" w:hAnsi="宋体" w:cs="宋体" w:eastAsia="宋体" w:hint="default"/>
                <w:sz w:val="21"/>
                <w:szCs w:val="21"/>
              </w:rPr>
            </w:r>
          </w:p>
        </w:tc>
      </w:tr>
      <w:tr>
        <w:trPr>
          <w:trHeight w:val="573" w:hRule="exact"/>
        </w:trPr>
        <w:tc>
          <w:tcPr>
            <w:tcW w:w="1044" w:type="dxa"/>
            <w:vMerge/>
            <w:tcBorders>
              <w:left w:val="single" w:sz="12" w:space="0" w:color="000000"/>
              <w:bottom w:val="single" w:sz="8" w:space="0" w:color="000000"/>
              <w:right w:val="single" w:sz="8" w:space="0" w:color="000000"/>
            </w:tcBorders>
          </w:tcPr>
          <w:p>
            <w:pPr/>
          </w:p>
        </w:tc>
        <w:tc>
          <w:tcPr>
            <w:tcW w:w="2134" w:type="dxa"/>
            <w:vMerge/>
            <w:tcBorders>
              <w:left w:val="single" w:sz="8" w:space="0" w:color="000000"/>
              <w:bottom w:val="single" w:sz="8" w:space="0" w:color="000000"/>
              <w:right w:val="single" w:sz="8" w:space="0" w:color="000000"/>
            </w:tcBorders>
          </w:tcPr>
          <w:p>
            <w:pPr/>
          </w:p>
        </w:tc>
        <w:tc>
          <w:tcPr>
            <w:tcW w:w="1274" w:type="dxa"/>
            <w:tcBorders>
              <w:top w:val="nil" w:sz="6" w:space="0" w:color="auto"/>
              <w:left w:val="single" w:sz="8" w:space="0" w:color="000000"/>
              <w:bottom w:val="single" w:sz="8" w:space="0" w:color="000000"/>
              <w:right w:val="single" w:sz="8" w:space="0" w:color="000000"/>
            </w:tcBorders>
          </w:tcPr>
          <w:p>
            <w:pPr>
              <w:pStyle w:val="TableParagraph"/>
              <w:spacing w:line="259"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275" w:type="dxa"/>
            <w:tcBorders>
              <w:top w:val="nil" w:sz="6" w:space="0" w:color="auto"/>
              <w:left w:val="single" w:sz="8" w:space="0" w:color="000000"/>
              <w:bottom w:val="single" w:sz="8" w:space="0" w:color="000000"/>
              <w:right w:val="single" w:sz="8" w:space="0" w:color="000000"/>
            </w:tcBorders>
          </w:tcPr>
          <w:p>
            <w:pPr>
              <w:pStyle w:val="TableParagraph"/>
              <w:spacing w:line="259"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3353" w:type="dxa"/>
            <w:vMerge/>
            <w:tcBorders>
              <w:left w:val="single" w:sz="8" w:space="0" w:color="000000"/>
              <w:bottom w:val="single" w:sz="8" w:space="0" w:color="000000"/>
              <w:right w:val="single" w:sz="12" w:space="0" w:color="000000"/>
            </w:tcBorders>
          </w:tcPr>
          <w:p>
            <w:pPr/>
          </w:p>
        </w:tc>
      </w:tr>
      <w:tr>
        <w:trPr>
          <w:trHeight w:val="305" w:hRule="exact"/>
        </w:trPr>
        <w:tc>
          <w:tcPr>
            <w:tcW w:w="1044" w:type="dxa"/>
            <w:tcBorders>
              <w:top w:val="single" w:sz="8" w:space="0" w:color="000000"/>
              <w:left w:val="single" w:sz="12" w:space="0" w:color="000000"/>
              <w:bottom w:val="single" w:sz="8" w:space="0" w:color="000000"/>
              <w:right w:val="single" w:sz="8" w:space="0" w:color="000000"/>
            </w:tcBorders>
          </w:tcPr>
          <w:p>
            <w:pPr>
              <w:pStyle w:val="TableParagraph"/>
              <w:spacing w:line="248" w:lineRule="exact"/>
              <w:ind w:right="5"/>
              <w:jc w:val="center"/>
              <w:rPr>
                <w:rFonts w:ascii="宋体" w:hAnsi="宋体" w:cs="宋体" w:eastAsia="宋体" w:hint="default"/>
                <w:sz w:val="21"/>
                <w:szCs w:val="21"/>
              </w:rPr>
            </w:pPr>
            <w:r>
              <w:rPr>
                <w:rFonts w:ascii="宋体"/>
                <w:w w:val="100"/>
                <w:sz w:val="21"/>
              </w:rPr>
              <w:t>1</w:t>
            </w:r>
          </w:p>
        </w:tc>
        <w:tc>
          <w:tcPr>
            <w:tcW w:w="21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受限货币资金</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3,420.91</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4,707.60</w:t>
            </w:r>
          </w:p>
        </w:tc>
        <w:tc>
          <w:tcPr>
            <w:tcW w:w="3353" w:type="dxa"/>
            <w:tcBorders>
              <w:top w:val="single" w:sz="8" w:space="0" w:color="000000"/>
              <w:left w:val="single" w:sz="8" w:space="0" w:color="000000"/>
              <w:bottom w:val="single" w:sz="8" w:space="0" w:color="000000"/>
              <w:right w:val="single" w:sz="12"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保证金及已冻结的银行存款</w:t>
            </w:r>
          </w:p>
        </w:tc>
      </w:tr>
      <w:tr>
        <w:trPr>
          <w:trHeight w:val="307" w:hRule="exact"/>
        </w:trPr>
        <w:tc>
          <w:tcPr>
            <w:tcW w:w="1044" w:type="dxa"/>
            <w:tcBorders>
              <w:top w:val="single" w:sz="8" w:space="0" w:color="000000"/>
              <w:left w:val="single" w:sz="12" w:space="0" w:color="000000"/>
              <w:bottom w:val="single" w:sz="8" w:space="0" w:color="000000"/>
              <w:right w:val="single" w:sz="8" w:space="0" w:color="000000"/>
            </w:tcBorders>
          </w:tcPr>
          <w:p>
            <w:pPr>
              <w:pStyle w:val="TableParagraph"/>
              <w:spacing w:line="248" w:lineRule="exact"/>
              <w:ind w:right="5"/>
              <w:jc w:val="center"/>
              <w:rPr>
                <w:rFonts w:ascii="宋体" w:hAnsi="宋体" w:cs="宋体" w:eastAsia="宋体" w:hint="default"/>
                <w:sz w:val="21"/>
                <w:szCs w:val="21"/>
              </w:rPr>
            </w:pPr>
            <w:r>
              <w:rPr>
                <w:rFonts w:ascii="宋体"/>
                <w:w w:val="100"/>
                <w:sz w:val="21"/>
              </w:rPr>
              <w:t>2</w:t>
            </w:r>
          </w:p>
        </w:tc>
        <w:tc>
          <w:tcPr>
            <w:tcW w:w="21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受限的土地使用权</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346.66</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356.05</w:t>
            </w:r>
          </w:p>
        </w:tc>
        <w:tc>
          <w:tcPr>
            <w:tcW w:w="3353" w:type="dxa"/>
            <w:tcBorders>
              <w:top w:val="single" w:sz="8" w:space="0" w:color="000000"/>
              <w:left w:val="single" w:sz="8" w:space="0" w:color="000000"/>
              <w:bottom w:val="single" w:sz="8" w:space="0" w:color="000000"/>
              <w:right w:val="single" w:sz="12"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贷款抵押</w:t>
            </w:r>
          </w:p>
        </w:tc>
      </w:tr>
      <w:tr>
        <w:trPr>
          <w:trHeight w:val="565" w:hRule="exact"/>
        </w:trPr>
        <w:tc>
          <w:tcPr>
            <w:tcW w:w="104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w w:val="100"/>
                <w:sz w:val="21"/>
              </w:rPr>
              <w:t>3</w:t>
            </w:r>
          </w:p>
        </w:tc>
        <w:tc>
          <w:tcPr>
            <w:tcW w:w="2134"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固定资产—房屋建筑</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5,214.47</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5,782.07</w:t>
            </w:r>
          </w:p>
        </w:tc>
        <w:tc>
          <w:tcPr>
            <w:tcW w:w="335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贷款抵押</w:t>
            </w:r>
          </w:p>
        </w:tc>
      </w:tr>
      <w:tr>
        <w:trPr>
          <w:trHeight w:val="305" w:hRule="exact"/>
        </w:trPr>
        <w:tc>
          <w:tcPr>
            <w:tcW w:w="1044" w:type="dxa"/>
            <w:tcBorders>
              <w:top w:val="single" w:sz="8" w:space="0" w:color="000000"/>
              <w:left w:val="single" w:sz="12" w:space="0" w:color="000000"/>
              <w:bottom w:val="single" w:sz="8" w:space="0" w:color="000000"/>
              <w:right w:val="single" w:sz="8" w:space="0" w:color="000000"/>
            </w:tcBorders>
          </w:tcPr>
          <w:p>
            <w:pPr>
              <w:pStyle w:val="TableParagraph"/>
              <w:spacing w:line="248" w:lineRule="exact"/>
              <w:ind w:right="5"/>
              <w:jc w:val="center"/>
              <w:rPr>
                <w:rFonts w:ascii="宋体" w:hAnsi="宋体" w:cs="宋体" w:eastAsia="宋体" w:hint="default"/>
                <w:sz w:val="21"/>
                <w:szCs w:val="21"/>
              </w:rPr>
            </w:pPr>
            <w:r>
              <w:rPr>
                <w:rFonts w:ascii="宋体"/>
                <w:w w:val="100"/>
                <w:sz w:val="21"/>
              </w:rPr>
              <w:t>4</w:t>
            </w:r>
          </w:p>
        </w:tc>
        <w:tc>
          <w:tcPr>
            <w:tcW w:w="21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联龙博通</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36,000.00</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36,000.00</w:t>
            </w:r>
          </w:p>
        </w:tc>
        <w:tc>
          <w:tcPr>
            <w:tcW w:w="3353" w:type="dxa"/>
            <w:tcBorders>
              <w:top w:val="single" w:sz="8" w:space="0" w:color="000000"/>
              <w:left w:val="single" w:sz="8" w:space="0" w:color="000000"/>
              <w:bottom w:val="single" w:sz="8" w:space="0" w:color="000000"/>
              <w:right w:val="single" w:sz="12"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贷款质押</w:t>
            </w:r>
          </w:p>
        </w:tc>
      </w:tr>
      <w:tr>
        <w:trPr>
          <w:trHeight w:val="310" w:hRule="exact"/>
        </w:trPr>
        <w:tc>
          <w:tcPr>
            <w:tcW w:w="3178" w:type="dxa"/>
            <w:gridSpan w:val="2"/>
            <w:tcBorders>
              <w:top w:val="single" w:sz="8" w:space="0" w:color="000000"/>
              <w:left w:val="single" w:sz="12" w:space="0" w:color="000000"/>
              <w:bottom w:val="single" w:sz="12" w:space="0" w:color="000000"/>
              <w:right w:val="single" w:sz="8"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4" w:type="dxa"/>
            <w:tcBorders>
              <w:top w:val="single" w:sz="8" w:space="0" w:color="000000"/>
              <w:left w:val="single" w:sz="8" w:space="0" w:color="000000"/>
              <w:bottom w:val="single" w:sz="12"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b/>
                <w:sz w:val="21"/>
              </w:rPr>
              <w:t>44,982.04</w:t>
            </w:r>
            <w:r>
              <w:rPr>
                <w:rFonts w:ascii="宋体"/>
                <w:sz w:val="21"/>
              </w:rPr>
            </w:r>
          </w:p>
        </w:tc>
        <w:tc>
          <w:tcPr>
            <w:tcW w:w="1275" w:type="dxa"/>
            <w:tcBorders>
              <w:top w:val="single" w:sz="8" w:space="0" w:color="000000"/>
              <w:left w:val="single" w:sz="8" w:space="0" w:color="000000"/>
              <w:bottom w:val="single" w:sz="12"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b/>
                <w:sz w:val="21"/>
              </w:rPr>
              <w:t>46,845.72</w:t>
            </w:r>
            <w:r>
              <w:rPr>
                <w:rFonts w:ascii="宋体"/>
                <w:sz w:val="21"/>
              </w:rPr>
            </w:r>
          </w:p>
        </w:tc>
        <w:tc>
          <w:tcPr>
            <w:tcW w:w="3353" w:type="dxa"/>
            <w:tcBorders>
              <w:top w:val="single" w:sz="8" w:space="0" w:color="000000"/>
              <w:left w:val="single" w:sz="8" w:space="0" w:color="000000"/>
              <w:bottom w:val="single" w:sz="12" w:space="0" w:color="000000"/>
              <w:right w:val="single" w:sz="12" w:space="0" w:color="000000"/>
            </w:tcBorders>
          </w:tcPr>
          <w:p>
            <w:pPr/>
          </w:p>
        </w:tc>
      </w:tr>
    </w:tbl>
    <w:p>
      <w:pPr>
        <w:pStyle w:val="BodyText"/>
        <w:spacing w:line="241" w:lineRule="exact"/>
        <w:ind w:left="638" w:right="0"/>
        <w:jc w:val="left"/>
      </w:pPr>
      <w:r>
        <w:rPr>
          <w:rFonts w:ascii="宋体" w:hAnsi="宋体" w:cs="宋体" w:eastAsia="宋体" w:hint="default"/>
          <w:spacing w:val="-2"/>
        </w:rPr>
        <w:t>1</w:t>
      </w:r>
      <w:r>
        <w:rPr>
          <w:spacing w:val="-2"/>
        </w:rPr>
        <w:t>：受限制的货币资金为保证金及已经冻结的银行存款，详见附注六</w:t>
      </w:r>
      <w:r>
        <w:rPr>
          <w:rFonts w:ascii="宋体" w:hAnsi="宋体" w:cs="宋体" w:eastAsia="宋体" w:hint="default"/>
          <w:spacing w:val="-2"/>
        </w:rPr>
        <w:t>-</w:t>
      </w:r>
      <w:r>
        <w:rPr>
          <w:spacing w:val="-2"/>
        </w:rPr>
        <w:t>注释</w:t>
      </w:r>
      <w:r>
        <w:rPr>
          <w:spacing w:val="10"/>
        </w:rPr>
        <w:t> </w:t>
      </w:r>
      <w:r>
        <w:rPr>
          <w:rFonts w:ascii="宋体" w:hAnsi="宋体" w:cs="宋体" w:eastAsia="宋体" w:hint="default"/>
          <w:spacing w:val="-2"/>
        </w:rPr>
        <w:t>1</w:t>
      </w:r>
      <w:r>
        <w:rPr>
          <w:spacing w:val="-2"/>
        </w:rPr>
        <w:t>。</w:t>
      </w:r>
    </w:p>
    <w:p>
      <w:pPr>
        <w:pStyle w:val="BodyText"/>
        <w:spacing w:line="355" w:lineRule="auto" w:before="135"/>
        <w:ind w:right="368" w:firstLine="419"/>
        <w:jc w:val="both"/>
      </w:pPr>
      <w:r>
        <w:rPr>
          <w:rFonts w:ascii="宋体" w:hAnsi="宋体" w:cs="宋体" w:eastAsia="宋体" w:hint="default"/>
          <w:spacing w:val="-4"/>
        </w:rPr>
        <w:t>2</w:t>
      </w:r>
      <w:r>
        <w:rPr>
          <w:spacing w:val="-4"/>
        </w:rPr>
        <w:t>：根据本公司与招商银行股份有限公司签订的借款合同，授信金额为 </w:t>
      </w:r>
      <w:r>
        <w:rPr>
          <w:rFonts w:ascii="宋体" w:hAnsi="宋体" w:cs="宋体" w:eastAsia="宋体" w:hint="default"/>
        </w:rPr>
        <w:t>3</w:t>
      </w:r>
      <w:r>
        <w:rPr>
          <w:rFonts w:ascii="宋体" w:hAnsi="宋体" w:cs="宋体" w:eastAsia="宋体" w:hint="default"/>
          <w:spacing w:val="-45"/>
        </w:rPr>
        <w:t> </w:t>
      </w:r>
      <w:r>
        <w:rPr>
          <w:spacing w:val="-5"/>
        </w:rPr>
        <w:t>亿元整，贷款只能用</w:t>
      </w:r>
      <w:r>
        <w:rPr>
          <w:w w:val="100"/>
        </w:rPr>
        <w:t> </w:t>
      </w:r>
      <w:r>
        <w:rPr>
          <w:spacing w:val="-2"/>
        </w:rPr>
        <w:t>于收购北京联龙博通电子商务技术有限公司的股权，担保方式为质押北京联龙博通电子商务技术</w:t>
      </w:r>
      <w:r>
        <w:rPr>
          <w:spacing w:val="-25"/>
        </w:rPr>
        <w:t> </w:t>
      </w:r>
      <w:r>
        <w:rPr>
          <w:spacing w:val="-25"/>
        </w:rPr>
      </w:r>
      <w:r>
        <w:rPr>
          <w:spacing w:val="-4"/>
        </w:rPr>
        <w:t>有限公司的股权及抵押金证科技大楼，截止</w:t>
      </w:r>
      <w:r>
        <w:rPr>
          <w:spacing w:val="-43"/>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日，尚未偿还招商银行股份有限公司</w:t>
      </w:r>
    </w:p>
    <w:p>
      <w:pPr>
        <w:pStyle w:val="BodyText"/>
        <w:spacing w:line="240" w:lineRule="auto" w:before="32"/>
        <w:ind w:right="0"/>
        <w:jc w:val="left"/>
      </w:pPr>
      <w:r>
        <w:rPr/>
        <w:t>的借款金额为</w:t>
      </w:r>
      <w:r>
        <w:rPr>
          <w:spacing w:val="-54"/>
        </w:rPr>
        <w:t> </w:t>
      </w:r>
      <w:r>
        <w:rPr>
          <w:rFonts w:ascii="宋体" w:hAnsi="宋体" w:cs="宋体" w:eastAsia="宋体" w:hint="default"/>
        </w:rPr>
        <w:t>47,898,000.00</w:t>
      </w:r>
      <w:r>
        <w:rPr>
          <w:rFonts w:ascii="宋体" w:hAnsi="宋体" w:cs="宋体" w:eastAsia="宋体" w:hint="default"/>
          <w:spacing w:val="-53"/>
        </w:rPr>
        <w:t> </w:t>
      </w:r>
      <w:r>
        <w:rPr/>
        <w:t>元。</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日，本公司归还招商银行股份有限公司的借款</w:t>
      </w:r>
    </w:p>
    <w:p>
      <w:pPr>
        <w:pStyle w:val="BodyText"/>
        <w:spacing w:line="240" w:lineRule="auto" w:before="135"/>
        <w:ind w:right="0"/>
        <w:jc w:val="left"/>
      </w:pPr>
      <w:r>
        <w:rPr>
          <w:rFonts w:ascii="宋体" w:hAnsi="宋体" w:cs="宋体" w:eastAsia="宋体" w:hint="default"/>
        </w:rPr>
        <w:t>47,898,000.00</w:t>
      </w:r>
      <w:r>
        <w:rPr>
          <w:rFonts w:ascii="宋体" w:hAnsi="宋体" w:cs="宋体" w:eastAsia="宋体" w:hint="default"/>
          <w:spacing w:val="-49"/>
        </w:rPr>
        <w:t> </w:t>
      </w:r>
      <w:r>
        <w:rPr/>
        <w:t>元，质押的北京联龙博通电子商务技术有限公司的股权于</w:t>
      </w:r>
      <w:r>
        <w:rPr>
          <w:spacing w:val="-41"/>
        </w:rPr>
        <w:t> </w:t>
      </w:r>
      <w:r>
        <w:rPr>
          <w:rFonts w:ascii="宋体" w:hAnsi="宋体" w:cs="宋体" w:eastAsia="宋体" w:hint="default"/>
        </w:rPr>
        <w:t>2018</w:t>
      </w:r>
      <w:r>
        <w:rPr>
          <w:rFonts w:ascii="宋体" w:hAnsi="宋体" w:cs="宋体" w:eastAsia="宋体" w:hint="default"/>
          <w:spacing w:val="-42"/>
        </w:rPr>
        <w:t> </w:t>
      </w:r>
      <w:r>
        <w:rPr/>
        <w:t>年</w:t>
      </w:r>
      <w:r>
        <w:rPr>
          <w:spacing w:val="-47"/>
        </w:rPr>
        <w:t> </w:t>
      </w:r>
      <w:r>
        <w:rPr>
          <w:rFonts w:ascii="宋体" w:hAnsi="宋体" w:cs="宋体" w:eastAsia="宋体" w:hint="default"/>
        </w:rPr>
        <w:t>3</w:t>
      </w:r>
      <w:r>
        <w:rPr>
          <w:rFonts w:ascii="宋体" w:hAnsi="宋体" w:cs="宋体" w:eastAsia="宋体" w:hint="default"/>
          <w:spacing w:val="-43"/>
        </w:rPr>
        <w:t> </w:t>
      </w:r>
      <w:r>
        <w:rPr/>
        <w:t>月</w:t>
      </w:r>
      <w:r>
        <w:rPr>
          <w:spacing w:val="-47"/>
        </w:rPr>
        <w:t> </w:t>
      </w:r>
      <w:r>
        <w:rPr>
          <w:rFonts w:ascii="宋体" w:hAnsi="宋体" w:cs="宋体" w:eastAsia="宋体" w:hint="default"/>
        </w:rPr>
        <w:t>2</w:t>
      </w:r>
      <w:r>
        <w:rPr>
          <w:rFonts w:ascii="宋体" w:hAnsi="宋体" w:cs="宋体" w:eastAsia="宋体" w:hint="default"/>
          <w:spacing w:val="-43"/>
        </w:rPr>
        <w:t> </w:t>
      </w:r>
      <w:r>
        <w:rPr/>
        <w:t>日解除，</w:t>
      </w:r>
    </w:p>
    <w:p>
      <w:pPr>
        <w:pStyle w:val="BodyText"/>
        <w:spacing w:line="240" w:lineRule="auto" w:before="133"/>
        <w:ind w:right="0"/>
        <w:jc w:val="left"/>
      </w:pPr>
      <w:r>
        <w:rPr/>
        <w:t>抵押的金证科技大楼的产权于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日解除。</w:t>
      </w:r>
    </w:p>
    <w:p>
      <w:pPr>
        <w:spacing w:after="0" w:line="240" w:lineRule="auto"/>
        <w:jc w:val="left"/>
        <w:sectPr>
          <w:type w:val="continuous"/>
          <w:pgSz w:w="11910" w:h="16840"/>
          <w:pgMar w:top="1120" w:bottom="1380" w:left="1580" w:right="900"/>
        </w:sectPr>
      </w:pPr>
    </w:p>
    <w:p>
      <w:pPr>
        <w:spacing w:line="240" w:lineRule="auto" w:before="8"/>
        <w:rPr>
          <w:rFonts w:ascii="宋体" w:hAnsi="宋体" w:cs="宋体" w:eastAsia="宋体" w:hint="default"/>
          <w:sz w:val="25"/>
          <w:szCs w:val="25"/>
        </w:rPr>
      </w:pPr>
    </w:p>
    <w:p>
      <w:pPr>
        <w:pStyle w:val="Heading2"/>
        <w:spacing w:line="240" w:lineRule="auto"/>
        <w:ind w:right="215"/>
        <w:jc w:val="left"/>
        <w:rPr>
          <w:b w:val="0"/>
          <w:bCs w:val="0"/>
        </w:rPr>
      </w:pPr>
      <w:r>
        <w:rPr>
          <w:rFonts w:ascii="宋体" w:hAnsi="宋体" w:cs="宋体" w:eastAsia="宋体" w:hint="default"/>
        </w:rPr>
        <w:t>3.</w:t>
      </w:r>
      <w:r>
        <w:rPr>
          <w:rFonts w:ascii="宋体" w:hAnsi="宋体" w:cs="宋体" w:eastAsia="宋体" w:hint="default"/>
          <w:spacing w:val="61"/>
        </w:rPr>
        <w:t> </w:t>
      </w:r>
      <w:r>
        <w:rPr/>
        <w:t>其他说明</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tabs>
          <w:tab w:pos="1057" w:val="left" w:leader="none"/>
        </w:tabs>
        <w:spacing w:line="240" w:lineRule="auto" w:before="52"/>
        <w:ind w:right="215"/>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tabs>
          <w:tab w:pos="1060" w:val="left" w:leader="none"/>
        </w:tabs>
        <w:spacing w:line="274" w:lineRule="exact" w:before="61"/>
        <w:ind w:right="215"/>
        <w:jc w:val="left"/>
      </w:pPr>
      <w:r>
        <w:rPr>
          <w:spacing w:val="-1"/>
        </w:rPr>
        <w:t>√适用</w:t>
        <w:tab/>
      </w:r>
      <w:r>
        <w:rPr>
          <w:spacing w:val="-2"/>
        </w:rPr>
        <w:t>□不适用</w:t>
      </w:r>
    </w:p>
    <w:p>
      <w:pPr>
        <w:pStyle w:val="BodyText"/>
        <w:spacing w:line="355" w:lineRule="auto"/>
        <w:ind w:right="228" w:firstLine="419"/>
        <w:jc w:val="both"/>
      </w:pPr>
      <w:r>
        <w:rPr>
          <w:w w:val="100"/>
        </w:rPr>
        <w:t>进入</w:t>
      </w:r>
      <w:r>
        <w:rPr>
          <w:spacing w:val="-53"/>
          <w:w w:val="100"/>
        </w:rPr>
        <w:t> </w:t>
      </w:r>
      <w:r>
        <w:rPr>
          <w:rFonts w:ascii="宋体" w:hAnsi="宋体" w:cs="宋体" w:eastAsia="宋体" w:hint="default"/>
          <w:spacing w:val="-2"/>
          <w:w w:val="100"/>
        </w:rPr>
        <w:t>21</w:t>
      </w:r>
      <w:r>
        <w:rPr>
          <w:rFonts w:ascii="宋体" w:hAnsi="宋体" w:cs="宋体" w:eastAsia="宋体" w:hint="default"/>
          <w:spacing w:val="-53"/>
          <w:w w:val="100"/>
        </w:rPr>
        <w:t> </w:t>
      </w:r>
      <w:r>
        <w:rPr>
          <w:spacing w:val="-4"/>
          <w:w w:val="100"/>
        </w:rPr>
        <w:t>世纪以来，信息技术已逐渐成为推动国民经济发展和促进全社会生产效率提升的强大</w:t>
      </w:r>
      <w:r>
        <w:rPr>
          <w:w w:val="100"/>
        </w:rPr>
        <w:t> </w:t>
      </w:r>
      <w:r>
        <w:rPr>
          <w:spacing w:val="-2"/>
        </w:rPr>
        <w:t>动力，信息产业作为关系到国民经济和社会发展全局的基础性、战略性、先导性产业受到了越来</w:t>
      </w:r>
      <w:r>
        <w:rPr>
          <w:spacing w:val="-25"/>
        </w:rPr>
        <w:t> </w:t>
      </w:r>
      <w:r>
        <w:rPr>
          <w:spacing w:val="-25"/>
        </w:rPr>
      </w:r>
      <w:r>
        <w:rPr>
          <w:spacing w:val="-2"/>
        </w:rPr>
        <w:t>越多国家和地区的重视。中国政府高度重视软件行业的发展，相继出台一系列鼓励、支持软件行</w:t>
      </w:r>
      <w:r>
        <w:rPr>
          <w:spacing w:val="-25"/>
        </w:rPr>
        <w:t> </w:t>
      </w:r>
      <w:r>
        <w:rPr>
          <w:spacing w:val="-25"/>
        </w:rPr>
      </w:r>
      <w:r>
        <w:rPr/>
        <w:t>业发展的政策法规，从制度层面提供了保障行业蓬勃发展的良好环境。</w:t>
      </w:r>
    </w:p>
    <w:p>
      <w:pPr>
        <w:pStyle w:val="Heading2"/>
        <w:tabs>
          <w:tab w:pos="1057" w:val="left" w:leader="none"/>
        </w:tabs>
        <w:spacing w:line="240" w:lineRule="auto" w:before="88"/>
        <w:ind w:right="215"/>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before="56"/>
        <w:ind w:right="215"/>
        <w:jc w:val="left"/>
        <w:rPr>
          <w:b w:val="0"/>
          <w:bCs w:val="0"/>
        </w:rPr>
      </w:pPr>
      <w:r>
        <w:rPr>
          <w:rFonts w:ascii="宋体" w:hAnsi="宋体" w:cs="宋体" w:eastAsia="宋体" w:hint="default"/>
        </w:rPr>
        <w:t>1</w:t>
      </w:r>
      <w:r>
        <w:rPr/>
        <w:t>、</w:t>
      </w:r>
      <w:r>
        <w:rPr>
          <w:spacing w:val="-66"/>
        </w:rPr>
        <w:t> </w:t>
      </w:r>
      <w:r>
        <w:rPr/>
        <w:t>对外股权投资总体分析</w:t>
      </w:r>
      <w:r>
        <w:rPr>
          <w:b w:val="0"/>
          <w:bCs w:val="0"/>
        </w:rPr>
      </w:r>
    </w:p>
    <w:p>
      <w:pPr>
        <w:pStyle w:val="BodyText"/>
        <w:spacing w:line="240" w:lineRule="auto" w:before="64"/>
        <w:ind w:right="215"/>
        <w:jc w:val="left"/>
      </w:pPr>
      <w:r>
        <w:rPr/>
        <w:t>□适用</w:t>
      </w:r>
      <w:r>
        <w:rPr>
          <w:spacing w:val="-1"/>
        </w:rPr>
        <w:t> </w:t>
      </w:r>
      <w:r>
        <w:rPr/>
        <w:t>√不适用</w:t>
      </w:r>
    </w:p>
    <w:p>
      <w:pPr>
        <w:pStyle w:val="Heading2"/>
        <w:spacing w:line="240" w:lineRule="auto" w:before="50"/>
        <w:ind w:right="215"/>
        <w:jc w:val="left"/>
        <w:rPr>
          <w:b w:val="0"/>
          <w:bCs w:val="0"/>
        </w:rPr>
      </w:pPr>
      <w:r>
        <w:rPr>
          <w:rFonts w:ascii="宋体" w:hAnsi="宋体" w:cs="宋体" w:eastAsia="宋体" w:hint="default"/>
        </w:rPr>
        <w:t>(1)</w:t>
      </w:r>
      <w:r>
        <w:rPr>
          <w:rFonts w:ascii="宋体" w:hAnsi="宋体" w:cs="宋体" w:eastAsia="宋体" w:hint="default"/>
          <w:spacing w:val="-66"/>
        </w:rPr>
        <w:t> </w:t>
      </w:r>
      <w:r>
        <w:rPr/>
        <w:t>重大的股权投资</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spacing w:line="240" w:lineRule="auto" w:before="52"/>
        <w:ind w:right="215"/>
        <w:jc w:val="left"/>
        <w:rPr>
          <w:b w:val="0"/>
          <w:bCs w:val="0"/>
        </w:rPr>
      </w:pPr>
      <w:r>
        <w:rPr>
          <w:rFonts w:ascii="宋体" w:hAnsi="宋体" w:cs="宋体" w:eastAsia="宋体" w:hint="default"/>
        </w:rPr>
        <w:t>(2)</w:t>
      </w:r>
      <w:r>
        <w:rPr>
          <w:rFonts w:ascii="宋体" w:hAnsi="宋体" w:cs="宋体" w:eastAsia="宋体" w:hint="default"/>
          <w:spacing w:val="-67"/>
        </w:rPr>
        <w:t> </w:t>
      </w:r>
      <w:r>
        <w:rPr/>
        <w:t>重大的非股权投资</w:t>
      </w:r>
      <w:r>
        <w:rPr>
          <w:b w:val="0"/>
          <w:bCs w:val="0"/>
        </w:rPr>
      </w:r>
    </w:p>
    <w:p>
      <w:pPr>
        <w:pStyle w:val="BodyText"/>
        <w:tabs>
          <w:tab w:pos="1060" w:val="left" w:leader="none"/>
        </w:tabs>
        <w:spacing w:line="240" w:lineRule="auto" w:before="61"/>
        <w:ind w:right="215"/>
        <w:jc w:val="left"/>
      </w:pPr>
      <w:r>
        <w:rPr>
          <w:spacing w:val="-1"/>
        </w:rPr>
        <w:t>□适用</w:t>
        <w:tab/>
      </w:r>
      <w:r>
        <w:rPr>
          <w:spacing w:val="-2"/>
        </w:rPr>
        <w:t>√不适用</w:t>
      </w:r>
    </w:p>
    <w:p>
      <w:pPr>
        <w:pStyle w:val="Heading2"/>
        <w:spacing w:line="240" w:lineRule="auto" w:before="52"/>
        <w:ind w:right="215"/>
        <w:jc w:val="left"/>
        <w:rPr>
          <w:b w:val="0"/>
          <w:bCs w:val="0"/>
        </w:rPr>
      </w:pPr>
      <w:r>
        <w:rPr>
          <w:rFonts w:ascii="宋体" w:hAnsi="宋体" w:cs="宋体" w:eastAsia="宋体" w:hint="default"/>
        </w:rPr>
        <w:t>(3)</w:t>
      </w:r>
      <w:r>
        <w:rPr>
          <w:rFonts w:ascii="宋体" w:hAnsi="宋体" w:cs="宋体" w:eastAsia="宋体" w:hint="default"/>
          <w:spacing w:val="-67"/>
        </w:rPr>
        <w:t> </w:t>
      </w:r>
      <w:r>
        <w:rPr/>
        <w:t>以公允价值计量的金融资产</w:t>
      </w:r>
      <w:r>
        <w:rPr>
          <w:b w:val="0"/>
          <w:bCs w:val="0"/>
        </w:rPr>
      </w:r>
    </w:p>
    <w:p>
      <w:pPr>
        <w:pStyle w:val="BodyText"/>
        <w:tabs>
          <w:tab w:pos="1060" w:val="left" w:leader="none"/>
        </w:tabs>
        <w:spacing w:line="240" w:lineRule="auto" w:before="61"/>
        <w:ind w:right="215"/>
        <w:jc w:val="left"/>
      </w:pPr>
      <w:r>
        <w:rPr>
          <w:spacing w:val="-1"/>
        </w:rPr>
        <w:t>□适用</w:t>
        <w:tab/>
      </w:r>
      <w:r>
        <w:rPr>
          <w:spacing w:val="-2"/>
        </w:rPr>
        <w:t>√不适用</w:t>
      </w:r>
    </w:p>
    <w:p>
      <w:pPr>
        <w:pStyle w:val="Heading2"/>
        <w:tabs>
          <w:tab w:pos="1057" w:val="left" w:leader="none"/>
        </w:tabs>
        <w:spacing w:line="240" w:lineRule="auto" w:before="52"/>
        <w:ind w:right="215"/>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tabs>
          <w:tab w:pos="1057" w:val="left" w:leader="none"/>
        </w:tabs>
        <w:spacing w:line="240" w:lineRule="auto" w:before="50"/>
        <w:ind w:right="215"/>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spacing w:before="116"/>
        <w:ind w:left="0" w:right="6472"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b/>
          <w:bCs/>
          <w:sz w:val="21"/>
          <w:szCs w:val="21"/>
        </w:rPr>
        <w:t>企业的构成</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370"/>
        <w:gridCol w:w="850"/>
        <w:gridCol w:w="852"/>
        <w:gridCol w:w="1133"/>
        <w:gridCol w:w="850"/>
        <w:gridCol w:w="745"/>
        <w:gridCol w:w="1250"/>
      </w:tblGrid>
      <w:tr>
        <w:trPr>
          <w:trHeight w:val="350" w:hRule="exact"/>
        </w:trPr>
        <w:tc>
          <w:tcPr>
            <w:tcW w:w="3370" w:type="dxa"/>
            <w:vMerge w:val="restart"/>
            <w:tcBorders>
              <w:top w:val="single" w:sz="4" w:space="0" w:color="000000"/>
              <w:left w:val="single" w:sz="4" w:space="0" w:color="000000"/>
              <w:right w:val="single" w:sz="4" w:space="0" w:color="000000"/>
            </w:tcBorders>
          </w:tcPr>
          <w:p>
            <w:pPr>
              <w:pStyle w:val="TableParagraph"/>
              <w:spacing w:line="240" w:lineRule="auto" w:before="177"/>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850" w:type="dxa"/>
            <w:vMerge w:val="restart"/>
            <w:tcBorders>
              <w:top w:val="single" w:sz="4" w:space="0" w:color="000000"/>
              <w:left w:val="single" w:sz="4" w:space="0" w:color="000000"/>
              <w:right w:val="single" w:sz="4" w:space="0" w:color="000000"/>
            </w:tcBorders>
          </w:tcPr>
          <w:p>
            <w:pPr>
              <w:pStyle w:val="TableParagraph"/>
              <w:spacing w:line="272" w:lineRule="exact" w:before="68"/>
              <w:ind w:left="103" w:right="101" w:firstLine="105"/>
              <w:jc w:val="left"/>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经营地</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77"/>
              <w:ind w:left="10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77"/>
              <w:ind w:left="13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1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177"/>
              <w:ind w:left="199"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350" w:hRule="exact"/>
        </w:trPr>
        <w:tc>
          <w:tcPr>
            <w:tcW w:w="337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0" w:type="dxa"/>
            <w:vMerge/>
            <w:tcBorders>
              <w:left w:val="single" w:sz="4" w:space="0" w:color="000000"/>
              <w:bottom w:val="single" w:sz="4" w:space="0" w:color="000000"/>
              <w:right w:val="single" w:sz="4" w:space="0" w:color="000000"/>
            </w:tcBorders>
          </w:tcPr>
          <w:p>
            <w:pP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47.7</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上海市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4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sz w:val="21"/>
                <w:szCs w:val="21"/>
              </w:rPr>
              <w:t>成都市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sz w:val="21"/>
                <w:szCs w:val="21"/>
              </w:rPr>
              <w:t>成都市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58.80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41.20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51</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47.25</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90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60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0" w:lineRule="auto"/>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850"/>
        <w:gridCol w:w="852"/>
        <w:gridCol w:w="1133"/>
        <w:gridCol w:w="850"/>
        <w:gridCol w:w="745"/>
        <w:gridCol w:w="1250"/>
      </w:tblGrid>
      <w:tr>
        <w:trPr>
          <w:trHeight w:val="35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主要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1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取得方式</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珠海市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珠海市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sz w:val="21"/>
              </w:rPr>
              <w:t>51</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1" w:right="0"/>
              <w:jc w:val="left"/>
              <w:rPr>
                <w:rFonts w:ascii="宋体" w:hAnsi="宋体" w:cs="宋体" w:eastAsia="宋体" w:hint="default"/>
                <w:sz w:val="21"/>
                <w:szCs w:val="21"/>
              </w:rPr>
            </w:pPr>
            <w:r>
              <w:rPr>
                <w:rFonts w:ascii="宋体"/>
                <w:sz w:val="21"/>
              </w:rPr>
              <w:t>100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西安市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西安市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sz w:val="21"/>
              </w:rPr>
              <w:t>52</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sz w:val="21"/>
              </w:rPr>
              <w:t>51</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sz w:val="21"/>
              </w:rPr>
              <w:t>60</w:t>
            </w:r>
          </w:p>
        </w:tc>
        <w:tc>
          <w:tcPr>
            <w:tcW w:w="7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成都市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47.7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47.7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47.7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齐普生信息科技（海南）有限公司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47.7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天津市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天津市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30.6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购买</w:t>
            </w:r>
          </w:p>
        </w:tc>
      </w:tr>
    </w:tbl>
    <w:p>
      <w:pPr>
        <w:pStyle w:val="BodyText"/>
        <w:spacing w:line="336" w:lineRule="auto" w:before="86"/>
        <w:ind w:left="638" w:right="364"/>
        <w:jc w:val="left"/>
      </w:pPr>
      <w:r>
        <w:rPr/>
        <w:t>（</w:t>
      </w:r>
      <w:r>
        <w:rPr>
          <w:rFonts w:ascii="Times New Roman" w:hAnsi="Times New Roman" w:cs="Times New Roman" w:eastAsia="Times New Roman" w:hint="default"/>
        </w:rPr>
        <w:t>1</w:t>
      </w:r>
      <w:r>
        <w:rPr/>
        <w:t>）持有半数或以下表决权但仍控制被投资单位的依据：</w:t>
      </w:r>
      <w:r>
        <w:rPr>
          <w:w w:val="100"/>
        </w:rPr>
        <w:t> </w:t>
      </w:r>
      <w:r>
        <w:rPr>
          <w:spacing w:val="-2"/>
        </w:rPr>
        <w:t>本公司持有深圳市齐普生科技股份有限公司股权比例为</w:t>
      </w:r>
      <w:r>
        <w:rPr>
          <w:spacing w:val="28"/>
        </w:rPr>
        <w:t> </w:t>
      </w:r>
      <w:r>
        <w:rPr>
          <w:rFonts w:ascii="宋体" w:hAnsi="宋体" w:cs="宋体" w:eastAsia="宋体" w:hint="default"/>
          <w:spacing w:val="-2"/>
        </w:rPr>
        <w:t>47.7%</w:t>
      </w:r>
      <w:r>
        <w:rPr>
          <w:spacing w:val="-2"/>
        </w:rPr>
        <w:t>，持股比例半数以下，主要系</w:t>
      </w:r>
    </w:p>
    <w:p>
      <w:pPr>
        <w:pStyle w:val="BodyText"/>
        <w:spacing w:line="357" w:lineRule="auto" w:before="51"/>
        <w:ind w:right="317"/>
        <w:jc w:val="both"/>
      </w:pPr>
      <w:r>
        <w:rPr>
          <w:spacing w:val="-2"/>
        </w:rPr>
        <w:t>本公司为深圳市齐普生科技股份有限公司第一大股东，且本公司委派的董事超过深圳市齐普生科</w:t>
      </w:r>
      <w:r>
        <w:rPr>
          <w:spacing w:val="-25"/>
        </w:rPr>
        <w:t> </w:t>
      </w:r>
      <w:r>
        <w:rPr>
          <w:spacing w:val="-25"/>
        </w:rPr>
      </w:r>
      <w:r>
        <w:rPr>
          <w:spacing w:val="-2"/>
        </w:rPr>
        <w:t>技股份有限公司全体董事的过半数，另本公司委派的董事系深圳市合生创利投资管理中心（有限</w:t>
      </w:r>
      <w:r>
        <w:rPr>
          <w:spacing w:val="-25"/>
        </w:rPr>
        <w:t> </w:t>
      </w:r>
      <w:r>
        <w:rPr>
          <w:spacing w:val="-25"/>
        </w:rPr>
      </w:r>
      <w:r>
        <w:rPr>
          <w:spacing w:val="-2"/>
        </w:rPr>
        <w:t>合伙）普通合伙人，对深圳市合生创利投资管理中心（有限合伙）的经营决策具有重要影响，因</w:t>
      </w:r>
      <w:r>
        <w:rPr>
          <w:spacing w:val="-25"/>
        </w:rPr>
        <w:t> </w:t>
      </w:r>
      <w:r>
        <w:rPr>
          <w:spacing w:val="-25"/>
        </w:rPr>
      </w:r>
      <w:r>
        <w:rPr>
          <w:spacing w:val="-2"/>
        </w:rPr>
        <w:t>此本公司对深圳市齐普生科技股份有限公司仍具有控制权，深圳市齐普生科技股份有限公司纳入</w:t>
      </w:r>
      <w:r>
        <w:rPr>
          <w:spacing w:val="-25"/>
        </w:rPr>
        <w:t> </w:t>
      </w:r>
      <w:r>
        <w:rPr>
          <w:spacing w:val="-25"/>
        </w:rPr>
      </w:r>
      <w:r>
        <w:rPr/>
        <w:t>本公司合并范围。</w:t>
      </w:r>
    </w:p>
    <w:p>
      <w:pPr>
        <w:pStyle w:val="BodyText"/>
        <w:spacing w:line="355" w:lineRule="auto" w:before="30"/>
        <w:ind w:right="310" w:firstLine="419"/>
        <w:jc w:val="both"/>
      </w:pPr>
      <w:r>
        <w:rPr/>
        <w:t>本公司持有深圳市金微蓝技术有限公司股权比例为</w:t>
      </w:r>
      <w:r>
        <w:rPr>
          <w:spacing w:val="-29"/>
        </w:rPr>
        <w:t> </w:t>
      </w:r>
      <w:r>
        <w:rPr>
          <w:rFonts w:ascii="宋体" w:hAnsi="宋体" w:cs="宋体" w:eastAsia="宋体" w:hint="default"/>
          <w:spacing w:val="-4"/>
        </w:rPr>
        <w:t>47.25%</w:t>
      </w:r>
      <w:r>
        <w:rPr>
          <w:spacing w:val="-4"/>
        </w:rPr>
        <w:t>，持股比例半数以下，主要系本公</w:t>
      </w:r>
      <w:r>
        <w:rPr>
          <w:w w:val="100"/>
        </w:rPr>
        <w:t> </w:t>
      </w:r>
      <w:r>
        <w:rPr>
          <w:spacing w:val="-2"/>
        </w:rPr>
        <w:t>司为深圳市金微蓝技术有限公司第一大股东，且本公司委派的董事超过深圳市金微蓝技术有限公</w:t>
      </w:r>
      <w:r>
        <w:rPr>
          <w:spacing w:val="-25"/>
        </w:rPr>
        <w:t> </w:t>
      </w:r>
      <w:r>
        <w:rPr>
          <w:spacing w:val="-25"/>
        </w:rPr>
      </w:r>
      <w:r>
        <w:rPr>
          <w:spacing w:val="-2"/>
        </w:rPr>
        <w:t>司全体董事的过半数，因此本公司对深圳市金微蓝技术有限公司仍具有控制权，深圳市金微蓝技</w:t>
      </w:r>
      <w:r>
        <w:rPr>
          <w:spacing w:val="-25"/>
        </w:rPr>
        <w:t> </w:t>
      </w:r>
      <w:r>
        <w:rPr>
          <w:spacing w:val="-25"/>
        </w:rPr>
      </w:r>
      <w:r>
        <w:rPr/>
        <w:t>术有限公司纳入本公司合并范围。</w:t>
      </w:r>
    </w:p>
    <w:p>
      <w:pPr>
        <w:pStyle w:val="BodyText"/>
        <w:spacing w:line="357" w:lineRule="auto" w:before="154"/>
        <w:ind w:right="307" w:firstLine="424"/>
        <w:jc w:val="both"/>
      </w:pPr>
      <w:r>
        <w:rPr>
          <w:spacing w:val="-2"/>
        </w:rPr>
        <w:t>本公司之控股子公司深圳市睿服科技有限公司持有深圳市知领互联信息有限公司股权比例为</w:t>
      </w:r>
      <w:r>
        <w:rPr>
          <w:w w:val="100"/>
        </w:rPr>
        <w:t> </w:t>
      </w:r>
      <w:r>
        <w:rPr>
          <w:rFonts w:ascii="宋体" w:hAnsi="宋体" w:cs="宋体" w:eastAsia="宋体" w:hint="default"/>
        </w:rPr>
        <w:t>51%</w:t>
      </w:r>
      <w:r>
        <w:rPr/>
        <w:t>，本公司持有子公司深圳市睿服科技有限公司股权比例为</w:t>
      </w:r>
      <w:r>
        <w:rPr>
          <w:spacing w:val="-52"/>
        </w:rPr>
        <w:t> </w:t>
      </w:r>
      <w:r>
        <w:rPr>
          <w:rFonts w:ascii="宋体" w:hAnsi="宋体" w:cs="宋体" w:eastAsia="宋体" w:hint="default"/>
          <w:spacing w:val="-3"/>
        </w:rPr>
        <w:t>60%</w:t>
      </w:r>
      <w:r>
        <w:rPr>
          <w:spacing w:val="-3"/>
        </w:rPr>
        <w:t>，因此本公司最终持有深圳市知</w:t>
      </w:r>
      <w:r>
        <w:rPr>
          <w:w w:val="100"/>
        </w:rPr>
        <w:t> </w:t>
      </w:r>
      <w:r>
        <w:rPr/>
        <w:t>领互联信息有限公司的持股比例为</w:t>
      </w:r>
      <w:r>
        <w:rPr>
          <w:spacing w:val="-54"/>
        </w:rPr>
        <w:t> </w:t>
      </w:r>
      <w:r>
        <w:rPr>
          <w:rFonts w:ascii="宋体" w:hAnsi="宋体" w:cs="宋体" w:eastAsia="宋体" w:hint="default"/>
        </w:rPr>
        <w:t>30.6%</w: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640" w:right="3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 </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98" w:type="dxa"/>
        <w:tblLayout w:type="fixed"/>
        <w:tblCellMar>
          <w:top w:w="0" w:type="dxa"/>
          <w:left w:w="0" w:type="dxa"/>
          <w:bottom w:w="0" w:type="dxa"/>
          <w:right w:w="0" w:type="dxa"/>
        </w:tblCellMar>
        <w:tblLook w:val="01E0"/>
      </w:tblPr>
      <w:tblGrid>
        <w:gridCol w:w="2338"/>
        <w:gridCol w:w="1068"/>
        <w:gridCol w:w="1582"/>
        <w:gridCol w:w="1579"/>
        <w:gridCol w:w="1688"/>
        <w:gridCol w:w="794"/>
      </w:tblGrid>
      <w:tr>
        <w:trPr>
          <w:trHeight w:val="828"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少数股东</w:t>
            </w:r>
          </w:p>
          <w:p>
            <w:pPr>
              <w:pStyle w:val="TableParagraph"/>
              <w:spacing w:line="240" w:lineRule="auto"/>
              <w:ind w:left="372" w:right="105" w:hanging="264"/>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46" w:hanging="315"/>
              <w:jc w:val="left"/>
              <w:rPr>
                <w:rFonts w:ascii="宋体" w:hAnsi="宋体" w:cs="宋体" w:eastAsia="宋体" w:hint="default"/>
                <w:sz w:val="21"/>
                <w:szCs w:val="21"/>
              </w:rPr>
            </w:pPr>
            <w:r>
              <w:rPr>
                <w:rFonts w:ascii="宋体" w:hAnsi="宋体" w:cs="宋体" w:eastAsia="宋体" w:hint="default"/>
                <w:sz w:val="21"/>
                <w:szCs w:val="21"/>
              </w:rPr>
              <w:t>本期归属于少数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股东损益</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45" w:hanging="315"/>
              <w:jc w:val="left"/>
              <w:rPr>
                <w:rFonts w:ascii="宋体" w:hAnsi="宋体" w:cs="宋体" w:eastAsia="宋体" w:hint="default"/>
                <w:sz w:val="21"/>
                <w:szCs w:val="21"/>
              </w:rPr>
            </w:pPr>
            <w:r>
              <w:rPr>
                <w:rFonts w:ascii="宋体" w:hAnsi="宋体" w:cs="宋体" w:eastAsia="宋体" w:hint="default"/>
                <w:sz w:val="21"/>
                <w:szCs w:val="21"/>
              </w:rPr>
              <w:t>本期向少数股东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支付股利</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204" w:hanging="209"/>
              <w:jc w:val="left"/>
              <w:rPr>
                <w:rFonts w:ascii="宋体" w:hAnsi="宋体" w:cs="宋体" w:eastAsia="宋体" w:hint="default"/>
                <w:sz w:val="21"/>
                <w:szCs w:val="21"/>
              </w:rPr>
            </w:pPr>
            <w:r>
              <w:rPr>
                <w:rFonts w:ascii="宋体" w:hAnsi="宋体" w:cs="宋体" w:eastAsia="宋体" w:hint="default"/>
                <w:sz w:val="21"/>
                <w:szCs w:val="21"/>
              </w:rPr>
              <w:t>期末累计少数</w:t>
            </w:r>
            <w:r>
              <w:rPr>
                <w:rFonts w:ascii="宋体" w:hAnsi="宋体" w:cs="宋体" w:eastAsia="宋体" w:hint="default"/>
                <w:w w:val="100"/>
                <w:sz w:val="21"/>
                <w:szCs w:val="21"/>
              </w:rPr>
              <w:t> </w:t>
            </w:r>
            <w:r>
              <w:rPr>
                <w:rFonts w:ascii="宋体" w:hAnsi="宋体" w:cs="宋体" w:eastAsia="宋体" w:hint="default"/>
                <w:sz w:val="21"/>
                <w:szCs w:val="21"/>
              </w:rPr>
              <w:t>股东权益</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55"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52.30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44,152,169.47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20,920,000.00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165,574,702.70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r>
      <w:tr>
        <w:trPr>
          <w:trHeight w:val="554"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49.00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21,677,081.79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15,340,000.00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121,773,056.14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960"/>
        </w:sectPr>
      </w:pPr>
    </w:p>
    <w:p>
      <w:pPr>
        <w:spacing w:line="240" w:lineRule="auto" w:before="4"/>
        <w:rPr>
          <w:rFonts w:ascii="宋体" w:hAnsi="宋体" w:cs="宋体" w:eastAsia="宋体" w:hint="default"/>
          <w:b/>
          <w:bCs/>
          <w:sz w:val="25"/>
          <w:szCs w:val="25"/>
        </w:rPr>
      </w:pPr>
    </w:p>
    <w:p>
      <w:pPr>
        <w:pStyle w:val="Heading4"/>
        <w:spacing w:line="240" w:lineRule="auto" w:before="36"/>
        <w:ind w:left="1380" w:right="5130"/>
        <w:jc w:val="left"/>
        <w:rPr>
          <w:b w:val="0"/>
          <w:bCs w:val="0"/>
        </w:rPr>
      </w:pPr>
      <w:r>
        <w:rPr>
          <w:rFonts w:ascii="Times New Roman" w:hAnsi="Times New Roman" w:cs="Times New Roman" w:eastAsia="Times New Roman" w:hint="default"/>
          <w:b w:val="0"/>
          <w:bCs w:val="0"/>
        </w:rPr>
        <w:t>3</w:t>
      </w:r>
      <w:r>
        <w:rPr>
          <w:rFonts w:ascii="宋体" w:hAnsi="宋体" w:cs="宋体" w:eastAsia="宋体" w:hint="default"/>
          <w:b w:val="0"/>
          <w:bCs w:val="0"/>
        </w:rPr>
        <w:t>．</w:t>
      </w:r>
      <w:r>
        <w:rPr>
          <w:rFonts w:ascii="宋体" w:hAnsi="宋体" w:cs="宋体" w:eastAsia="宋体" w:hint="default"/>
          <w:b w:val="0"/>
          <w:bCs w:val="0"/>
          <w:spacing w:val="-4"/>
        </w:rPr>
        <w:t> </w:t>
      </w:r>
      <w:r>
        <w:rPr/>
        <w:t>重要非全资子公司的主要财务信息</w:t>
      </w:r>
      <w:r>
        <w:rPr>
          <w:b w:val="0"/>
          <w:bCs w:val="0"/>
        </w:rPr>
      </w:r>
    </w:p>
    <w:p>
      <w:pPr>
        <w:pStyle w:val="BodyText"/>
        <w:spacing w:line="240" w:lineRule="auto" w:before="119"/>
        <w:ind w:left="0" w:right="630"/>
        <w:jc w:val="right"/>
      </w:pPr>
      <w:r>
        <w:rPr>
          <w:spacing w:val="-1"/>
        </w:rPr>
        <w:t>单位：万元</w:t>
      </w:r>
    </w:p>
    <w:p>
      <w:pPr>
        <w:spacing w:line="240" w:lineRule="auto" w:before="4"/>
        <w:rPr>
          <w:rFonts w:ascii="宋体" w:hAnsi="宋体" w:cs="宋体" w:eastAsia="宋体" w:hint="default"/>
          <w:sz w:val="2"/>
          <w:szCs w:val="2"/>
        </w:rPr>
      </w:pPr>
    </w:p>
    <w:tbl>
      <w:tblPr>
        <w:tblW w:w="0" w:type="auto"/>
        <w:jc w:val="left"/>
        <w:tblInd w:w="938" w:type="dxa"/>
        <w:tblLayout w:type="fixed"/>
        <w:tblCellMar>
          <w:top w:w="0" w:type="dxa"/>
          <w:left w:w="0" w:type="dxa"/>
          <w:bottom w:w="0" w:type="dxa"/>
          <w:right w:w="0" w:type="dxa"/>
        </w:tblCellMar>
        <w:tblLook w:val="01E0"/>
      </w:tblPr>
      <w:tblGrid>
        <w:gridCol w:w="1795"/>
        <w:gridCol w:w="1268"/>
        <w:gridCol w:w="1147"/>
        <w:gridCol w:w="1294"/>
        <w:gridCol w:w="1183"/>
        <w:gridCol w:w="1201"/>
        <w:gridCol w:w="1162"/>
      </w:tblGrid>
      <w:tr>
        <w:trPr>
          <w:trHeight w:val="350" w:hRule="exact"/>
        </w:trPr>
        <w:tc>
          <w:tcPr>
            <w:tcW w:w="1795" w:type="dxa"/>
            <w:vMerge w:val="restart"/>
            <w:tcBorders>
              <w:top w:val="single" w:sz="4" w:space="0" w:color="000000"/>
              <w:left w:val="single" w:sz="4" w:space="0" w:color="000000"/>
              <w:right w:val="single" w:sz="4" w:space="0" w:color="000000"/>
            </w:tcBorders>
          </w:tcPr>
          <w:p>
            <w:pPr>
              <w:pStyle w:val="TableParagraph"/>
              <w:spacing w:line="240" w:lineRule="auto" w:before="174"/>
              <w:ind w:left="36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72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795"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非流动负债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负债合计</w:t>
            </w:r>
          </w:p>
        </w:tc>
      </w:tr>
      <w:tr>
        <w:trPr>
          <w:trHeight w:val="55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技股份有限公司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107,185.87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5,020.04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112,205.91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80,547.27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80,547.27</w:t>
            </w:r>
          </w:p>
        </w:tc>
      </w:tr>
      <w:tr>
        <w:trPr>
          <w:trHeight w:val="55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23,155.59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4,147.84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27,303.43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2,445.64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2,451.79</w:t>
            </w:r>
          </w:p>
        </w:tc>
      </w:tr>
    </w:tbl>
    <w:p>
      <w:pPr>
        <w:pStyle w:val="BodyText"/>
        <w:spacing w:line="240" w:lineRule="auto" w:before="86"/>
        <w:ind w:left="1378" w:right="5130"/>
        <w:jc w:val="left"/>
      </w:pPr>
      <w:r>
        <w:rPr/>
        <w:t>续：</w:t>
      </w:r>
    </w:p>
    <w:p>
      <w:pPr>
        <w:spacing w:line="240" w:lineRule="auto" w:before="10"/>
        <w:rPr>
          <w:rFonts w:ascii="宋体" w:hAnsi="宋体" w:cs="宋体" w:eastAsia="宋体" w:hint="default"/>
          <w:sz w:val="12"/>
          <w:szCs w:val="12"/>
        </w:rPr>
      </w:pPr>
    </w:p>
    <w:tbl>
      <w:tblPr>
        <w:tblW w:w="0" w:type="auto"/>
        <w:jc w:val="left"/>
        <w:tblInd w:w="938" w:type="dxa"/>
        <w:tblLayout w:type="fixed"/>
        <w:tblCellMar>
          <w:top w:w="0" w:type="dxa"/>
          <w:left w:w="0" w:type="dxa"/>
          <w:bottom w:w="0" w:type="dxa"/>
          <w:right w:w="0" w:type="dxa"/>
        </w:tblCellMar>
        <w:tblLook w:val="01E0"/>
      </w:tblPr>
      <w:tblGrid>
        <w:gridCol w:w="2173"/>
        <w:gridCol w:w="1178"/>
        <w:gridCol w:w="1080"/>
        <w:gridCol w:w="1181"/>
        <w:gridCol w:w="1178"/>
        <w:gridCol w:w="1081"/>
        <w:gridCol w:w="1178"/>
      </w:tblGrid>
      <w:tr>
        <w:trPr>
          <w:trHeight w:val="351" w:hRule="exact"/>
        </w:trPr>
        <w:tc>
          <w:tcPr>
            <w:tcW w:w="21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8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173" w:type="dxa"/>
            <w:vMerge/>
            <w:tcBorders>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负债合计</w:t>
            </w:r>
          </w:p>
        </w:tc>
      </w:tr>
      <w:tr>
        <w:trPr>
          <w:trHeight w:val="554" w:hRule="exact"/>
        </w:trPr>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深圳市齐普生信息科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center"/>
              <w:rPr>
                <w:rFonts w:ascii="宋体" w:hAnsi="宋体" w:cs="宋体" w:eastAsia="宋体" w:hint="default"/>
                <w:sz w:val="21"/>
                <w:szCs w:val="21"/>
              </w:rPr>
            </w:pPr>
            <w:r>
              <w:rPr>
                <w:rFonts w:ascii="宋体"/>
                <w:sz w:val="21"/>
              </w:rPr>
              <w:t>93,595.37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4,427.14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宋体" w:hAnsi="宋体" w:cs="宋体" w:eastAsia="宋体" w:hint="default"/>
                <w:sz w:val="21"/>
                <w:szCs w:val="21"/>
              </w:rPr>
            </w:pPr>
            <w:r>
              <w:rPr>
                <w:rFonts w:ascii="宋体"/>
                <w:sz w:val="21"/>
              </w:rPr>
              <w:t>98,022.51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70,805.97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center"/>
              <w:rPr>
                <w:rFonts w:ascii="宋体" w:hAnsi="宋体" w:cs="宋体" w:eastAsia="宋体" w:hint="default"/>
                <w:sz w:val="21"/>
                <w:szCs w:val="21"/>
              </w:rPr>
            </w:pPr>
            <w:r>
              <w:rPr>
                <w:rFonts w:ascii="宋体"/>
                <w:sz w:val="21"/>
              </w:rPr>
              <w:t>70,805.97</w:t>
            </w:r>
          </w:p>
        </w:tc>
      </w:tr>
      <w:tr>
        <w:trPr>
          <w:trHeight w:val="557" w:hRule="exact"/>
        </w:trPr>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center"/>
              <w:rPr>
                <w:rFonts w:ascii="宋体" w:hAnsi="宋体" w:cs="宋体" w:eastAsia="宋体" w:hint="default"/>
                <w:sz w:val="21"/>
                <w:szCs w:val="21"/>
              </w:rPr>
            </w:pPr>
            <w:r>
              <w:rPr>
                <w:rFonts w:ascii="宋体"/>
                <w:sz w:val="21"/>
              </w:rPr>
              <w:t>11,572.75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591.58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宋体" w:hAnsi="宋体" w:cs="宋体" w:eastAsia="宋体" w:hint="default"/>
                <w:sz w:val="21"/>
                <w:szCs w:val="21"/>
              </w:rPr>
            </w:pPr>
            <w:r>
              <w:rPr>
                <w:rFonts w:ascii="宋体"/>
                <w:sz w:val="21"/>
              </w:rPr>
              <w:t>12,164.33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3,711.01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center"/>
              <w:rPr>
                <w:rFonts w:ascii="宋体" w:hAnsi="宋体" w:cs="宋体" w:eastAsia="宋体" w:hint="default"/>
                <w:sz w:val="21"/>
                <w:szCs w:val="21"/>
              </w:rPr>
            </w:pPr>
            <w:r>
              <w:rPr>
                <w:rFonts w:ascii="宋体"/>
                <w:sz w:val="21"/>
              </w:rPr>
              <w:t>3,711.16</w:t>
            </w:r>
          </w:p>
        </w:tc>
      </w:tr>
    </w:tbl>
    <w:p>
      <w:pPr>
        <w:pStyle w:val="BodyText"/>
        <w:spacing w:line="240" w:lineRule="auto" w:before="86"/>
        <w:ind w:left="1378" w:right="5130"/>
        <w:jc w:val="left"/>
      </w:pPr>
      <w:r>
        <w:rPr/>
        <w:t>续：</w:t>
      </w:r>
    </w:p>
    <w:p>
      <w:pPr>
        <w:spacing w:line="240" w:lineRule="auto" w:before="10"/>
        <w:rPr>
          <w:rFonts w:ascii="宋体" w:hAnsi="宋体" w:cs="宋体" w:eastAsia="宋体" w:hint="default"/>
          <w:sz w:val="12"/>
          <w:szCs w:val="12"/>
        </w:rPr>
      </w:pPr>
    </w:p>
    <w:tbl>
      <w:tblPr>
        <w:tblW w:w="0" w:type="auto"/>
        <w:jc w:val="left"/>
        <w:tblInd w:w="953" w:type="dxa"/>
        <w:tblLayout w:type="fixed"/>
        <w:tblCellMar>
          <w:top w:w="0" w:type="dxa"/>
          <w:left w:w="0" w:type="dxa"/>
          <w:bottom w:w="0" w:type="dxa"/>
          <w:right w:w="0" w:type="dxa"/>
        </w:tblCellMar>
        <w:tblLook w:val="01E0"/>
      </w:tblPr>
      <w:tblGrid>
        <w:gridCol w:w="1702"/>
        <w:gridCol w:w="994"/>
        <w:gridCol w:w="850"/>
        <w:gridCol w:w="850"/>
        <w:gridCol w:w="850"/>
        <w:gridCol w:w="811"/>
        <w:gridCol w:w="1057"/>
        <w:gridCol w:w="828"/>
        <w:gridCol w:w="1133"/>
      </w:tblGrid>
      <w:tr>
        <w:trPr>
          <w:trHeight w:val="35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635" w:right="527"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35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26" w:hRule="exact"/>
        </w:trPr>
        <w:tc>
          <w:tcPr>
            <w:tcW w:w="1702"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40" w:lineRule="auto"/>
              <w:ind w:left="209" w:right="101" w:hanging="106"/>
              <w:jc w:val="left"/>
              <w:rPr>
                <w:rFonts w:ascii="宋体" w:hAnsi="宋体" w:cs="宋体" w:eastAsia="宋体" w:hint="default"/>
                <w:sz w:val="21"/>
                <w:szCs w:val="21"/>
              </w:rPr>
            </w:pP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5" w:right="83" w:hanging="212"/>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91" w:right="91"/>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139"/>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3"/>
              <w:ind w:left="103" w:right="112"/>
              <w:jc w:val="left"/>
              <w:rPr>
                <w:rFonts w:ascii="宋体" w:hAnsi="宋体" w:cs="宋体" w:eastAsia="宋体" w:hint="default"/>
                <w:sz w:val="21"/>
                <w:szCs w:val="21"/>
              </w:rPr>
            </w:pPr>
            <w:r>
              <w:rPr>
                <w:rFonts w:ascii="宋体" w:hAnsi="宋体" w:cs="宋体" w:eastAsia="宋体" w:hint="default"/>
                <w:sz w:val="21"/>
                <w:szCs w:val="21"/>
              </w:rPr>
              <w:t>深圳市齐普生信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276,341</w:t>
            </w:r>
          </w:p>
          <w:p>
            <w:pPr>
              <w:pStyle w:val="TableParagraph"/>
              <w:spacing w:line="273" w:lineRule="exact"/>
              <w:ind w:left="566" w:right="0"/>
              <w:jc w:val="left"/>
              <w:rPr>
                <w:rFonts w:ascii="宋体" w:hAnsi="宋体" w:cs="宋体" w:eastAsia="宋体" w:hint="default"/>
                <w:sz w:val="21"/>
                <w:szCs w:val="21"/>
              </w:rPr>
            </w:pPr>
            <w:r>
              <w:rPr>
                <w:rFonts w:ascii="宋体"/>
                <w:sz w:val="21"/>
              </w:rPr>
              <w:t>.30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8,442.</w:t>
            </w:r>
          </w:p>
          <w:p>
            <w:pPr>
              <w:pStyle w:val="TableParagraph"/>
              <w:spacing w:line="273" w:lineRule="exact"/>
              <w:ind w:left="523" w:right="0"/>
              <w:jc w:val="left"/>
              <w:rPr>
                <w:rFonts w:ascii="宋体" w:hAnsi="宋体" w:cs="宋体" w:eastAsia="宋体" w:hint="default"/>
                <w:sz w:val="21"/>
                <w:szCs w:val="21"/>
              </w:rPr>
            </w:pPr>
            <w:r>
              <w:rPr>
                <w:rFonts w:ascii="宋体"/>
                <w:sz w:val="21"/>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8,442.</w:t>
            </w:r>
          </w:p>
          <w:p>
            <w:pPr>
              <w:pStyle w:val="TableParagraph"/>
              <w:spacing w:line="273" w:lineRule="exact"/>
              <w:ind w:left="525" w:right="0"/>
              <w:jc w:val="left"/>
              <w:rPr>
                <w:rFonts w:ascii="宋体" w:hAnsi="宋体" w:cs="宋体" w:eastAsia="宋体" w:hint="default"/>
                <w:sz w:val="21"/>
                <w:szCs w:val="21"/>
              </w:rPr>
            </w:pPr>
            <w:r>
              <w:rPr>
                <w:rFonts w:ascii="宋体"/>
                <w:sz w:val="21"/>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-6,798</w:t>
            </w:r>
          </w:p>
          <w:p>
            <w:pPr>
              <w:pStyle w:val="TableParagraph"/>
              <w:spacing w:line="273" w:lineRule="exact"/>
              <w:ind w:left="422" w:right="0"/>
              <w:jc w:val="left"/>
              <w:rPr>
                <w:rFonts w:ascii="宋体" w:hAnsi="宋体" w:cs="宋体" w:eastAsia="宋体" w:hint="default"/>
                <w:sz w:val="21"/>
                <w:szCs w:val="21"/>
              </w:rPr>
            </w:pPr>
            <w:r>
              <w:rPr>
                <w:rFonts w:ascii="宋体"/>
                <w:sz w:val="21"/>
              </w:rPr>
              <w:t>.11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233,7</w:t>
            </w:r>
          </w:p>
          <w:p>
            <w:pPr>
              <w:pStyle w:val="TableParagraph"/>
              <w:spacing w:line="273" w:lineRule="exact"/>
              <w:ind w:left="172" w:right="0"/>
              <w:jc w:val="left"/>
              <w:rPr>
                <w:rFonts w:ascii="宋体" w:hAnsi="宋体" w:cs="宋体" w:eastAsia="宋体" w:hint="default"/>
                <w:sz w:val="21"/>
                <w:szCs w:val="21"/>
              </w:rPr>
            </w:pPr>
            <w:r>
              <w:rPr>
                <w:rFonts w:ascii="宋体"/>
                <w:sz w:val="21"/>
              </w:rPr>
              <w:t>50.27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7,113.07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7,113</w:t>
            </w:r>
          </w:p>
          <w:p>
            <w:pPr>
              <w:pStyle w:val="TableParagraph"/>
              <w:spacing w:line="273" w:lineRule="exact"/>
              <w:ind w:left="398" w:right="0"/>
              <w:jc w:val="left"/>
              <w:rPr>
                <w:rFonts w:ascii="宋体" w:hAnsi="宋体" w:cs="宋体" w:eastAsia="宋体" w:hint="default"/>
                <w:sz w:val="21"/>
                <w:szCs w:val="21"/>
              </w:rPr>
            </w:pPr>
            <w:r>
              <w:rPr>
                <w:rFonts w:ascii="宋体"/>
                <w:sz w:val="21"/>
              </w:rPr>
              <w:t>.07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-7,435.3</w:t>
            </w:r>
          </w:p>
          <w:p>
            <w:pPr>
              <w:pStyle w:val="TableParagraph"/>
              <w:spacing w:line="273" w:lineRule="exact"/>
              <w:ind w:right="103"/>
              <w:jc w:val="right"/>
              <w:rPr>
                <w:rFonts w:ascii="宋体" w:hAnsi="宋体" w:cs="宋体" w:eastAsia="宋体" w:hint="default"/>
                <w:sz w:val="21"/>
                <w:szCs w:val="21"/>
              </w:rPr>
            </w:pPr>
            <w:r>
              <w:rPr>
                <w:rFonts w:ascii="宋体"/>
                <w:w w:val="100"/>
                <w:sz w:val="21"/>
              </w:rPr>
              <w:t>6</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1"/>
              <w:ind w:left="103" w:right="112"/>
              <w:jc w:val="left"/>
              <w:rPr>
                <w:rFonts w:ascii="宋体" w:hAnsi="宋体" w:cs="宋体" w:eastAsia="宋体" w:hint="default"/>
                <w:sz w:val="21"/>
                <w:szCs w:val="21"/>
              </w:rPr>
            </w:pPr>
            <w:r>
              <w:rPr>
                <w:rFonts w:ascii="宋体" w:hAnsi="宋体" w:cs="宋体" w:eastAsia="宋体" w:hint="default"/>
                <w:sz w:val="21"/>
                <w:szCs w:val="21"/>
              </w:rPr>
              <w:t>金证财富南京科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14,542.</w:t>
            </w:r>
          </w:p>
          <w:p>
            <w:pPr>
              <w:pStyle w:val="TableParagraph"/>
              <w:spacing w:line="273" w:lineRule="exact"/>
              <w:ind w:right="101"/>
              <w:jc w:val="right"/>
              <w:rPr>
                <w:rFonts w:ascii="宋体" w:hAnsi="宋体" w:cs="宋体" w:eastAsia="宋体" w:hint="default"/>
                <w:sz w:val="21"/>
                <w:szCs w:val="21"/>
              </w:rPr>
            </w:pPr>
            <w:r>
              <w:rPr>
                <w:rFonts w:ascii="宋体"/>
                <w:sz w:val="21"/>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3,808.</w:t>
            </w:r>
          </w:p>
          <w:p>
            <w:pPr>
              <w:pStyle w:val="TableParagraph"/>
              <w:spacing w:line="273" w:lineRule="exact"/>
              <w:ind w:left="523" w:right="0"/>
              <w:jc w:val="left"/>
              <w:rPr>
                <w:rFonts w:ascii="宋体" w:hAnsi="宋体" w:cs="宋体" w:eastAsia="宋体" w:hint="default"/>
                <w:sz w:val="21"/>
                <w:szCs w:val="21"/>
              </w:rPr>
            </w:pPr>
            <w:r>
              <w:rPr>
                <w:rFonts w:ascii="宋体"/>
                <w:sz w:val="21"/>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3,808.</w:t>
            </w:r>
          </w:p>
          <w:p>
            <w:pPr>
              <w:pStyle w:val="TableParagraph"/>
              <w:spacing w:line="273" w:lineRule="exact"/>
              <w:ind w:left="525" w:right="0"/>
              <w:jc w:val="left"/>
              <w:rPr>
                <w:rFonts w:ascii="宋体" w:hAnsi="宋体" w:cs="宋体" w:eastAsia="宋体" w:hint="default"/>
                <w:sz w:val="21"/>
                <w:szCs w:val="21"/>
              </w:rPr>
            </w:pPr>
            <w:r>
              <w:rPr>
                <w:rFonts w:ascii="宋体"/>
                <w:sz w:val="21"/>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2,110.</w:t>
            </w:r>
          </w:p>
          <w:p>
            <w:pPr>
              <w:pStyle w:val="TableParagraph"/>
              <w:spacing w:line="273" w:lineRule="exact"/>
              <w:ind w:left="525" w:right="0"/>
              <w:jc w:val="left"/>
              <w:rPr>
                <w:rFonts w:ascii="宋体" w:hAnsi="宋体" w:cs="宋体" w:eastAsia="宋体" w:hint="default"/>
                <w:sz w:val="21"/>
                <w:szCs w:val="21"/>
              </w:rPr>
            </w:pPr>
            <w:r>
              <w:rPr>
                <w:rFonts w:ascii="宋体"/>
                <w:sz w:val="21"/>
              </w:rPr>
              <w:t>04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2" w:right="0"/>
              <w:jc w:val="center"/>
              <w:rPr>
                <w:rFonts w:ascii="宋体" w:hAnsi="宋体" w:cs="宋体" w:eastAsia="宋体" w:hint="default"/>
                <w:sz w:val="21"/>
                <w:szCs w:val="21"/>
              </w:rPr>
            </w:pPr>
            <w:r>
              <w:rPr>
                <w:rFonts w:ascii="宋体"/>
                <w:sz w:val="21"/>
              </w:rPr>
              <w:t>11,10</w:t>
            </w:r>
          </w:p>
          <w:p>
            <w:pPr>
              <w:pStyle w:val="TableParagraph"/>
              <w:spacing w:line="273" w:lineRule="exact"/>
              <w:ind w:left="177" w:right="0"/>
              <w:jc w:val="center"/>
              <w:rPr>
                <w:rFonts w:ascii="宋体" w:hAnsi="宋体" w:cs="宋体" w:eastAsia="宋体" w:hint="default"/>
                <w:sz w:val="21"/>
                <w:szCs w:val="21"/>
              </w:rPr>
            </w:pPr>
            <w:r>
              <w:rPr>
                <w:rFonts w:ascii="宋体"/>
                <w:sz w:val="21"/>
              </w:rPr>
              <w:t>5.10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2,792.92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2,676</w:t>
            </w:r>
          </w:p>
          <w:p>
            <w:pPr>
              <w:pStyle w:val="TableParagraph"/>
              <w:spacing w:line="273" w:lineRule="exact"/>
              <w:ind w:left="398" w:right="0"/>
              <w:jc w:val="left"/>
              <w:rPr>
                <w:rFonts w:ascii="宋体" w:hAnsi="宋体" w:cs="宋体" w:eastAsia="宋体" w:hint="default"/>
                <w:sz w:val="21"/>
                <w:szCs w:val="21"/>
              </w:rPr>
            </w:pPr>
            <w:r>
              <w:rPr>
                <w:rFonts w:ascii="宋体"/>
                <w:sz w:val="21"/>
              </w:rPr>
              <w:t>.20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宋体" w:hAnsi="宋体" w:cs="宋体" w:eastAsia="宋体" w:hint="default"/>
                <w:sz w:val="21"/>
                <w:szCs w:val="21"/>
              </w:rPr>
            </w:pPr>
            <w:r>
              <w:rPr>
                <w:rFonts w:ascii="宋体"/>
                <w:sz w:val="21"/>
              </w:rPr>
              <w:t>3,636.47</w:t>
            </w:r>
          </w:p>
        </w:tc>
      </w:tr>
    </w:tbl>
    <w:p>
      <w:pPr>
        <w:spacing w:line="240" w:lineRule="auto" w:before="8"/>
        <w:rPr>
          <w:rFonts w:ascii="宋体" w:hAnsi="宋体" w:cs="宋体" w:eastAsia="宋体" w:hint="default"/>
          <w:sz w:val="18"/>
          <w:szCs w:val="18"/>
        </w:rPr>
      </w:pPr>
    </w:p>
    <w:p>
      <w:pPr>
        <w:pStyle w:val="Heading3"/>
        <w:spacing w:line="240" w:lineRule="auto" w:before="26"/>
        <w:ind w:left="958" w:right="5130"/>
        <w:jc w:val="left"/>
      </w:pPr>
      <w:r>
        <w:rPr>
          <w:rFonts w:ascii="宋体" w:hAnsi="宋体" w:cs="宋体" w:eastAsia="宋体" w:hint="default"/>
        </w:rPr>
        <w:t>4.</w:t>
      </w:r>
      <w:r>
        <w:rPr/>
        <w:t>参股公司</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29"/>
        <w:gridCol w:w="992"/>
        <w:gridCol w:w="852"/>
        <w:gridCol w:w="566"/>
        <w:gridCol w:w="992"/>
        <w:gridCol w:w="566"/>
        <w:gridCol w:w="708"/>
        <w:gridCol w:w="708"/>
        <w:gridCol w:w="569"/>
        <w:gridCol w:w="566"/>
        <w:gridCol w:w="994"/>
        <w:gridCol w:w="566"/>
      </w:tblGrid>
      <w:tr>
        <w:trPr>
          <w:trHeight w:val="350"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81" w:right="173"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55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5"/>
              <w:ind w:left="64" w:right="67"/>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212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103" w:hanging="209"/>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4" w:right="6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9" w:right="67"/>
              <w:jc w:val="center"/>
              <w:rPr>
                <w:rFonts w:ascii="宋体" w:hAnsi="宋体" w:cs="宋体" w:eastAsia="宋体" w:hint="default"/>
                <w:sz w:val="21"/>
                <w:szCs w:val="21"/>
              </w:rPr>
            </w:pPr>
            <w:r>
              <w:rPr>
                <w:rFonts w:ascii="宋体" w:hAnsi="宋体" w:cs="宋体" w:eastAsia="宋体" w:hint="default"/>
                <w:sz w:val="21"/>
                <w:szCs w:val="21"/>
              </w:rPr>
              <w:t>权益法确</w:t>
            </w:r>
            <w:r>
              <w:rPr>
                <w:rFonts w:ascii="宋体" w:hAnsi="宋体" w:cs="宋体" w:eastAsia="宋体" w:hint="default"/>
                <w:w w:val="100"/>
                <w:sz w:val="21"/>
                <w:szCs w:val="21"/>
              </w:rPr>
              <w:t> </w:t>
            </w:r>
            <w:r>
              <w:rPr>
                <w:rFonts w:ascii="宋体" w:hAnsi="宋体" w:cs="宋体" w:eastAsia="宋体" w:hint="default"/>
                <w:sz w:val="21"/>
                <w:szCs w:val="21"/>
              </w:rPr>
              <w:t>认的投资</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67" w:right="6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68" w:right="107"/>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201" w:right="146"/>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z w:val="21"/>
                <w:szCs w:val="21"/>
              </w:rPr>
              <w:t>其他</w:t>
            </w: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r>
        <w:trPr>
          <w:trHeight w:val="3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8"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3"/>
              <w:ind w:left="103" w:right="120"/>
              <w:jc w:val="left"/>
              <w:rPr>
                <w:rFonts w:ascii="宋体" w:hAnsi="宋体" w:cs="宋体" w:eastAsia="宋体" w:hint="default"/>
                <w:sz w:val="21"/>
                <w:szCs w:val="21"/>
              </w:rPr>
            </w:pPr>
            <w:r>
              <w:rPr>
                <w:rFonts w:ascii="宋体" w:hAnsi="宋体" w:cs="宋体" w:eastAsia="宋体" w:hint="default"/>
                <w:sz w:val="21"/>
                <w:szCs w:val="21"/>
              </w:rPr>
              <w:t>深圳市中科金证科技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3,000,1</w:t>
            </w:r>
          </w:p>
          <w:p>
            <w:pPr>
              <w:pStyle w:val="TableParagraph"/>
              <w:spacing w:line="274" w:lineRule="exact"/>
              <w:ind w:left="350" w:right="0"/>
              <w:jc w:val="left"/>
              <w:rPr>
                <w:rFonts w:ascii="宋体" w:hAnsi="宋体" w:cs="宋体" w:eastAsia="宋体" w:hint="default"/>
                <w:sz w:val="21"/>
                <w:szCs w:val="21"/>
              </w:rPr>
            </w:pPr>
            <w:r>
              <w:rPr>
                <w:rFonts w:ascii="宋体"/>
                <w:sz w:val="21"/>
              </w:rPr>
              <w:t>74.56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651,257</w:t>
            </w:r>
          </w:p>
          <w:p>
            <w:pPr>
              <w:pStyle w:val="TableParagraph"/>
              <w:spacing w:line="274" w:lineRule="exact"/>
              <w:ind w:left="563" w:right="0"/>
              <w:jc w:val="left"/>
              <w:rPr>
                <w:rFonts w:ascii="宋体" w:hAnsi="宋体" w:cs="宋体" w:eastAsia="宋体" w:hint="default"/>
                <w:sz w:val="21"/>
                <w:szCs w:val="21"/>
              </w:rPr>
            </w:pPr>
            <w:r>
              <w:rPr>
                <w:rFonts w:ascii="宋体"/>
                <w:sz w:val="21"/>
              </w:rPr>
              <w:t>.21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3,651,4</w:t>
            </w:r>
          </w:p>
          <w:p>
            <w:pPr>
              <w:pStyle w:val="TableParagraph"/>
              <w:spacing w:line="274" w:lineRule="exact"/>
              <w:ind w:left="355" w:right="0"/>
              <w:jc w:val="left"/>
              <w:rPr>
                <w:rFonts w:ascii="宋体" w:hAnsi="宋体" w:cs="宋体" w:eastAsia="宋体" w:hint="default"/>
                <w:sz w:val="21"/>
                <w:szCs w:val="21"/>
              </w:rPr>
            </w:pPr>
            <w:r>
              <w:rPr>
                <w:rFonts w:ascii="宋体"/>
                <w:sz w:val="21"/>
              </w:rPr>
              <w:t>31.77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4"/>
              <w:ind w:left="103" w:right="120"/>
              <w:jc w:val="left"/>
              <w:rPr>
                <w:rFonts w:ascii="宋体" w:hAnsi="宋体" w:cs="宋体" w:eastAsia="宋体" w:hint="default"/>
                <w:sz w:val="21"/>
                <w:szCs w:val="21"/>
              </w:rPr>
            </w:pPr>
            <w:r>
              <w:rPr>
                <w:rFonts w:ascii="宋体" w:hAnsi="宋体" w:cs="宋体" w:eastAsia="宋体" w:hint="default"/>
                <w:sz w:val="21"/>
                <w:szCs w:val="21"/>
              </w:rPr>
              <w:t>深圳市丽海弘金科技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2,063,7</w:t>
            </w:r>
          </w:p>
          <w:p>
            <w:pPr>
              <w:pStyle w:val="TableParagraph"/>
              <w:spacing w:line="274" w:lineRule="exact"/>
              <w:ind w:left="350" w:right="0"/>
              <w:jc w:val="left"/>
              <w:rPr>
                <w:rFonts w:ascii="宋体" w:hAnsi="宋体" w:cs="宋体" w:eastAsia="宋体" w:hint="default"/>
                <w:sz w:val="21"/>
                <w:szCs w:val="21"/>
              </w:rPr>
            </w:pPr>
            <w:r>
              <w:rPr>
                <w:rFonts w:ascii="宋体"/>
                <w:sz w:val="21"/>
              </w:rPr>
              <w:t>57.51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6,000,</w:t>
            </w:r>
          </w:p>
          <w:p>
            <w:pPr>
              <w:pStyle w:val="TableParagraph"/>
              <w:spacing w:line="274" w:lineRule="exact"/>
              <w:ind w:left="105" w:right="0"/>
              <w:jc w:val="left"/>
              <w:rPr>
                <w:rFonts w:ascii="宋体" w:hAnsi="宋体" w:cs="宋体" w:eastAsia="宋体" w:hint="default"/>
                <w:sz w:val="21"/>
                <w:szCs w:val="21"/>
              </w:rPr>
            </w:pPr>
            <w:r>
              <w:rPr>
                <w:rFonts w:ascii="宋体"/>
                <w:sz w:val="21"/>
              </w:rPr>
              <w:t>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-5,045,</w:t>
            </w:r>
          </w:p>
          <w:p>
            <w:pPr>
              <w:pStyle w:val="TableParagraph"/>
              <w:spacing w:line="274" w:lineRule="exact"/>
              <w:ind w:left="145" w:right="0"/>
              <w:jc w:val="center"/>
              <w:rPr>
                <w:rFonts w:ascii="宋体" w:hAnsi="宋体" w:cs="宋体" w:eastAsia="宋体" w:hint="default"/>
                <w:sz w:val="21"/>
                <w:szCs w:val="21"/>
              </w:rPr>
            </w:pPr>
            <w:r>
              <w:rPr>
                <w:rFonts w:ascii="宋体"/>
                <w:sz w:val="21"/>
              </w:rPr>
              <w:t>713.66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3,018,0</w:t>
            </w:r>
          </w:p>
          <w:p>
            <w:pPr>
              <w:pStyle w:val="TableParagraph"/>
              <w:spacing w:line="274" w:lineRule="exact"/>
              <w:ind w:left="355" w:right="0"/>
              <w:jc w:val="left"/>
              <w:rPr>
                <w:rFonts w:ascii="宋体" w:hAnsi="宋体" w:cs="宋体" w:eastAsia="宋体" w:hint="default"/>
                <w:sz w:val="21"/>
                <w:szCs w:val="21"/>
              </w:rPr>
            </w:pPr>
            <w:r>
              <w:rPr>
                <w:rFonts w:ascii="宋体"/>
                <w:sz w:val="21"/>
              </w:rPr>
              <w:t>43.85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贵州金证飞翔科技有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198,266</w:t>
            </w:r>
          </w:p>
          <w:p>
            <w:pPr>
              <w:pStyle w:val="TableParagraph"/>
              <w:spacing w:line="274" w:lineRule="exact"/>
              <w:ind w:left="561" w:right="0"/>
              <w:jc w:val="lef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-2,536.</w:t>
            </w:r>
          </w:p>
          <w:p>
            <w:pPr>
              <w:pStyle w:val="TableParagraph"/>
              <w:spacing w:line="274" w:lineRule="exact"/>
              <w:ind w:right="101"/>
              <w:jc w:val="right"/>
              <w:rPr>
                <w:rFonts w:ascii="宋体" w:hAnsi="宋体" w:cs="宋体" w:eastAsia="宋体" w:hint="default"/>
                <w:sz w:val="21"/>
                <w:szCs w:val="21"/>
              </w:rPr>
            </w:pPr>
            <w:r>
              <w:rPr>
                <w:rFonts w:ascii="宋体"/>
                <w:sz w:val="21"/>
              </w:rPr>
              <w:t>24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195,729</w:t>
            </w:r>
          </w:p>
          <w:p>
            <w:pPr>
              <w:pStyle w:val="TableParagraph"/>
              <w:spacing w:line="274" w:lineRule="exact"/>
              <w:ind w:left="566" w:right="0"/>
              <w:jc w:val="left"/>
              <w:rPr>
                <w:rFonts w:ascii="宋体" w:hAnsi="宋体" w:cs="宋体" w:eastAsia="宋体" w:hint="default"/>
                <w:sz w:val="21"/>
                <w:szCs w:val="21"/>
              </w:rPr>
            </w:pPr>
            <w:r>
              <w:rPr>
                <w:rFonts w:ascii="宋体"/>
                <w:sz w:val="21"/>
              </w:rPr>
              <w:t>.91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4"/>
              <w:ind w:left="103" w:right="120"/>
              <w:jc w:val="left"/>
              <w:rPr>
                <w:rFonts w:ascii="宋体" w:hAnsi="宋体" w:cs="宋体" w:eastAsia="宋体" w:hint="default"/>
                <w:sz w:val="21"/>
                <w:szCs w:val="21"/>
              </w:rPr>
            </w:pPr>
            <w:r>
              <w:rPr>
                <w:rFonts w:ascii="宋体" w:hAnsi="宋体" w:cs="宋体" w:eastAsia="宋体" w:hint="default"/>
                <w:sz w:val="21"/>
                <w:szCs w:val="21"/>
              </w:rPr>
              <w:t>广州佳时达软件股份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9,784,0</w:t>
            </w:r>
          </w:p>
          <w:p>
            <w:pPr>
              <w:pStyle w:val="TableParagraph"/>
              <w:spacing w:line="274" w:lineRule="exact"/>
              <w:ind w:left="350" w:right="0"/>
              <w:jc w:val="left"/>
              <w:rPr>
                <w:rFonts w:ascii="宋体" w:hAnsi="宋体" w:cs="宋体" w:eastAsia="宋体" w:hint="default"/>
                <w:sz w:val="21"/>
                <w:szCs w:val="21"/>
              </w:rPr>
            </w:pPr>
            <w:r>
              <w:rPr>
                <w:rFonts w:ascii="宋体"/>
                <w:sz w:val="21"/>
              </w:rPr>
              <w:t>79.92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52,347.</w:t>
            </w:r>
          </w:p>
          <w:p>
            <w:pPr>
              <w:pStyle w:val="TableParagraph"/>
              <w:spacing w:line="274" w:lineRule="exact"/>
              <w:ind w:right="101"/>
              <w:jc w:val="right"/>
              <w:rPr>
                <w:rFonts w:ascii="宋体" w:hAnsi="宋体" w:cs="宋体" w:eastAsia="宋体" w:hint="default"/>
                <w:sz w:val="21"/>
                <w:szCs w:val="21"/>
              </w:rPr>
            </w:pPr>
            <w:r>
              <w:rPr>
                <w:rFonts w:ascii="宋体"/>
                <w:sz w:val="21"/>
              </w:rPr>
              <w:t>56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9,836,4</w:t>
            </w:r>
          </w:p>
          <w:p>
            <w:pPr>
              <w:pStyle w:val="TableParagraph"/>
              <w:spacing w:line="274" w:lineRule="exact"/>
              <w:ind w:left="355" w:right="0"/>
              <w:jc w:val="left"/>
              <w:rPr>
                <w:rFonts w:ascii="宋体" w:hAnsi="宋体" w:cs="宋体" w:eastAsia="宋体" w:hint="default"/>
                <w:sz w:val="21"/>
                <w:szCs w:val="21"/>
              </w:rPr>
            </w:pPr>
            <w:r>
              <w:rPr>
                <w:rFonts w:ascii="宋体"/>
                <w:sz w:val="21"/>
              </w:rPr>
              <w:t>27.48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深圳市金证前海金融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1" w:right="0"/>
              <w:jc w:val="left"/>
              <w:rPr>
                <w:rFonts w:ascii="宋体" w:hAnsi="宋体" w:cs="宋体" w:eastAsia="宋体" w:hint="default"/>
                <w:sz w:val="21"/>
                <w:szCs w:val="21"/>
              </w:rPr>
            </w:pPr>
            <w:r>
              <w:rPr>
                <w:rFonts w:ascii="宋体"/>
                <w:sz w:val="21"/>
              </w:rPr>
              <w:t>5,481,2</w:t>
            </w:r>
          </w:p>
          <w:p>
            <w:pPr>
              <w:pStyle w:val="TableParagraph"/>
              <w:spacing w:line="273" w:lineRule="exact"/>
              <w:ind w:left="350" w:right="0"/>
              <w:jc w:val="left"/>
              <w:rPr>
                <w:rFonts w:ascii="宋体" w:hAnsi="宋体" w:cs="宋体" w:eastAsia="宋体" w:hint="default"/>
                <w:sz w:val="21"/>
                <w:szCs w:val="21"/>
              </w:rPr>
            </w:pPr>
            <w:r>
              <w:rPr>
                <w:rFonts w:ascii="宋体"/>
                <w:sz w:val="21"/>
              </w:rPr>
              <w:t>67.15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2" w:right="0"/>
              <w:jc w:val="center"/>
              <w:rPr>
                <w:rFonts w:ascii="宋体" w:hAnsi="宋体" w:cs="宋体" w:eastAsia="宋体" w:hint="default"/>
                <w:sz w:val="21"/>
                <w:szCs w:val="21"/>
              </w:rPr>
            </w:pPr>
            <w:r>
              <w:rPr>
                <w:rFonts w:ascii="宋体"/>
                <w:sz w:val="21"/>
              </w:rPr>
              <w:t>-2,962,</w:t>
            </w:r>
          </w:p>
          <w:p>
            <w:pPr>
              <w:pStyle w:val="TableParagraph"/>
              <w:spacing w:line="273" w:lineRule="exact"/>
              <w:ind w:left="145" w:right="0"/>
              <w:jc w:val="center"/>
              <w:rPr>
                <w:rFonts w:ascii="宋体" w:hAnsi="宋体" w:cs="宋体" w:eastAsia="宋体" w:hint="default"/>
                <w:sz w:val="21"/>
                <w:szCs w:val="21"/>
              </w:rPr>
            </w:pPr>
            <w:r>
              <w:rPr>
                <w:rFonts w:ascii="宋体"/>
                <w:sz w:val="21"/>
              </w:rPr>
              <w:t>002.23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sz w:val="21"/>
              </w:rPr>
              <w:t>2,519,2</w:t>
            </w:r>
          </w:p>
          <w:p>
            <w:pPr>
              <w:pStyle w:val="TableParagraph"/>
              <w:spacing w:line="273" w:lineRule="exact"/>
              <w:ind w:left="355" w:right="0"/>
              <w:jc w:val="left"/>
              <w:rPr>
                <w:rFonts w:ascii="宋体" w:hAnsi="宋体" w:cs="宋体" w:eastAsia="宋体" w:hint="default"/>
                <w:sz w:val="21"/>
                <w:szCs w:val="21"/>
              </w:rPr>
            </w:pPr>
            <w:r>
              <w:rPr>
                <w:rFonts w:ascii="宋体"/>
                <w:sz w:val="21"/>
              </w:rPr>
              <w:t>64.92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1910" w:h="16840"/>
          <w:pgMar w:header="880" w:footer="1195" w:top="1120" w:bottom="1380" w:left="84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129"/>
        <w:gridCol w:w="992"/>
        <w:gridCol w:w="852"/>
        <w:gridCol w:w="566"/>
        <w:gridCol w:w="992"/>
        <w:gridCol w:w="566"/>
        <w:gridCol w:w="708"/>
        <w:gridCol w:w="708"/>
        <w:gridCol w:w="569"/>
        <w:gridCol w:w="566"/>
        <w:gridCol w:w="994"/>
        <w:gridCol w:w="566"/>
      </w:tblGrid>
      <w:tr>
        <w:trPr>
          <w:trHeight w:val="351"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381" w:right="173"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55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6"/>
              <w:ind w:left="64" w:right="67"/>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212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103" w:hanging="209"/>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4" w:right="6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69" w:right="67"/>
              <w:jc w:val="center"/>
              <w:rPr>
                <w:rFonts w:ascii="宋体" w:hAnsi="宋体" w:cs="宋体" w:eastAsia="宋体" w:hint="default"/>
                <w:sz w:val="21"/>
                <w:szCs w:val="21"/>
              </w:rPr>
            </w:pPr>
            <w:r>
              <w:rPr>
                <w:rFonts w:ascii="宋体" w:hAnsi="宋体" w:cs="宋体" w:eastAsia="宋体" w:hint="default"/>
                <w:sz w:val="21"/>
                <w:szCs w:val="21"/>
              </w:rPr>
              <w:t>权益法确</w:t>
            </w:r>
            <w:r>
              <w:rPr>
                <w:rFonts w:ascii="宋体" w:hAnsi="宋体" w:cs="宋体" w:eastAsia="宋体" w:hint="default"/>
                <w:w w:val="100"/>
                <w:sz w:val="21"/>
                <w:szCs w:val="21"/>
              </w:rPr>
              <w:t> </w:t>
            </w:r>
            <w:r>
              <w:rPr>
                <w:rFonts w:ascii="宋体" w:hAnsi="宋体" w:cs="宋体" w:eastAsia="宋体" w:hint="default"/>
                <w:sz w:val="21"/>
                <w:szCs w:val="21"/>
              </w:rPr>
              <w:t>认的投资</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67" w:right="6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68" w:right="107"/>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201" w:right="146"/>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z w:val="21"/>
                <w:szCs w:val="21"/>
              </w:rPr>
              <w:t>其他</w:t>
            </w: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20"/>
              <w:jc w:val="left"/>
              <w:rPr>
                <w:rFonts w:ascii="宋体" w:hAnsi="宋体" w:cs="宋体" w:eastAsia="宋体" w:hint="default"/>
                <w:sz w:val="21"/>
                <w:szCs w:val="21"/>
              </w:rPr>
            </w:pPr>
            <w:r>
              <w:rPr>
                <w:rFonts w:ascii="宋体" w:hAnsi="宋体" w:cs="宋体" w:eastAsia="宋体" w:hint="default"/>
                <w:sz w:val="21"/>
                <w:szCs w:val="21"/>
              </w:rPr>
              <w:t>西安中沥电子商务有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41" w:right="0"/>
              <w:jc w:val="left"/>
              <w:rPr>
                <w:rFonts w:ascii="宋体" w:hAnsi="宋体" w:cs="宋体" w:eastAsia="宋体" w:hint="default"/>
                <w:sz w:val="21"/>
                <w:szCs w:val="21"/>
              </w:rPr>
            </w:pPr>
            <w:r>
              <w:rPr>
                <w:rFonts w:ascii="宋体"/>
                <w:sz w:val="21"/>
              </w:rPr>
              <w:t>3,126,9</w:t>
            </w:r>
          </w:p>
          <w:p>
            <w:pPr>
              <w:pStyle w:val="TableParagraph"/>
              <w:spacing w:line="274" w:lineRule="exact"/>
              <w:ind w:left="350" w:right="0"/>
              <w:jc w:val="left"/>
              <w:rPr>
                <w:rFonts w:ascii="宋体" w:hAnsi="宋体" w:cs="宋体" w:eastAsia="宋体" w:hint="default"/>
                <w:sz w:val="21"/>
                <w:szCs w:val="21"/>
              </w:rPr>
            </w:pPr>
            <w:r>
              <w:rPr>
                <w:rFonts w:ascii="宋体"/>
                <w:sz w:val="21"/>
              </w:rPr>
              <w:t>23.05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43" w:right="0"/>
              <w:jc w:val="left"/>
              <w:rPr>
                <w:rFonts w:ascii="宋体" w:hAnsi="宋体" w:cs="宋体" w:eastAsia="宋体" w:hint="default"/>
                <w:sz w:val="21"/>
                <w:szCs w:val="21"/>
              </w:rPr>
            </w:pPr>
            <w:r>
              <w:rPr>
                <w:rFonts w:ascii="宋体"/>
                <w:sz w:val="21"/>
              </w:rPr>
              <w:t>398,639</w:t>
            </w:r>
          </w:p>
          <w:p>
            <w:pPr>
              <w:pStyle w:val="TableParagraph"/>
              <w:spacing w:line="274" w:lineRule="exact"/>
              <w:ind w:left="563" w:right="0"/>
              <w:jc w:val="left"/>
              <w:rPr>
                <w:rFonts w:ascii="宋体" w:hAnsi="宋体" w:cs="宋体" w:eastAsia="宋体" w:hint="default"/>
                <w:sz w:val="21"/>
                <w:szCs w:val="21"/>
              </w:rPr>
            </w:pPr>
            <w:r>
              <w:rPr>
                <w:rFonts w:ascii="宋体"/>
                <w:sz w:val="21"/>
              </w:rPr>
              <w:t>.51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520,</w:t>
            </w:r>
          </w:p>
          <w:p>
            <w:pPr>
              <w:pStyle w:val="TableParagraph"/>
              <w:spacing w:line="272" w:lineRule="exact"/>
              <w:ind w:left="175" w:right="0"/>
              <w:jc w:val="left"/>
              <w:rPr>
                <w:rFonts w:ascii="宋体" w:hAnsi="宋体" w:cs="宋体" w:eastAsia="宋体" w:hint="default"/>
                <w:sz w:val="21"/>
                <w:szCs w:val="21"/>
              </w:rPr>
            </w:pPr>
            <w:r>
              <w:rPr>
                <w:rFonts w:ascii="宋体"/>
                <w:sz w:val="21"/>
              </w:rPr>
              <w:t>930.</w:t>
            </w:r>
          </w:p>
          <w:p>
            <w:pPr>
              <w:pStyle w:val="TableParagraph"/>
              <w:spacing w:line="273" w:lineRule="exact"/>
              <w:ind w:left="384" w:right="0"/>
              <w:jc w:val="left"/>
              <w:rPr>
                <w:rFonts w:ascii="宋体" w:hAnsi="宋体" w:cs="宋体" w:eastAsia="宋体" w:hint="default"/>
                <w:sz w:val="21"/>
                <w:szCs w:val="21"/>
              </w:rPr>
            </w:pPr>
            <w:r>
              <w:rPr>
                <w:rFonts w:ascii="宋体"/>
                <w:sz w:val="21"/>
              </w:rPr>
              <w:t>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46" w:right="0"/>
              <w:jc w:val="left"/>
              <w:rPr>
                <w:rFonts w:ascii="宋体" w:hAnsi="宋体" w:cs="宋体" w:eastAsia="宋体" w:hint="default"/>
                <w:sz w:val="21"/>
                <w:szCs w:val="21"/>
              </w:rPr>
            </w:pPr>
            <w:r>
              <w:rPr>
                <w:rFonts w:ascii="宋体"/>
                <w:sz w:val="21"/>
              </w:rPr>
              <w:t>4,046,4</w:t>
            </w:r>
          </w:p>
          <w:p>
            <w:pPr>
              <w:pStyle w:val="TableParagraph"/>
              <w:spacing w:line="274" w:lineRule="exact"/>
              <w:ind w:left="355" w:right="0"/>
              <w:jc w:val="left"/>
              <w:rPr>
                <w:rFonts w:ascii="宋体" w:hAnsi="宋体" w:cs="宋体" w:eastAsia="宋体" w:hint="default"/>
                <w:sz w:val="21"/>
                <w:szCs w:val="21"/>
              </w:rPr>
            </w:pPr>
            <w:r>
              <w:rPr>
                <w:rFonts w:ascii="宋体"/>
                <w:sz w:val="21"/>
              </w:rPr>
              <w:t>93.34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r>
      <w:tr>
        <w:trPr>
          <w:trHeight w:val="73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兴业数字金融服务</w:t>
            </w:r>
          </w:p>
          <w:p>
            <w:pPr>
              <w:pStyle w:val="TableParagraph"/>
              <w:spacing w:line="240" w:lineRule="exact" w:before="36"/>
              <w:ind w:left="103" w:right="120"/>
              <w:jc w:val="left"/>
              <w:rPr>
                <w:rFonts w:ascii="宋体" w:hAnsi="宋体" w:cs="宋体" w:eastAsia="宋体" w:hint="default"/>
                <w:sz w:val="21"/>
                <w:szCs w:val="21"/>
              </w:rPr>
            </w:pPr>
            <w:r>
              <w:rPr>
                <w:rFonts w:ascii="宋体" w:hAnsi="宋体" w:cs="宋体" w:eastAsia="宋体" w:hint="default"/>
                <w:sz w:val="21"/>
                <w:szCs w:val="21"/>
              </w:rPr>
              <w:t>（上海）股份有限公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54"/>
              <w:ind w:left="37" w:right="0"/>
              <w:jc w:val="center"/>
              <w:rPr>
                <w:rFonts w:ascii="宋体" w:hAnsi="宋体" w:cs="宋体" w:eastAsia="宋体" w:hint="default"/>
                <w:sz w:val="21"/>
                <w:szCs w:val="21"/>
              </w:rPr>
            </w:pPr>
            <w:r>
              <w:rPr>
                <w:rFonts w:ascii="宋体"/>
                <w:sz w:val="21"/>
              </w:rPr>
              <w:t>51,558,</w:t>
            </w:r>
          </w:p>
          <w:p>
            <w:pPr>
              <w:pStyle w:val="TableParagraph"/>
              <w:spacing w:line="273" w:lineRule="exact"/>
              <w:ind w:left="140" w:right="0"/>
              <w:jc w:val="center"/>
              <w:rPr>
                <w:rFonts w:ascii="宋体" w:hAnsi="宋体" w:cs="宋体" w:eastAsia="宋体" w:hint="default"/>
                <w:sz w:val="21"/>
                <w:szCs w:val="21"/>
              </w:rPr>
            </w:pPr>
            <w:r>
              <w:rPr>
                <w:rFonts w:ascii="宋体"/>
                <w:sz w:val="21"/>
              </w:rPr>
              <w:t>070.93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54"/>
              <w:ind w:left="42" w:right="0"/>
              <w:jc w:val="center"/>
              <w:rPr>
                <w:rFonts w:ascii="宋体" w:hAnsi="宋体" w:cs="宋体" w:eastAsia="宋体" w:hint="default"/>
                <w:sz w:val="21"/>
                <w:szCs w:val="21"/>
              </w:rPr>
            </w:pPr>
            <w:r>
              <w:rPr>
                <w:rFonts w:ascii="宋体"/>
                <w:sz w:val="21"/>
              </w:rPr>
              <w:t>-2,205,</w:t>
            </w:r>
          </w:p>
          <w:p>
            <w:pPr>
              <w:pStyle w:val="TableParagraph"/>
              <w:spacing w:line="273" w:lineRule="exact"/>
              <w:ind w:left="145" w:right="0"/>
              <w:jc w:val="center"/>
              <w:rPr>
                <w:rFonts w:ascii="宋体" w:hAnsi="宋体" w:cs="宋体" w:eastAsia="宋体" w:hint="default"/>
                <w:sz w:val="21"/>
                <w:szCs w:val="21"/>
              </w:rPr>
            </w:pPr>
            <w:r>
              <w:rPr>
                <w:rFonts w:ascii="宋体"/>
                <w:sz w:val="21"/>
              </w:rPr>
              <w:t>294.44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54"/>
              <w:ind w:left="45" w:right="0"/>
              <w:jc w:val="center"/>
              <w:rPr>
                <w:rFonts w:ascii="宋体" w:hAnsi="宋体" w:cs="宋体" w:eastAsia="宋体" w:hint="default"/>
                <w:sz w:val="21"/>
                <w:szCs w:val="21"/>
              </w:rPr>
            </w:pPr>
            <w:r>
              <w:rPr>
                <w:rFonts w:ascii="宋体"/>
                <w:sz w:val="21"/>
              </w:rPr>
              <w:t>49,352,</w:t>
            </w:r>
          </w:p>
          <w:p>
            <w:pPr>
              <w:pStyle w:val="TableParagraph"/>
              <w:spacing w:line="273" w:lineRule="exact"/>
              <w:ind w:left="148" w:right="0"/>
              <w:jc w:val="center"/>
              <w:rPr>
                <w:rFonts w:ascii="宋体" w:hAnsi="宋体" w:cs="宋体" w:eastAsia="宋体" w:hint="default"/>
                <w:sz w:val="21"/>
                <w:szCs w:val="21"/>
              </w:rPr>
            </w:pPr>
            <w:r>
              <w:rPr>
                <w:rFonts w:ascii="宋体"/>
                <w:sz w:val="21"/>
              </w:rPr>
              <w:t>776.49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山东晶芯能源科技有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1,620,0</w:t>
            </w:r>
          </w:p>
          <w:p>
            <w:pPr>
              <w:pStyle w:val="TableParagraph"/>
              <w:spacing w:line="274" w:lineRule="exact"/>
              <w:ind w:left="350" w:right="0"/>
              <w:jc w:val="left"/>
              <w:rPr>
                <w:rFonts w:ascii="宋体" w:hAnsi="宋体" w:cs="宋体" w:eastAsia="宋体" w:hint="default"/>
                <w:sz w:val="21"/>
                <w:szCs w:val="21"/>
              </w:rPr>
            </w:pPr>
            <w:r>
              <w:rPr>
                <w:rFonts w:ascii="宋体"/>
                <w:sz w:val="21"/>
              </w:rPr>
              <w:t>31.50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168,097</w:t>
            </w:r>
          </w:p>
          <w:p>
            <w:pPr>
              <w:pStyle w:val="TableParagraph"/>
              <w:spacing w:line="274" w:lineRule="exact"/>
              <w:ind w:left="563" w:right="0"/>
              <w:jc w:val="left"/>
              <w:rPr>
                <w:rFonts w:ascii="宋体" w:hAnsi="宋体" w:cs="宋体" w:eastAsia="宋体" w:hint="default"/>
                <w:sz w:val="21"/>
                <w:szCs w:val="21"/>
              </w:rPr>
            </w:pPr>
            <w:r>
              <w:rPr>
                <w:rFonts w:ascii="宋体"/>
                <w:sz w:val="21"/>
              </w:rPr>
              <w:t>.05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1,788,1</w:t>
            </w:r>
          </w:p>
          <w:p>
            <w:pPr>
              <w:pStyle w:val="TableParagraph"/>
              <w:spacing w:line="274" w:lineRule="exact"/>
              <w:ind w:left="355" w:right="0"/>
              <w:jc w:val="left"/>
              <w:rPr>
                <w:rFonts w:ascii="宋体" w:hAnsi="宋体" w:cs="宋体" w:eastAsia="宋体" w:hint="default"/>
                <w:sz w:val="21"/>
                <w:szCs w:val="21"/>
              </w:rPr>
            </w:pPr>
            <w:r>
              <w:rPr>
                <w:rFonts w:ascii="宋体"/>
                <w:sz w:val="21"/>
              </w:rPr>
              <w:t>28.55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3"/>
              <w:ind w:left="103" w:right="120"/>
              <w:jc w:val="left"/>
              <w:rPr>
                <w:rFonts w:ascii="宋体" w:hAnsi="宋体" w:cs="宋体" w:eastAsia="宋体" w:hint="default"/>
                <w:sz w:val="21"/>
                <w:szCs w:val="21"/>
              </w:rPr>
            </w:pPr>
            <w:r>
              <w:rPr>
                <w:rFonts w:ascii="宋体" w:hAnsi="宋体" w:cs="宋体" w:eastAsia="宋体" w:hint="default"/>
                <w:sz w:val="21"/>
                <w:szCs w:val="21"/>
              </w:rPr>
              <w:t>山东金证智城科技股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218,639</w:t>
            </w:r>
          </w:p>
          <w:p>
            <w:pPr>
              <w:pStyle w:val="TableParagraph"/>
              <w:spacing w:line="274" w:lineRule="exact"/>
              <w:ind w:left="561" w:right="0"/>
              <w:jc w:val="left"/>
              <w:rPr>
                <w:rFonts w:ascii="宋体" w:hAnsi="宋体" w:cs="宋体" w:eastAsia="宋体" w:hint="default"/>
                <w:sz w:val="21"/>
                <w:szCs w:val="21"/>
              </w:rPr>
            </w:pPr>
            <w:r>
              <w:rPr>
                <w:rFonts w:ascii="宋体"/>
                <w:sz w:val="21"/>
              </w:rPr>
              <w:t>.76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-92,258</w:t>
            </w:r>
          </w:p>
          <w:p>
            <w:pPr>
              <w:pStyle w:val="TableParagraph"/>
              <w:spacing w:line="274" w:lineRule="exact"/>
              <w:ind w:left="563" w:right="0"/>
              <w:jc w:val="left"/>
              <w:rPr>
                <w:rFonts w:ascii="宋体" w:hAnsi="宋体" w:cs="宋体" w:eastAsia="宋体" w:hint="default"/>
                <w:sz w:val="21"/>
                <w:szCs w:val="21"/>
              </w:rPr>
            </w:pPr>
            <w:r>
              <w:rPr>
                <w:rFonts w:ascii="宋体"/>
                <w:sz w:val="21"/>
              </w:rPr>
              <w:t>.15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126,381</w:t>
            </w:r>
          </w:p>
          <w:p>
            <w:pPr>
              <w:pStyle w:val="TableParagraph"/>
              <w:spacing w:line="274" w:lineRule="exact"/>
              <w:ind w:left="566" w:right="0"/>
              <w:jc w:val="left"/>
              <w:rPr>
                <w:rFonts w:ascii="宋体" w:hAnsi="宋体" w:cs="宋体" w:eastAsia="宋体" w:hint="default"/>
                <w:sz w:val="21"/>
                <w:szCs w:val="21"/>
              </w:rPr>
            </w:pPr>
            <w:r>
              <w:rPr>
                <w:rFonts w:ascii="宋体"/>
                <w:sz w:val="21"/>
              </w:rPr>
              <w:t>.61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3"/>
              <w:ind w:left="103" w:right="120"/>
              <w:jc w:val="left"/>
              <w:rPr>
                <w:rFonts w:ascii="宋体" w:hAnsi="宋体" w:cs="宋体" w:eastAsia="宋体" w:hint="default"/>
                <w:sz w:val="21"/>
                <w:szCs w:val="21"/>
              </w:rPr>
            </w:pPr>
            <w:r>
              <w:rPr>
                <w:rFonts w:ascii="宋体" w:hAnsi="宋体" w:cs="宋体" w:eastAsia="宋体" w:hint="default"/>
                <w:sz w:val="21"/>
                <w:szCs w:val="21"/>
              </w:rPr>
              <w:t>福建金证智城科技有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452,101</w:t>
            </w:r>
          </w:p>
          <w:p>
            <w:pPr>
              <w:pStyle w:val="TableParagraph"/>
              <w:spacing w:line="274" w:lineRule="exact"/>
              <w:ind w:left="561" w:right="0"/>
              <w:jc w:val="left"/>
              <w:rPr>
                <w:rFonts w:ascii="宋体" w:hAnsi="宋体" w:cs="宋体" w:eastAsia="宋体" w:hint="default"/>
                <w:sz w:val="21"/>
                <w:szCs w:val="21"/>
              </w:rPr>
            </w:pPr>
            <w:r>
              <w:rPr>
                <w:rFonts w:ascii="宋体"/>
                <w:sz w:val="21"/>
              </w:rPr>
              <w:t>.75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38,690.</w:t>
            </w:r>
          </w:p>
          <w:p>
            <w:pPr>
              <w:pStyle w:val="TableParagraph"/>
              <w:spacing w:line="274" w:lineRule="exact"/>
              <w:ind w:right="101"/>
              <w:jc w:val="right"/>
              <w:rPr>
                <w:rFonts w:ascii="宋体" w:hAnsi="宋体" w:cs="宋体" w:eastAsia="宋体" w:hint="default"/>
                <w:sz w:val="21"/>
                <w:szCs w:val="21"/>
              </w:rPr>
            </w:pPr>
            <w:r>
              <w:rPr>
                <w:rFonts w:ascii="宋体"/>
                <w:sz w:val="21"/>
              </w:rPr>
              <w:t>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490,792</w:t>
            </w:r>
          </w:p>
          <w:p>
            <w:pPr>
              <w:pStyle w:val="TableParagraph"/>
              <w:spacing w:line="274" w:lineRule="exact"/>
              <w:ind w:left="566" w:right="0"/>
              <w:jc w:val="left"/>
              <w:rPr>
                <w:rFonts w:ascii="宋体" w:hAnsi="宋体" w:cs="宋体" w:eastAsia="宋体" w:hint="default"/>
                <w:sz w:val="21"/>
                <w:szCs w:val="21"/>
              </w:rPr>
            </w:pPr>
            <w:r>
              <w:rPr>
                <w:rFonts w:ascii="宋体"/>
                <w:sz w:val="21"/>
              </w:rPr>
              <w:t>.06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3"/>
              <w:ind w:left="103" w:right="120"/>
              <w:jc w:val="left"/>
              <w:rPr>
                <w:rFonts w:ascii="宋体" w:hAnsi="宋体" w:cs="宋体" w:eastAsia="宋体" w:hint="default"/>
                <w:sz w:val="21"/>
                <w:szCs w:val="21"/>
              </w:rPr>
            </w:pPr>
            <w:r>
              <w:rPr>
                <w:rFonts w:ascii="宋体" w:hAnsi="宋体" w:cs="宋体" w:eastAsia="宋体" w:hint="default"/>
                <w:sz w:val="21"/>
                <w:szCs w:val="21"/>
              </w:rPr>
              <w:t>贵州中融信应收账款</w:t>
            </w:r>
            <w:r>
              <w:rPr>
                <w:rFonts w:ascii="宋体" w:hAnsi="宋体" w:cs="宋体" w:eastAsia="宋体" w:hint="default"/>
                <w:w w:val="100"/>
                <w:sz w:val="21"/>
                <w:szCs w:val="21"/>
              </w:rPr>
              <w:t> </w:t>
            </w:r>
            <w:r>
              <w:rPr>
                <w:rFonts w:ascii="宋体" w:hAnsi="宋体" w:cs="宋体" w:eastAsia="宋体" w:hint="default"/>
                <w:sz w:val="21"/>
                <w:szCs w:val="21"/>
              </w:rPr>
              <w:t>交易中心有限公司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4,886,3</w:t>
            </w:r>
          </w:p>
          <w:p>
            <w:pPr>
              <w:pStyle w:val="TableParagraph"/>
              <w:spacing w:line="273" w:lineRule="exact"/>
              <w:ind w:left="350" w:right="0"/>
              <w:jc w:val="left"/>
              <w:rPr>
                <w:rFonts w:ascii="宋体" w:hAnsi="宋体" w:cs="宋体" w:eastAsia="宋体" w:hint="default"/>
                <w:sz w:val="21"/>
                <w:szCs w:val="21"/>
              </w:rPr>
            </w:pPr>
            <w:r>
              <w:rPr>
                <w:rFonts w:ascii="宋体"/>
                <w:sz w:val="21"/>
              </w:rPr>
              <w:t>06.72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-486,93</w:t>
            </w:r>
          </w:p>
          <w:p>
            <w:pPr>
              <w:pStyle w:val="TableParagraph"/>
              <w:spacing w:line="273" w:lineRule="exact"/>
              <w:ind w:left="458" w:right="0"/>
              <w:jc w:val="left"/>
              <w:rPr>
                <w:rFonts w:ascii="宋体" w:hAnsi="宋体" w:cs="宋体" w:eastAsia="宋体" w:hint="default"/>
                <w:sz w:val="21"/>
                <w:szCs w:val="21"/>
              </w:rPr>
            </w:pPr>
            <w:r>
              <w:rPr>
                <w:rFonts w:ascii="宋体"/>
                <w:sz w:val="21"/>
              </w:rPr>
              <w:t>4.89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4,399,3</w:t>
            </w:r>
          </w:p>
          <w:p>
            <w:pPr>
              <w:pStyle w:val="TableParagraph"/>
              <w:spacing w:line="273" w:lineRule="exact"/>
              <w:ind w:left="355" w:right="0"/>
              <w:jc w:val="left"/>
              <w:rPr>
                <w:rFonts w:ascii="宋体" w:hAnsi="宋体" w:cs="宋体" w:eastAsia="宋体" w:hint="default"/>
                <w:sz w:val="21"/>
                <w:szCs w:val="21"/>
              </w:rPr>
            </w:pPr>
            <w:r>
              <w:rPr>
                <w:rFonts w:ascii="宋体"/>
                <w:sz w:val="21"/>
              </w:rPr>
              <w:t>71.83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1"/>
              <w:ind w:left="103" w:right="120"/>
              <w:jc w:val="left"/>
              <w:rPr>
                <w:rFonts w:ascii="宋体" w:hAnsi="宋体" w:cs="宋体" w:eastAsia="宋体" w:hint="default"/>
                <w:sz w:val="21"/>
                <w:szCs w:val="21"/>
              </w:rPr>
            </w:pPr>
            <w:r>
              <w:rPr>
                <w:rFonts w:ascii="宋体" w:hAnsi="宋体" w:cs="宋体" w:eastAsia="宋体" w:hint="default"/>
                <w:sz w:val="21"/>
                <w:szCs w:val="21"/>
              </w:rPr>
              <w:t>深圳市隆通电子商务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100,00</w:t>
            </w:r>
          </w:p>
          <w:p>
            <w:pPr>
              <w:pStyle w:val="TableParagraph"/>
              <w:spacing w:line="273" w:lineRule="exact"/>
              <w:ind w:left="316" w:right="0"/>
              <w:jc w:val="left"/>
              <w:rPr>
                <w:rFonts w:ascii="宋体" w:hAnsi="宋体" w:cs="宋体" w:eastAsia="宋体" w:hint="default"/>
                <w:sz w:val="21"/>
                <w:szCs w:val="21"/>
              </w:rPr>
            </w:pPr>
            <w:r>
              <w:rPr>
                <w:rFonts w:ascii="宋体"/>
                <w:sz w:val="21"/>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-40,349</w:t>
            </w:r>
          </w:p>
          <w:p>
            <w:pPr>
              <w:pStyle w:val="TableParagraph"/>
              <w:spacing w:line="273" w:lineRule="exact"/>
              <w:ind w:left="563" w:right="0"/>
              <w:jc w:val="left"/>
              <w:rPr>
                <w:rFonts w:ascii="宋体" w:hAnsi="宋体" w:cs="宋体" w:eastAsia="宋体" w:hint="default"/>
                <w:sz w:val="21"/>
                <w:szCs w:val="21"/>
              </w:rPr>
            </w:pPr>
            <w:r>
              <w:rPr>
                <w:rFonts w:ascii="宋体"/>
                <w:sz w:val="21"/>
              </w:rPr>
              <w:t>.35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59,650.</w:t>
            </w:r>
          </w:p>
          <w:p>
            <w:pPr>
              <w:pStyle w:val="TableParagraph"/>
              <w:spacing w:line="273" w:lineRule="exact"/>
              <w:ind w:right="101"/>
              <w:jc w:val="right"/>
              <w:rPr>
                <w:rFonts w:ascii="宋体" w:hAnsi="宋体" w:cs="宋体" w:eastAsia="宋体" w:hint="default"/>
                <w:sz w:val="21"/>
                <w:szCs w:val="21"/>
              </w:rPr>
            </w:pPr>
            <w:r>
              <w:rPr>
                <w:rFonts w:ascii="宋体"/>
                <w:sz w:val="21"/>
              </w:rPr>
              <w:t>65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w:t>
            </w:r>
          </w:p>
        </w:tc>
      </w:tr>
      <w:tr>
        <w:trPr>
          <w:trHeight w:val="82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8"/>
              <w:ind w:left="103" w:right="120"/>
              <w:jc w:val="left"/>
              <w:rPr>
                <w:rFonts w:ascii="宋体" w:hAnsi="宋体" w:cs="宋体" w:eastAsia="宋体" w:hint="default"/>
                <w:sz w:val="21"/>
                <w:szCs w:val="21"/>
              </w:rPr>
            </w:pPr>
            <w:r>
              <w:rPr>
                <w:rFonts w:ascii="宋体" w:hAnsi="宋体" w:cs="宋体" w:eastAsia="宋体" w:hint="default"/>
                <w:sz w:val="21"/>
                <w:szCs w:val="21"/>
              </w:rPr>
              <w:t>深圳市星网信通科技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33,840</w:t>
            </w:r>
          </w:p>
          <w:p>
            <w:pPr>
              <w:pStyle w:val="TableParagraph"/>
              <w:spacing w:line="273" w:lineRule="exact"/>
              <w:ind w:right="101"/>
              <w:jc w:val="right"/>
              <w:rPr>
                <w:rFonts w:ascii="宋体" w:hAnsi="宋体" w:cs="宋体" w:eastAsia="宋体" w:hint="default"/>
                <w:sz w:val="21"/>
                <w:szCs w:val="21"/>
              </w:rPr>
            </w:pPr>
            <w:r>
              <w:rPr>
                <w:rFonts w:ascii="宋体"/>
                <w:sz w:val="21"/>
              </w:rPr>
              <w:t>,000.0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43" w:right="0"/>
              <w:jc w:val="left"/>
              <w:rPr>
                <w:rFonts w:ascii="宋体" w:hAnsi="宋体" w:cs="宋体" w:eastAsia="宋体" w:hint="default"/>
                <w:sz w:val="21"/>
                <w:szCs w:val="21"/>
              </w:rPr>
            </w:pPr>
            <w:r>
              <w:rPr>
                <w:rFonts w:ascii="宋体"/>
                <w:sz w:val="21"/>
              </w:rPr>
              <w:t>2,649,1</w:t>
            </w:r>
          </w:p>
          <w:p>
            <w:pPr>
              <w:pStyle w:val="TableParagraph"/>
              <w:spacing w:line="273" w:lineRule="exact"/>
              <w:ind w:left="352" w:right="0"/>
              <w:jc w:val="left"/>
              <w:rPr>
                <w:rFonts w:ascii="宋体" w:hAnsi="宋体" w:cs="宋体" w:eastAsia="宋体" w:hint="default"/>
                <w:sz w:val="21"/>
                <w:szCs w:val="21"/>
              </w:rPr>
            </w:pPr>
            <w:r>
              <w:rPr>
                <w:rFonts w:ascii="宋体"/>
                <w:sz w:val="21"/>
              </w:rPr>
              <w:t>61.83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45" w:right="0"/>
              <w:jc w:val="center"/>
              <w:rPr>
                <w:rFonts w:ascii="宋体" w:hAnsi="宋体" w:cs="宋体" w:eastAsia="宋体" w:hint="default"/>
                <w:sz w:val="21"/>
                <w:szCs w:val="21"/>
              </w:rPr>
            </w:pPr>
            <w:r>
              <w:rPr>
                <w:rFonts w:ascii="宋体"/>
                <w:sz w:val="21"/>
              </w:rPr>
              <w:t>36,489,</w:t>
            </w:r>
          </w:p>
          <w:p>
            <w:pPr>
              <w:pStyle w:val="TableParagraph"/>
              <w:spacing w:line="273" w:lineRule="exact"/>
              <w:ind w:left="148" w:right="0"/>
              <w:jc w:val="center"/>
              <w:rPr>
                <w:rFonts w:ascii="宋体" w:hAnsi="宋体" w:cs="宋体" w:eastAsia="宋体" w:hint="default"/>
                <w:sz w:val="21"/>
                <w:szCs w:val="21"/>
              </w:rPr>
            </w:pPr>
            <w:r>
              <w:rPr>
                <w:rFonts w:ascii="宋体"/>
                <w:sz w:val="21"/>
              </w:rPr>
              <w:t>161.83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3"/>
              <w:ind w:left="103" w:right="120"/>
              <w:jc w:val="left"/>
              <w:rPr>
                <w:rFonts w:ascii="宋体" w:hAnsi="宋体" w:cs="宋体" w:eastAsia="宋体" w:hint="default"/>
                <w:sz w:val="21"/>
                <w:szCs w:val="21"/>
              </w:rPr>
            </w:pPr>
            <w:r>
              <w:rPr>
                <w:rFonts w:ascii="宋体" w:hAnsi="宋体" w:cs="宋体" w:eastAsia="宋体" w:hint="default"/>
                <w:sz w:val="21"/>
                <w:szCs w:val="21"/>
              </w:rPr>
              <w:t>深圳金证文体科技有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3,000,</w:t>
            </w:r>
          </w:p>
          <w:p>
            <w:pPr>
              <w:pStyle w:val="TableParagraph"/>
              <w:spacing w:line="274" w:lineRule="exact"/>
              <w:ind w:left="105" w:right="0"/>
              <w:jc w:val="left"/>
              <w:rPr>
                <w:rFonts w:ascii="宋体" w:hAnsi="宋体" w:cs="宋体" w:eastAsia="宋体" w:hint="default"/>
                <w:sz w:val="21"/>
                <w:szCs w:val="21"/>
              </w:rPr>
            </w:pPr>
            <w:r>
              <w:rPr>
                <w:rFonts w:ascii="宋体"/>
                <w:sz w:val="21"/>
              </w:rPr>
              <w:t>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19,059.</w:t>
            </w:r>
          </w:p>
          <w:p>
            <w:pPr>
              <w:pStyle w:val="TableParagraph"/>
              <w:spacing w:line="274" w:lineRule="exact"/>
              <w:ind w:right="101"/>
              <w:jc w:val="right"/>
              <w:rPr>
                <w:rFonts w:ascii="宋体" w:hAnsi="宋体" w:cs="宋体" w:eastAsia="宋体" w:hint="default"/>
                <w:sz w:val="21"/>
                <w:szCs w:val="21"/>
              </w:rPr>
            </w:pPr>
            <w:r>
              <w:rPr>
                <w:rFonts w:ascii="宋体"/>
                <w:sz w:val="21"/>
              </w:rPr>
              <w:t>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3,019,0</w:t>
            </w:r>
          </w:p>
          <w:p>
            <w:pPr>
              <w:pStyle w:val="TableParagraph"/>
              <w:spacing w:line="274" w:lineRule="exact"/>
              <w:ind w:left="355" w:right="0"/>
              <w:jc w:val="left"/>
              <w:rPr>
                <w:rFonts w:ascii="宋体" w:hAnsi="宋体" w:cs="宋体" w:eastAsia="宋体" w:hint="default"/>
                <w:sz w:val="21"/>
                <w:szCs w:val="21"/>
              </w:rPr>
            </w:pPr>
            <w:r>
              <w:rPr>
                <w:rFonts w:ascii="宋体"/>
                <w:sz w:val="21"/>
              </w:rPr>
              <w:t>59.17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w:t>
            </w: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0"/>
              <w:ind w:left="103" w:right="120"/>
              <w:jc w:val="left"/>
              <w:rPr>
                <w:rFonts w:ascii="宋体" w:hAnsi="宋体" w:cs="宋体" w:eastAsia="宋体" w:hint="default"/>
                <w:sz w:val="21"/>
                <w:szCs w:val="21"/>
              </w:rPr>
            </w:pPr>
            <w:r>
              <w:rPr>
                <w:rFonts w:ascii="宋体" w:hAnsi="宋体" w:cs="宋体" w:eastAsia="宋体" w:hint="default"/>
                <w:sz w:val="21"/>
                <w:szCs w:val="21"/>
              </w:rPr>
              <w:t>武汉无线飞翔科技有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5" w:right="0"/>
              <w:jc w:val="left"/>
              <w:rPr>
                <w:rFonts w:ascii="宋体" w:hAnsi="宋体" w:cs="宋体" w:eastAsia="宋体" w:hint="default"/>
                <w:sz w:val="21"/>
                <w:szCs w:val="21"/>
              </w:rPr>
            </w:pPr>
            <w:r>
              <w:rPr>
                <w:rFonts w:ascii="宋体"/>
                <w:sz w:val="21"/>
              </w:rPr>
              <w:t>6,000,</w:t>
            </w:r>
          </w:p>
          <w:p>
            <w:pPr>
              <w:pStyle w:val="TableParagraph"/>
              <w:spacing w:line="274" w:lineRule="exact"/>
              <w:ind w:left="105" w:right="0"/>
              <w:jc w:val="left"/>
              <w:rPr>
                <w:rFonts w:ascii="宋体" w:hAnsi="宋体" w:cs="宋体" w:eastAsia="宋体" w:hint="default"/>
                <w:sz w:val="21"/>
                <w:szCs w:val="21"/>
              </w:rPr>
            </w:pPr>
            <w:r>
              <w:rPr>
                <w:rFonts w:ascii="宋体"/>
                <w:sz w:val="21"/>
              </w:rPr>
              <w:t>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43" w:right="0"/>
              <w:jc w:val="left"/>
              <w:rPr>
                <w:rFonts w:ascii="宋体" w:hAnsi="宋体" w:cs="宋体" w:eastAsia="宋体" w:hint="default"/>
                <w:sz w:val="21"/>
                <w:szCs w:val="21"/>
              </w:rPr>
            </w:pPr>
            <w:r>
              <w:rPr>
                <w:rFonts w:ascii="宋体"/>
                <w:sz w:val="21"/>
              </w:rPr>
              <w:t>101,187</w:t>
            </w:r>
          </w:p>
          <w:p>
            <w:pPr>
              <w:pStyle w:val="TableParagraph"/>
              <w:spacing w:line="274" w:lineRule="exact"/>
              <w:ind w:left="563" w:right="0"/>
              <w:jc w:val="left"/>
              <w:rPr>
                <w:rFonts w:ascii="宋体" w:hAnsi="宋体" w:cs="宋体" w:eastAsia="宋体" w:hint="default"/>
                <w:sz w:val="21"/>
                <w:szCs w:val="21"/>
              </w:rPr>
            </w:pPr>
            <w:r>
              <w:rPr>
                <w:rFonts w:ascii="宋体"/>
                <w:sz w:val="21"/>
              </w:rPr>
              <w:t>.49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2,18</w:t>
            </w:r>
          </w:p>
          <w:p>
            <w:pPr>
              <w:pStyle w:val="TableParagraph"/>
              <w:spacing w:line="271" w:lineRule="exact"/>
              <w:ind w:left="175" w:right="0"/>
              <w:jc w:val="left"/>
              <w:rPr>
                <w:rFonts w:ascii="宋体" w:hAnsi="宋体" w:cs="宋体" w:eastAsia="宋体" w:hint="default"/>
                <w:sz w:val="21"/>
                <w:szCs w:val="21"/>
              </w:rPr>
            </w:pPr>
            <w:r>
              <w:rPr>
                <w:rFonts w:ascii="宋体"/>
                <w:sz w:val="21"/>
              </w:rPr>
              <w:t>0,19</w:t>
            </w:r>
          </w:p>
          <w:p>
            <w:pPr>
              <w:pStyle w:val="TableParagraph"/>
              <w:spacing w:line="273" w:lineRule="exact"/>
              <w:ind w:left="175" w:right="0"/>
              <w:jc w:val="left"/>
              <w:rPr>
                <w:rFonts w:ascii="宋体" w:hAnsi="宋体" w:cs="宋体" w:eastAsia="宋体" w:hint="default"/>
                <w:sz w:val="21"/>
                <w:szCs w:val="21"/>
              </w:rPr>
            </w:pPr>
            <w:r>
              <w:rPr>
                <w:rFonts w:ascii="宋体"/>
                <w:sz w:val="21"/>
              </w:rPr>
              <w:t>1.68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46" w:right="0"/>
              <w:jc w:val="left"/>
              <w:rPr>
                <w:rFonts w:ascii="宋体" w:hAnsi="宋体" w:cs="宋体" w:eastAsia="宋体" w:hint="default"/>
                <w:sz w:val="21"/>
                <w:szCs w:val="21"/>
              </w:rPr>
            </w:pPr>
            <w:r>
              <w:rPr>
                <w:rFonts w:ascii="宋体"/>
                <w:sz w:val="21"/>
              </w:rPr>
              <w:t>8,281,3</w:t>
            </w:r>
          </w:p>
          <w:p>
            <w:pPr>
              <w:pStyle w:val="TableParagraph"/>
              <w:spacing w:line="274" w:lineRule="exact"/>
              <w:ind w:left="355" w:right="0"/>
              <w:jc w:val="left"/>
              <w:rPr>
                <w:rFonts w:ascii="宋体" w:hAnsi="宋体" w:cs="宋体" w:eastAsia="宋体" w:hint="default"/>
                <w:sz w:val="21"/>
                <w:szCs w:val="21"/>
              </w:rPr>
            </w:pPr>
            <w:r>
              <w:rPr>
                <w:rFonts w:ascii="宋体"/>
                <w:sz w:val="21"/>
              </w:rPr>
              <w:t>79.17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37" w:right="0"/>
              <w:jc w:val="center"/>
              <w:rPr>
                <w:rFonts w:ascii="宋体" w:hAnsi="宋体" w:cs="宋体" w:eastAsia="宋体" w:hint="default"/>
                <w:sz w:val="21"/>
                <w:szCs w:val="21"/>
              </w:rPr>
            </w:pPr>
            <w:r>
              <w:rPr>
                <w:rFonts w:ascii="宋体"/>
                <w:sz w:val="21"/>
              </w:rPr>
              <w:t>82,389,</w:t>
            </w:r>
          </w:p>
          <w:p>
            <w:pPr>
              <w:pStyle w:val="TableParagraph"/>
              <w:spacing w:line="273" w:lineRule="exact"/>
              <w:ind w:left="140" w:right="0"/>
              <w:jc w:val="center"/>
              <w:rPr>
                <w:rFonts w:ascii="宋体" w:hAnsi="宋体" w:cs="宋体" w:eastAsia="宋体" w:hint="default"/>
                <w:sz w:val="21"/>
                <w:szCs w:val="21"/>
              </w:rPr>
            </w:pPr>
            <w:r>
              <w:rPr>
                <w:rFonts w:ascii="宋体"/>
                <w:sz w:val="21"/>
              </w:rPr>
              <w:t>619.00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48,940</w:t>
            </w:r>
          </w:p>
          <w:p>
            <w:pPr>
              <w:pStyle w:val="TableParagraph"/>
              <w:spacing w:line="272" w:lineRule="exact"/>
              <w:ind w:right="101"/>
              <w:jc w:val="right"/>
              <w:rPr>
                <w:rFonts w:ascii="宋体" w:hAnsi="宋体" w:cs="宋体" w:eastAsia="宋体" w:hint="default"/>
                <w:sz w:val="21"/>
                <w:szCs w:val="21"/>
              </w:rPr>
            </w:pPr>
            <w:r>
              <w:rPr>
                <w:rFonts w:ascii="宋体"/>
                <w:sz w:val="21"/>
              </w:rPr>
              <w:t>,000.0</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42" w:right="0"/>
              <w:jc w:val="center"/>
              <w:rPr>
                <w:rFonts w:ascii="宋体" w:hAnsi="宋体" w:cs="宋体" w:eastAsia="宋体" w:hint="default"/>
                <w:sz w:val="21"/>
                <w:szCs w:val="21"/>
              </w:rPr>
            </w:pPr>
            <w:r>
              <w:rPr>
                <w:rFonts w:ascii="宋体"/>
                <w:sz w:val="21"/>
              </w:rPr>
              <w:t>-6,756,</w:t>
            </w:r>
          </w:p>
          <w:p>
            <w:pPr>
              <w:pStyle w:val="TableParagraph"/>
              <w:spacing w:line="273" w:lineRule="exact"/>
              <w:ind w:left="145" w:right="0"/>
              <w:jc w:val="center"/>
              <w:rPr>
                <w:rFonts w:ascii="宋体" w:hAnsi="宋体" w:cs="宋体" w:eastAsia="宋体" w:hint="default"/>
                <w:sz w:val="21"/>
                <w:szCs w:val="21"/>
              </w:rPr>
            </w:pPr>
            <w:r>
              <w:rPr>
                <w:rFonts w:ascii="宋体"/>
                <w:sz w:val="21"/>
              </w:rPr>
              <w:t>648.83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2,70</w:t>
            </w:r>
          </w:p>
          <w:p>
            <w:pPr>
              <w:pStyle w:val="TableParagraph"/>
              <w:spacing w:line="272" w:lineRule="exact"/>
              <w:ind w:left="175" w:right="0"/>
              <w:jc w:val="left"/>
              <w:rPr>
                <w:rFonts w:ascii="宋体" w:hAnsi="宋体" w:cs="宋体" w:eastAsia="宋体" w:hint="default"/>
                <w:sz w:val="21"/>
                <w:szCs w:val="21"/>
              </w:rPr>
            </w:pPr>
            <w:r>
              <w:rPr>
                <w:rFonts w:ascii="宋体"/>
                <w:sz w:val="21"/>
              </w:rPr>
              <w:t>1,12</w:t>
            </w:r>
          </w:p>
          <w:p>
            <w:pPr>
              <w:pStyle w:val="TableParagraph"/>
              <w:spacing w:line="273" w:lineRule="exact"/>
              <w:ind w:left="175" w:right="0"/>
              <w:jc w:val="left"/>
              <w:rPr>
                <w:rFonts w:ascii="宋体" w:hAnsi="宋体" w:cs="宋体" w:eastAsia="宋体" w:hint="default"/>
                <w:sz w:val="21"/>
                <w:szCs w:val="21"/>
              </w:rPr>
            </w:pPr>
            <w:r>
              <w:rPr>
                <w:rFonts w:ascii="宋体"/>
                <w:sz w:val="21"/>
              </w:rPr>
              <w:t>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46" w:right="0"/>
              <w:jc w:val="left"/>
              <w:rPr>
                <w:rFonts w:ascii="宋体" w:hAnsi="宋体" w:cs="宋体" w:eastAsia="宋体" w:hint="default"/>
                <w:sz w:val="21"/>
                <w:szCs w:val="21"/>
              </w:rPr>
            </w:pPr>
            <w:r>
              <w:rPr>
                <w:rFonts w:ascii="宋体"/>
                <w:sz w:val="21"/>
              </w:rPr>
              <w:t>127,274</w:t>
            </w:r>
          </w:p>
          <w:p>
            <w:pPr>
              <w:pStyle w:val="TableParagraph"/>
              <w:spacing w:line="273" w:lineRule="exact"/>
              <w:ind w:left="146" w:right="0"/>
              <w:jc w:val="left"/>
              <w:rPr>
                <w:rFonts w:ascii="宋体" w:hAnsi="宋体" w:cs="宋体" w:eastAsia="宋体" w:hint="default"/>
                <w:sz w:val="21"/>
                <w:szCs w:val="21"/>
              </w:rPr>
            </w:pPr>
            <w:r>
              <w:rPr>
                <w:rFonts w:ascii="宋体"/>
                <w:sz w:val="21"/>
              </w:rPr>
              <w:t>,092.63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r>
      <w:tr>
        <w:trPr>
          <w:trHeight w:val="82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0"/>
              <w:ind w:left="37" w:right="0"/>
              <w:jc w:val="center"/>
              <w:rPr>
                <w:rFonts w:ascii="宋体" w:hAnsi="宋体" w:cs="宋体" w:eastAsia="宋体" w:hint="default"/>
                <w:sz w:val="21"/>
                <w:szCs w:val="21"/>
              </w:rPr>
            </w:pPr>
            <w:r>
              <w:rPr>
                <w:rFonts w:ascii="宋体"/>
                <w:sz w:val="21"/>
              </w:rPr>
              <w:t>82,389,</w:t>
            </w:r>
          </w:p>
          <w:p>
            <w:pPr>
              <w:pStyle w:val="TableParagraph"/>
              <w:spacing w:line="275" w:lineRule="exact"/>
              <w:ind w:left="140" w:right="0"/>
              <w:jc w:val="center"/>
              <w:rPr>
                <w:rFonts w:ascii="宋体" w:hAnsi="宋体" w:cs="宋体" w:eastAsia="宋体" w:hint="default"/>
                <w:sz w:val="21"/>
                <w:szCs w:val="21"/>
              </w:rPr>
            </w:pPr>
            <w:r>
              <w:rPr>
                <w:rFonts w:ascii="宋体"/>
                <w:sz w:val="21"/>
              </w:rPr>
              <w:t>619.00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48,940</w:t>
            </w:r>
          </w:p>
          <w:p>
            <w:pPr>
              <w:pStyle w:val="TableParagraph"/>
              <w:spacing w:line="273" w:lineRule="exact"/>
              <w:ind w:right="101"/>
              <w:jc w:val="right"/>
              <w:rPr>
                <w:rFonts w:ascii="宋体" w:hAnsi="宋体" w:cs="宋体" w:eastAsia="宋体" w:hint="default"/>
                <w:sz w:val="21"/>
                <w:szCs w:val="21"/>
              </w:rPr>
            </w:pPr>
            <w:r>
              <w:rPr>
                <w:rFonts w:ascii="宋体"/>
                <w:sz w:val="21"/>
              </w:rPr>
              <w:t>,000.0</w:t>
            </w:r>
          </w:p>
          <w:p>
            <w:pPr>
              <w:pStyle w:val="TableParagraph"/>
              <w:spacing w:line="275" w:lineRule="exact"/>
              <w:ind w:right="103"/>
              <w:jc w:val="right"/>
              <w:rPr>
                <w:rFonts w:ascii="宋体" w:hAnsi="宋体" w:cs="宋体" w:eastAsia="宋体" w:hint="default"/>
                <w:sz w:val="21"/>
                <w:szCs w:val="21"/>
              </w:rPr>
            </w:pPr>
            <w:r>
              <w:rPr>
                <w:rFonts w:ascii="宋体"/>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0"/>
              <w:ind w:left="42" w:right="0"/>
              <w:jc w:val="center"/>
              <w:rPr>
                <w:rFonts w:ascii="宋体" w:hAnsi="宋体" w:cs="宋体" w:eastAsia="宋体" w:hint="default"/>
                <w:sz w:val="21"/>
                <w:szCs w:val="21"/>
              </w:rPr>
            </w:pPr>
            <w:r>
              <w:rPr>
                <w:rFonts w:ascii="宋体"/>
                <w:sz w:val="21"/>
              </w:rPr>
              <w:t>-6,756,</w:t>
            </w:r>
          </w:p>
          <w:p>
            <w:pPr>
              <w:pStyle w:val="TableParagraph"/>
              <w:spacing w:line="275" w:lineRule="exact"/>
              <w:ind w:left="145" w:right="0"/>
              <w:jc w:val="center"/>
              <w:rPr>
                <w:rFonts w:ascii="宋体" w:hAnsi="宋体" w:cs="宋体" w:eastAsia="宋体" w:hint="default"/>
                <w:sz w:val="21"/>
                <w:szCs w:val="21"/>
              </w:rPr>
            </w:pPr>
            <w:r>
              <w:rPr>
                <w:rFonts w:ascii="宋体"/>
                <w:sz w:val="21"/>
              </w:rPr>
              <w:t>648.83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2,70</w:t>
            </w:r>
          </w:p>
          <w:p>
            <w:pPr>
              <w:pStyle w:val="TableParagraph"/>
              <w:spacing w:line="273" w:lineRule="exact"/>
              <w:ind w:left="175" w:right="0"/>
              <w:jc w:val="left"/>
              <w:rPr>
                <w:rFonts w:ascii="宋体" w:hAnsi="宋体" w:cs="宋体" w:eastAsia="宋体" w:hint="default"/>
                <w:sz w:val="21"/>
                <w:szCs w:val="21"/>
              </w:rPr>
            </w:pPr>
            <w:r>
              <w:rPr>
                <w:rFonts w:ascii="宋体"/>
                <w:sz w:val="21"/>
              </w:rPr>
              <w:t>1,12</w:t>
            </w:r>
          </w:p>
          <w:p>
            <w:pPr>
              <w:pStyle w:val="TableParagraph"/>
              <w:spacing w:line="275" w:lineRule="exact"/>
              <w:ind w:left="175" w:right="0"/>
              <w:jc w:val="left"/>
              <w:rPr>
                <w:rFonts w:ascii="宋体" w:hAnsi="宋体" w:cs="宋体" w:eastAsia="宋体" w:hint="default"/>
                <w:sz w:val="21"/>
                <w:szCs w:val="21"/>
              </w:rPr>
            </w:pPr>
            <w:r>
              <w:rPr>
                <w:rFonts w:ascii="宋体"/>
                <w:sz w:val="21"/>
              </w:rPr>
              <w:t>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0"/>
              <w:ind w:left="146" w:right="0"/>
              <w:jc w:val="left"/>
              <w:rPr>
                <w:rFonts w:ascii="宋体" w:hAnsi="宋体" w:cs="宋体" w:eastAsia="宋体" w:hint="default"/>
                <w:sz w:val="21"/>
                <w:szCs w:val="21"/>
              </w:rPr>
            </w:pPr>
            <w:r>
              <w:rPr>
                <w:rFonts w:ascii="宋体"/>
                <w:sz w:val="21"/>
              </w:rPr>
              <w:t>127,274</w:t>
            </w:r>
          </w:p>
          <w:p>
            <w:pPr>
              <w:pStyle w:val="TableParagraph"/>
              <w:spacing w:line="275" w:lineRule="exact"/>
              <w:ind w:left="146" w:right="0"/>
              <w:jc w:val="left"/>
              <w:rPr>
                <w:rFonts w:ascii="宋体" w:hAnsi="宋体" w:cs="宋体" w:eastAsia="宋体" w:hint="default"/>
                <w:sz w:val="21"/>
                <w:szCs w:val="21"/>
              </w:rPr>
            </w:pPr>
            <w:r>
              <w:rPr>
                <w:rFonts w:ascii="宋体"/>
                <w:sz w:val="21"/>
              </w:rPr>
              <w:t>,092.63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20"/>
          <w:szCs w:val="20"/>
        </w:rPr>
      </w:pPr>
    </w:p>
    <w:p>
      <w:pPr>
        <w:pStyle w:val="Heading2"/>
        <w:tabs>
          <w:tab w:pos="1797" w:val="left" w:leader="none"/>
        </w:tabs>
        <w:spacing w:line="240" w:lineRule="auto"/>
        <w:ind w:left="958" w:right="5130"/>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tabs>
          <w:tab w:pos="1800" w:val="left" w:leader="none"/>
        </w:tabs>
        <w:spacing w:line="240" w:lineRule="auto" w:before="61"/>
        <w:ind w:left="958" w:right="513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tabs>
          <w:tab w:pos="1797" w:val="left" w:leader="none"/>
        </w:tabs>
        <w:spacing w:line="283" w:lineRule="auto" w:before="0"/>
        <w:ind w:left="958" w:right="5130"/>
        <w:jc w:val="left"/>
        <w:rPr>
          <w:b w:val="0"/>
          <w:bCs w:val="0"/>
        </w:rPr>
      </w:pPr>
      <w:r>
        <w:rPr/>
        <w:t>三、公司关于公司未来发展的讨论与分析</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pStyle w:val="BodyText"/>
        <w:tabs>
          <w:tab w:pos="1800" w:val="left" w:leader="none"/>
        </w:tabs>
        <w:spacing w:line="272" w:lineRule="exact" w:before="48"/>
        <w:ind w:left="1378" w:right="7783" w:hanging="420"/>
        <w:jc w:val="left"/>
      </w:pPr>
      <w:r>
        <w:rPr>
          <w:spacing w:val="-1"/>
        </w:rPr>
        <w:t>√适用</w:t>
        <w:tab/>
      </w:r>
      <w:r>
        <w:rPr>
          <w:spacing w:val="-2"/>
        </w:rPr>
        <w:t>□不适用</w:t>
      </w:r>
      <w:r>
        <w:rPr>
          <w:spacing w:val="-99"/>
        </w:rPr>
        <w:t> </w:t>
      </w:r>
      <w:r>
        <w:rPr>
          <w:spacing w:val="-99"/>
        </w:rPr>
      </w:r>
      <w:r>
        <w:rPr/>
        <w:t>证券</w:t>
      </w:r>
      <w:r>
        <w:rPr>
          <w:spacing w:val="-52"/>
        </w:rPr>
        <w:t> </w:t>
      </w:r>
      <w:r>
        <w:rPr>
          <w:rFonts w:ascii="宋体" w:hAnsi="宋体" w:cs="宋体" w:eastAsia="宋体" w:hint="default"/>
        </w:rPr>
        <w:t>IT</w:t>
      </w:r>
      <w:r>
        <w:rPr>
          <w:rFonts w:ascii="宋体" w:hAnsi="宋体" w:cs="宋体" w:eastAsia="宋体" w:hint="default"/>
          <w:spacing w:val="-52"/>
        </w:rPr>
        <w:t> </w:t>
      </w:r>
      <w:r>
        <w:rPr>
          <w:spacing w:val="-3"/>
        </w:rPr>
        <w:t>业务</w:t>
      </w:r>
      <w:r>
        <w:rPr/>
      </w:r>
    </w:p>
    <w:p>
      <w:pPr>
        <w:pStyle w:val="BodyText"/>
        <w:spacing w:line="357" w:lineRule="auto" w:before="108"/>
        <w:ind w:left="958" w:right="0" w:firstLine="419"/>
        <w:jc w:val="left"/>
      </w:pPr>
      <w:r>
        <w:rPr>
          <w:spacing w:val="-2"/>
        </w:rPr>
        <w:t>证券行业面临转型和发展的压力，加强核心竞争力是关键。在客户服务方面，证券公司通过</w:t>
      </w:r>
      <w:r>
        <w:rPr>
          <w:w w:val="100"/>
        </w:rPr>
        <w:t> </w:t>
      </w:r>
      <w:r>
        <w:rPr>
          <w:spacing w:val="-2"/>
        </w:rPr>
        <w:t>专业的财富管理、聚焦多层次资本市场中机构投融资需求、重视与其他金融机构的合作，通过高</w:t>
      </w:r>
    </w:p>
    <w:p>
      <w:pPr>
        <w:spacing w:after="0" w:line="357" w:lineRule="auto"/>
        <w:jc w:val="left"/>
        <w:sectPr>
          <w:pgSz w:w="11910" w:h="16840"/>
          <w:pgMar w:header="880" w:footer="1195" w:top="1120" w:bottom="1380" w:left="840" w:right="640"/>
        </w:sectPr>
      </w:pPr>
    </w:p>
    <w:p>
      <w:pPr>
        <w:spacing w:line="240" w:lineRule="auto" w:before="4"/>
        <w:rPr>
          <w:rFonts w:ascii="宋体" w:hAnsi="宋体" w:cs="宋体" w:eastAsia="宋体" w:hint="default"/>
          <w:sz w:val="25"/>
          <w:szCs w:val="25"/>
        </w:rPr>
      </w:pPr>
    </w:p>
    <w:p>
      <w:pPr>
        <w:pStyle w:val="BodyText"/>
        <w:spacing w:line="357" w:lineRule="auto" w:before="36"/>
        <w:ind w:left="138" w:right="317"/>
        <w:jc w:val="both"/>
      </w:pPr>
      <w:r>
        <w:rPr>
          <w:spacing w:val="-2"/>
        </w:rPr>
        <w:t>附加值的服务对接客户需求；在信息技术方面，依托大数据、人工智能、云计算等科技手段，为</w:t>
      </w:r>
      <w:r>
        <w:rPr>
          <w:spacing w:val="-25"/>
        </w:rPr>
        <w:t> </w:t>
      </w:r>
      <w:r>
        <w:rPr>
          <w:spacing w:val="-25"/>
        </w:rPr>
      </w:r>
      <w:r>
        <w:rPr>
          <w:spacing w:val="-2"/>
        </w:rPr>
        <w:t>客户提供“智能”服务，塑造高效的经营和管理模式；在风险管理方面，充分利用科技手段进一</w:t>
      </w:r>
      <w:r>
        <w:rPr>
          <w:spacing w:val="-25"/>
        </w:rPr>
        <w:t> </w:t>
      </w:r>
      <w:r>
        <w:rPr>
          <w:spacing w:val="-25"/>
        </w:rPr>
      </w:r>
      <w:r>
        <w:rPr>
          <w:spacing w:val="-2"/>
        </w:rPr>
        <w:t>步加强风险管理和内部控制是业务发展的坚强后盾；在金融科技建设层面，证券公司纷纷加大信</w:t>
      </w:r>
      <w:r>
        <w:rPr>
          <w:spacing w:val="-25"/>
        </w:rPr>
        <w:t> </w:t>
      </w:r>
      <w:r>
        <w:rPr>
          <w:spacing w:val="-25"/>
        </w:rPr>
      </w:r>
      <w:r>
        <w:rPr/>
        <w:t>息技术的投入，扩充编制，提升自主研发能力。</w:t>
      </w:r>
    </w:p>
    <w:p>
      <w:pPr>
        <w:pStyle w:val="BodyText"/>
        <w:spacing w:line="357" w:lineRule="auto" w:before="30"/>
        <w:ind w:left="138" w:right="307" w:firstLine="419"/>
        <w:jc w:val="both"/>
      </w:pPr>
      <w:r>
        <w:rPr>
          <w:spacing w:val="-2"/>
        </w:rPr>
        <w:t>公司将助力券商将金融科技与传统金融综合服务能力深度融合，可为证券公司提供标准化金</w:t>
      </w:r>
      <w:r>
        <w:rPr>
          <w:w w:val="100"/>
        </w:rPr>
        <w:t> </w:t>
      </w:r>
      <w:r>
        <w:rPr>
          <w:spacing w:val="-4"/>
        </w:rPr>
        <w:t>融服务产品，如监管发布的新规、新业务和技术改造等；同时，公司深耕证券行业</w:t>
      </w:r>
      <w:r>
        <w:rPr>
          <w:spacing w:val="-21"/>
        </w:rPr>
        <w:t> </w:t>
      </w:r>
      <w:r>
        <w:rPr>
          <w:rFonts w:ascii="宋体" w:hAnsi="宋体" w:cs="宋体" w:eastAsia="宋体" w:hint="default"/>
        </w:rPr>
        <w:t>20</w:t>
      </w:r>
      <w:r>
        <w:rPr>
          <w:rFonts w:ascii="宋体" w:hAnsi="宋体" w:cs="宋体" w:eastAsia="宋体" w:hint="default"/>
          <w:spacing w:val="-26"/>
        </w:rPr>
        <w:t> </w:t>
      </w:r>
      <w:r>
        <w:rPr>
          <w:spacing w:val="-5"/>
        </w:rPr>
        <w:t>余年，熟悉</w:t>
      </w:r>
      <w:r>
        <w:rPr>
          <w:spacing w:val="-94"/>
        </w:rPr>
        <w:t> </w:t>
      </w:r>
      <w:r>
        <w:rPr>
          <w:spacing w:val="-94"/>
        </w:rPr>
      </w:r>
      <w:r>
        <w:rPr>
          <w:spacing w:val="-2"/>
        </w:rPr>
        <w:t>行业发展动态以及不同券商的业务诉求，能够满足各券商个性化的业务开展。因此，在高度个性</w:t>
      </w:r>
      <w:r>
        <w:rPr>
          <w:spacing w:val="-25"/>
        </w:rPr>
        <w:t> </w:t>
      </w:r>
      <w:r>
        <w:rPr>
          <w:spacing w:val="-25"/>
        </w:rPr>
      </w:r>
      <w:r>
        <w:rPr>
          <w:spacing w:val="-4"/>
        </w:rPr>
        <w:t>化及专业化的产品服务上，公司除了坚持原有的“软件</w:t>
      </w:r>
      <w:r>
        <w:rPr>
          <w:rFonts w:ascii="宋体" w:hAnsi="宋体" w:cs="宋体" w:eastAsia="宋体" w:hint="default"/>
          <w:spacing w:val="-4"/>
        </w:rPr>
        <w:t>+</w:t>
      </w:r>
      <w:r>
        <w:rPr>
          <w:spacing w:val="-4"/>
        </w:rPr>
        <w:t>服务”的模式外，也将加大与证券公司合</w:t>
      </w:r>
      <w:r>
        <w:rPr>
          <w:spacing w:val="-32"/>
        </w:rPr>
        <w:t> </w:t>
      </w:r>
      <w:r>
        <w:rPr>
          <w:spacing w:val="-32"/>
        </w:rPr>
      </w:r>
      <w:r>
        <w:rPr>
          <w:spacing w:val="-2"/>
        </w:rPr>
        <w:t>作开发，在满足券商业务开展的基础上，助力券商自主掌控信息系统；此外，公司可为券商提供</w:t>
      </w:r>
      <w:r>
        <w:rPr>
          <w:spacing w:val="-25"/>
        </w:rPr>
        <w:t> </w:t>
      </w:r>
      <w:r>
        <w:rPr>
          <w:spacing w:val="-25"/>
        </w:rPr>
      </w:r>
      <w:r>
        <w:rPr>
          <w:spacing w:val="-2"/>
        </w:rPr>
        <w:t>定制化的培训服务，协助券商完成人员团队的培训和补充，确保券商可为其客户提供专业化、定</w:t>
      </w:r>
      <w:r>
        <w:rPr>
          <w:spacing w:val="-25"/>
        </w:rPr>
        <w:t> </w:t>
      </w:r>
      <w:r>
        <w:rPr>
          <w:spacing w:val="-25"/>
        </w:rPr>
      </w:r>
      <w:r>
        <w:rPr/>
        <w:t>制化、组合型的金融服务能力。</w:t>
      </w:r>
    </w:p>
    <w:p>
      <w:pPr>
        <w:pStyle w:val="BodyText"/>
        <w:spacing w:line="240" w:lineRule="auto" w:before="30"/>
        <w:ind w:left="558" w:right="215"/>
        <w:jc w:val="left"/>
      </w:pPr>
      <w:r>
        <w:rPr/>
        <w:t>资管</w:t>
      </w:r>
      <w:r>
        <w:rPr>
          <w:spacing w:val="-53"/>
        </w:rPr>
        <w:t> </w:t>
      </w:r>
      <w:r>
        <w:rPr>
          <w:rFonts w:ascii="宋体" w:hAnsi="宋体" w:cs="宋体" w:eastAsia="宋体" w:hint="default"/>
        </w:rPr>
        <w:t>IT</w:t>
      </w:r>
      <w:r>
        <w:rPr>
          <w:rFonts w:ascii="宋体" w:hAnsi="宋体" w:cs="宋体" w:eastAsia="宋体" w:hint="default"/>
          <w:spacing w:val="-53"/>
        </w:rPr>
        <w:t> </w:t>
      </w:r>
      <w:r>
        <w:rPr/>
        <w:t>业务：</w:t>
      </w:r>
    </w:p>
    <w:p>
      <w:pPr>
        <w:pStyle w:val="BodyText"/>
        <w:spacing w:line="355" w:lineRule="auto" w:before="133"/>
        <w:ind w:left="138" w:right="0" w:firstLine="419"/>
        <w:jc w:val="left"/>
      </w:pPr>
      <w:r>
        <w:rPr>
          <w:spacing w:val="-5"/>
          <w:w w:val="100"/>
        </w:rPr>
        <w:t>公司产品已覆盖所有基金核心业务系统，相应业务亦已发展为基金行业最大的</w:t>
      </w:r>
      <w:r>
        <w:rPr>
          <w:w w:val="100"/>
        </w:rPr>
        <w:t> </w:t>
      </w:r>
      <w:r>
        <w:rPr>
          <w:rFonts w:ascii="宋体" w:hAnsi="宋体" w:cs="宋体" w:eastAsia="宋体" w:hint="default"/>
          <w:w w:val="100"/>
        </w:rPr>
        <w:t>IT</w:t>
      </w:r>
      <w:r>
        <w:rPr>
          <w:rFonts w:ascii="宋体" w:hAnsi="宋体" w:cs="宋体" w:eastAsia="宋体" w:hint="default"/>
          <w:spacing w:val="-82"/>
          <w:w w:val="100"/>
        </w:rPr>
        <w:t> </w:t>
      </w:r>
      <w:r>
        <w:rPr>
          <w:spacing w:val="-2"/>
          <w:w w:val="100"/>
        </w:rPr>
        <w:t>供应商之一，</w:t>
      </w:r>
      <w:r>
        <w:rPr>
          <w:w w:val="100"/>
        </w:rPr>
        <w:t> </w:t>
      </w:r>
      <w:r>
        <w:rPr/>
        <w:t>国内金融行业监管加强的现实情况对公司基金</w:t>
      </w:r>
      <w:r>
        <w:rPr>
          <w:spacing w:val="-55"/>
        </w:rPr>
        <w:t> </w:t>
      </w:r>
      <w:r>
        <w:rPr>
          <w:rFonts w:ascii="宋体" w:hAnsi="宋体" w:cs="宋体" w:eastAsia="宋体" w:hint="default"/>
        </w:rPr>
        <w:t>IT</w:t>
      </w:r>
      <w:r>
        <w:rPr>
          <w:rFonts w:ascii="宋体" w:hAnsi="宋体" w:cs="宋体" w:eastAsia="宋体" w:hint="default"/>
          <w:spacing w:val="-57"/>
        </w:rPr>
        <w:t> </w:t>
      </w:r>
      <w:r>
        <w:rPr/>
        <w:t>业务的发展既是挑战也是机遇。</w:t>
      </w:r>
    </w:p>
    <w:p>
      <w:pPr>
        <w:pStyle w:val="BodyText"/>
        <w:spacing w:line="357" w:lineRule="auto" w:before="32"/>
        <w:ind w:left="138" w:right="310" w:firstLine="419"/>
        <w:jc w:val="both"/>
      </w:pPr>
      <w:r>
        <w:rPr>
          <w:spacing w:val="-2"/>
        </w:rPr>
        <w:t>公司将依托当前的可观市场覆盖度，结合在产品、技术、服务与创新支持等方面的优势，通</w:t>
      </w:r>
      <w:r>
        <w:rPr>
          <w:w w:val="100"/>
        </w:rPr>
        <w:t> </w:t>
      </w:r>
      <w:r>
        <w:rPr>
          <w:spacing w:val="-5"/>
        </w:rPr>
        <w:t>过加强市场营销力度和深度、提高企业管理水平等措施，保障和增强公司基金</w:t>
      </w:r>
      <w:r>
        <w:rPr>
          <w:spacing w:val="-22"/>
        </w:rPr>
        <w:t> </w:t>
      </w:r>
      <w:r>
        <w:rPr>
          <w:rFonts w:ascii="宋体" w:hAnsi="宋体" w:cs="宋体" w:eastAsia="宋体" w:hint="default"/>
        </w:rPr>
        <w:t>IT</w:t>
      </w:r>
      <w:r>
        <w:rPr>
          <w:rFonts w:ascii="宋体" w:hAnsi="宋体" w:cs="宋体" w:eastAsia="宋体" w:hint="default"/>
          <w:spacing w:val="-27"/>
        </w:rPr>
        <w:t> </w:t>
      </w:r>
      <w:r>
        <w:rPr/>
        <w:t>业务的市场竞争</w:t>
      </w:r>
      <w:r>
        <w:rPr>
          <w:spacing w:val="-94"/>
        </w:rPr>
        <w:t> </w:t>
      </w:r>
      <w:r>
        <w:rPr>
          <w:spacing w:val="-94"/>
        </w:rPr>
      </w:r>
      <w:r>
        <w:rPr/>
        <w:t>能力。</w:t>
      </w:r>
    </w:p>
    <w:p>
      <w:pPr>
        <w:pStyle w:val="BodyText"/>
        <w:spacing w:line="355" w:lineRule="auto" w:before="30"/>
        <w:ind w:left="558" w:right="215"/>
        <w:jc w:val="left"/>
      </w:pPr>
      <w:r>
        <w:rPr/>
        <w:t>综合金融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spacing w:val="-2"/>
        </w:rPr>
        <w:t>从国家政策、行业长期发展趋势等宏观层面来看，随着金融监管的规范化，场外市场未来发</w:t>
      </w:r>
    </w:p>
    <w:p>
      <w:pPr>
        <w:pStyle w:val="BodyText"/>
        <w:spacing w:line="357" w:lineRule="auto" w:before="32"/>
        <w:ind w:left="138" w:right="307"/>
        <w:jc w:val="both"/>
      </w:pPr>
      <w:r>
        <w:rPr>
          <w:spacing w:val="-6"/>
          <w:w w:val="100"/>
        </w:rPr>
        <w:t>展是大势所趋。目前公司在区域股权领域保持着市场领先地位，金融资产销售业绩也在稳步增长，</w:t>
      </w:r>
      <w:r>
        <w:rPr>
          <w:w w:val="100"/>
        </w:rPr>
        <w:t> </w:t>
      </w:r>
      <w:r>
        <w:rPr/>
        <w:t>且监管报送产品一直以来作为公司优势产品，为公司快速发展打下了一定的基础。</w:t>
      </w:r>
    </w:p>
    <w:p>
      <w:pPr>
        <w:pStyle w:val="BodyText"/>
        <w:spacing w:line="355" w:lineRule="auto" w:before="30"/>
        <w:ind w:left="558" w:right="215"/>
        <w:jc w:val="left"/>
      </w:pPr>
      <w:r>
        <w:rPr/>
        <w:t>科技金融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spacing w:val="-7"/>
          <w:w w:val="100"/>
        </w:rPr>
        <w:t>随着人工智能的高速发展，金融行业于人工智能的结合已经成为新时期的行业趋势，新时期，</w:t>
      </w:r>
    </w:p>
    <w:p>
      <w:pPr>
        <w:pStyle w:val="BodyText"/>
        <w:spacing w:line="357" w:lineRule="auto" w:before="32"/>
        <w:ind w:left="138" w:right="317"/>
        <w:jc w:val="both"/>
      </w:pPr>
      <w:r>
        <w:rPr>
          <w:spacing w:val="-2"/>
        </w:rPr>
        <w:t>公司将结合自身的业务规模、经营区域、产品类别以及竞争对手等情况，在公司现有基础之上，</w:t>
      </w:r>
      <w:r>
        <w:rPr>
          <w:spacing w:val="-25"/>
        </w:rPr>
        <w:t> </w:t>
      </w:r>
      <w:r>
        <w:rPr>
          <w:spacing w:val="-25"/>
        </w:rPr>
      </w:r>
      <w:r>
        <w:rPr>
          <w:spacing w:val="-2"/>
        </w:rPr>
        <w:t>引入人工智能技术，积极探索智能金融产品，对人工智能领域进行攻坚，最终形成多层次、多维</w:t>
      </w:r>
      <w:r>
        <w:rPr>
          <w:spacing w:val="-25"/>
        </w:rPr>
        <w:t> </w:t>
      </w:r>
      <w:r>
        <w:rPr>
          <w:spacing w:val="-25"/>
        </w:rPr>
      </w:r>
      <w:r>
        <w:rPr/>
        <w:t>度的智能金融应用体系，以便在新一轮的行业竞争中取得领先优势。</w:t>
      </w:r>
    </w:p>
    <w:p>
      <w:pPr>
        <w:pStyle w:val="Heading2"/>
        <w:spacing w:line="240" w:lineRule="auto" w:before="84"/>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11"/>
        </w:rPr>
        <w:t> </w:t>
      </w:r>
      <w:r>
        <w:rPr/>
        <w:t>公司发展战略</w:t>
      </w:r>
      <w:r>
        <w:rPr>
          <w:b w:val="0"/>
          <w:bCs w:val="0"/>
        </w:rPr>
      </w:r>
    </w:p>
    <w:p>
      <w:pPr>
        <w:pStyle w:val="BodyText"/>
        <w:spacing w:line="273" w:lineRule="exact" w:before="64"/>
        <w:ind w:left="138" w:right="0"/>
        <w:jc w:val="both"/>
      </w:pPr>
      <w:r>
        <w:rPr/>
        <w:t>√适用</w:t>
      </w:r>
      <w:r>
        <w:rPr>
          <w:spacing w:val="104"/>
        </w:rPr>
        <w:t> </w:t>
      </w:r>
      <w:r>
        <w:rPr/>
        <w:t>□不适用</w:t>
      </w:r>
    </w:p>
    <w:p>
      <w:pPr>
        <w:pStyle w:val="BodyText"/>
        <w:spacing w:line="273" w:lineRule="auto"/>
        <w:ind w:left="138" w:right="308" w:firstLine="419"/>
        <w:jc w:val="both"/>
      </w:pPr>
      <w:r>
        <w:rPr>
          <w:spacing w:val="-3"/>
        </w:rPr>
        <w:t>公司持续推动“回归金融</w:t>
      </w:r>
      <w:r>
        <w:rPr>
          <w:spacing w:val="1"/>
        </w:rPr>
        <w:t> </w:t>
      </w:r>
      <w:r>
        <w:rPr>
          <w:spacing w:val="-3"/>
        </w:rPr>
        <w:t>IT”的发展战略。继续深耕“软件技术服务”传统业务；同时通过</w:t>
      </w:r>
      <w:r>
        <w:rPr>
          <w:w w:val="100"/>
        </w:rPr>
        <w:t> </w:t>
      </w:r>
      <w:r>
        <w:rPr>
          <w:spacing w:val="-2"/>
        </w:rPr>
        <w:t>技术与业务创新，大力开展云服务、互联业务、流量收费等创新服务平台；以及基于互联网和移</w:t>
      </w:r>
      <w:r>
        <w:rPr>
          <w:spacing w:val="-25"/>
        </w:rPr>
        <w:t> </w:t>
      </w:r>
      <w:r>
        <w:rPr>
          <w:spacing w:val="-25"/>
        </w:rPr>
      </w:r>
      <w:r>
        <w:rPr/>
        <w:t>动互联网，主动参与云计算、大数据、人工智能、区块链等新兴技术领域的探索研究。</w:t>
      </w:r>
    </w:p>
    <w:p>
      <w:pPr>
        <w:spacing w:line="240" w:lineRule="auto" w:before="8"/>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13"/>
        </w:rPr>
        <w:t> </w:t>
      </w:r>
      <w:r>
        <w:rPr/>
        <w:t>经营计划</w:t>
      </w:r>
      <w:r>
        <w:rPr>
          <w:b w:val="0"/>
          <w:bCs w:val="0"/>
        </w:rPr>
      </w:r>
    </w:p>
    <w:p>
      <w:pPr>
        <w:pStyle w:val="BodyText"/>
        <w:tabs>
          <w:tab w:pos="980" w:val="left" w:leader="none"/>
        </w:tabs>
        <w:spacing w:line="272" w:lineRule="exact" w:before="92"/>
        <w:ind w:left="558" w:right="7358" w:hanging="420"/>
        <w:jc w:val="left"/>
      </w:pPr>
      <w:r>
        <w:rPr>
          <w:spacing w:val="-1"/>
        </w:rPr>
        <w:t>√适用</w:t>
        <w:tab/>
      </w:r>
      <w:r>
        <w:rPr>
          <w:spacing w:val="-2"/>
        </w:rPr>
        <w:t>□不适用</w:t>
      </w:r>
      <w:r>
        <w:rPr>
          <w:spacing w:val="-99"/>
        </w:rPr>
        <w:t> </w:t>
      </w:r>
      <w:r>
        <w:rPr>
          <w:spacing w:val="-99"/>
        </w:rPr>
      </w:r>
      <w:r>
        <w:rPr/>
        <w:t>证券</w:t>
      </w:r>
      <w:r>
        <w:rPr>
          <w:spacing w:val="-53"/>
        </w:rPr>
        <w:t> </w:t>
      </w:r>
      <w:r>
        <w:rPr>
          <w:rFonts w:ascii="宋体" w:hAnsi="宋体" w:cs="宋体" w:eastAsia="宋体" w:hint="default"/>
        </w:rPr>
        <w:t>IT</w:t>
      </w:r>
      <w:r>
        <w:rPr>
          <w:rFonts w:ascii="宋体" w:hAnsi="宋体" w:cs="宋体" w:eastAsia="宋体" w:hint="default"/>
          <w:spacing w:val="-53"/>
        </w:rPr>
        <w:t> </w:t>
      </w:r>
      <w:r>
        <w:rPr/>
        <w:t>业务：</w:t>
      </w:r>
    </w:p>
    <w:p>
      <w:pPr>
        <w:spacing w:after="0" w:line="272" w:lineRule="exact"/>
        <w:jc w:val="left"/>
        <w:sectPr>
          <w:footerReference w:type="default" r:id="rId13"/>
          <w:pgSz w:w="11910" w:h="16840"/>
          <w:pgMar w:footer="1195" w:header="880" w:top="1120" w:bottom="1380" w:left="1660" w:right="960"/>
        </w:sectPr>
      </w:pPr>
    </w:p>
    <w:p>
      <w:pPr>
        <w:spacing w:line="240" w:lineRule="auto" w:before="4"/>
        <w:rPr>
          <w:rFonts w:ascii="宋体" w:hAnsi="宋体" w:cs="宋体" w:eastAsia="宋体" w:hint="default"/>
          <w:sz w:val="25"/>
          <w:szCs w:val="25"/>
        </w:rPr>
      </w:pPr>
    </w:p>
    <w:p>
      <w:pPr>
        <w:pStyle w:val="BodyText"/>
        <w:spacing w:line="357" w:lineRule="auto" w:before="36"/>
        <w:ind w:left="138" w:right="107" w:firstLine="419"/>
        <w:jc w:val="both"/>
      </w:pPr>
      <w:r>
        <w:rPr>
          <w:spacing w:val="-2"/>
        </w:rPr>
        <w:t>随着公司在综合运营、营销服务、交易服务、内部管理上的重点投入，在市场上，公司相继</w:t>
      </w:r>
      <w:r>
        <w:rPr>
          <w:w w:val="100"/>
        </w:rPr>
        <w:t> </w:t>
      </w:r>
      <w:r>
        <w:rPr>
          <w:spacing w:val="-2"/>
        </w:rPr>
        <w:t>推出了公司综合运营平台、公司营销一体化平台、公司交易一体化平台和公司结算一体化服务平</w:t>
      </w:r>
      <w:r>
        <w:rPr>
          <w:spacing w:val="-25"/>
        </w:rPr>
        <w:t> </w:t>
      </w:r>
      <w:r>
        <w:rPr>
          <w:spacing w:val="-25"/>
        </w:rPr>
      </w:r>
      <w:r>
        <w:rPr>
          <w:spacing w:val="-3"/>
        </w:rPr>
        <w:t>台，解决了券商在一体化运营管理、精准化营销以及交易结算的快速响应的诉求。</w:t>
      </w:r>
      <w:r>
        <w:rPr>
          <w:rFonts w:ascii="宋体" w:hAnsi="宋体" w:cs="宋体" w:eastAsia="宋体" w:hint="default"/>
          <w:spacing w:val="-3"/>
        </w:rPr>
        <w:t>2018 </w:t>
      </w:r>
      <w:r>
        <w:rPr/>
        <w:t>年公司将</w:t>
      </w:r>
      <w:r>
        <w:rPr>
          <w:spacing w:val="-84"/>
        </w:rPr>
        <w:t> </w:t>
      </w:r>
      <w:r>
        <w:rPr>
          <w:spacing w:val="-84"/>
        </w:rPr>
      </w:r>
      <w:r>
        <w:rPr>
          <w:spacing w:val="-2"/>
        </w:rPr>
        <w:t>一如既往地完善基于交易所、登记公司标准化金融产品的同时，重点加大券商一体化运营、风险</w:t>
      </w:r>
      <w:r>
        <w:rPr>
          <w:spacing w:val="-25"/>
        </w:rPr>
        <w:t> </w:t>
      </w:r>
      <w:r>
        <w:rPr>
          <w:spacing w:val="-25"/>
        </w:rPr>
      </w:r>
      <w:r>
        <w:rPr>
          <w:spacing w:val="-2"/>
        </w:rPr>
        <w:t>控制、交易结算、营销服务环节的投入。在一体化运营方面，公司将继续深耕券商实际需求及对</w:t>
      </w:r>
      <w:r>
        <w:rPr>
          <w:spacing w:val="-25"/>
        </w:rPr>
        <w:t> </w:t>
      </w:r>
      <w:r>
        <w:rPr>
          <w:spacing w:val="-25"/>
        </w:rPr>
      </w:r>
      <w:r>
        <w:rPr>
          <w:spacing w:val="-2"/>
        </w:rPr>
        <w:t>公司柜台客户的全面推广，助力券商可为其客户提供专业化、定制化、组合性的金融服务能力，</w:t>
      </w:r>
      <w:r>
        <w:rPr>
          <w:spacing w:val="-25"/>
        </w:rPr>
        <w:t> </w:t>
      </w:r>
      <w:r>
        <w:rPr>
          <w:spacing w:val="-25"/>
        </w:rPr>
      </w:r>
      <w:r>
        <w:rPr>
          <w:spacing w:val="-2"/>
        </w:rPr>
        <w:t>不断提升服务水平，打造一站式、综合化的服务能力；在交易结算方面，公司将大力推广的集前</w:t>
      </w:r>
      <w:r>
        <w:rPr>
          <w:spacing w:val="-26"/>
        </w:rPr>
        <w:t> </w:t>
      </w:r>
      <w:r>
        <w:rPr>
          <w:spacing w:val="-26"/>
        </w:rPr>
      </w:r>
      <w:r>
        <w:rPr>
          <w:spacing w:val="-2"/>
        </w:rPr>
        <w:t>端、复杂交易中台服务和后台通道一体化服务的交易结算平台，同时，持续优化传统的交易通道</w:t>
      </w:r>
      <w:r>
        <w:rPr>
          <w:spacing w:val="-25"/>
        </w:rPr>
        <w:t> </w:t>
      </w:r>
      <w:r>
        <w:rPr>
          <w:spacing w:val="-25"/>
        </w:rPr>
      </w:r>
      <w:r>
        <w:rPr>
          <w:spacing w:val="-2"/>
        </w:rPr>
        <w:t>服务，为券商不同客户不同类别的交易服务保驾护航；随着监管政策的趋严以及券商对于事前事</w:t>
      </w:r>
      <w:r>
        <w:rPr>
          <w:spacing w:val="-25"/>
        </w:rPr>
        <w:t> </w:t>
      </w:r>
      <w:r>
        <w:rPr>
          <w:spacing w:val="-25"/>
        </w:rPr>
      </w:r>
      <w:r>
        <w:rPr>
          <w:spacing w:val="-2"/>
        </w:rPr>
        <w:t>中等合规风控管理的要求，公司将投入大量人力物力实现对全业务风险控制的管理；公司已经在</w:t>
      </w:r>
      <w:r>
        <w:rPr>
          <w:spacing w:val="-25"/>
        </w:rPr>
        <w:t> </w:t>
      </w:r>
      <w:r>
        <w:rPr>
          <w:spacing w:val="-25"/>
        </w:rPr>
      </w:r>
      <w:r>
        <w:rPr>
          <w:spacing w:val="-6"/>
          <w:w w:val="100"/>
        </w:rPr>
        <w:t>精准化服务营销方面取得长足进展，未来公司将继续深耕用户客户管理、用户行为及数据挖掘等，</w:t>
      </w:r>
      <w:r>
        <w:rPr>
          <w:w w:val="100"/>
        </w:rPr>
        <w:t> </w:t>
      </w:r>
      <w:r>
        <w:rPr/>
        <w:t>满足券商更好地完善用户体系及精准化营销服务。</w:t>
      </w:r>
    </w:p>
    <w:p>
      <w:pPr>
        <w:pStyle w:val="BodyText"/>
        <w:spacing w:line="355" w:lineRule="auto" w:before="30"/>
        <w:ind w:left="558" w:right="0"/>
        <w:jc w:val="left"/>
      </w:pPr>
      <w:r>
        <w:rPr/>
        <w:t>资管</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spacing w:val="-2"/>
        </w:rPr>
        <w:t>基于资产管理行业在监管加强，业务规则愈发向精细、严格的方向发展的趋势，公司将加强</w:t>
      </w:r>
    </w:p>
    <w:p>
      <w:pPr>
        <w:pStyle w:val="BodyText"/>
        <w:spacing w:line="357" w:lineRule="auto" w:before="32"/>
        <w:ind w:left="138" w:right="117"/>
        <w:jc w:val="both"/>
      </w:pPr>
      <w:r>
        <w:rPr>
          <w:spacing w:val="-2"/>
        </w:rPr>
        <w:t>行业市场与业务研究，加大创新技术与产品的资源投入，加快现有创新产品的产品转化，巩固和</w:t>
      </w:r>
      <w:r>
        <w:rPr>
          <w:spacing w:val="-25"/>
        </w:rPr>
        <w:t> </w:t>
      </w:r>
      <w:r>
        <w:rPr>
          <w:spacing w:val="-25"/>
        </w:rPr>
      </w:r>
      <w:r>
        <w:rPr/>
        <w:t>扩大在资管创新领域的市场空间。</w:t>
      </w:r>
    </w:p>
    <w:p>
      <w:pPr>
        <w:pStyle w:val="BodyText"/>
        <w:spacing w:line="355" w:lineRule="auto" w:before="30"/>
        <w:ind w:left="138" w:right="117" w:firstLine="419"/>
        <w:jc w:val="both"/>
      </w:pPr>
      <w:r>
        <w:rPr>
          <w:spacing w:val="-2"/>
        </w:rPr>
        <w:t>同时随着金融机构特别是银行理财资管化要求的落实，公司将充分借助在基金、证券资管等</w:t>
      </w:r>
      <w:r>
        <w:rPr>
          <w:w w:val="100"/>
        </w:rPr>
        <w:t> </w:t>
      </w:r>
      <w:r>
        <w:rPr/>
        <w:t>方面的业务与产品优势，重点加强对银行资管领域的投入和突破。</w:t>
      </w:r>
    </w:p>
    <w:p>
      <w:pPr>
        <w:pStyle w:val="BodyText"/>
        <w:spacing w:line="355" w:lineRule="auto" w:before="32"/>
        <w:ind w:left="558" w:right="0"/>
        <w:jc w:val="left"/>
      </w:pPr>
      <w:r>
        <w:rPr/>
        <w:t>综合金融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spacing w:val="-2"/>
        </w:rPr>
        <w:t>公司从整体经营角度上将丰富产品线范畴，拓宽业务领域，加强盈利模式升级推广。在监管</w:t>
      </w:r>
    </w:p>
    <w:p>
      <w:pPr>
        <w:pStyle w:val="BodyText"/>
        <w:spacing w:line="355" w:lineRule="auto" w:before="34"/>
        <w:ind w:left="138" w:right="117"/>
        <w:jc w:val="both"/>
      </w:pPr>
      <w:r>
        <w:rPr>
          <w:spacing w:val="-2"/>
        </w:rPr>
        <w:t>与数据应用领域，积极开拓增量客户，深挖存量需求，替换竞争对手系统，巩固产品优势地位。</w:t>
      </w:r>
      <w:r>
        <w:rPr>
          <w:spacing w:val="-25"/>
        </w:rPr>
        <w:t> </w:t>
      </w:r>
      <w:r>
        <w:rPr>
          <w:spacing w:val="-25"/>
        </w:rPr>
      </w:r>
      <w:r>
        <w:rPr>
          <w:spacing w:val="-2"/>
        </w:rPr>
        <w:t>紧密关注监管动态，加强与各监管机构的合作，深化监管机构服务。在综合金融领域，积极推动</w:t>
      </w:r>
      <w:r>
        <w:rPr>
          <w:spacing w:val="-26"/>
        </w:rPr>
        <w:t> </w:t>
      </w:r>
      <w:r>
        <w:rPr>
          <w:spacing w:val="-26"/>
        </w:rPr>
      </w:r>
      <w:r>
        <w:rPr>
          <w:spacing w:val="-2"/>
        </w:rPr>
        <w:t>系统版本升级换代，在维护现有股权、金融资产、商品现货、环境能源客户的基础上，加快布局</w:t>
      </w:r>
      <w:r>
        <w:rPr>
          <w:spacing w:val="-25"/>
        </w:rPr>
        <w:t> </w:t>
      </w:r>
      <w:r>
        <w:rPr>
          <w:spacing w:val="-25"/>
        </w:rPr>
      </w:r>
      <w:r>
        <w:rPr/>
        <w:t>金控集团、信贷、私募基金、公共资源等新行业领域，拓展盈利能力。</w:t>
      </w:r>
    </w:p>
    <w:p>
      <w:pPr>
        <w:pStyle w:val="BodyText"/>
        <w:spacing w:line="355" w:lineRule="auto" w:before="35"/>
        <w:ind w:left="558" w:right="0"/>
        <w:jc w:val="left"/>
      </w:pPr>
      <w:r>
        <w:rPr/>
        <w:t>科技金融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spacing w:val="-2"/>
        </w:rPr>
        <w:t>公司在科技金融领域，将以现有与券商、保险、银行、期货、互联网企业的合作为契机，加</w:t>
      </w:r>
    </w:p>
    <w:p>
      <w:pPr>
        <w:pStyle w:val="BodyText"/>
        <w:spacing w:line="357" w:lineRule="auto" w:before="32"/>
        <w:ind w:left="138" w:right="117"/>
        <w:jc w:val="both"/>
      </w:pPr>
      <w:r>
        <w:rPr>
          <w:spacing w:val="-2"/>
        </w:rPr>
        <w:t>速科技金融相关产品的开发与上线，继续优化现有产品，并着力往人工智能应用领域发展，加速</w:t>
      </w:r>
      <w:r>
        <w:rPr>
          <w:spacing w:val="-25"/>
        </w:rPr>
        <w:t> </w:t>
      </w:r>
      <w:r>
        <w:rPr>
          <w:spacing w:val="-25"/>
        </w:rPr>
      </w:r>
      <w:r>
        <w:rPr>
          <w:spacing w:val="-2"/>
        </w:rPr>
        <w:t>智能金融服务实现，助力金融行业提升服务效率，满足投资者日益增长的个性化需求；同时，公</w:t>
      </w:r>
      <w:r>
        <w:rPr>
          <w:spacing w:val="-25"/>
        </w:rPr>
        <w:t> </w:t>
      </w:r>
      <w:r>
        <w:rPr>
          <w:spacing w:val="-25"/>
        </w:rPr>
      </w:r>
      <w:r>
        <w:rPr>
          <w:spacing w:val="-2"/>
        </w:rPr>
        <w:t>司将持续在综合金融服务平台项目（保互通）中投入精尖人力和资源，结合自身产品设计及实现</w:t>
      </w:r>
      <w:r>
        <w:rPr>
          <w:spacing w:val="-25"/>
        </w:rPr>
        <w:t> </w:t>
      </w:r>
      <w:r>
        <w:rPr>
          <w:spacing w:val="-25"/>
        </w:rPr>
      </w:r>
      <w:r>
        <w:rPr>
          <w:spacing w:val="-2"/>
        </w:rPr>
        <w:t>能力、合作伙伴资源经验，挖掘综合金融服务平台项目自有价值及衍生价值；公司将继续投入及</w:t>
      </w:r>
      <w:r>
        <w:rPr>
          <w:spacing w:val="-25"/>
        </w:rPr>
        <w:t> </w:t>
      </w:r>
      <w:r>
        <w:rPr>
          <w:spacing w:val="-25"/>
        </w:rPr>
      </w:r>
      <w:r>
        <w:rPr>
          <w:spacing w:val="-2"/>
        </w:rPr>
        <w:t>深化与上交所技术、深证通等金融行业内机构的相关合作，以行业的标准化服务为要点，为金融</w:t>
      </w:r>
      <w:r>
        <w:rPr>
          <w:spacing w:val="-25"/>
        </w:rPr>
        <w:t> </w:t>
      </w:r>
      <w:r>
        <w:rPr>
          <w:spacing w:val="-25"/>
        </w:rPr>
      </w:r>
      <w:r>
        <w:rPr/>
        <w:t>机构提供更安全、更可靠的</w:t>
      </w:r>
      <w:r>
        <w:rPr>
          <w:spacing w:val="-53"/>
        </w:rPr>
        <w:t> </w:t>
      </w:r>
      <w:r>
        <w:rPr>
          <w:rFonts w:ascii="宋体" w:hAnsi="宋体" w:cs="宋体" w:eastAsia="宋体" w:hint="default"/>
        </w:rPr>
        <w:t>IT</w:t>
      </w:r>
      <w:r>
        <w:rPr>
          <w:rFonts w:ascii="宋体" w:hAnsi="宋体" w:cs="宋体" w:eastAsia="宋体" w:hint="default"/>
          <w:spacing w:val="-55"/>
        </w:rPr>
        <w:t> </w:t>
      </w:r>
      <w:r>
        <w:rPr/>
        <w:t>支持。</w:t>
      </w:r>
    </w:p>
    <w:p>
      <w:pPr>
        <w:pStyle w:val="Heading2"/>
        <w:spacing w:line="240" w:lineRule="auto" w:before="84"/>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12"/>
        </w:rPr>
        <w:t> </w:t>
      </w:r>
      <w:r>
        <w:rPr/>
        <w:t>可能面对的风险</w:t>
      </w:r>
      <w:r>
        <w:rPr>
          <w:b w:val="0"/>
          <w:bCs w:val="0"/>
        </w:rPr>
      </w:r>
    </w:p>
    <w:p>
      <w:pPr>
        <w:pStyle w:val="BodyText"/>
        <w:spacing w:line="240" w:lineRule="auto" w:before="64"/>
        <w:ind w:left="138" w:right="0"/>
        <w:jc w:val="both"/>
      </w:pPr>
      <w:r>
        <w:rPr/>
        <w:t>√适用</w:t>
      </w:r>
      <w:r>
        <w:rPr>
          <w:spacing w:val="104"/>
        </w:rPr>
        <w:t> </w:t>
      </w:r>
      <w:r>
        <w:rPr/>
        <w:t>□不适用</w:t>
      </w:r>
    </w:p>
    <w:p>
      <w:pPr>
        <w:spacing w:after="0" w:line="240" w:lineRule="auto"/>
        <w:jc w:val="both"/>
        <w:sectPr>
          <w:footerReference w:type="default" r:id="rId14"/>
          <w:pgSz w:w="11910" w:h="16840"/>
          <w:pgMar w:footer="1195" w:header="880" w:top="1120" w:bottom="1380" w:left="1660" w:right="1160"/>
        </w:sectPr>
      </w:pPr>
    </w:p>
    <w:p>
      <w:pPr>
        <w:spacing w:line="240" w:lineRule="auto" w:before="4"/>
        <w:rPr>
          <w:rFonts w:ascii="宋体" w:hAnsi="宋体" w:cs="宋体" w:eastAsia="宋体" w:hint="default"/>
          <w:sz w:val="25"/>
          <w:szCs w:val="25"/>
        </w:rPr>
      </w:pPr>
    </w:p>
    <w:p>
      <w:pPr>
        <w:pStyle w:val="BodyText"/>
        <w:spacing w:line="240" w:lineRule="auto" w:before="36"/>
        <w:ind w:left="558" w:right="101"/>
        <w:jc w:val="left"/>
      </w:pPr>
      <w:r>
        <w:rPr/>
        <w:t>产业变迁风险</w:t>
      </w:r>
    </w:p>
    <w:p>
      <w:pPr>
        <w:pStyle w:val="BodyText"/>
        <w:spacing w:line="355" w:lineRule="auto" w:before="135"/>
        <w:ind w:left="138" w:right="210" w:firstLine="419"/>
        <w:jc w:val="both"/>
      </w:pPr>
      <w:r>
        <w:rPr>
          <w:rFonts w:ascii="宋体" w:hAnsi="宋体" w:cs="宋体" w:eastAsia="宋体" w:hint="default"/>
          <w:w w:val="100"/>
        </w:rPr>
        <w:t>IT</w:t>
      </w:r>
      <w:r>
        <w:rPr>
          <w:rFonts w:ascii="宋体" w:hAnsi="宋体" w:cs="宋体" w:eastAsia="宋体" w:hint="default"/>
          <w:spacing w:val="-52"/>
          <w:w w:val="100"/>
        </w:rPr>
        <w:t> </w:t>
      </w:r>
      <w:r>
        <w:rPr>
          <w:spacing w:val="-7"/>
          <w:w w:val="100"/>
        </w:rPr>
        <w:t>行业是一个迅速变迁的行业，未来纯粹的</w:t>
      </w:r>
      <w:r>
        <w:rPr>
          <w:spacing w:val="-52"/>
          <w:w w:val="100"/>
        </w:rPr>
        <w:t> </w:t>
      </w:r>
      <w:r>
        <w:rPr>
          <w:rFonts w:ascii="宋体" w:hAnsi="宋体" w:cs="宋体" w:eastAsia="宋体" w:hint="default"/>
          <w:spacing w:val="-2"/>
          <w:w w:val="100"/>
        </w:rPr>
        <w:t>IT</w:t>
      </w:r>
      <w:r>
        <w:rPr>
          <w:rFonts w:ascii="宋体" w:hAnsi="宋体" w:cs="宋体" w:eastAsia="宋体" w:hint="default"/>
          <w:spacing w:val="-51"/>
          <w:w w:val="100"/>
        </w:rPr>
        <w:t> </w:t>
      </w:r>
      <w:r>
        <w:rPr>
          <w:spacing w:val="-9"/>
          <w:w w:val="100"/>
        </w:rPr>
        <w:t>企业很有可能会逐渐衰落。</w:t>
      </w:r>
      <w:r>
        <w:rPr>
          <w:rFonts w:ascii="宋体" w:hAnsi="宋体" w:cs="宋体" w:eastAsia="宋体" w:hint="default"/>
          <w:spacing w:val="-9"/>
          <w:w w:val="100"/>
        </w:rPr>
        <w:t>IT</w:t>
      </w:r>
      <w:r>
        <w:rPr>
          <w:rFonts w:ascii="宋体" w:hAnsi="宋体" w:cs="宋体" w:eastAsia="宋体" w:hint="default"/>
          <w:spacing w:val="-54"/>
          <w:w w:val="100"/>
        </w:rPr>
        <w:t> </w:t>
      </w:r>
      <w:r>
        <w:rPr>
          <w:spacing w:val="-1"/>
          <w:w w:val="100"/>
        </w:rPr>
        <w:t>行业会朝着“咨</w:t>
      </w:r>
      <w:r>
        <w:rPr>
          <w:w w:val="100"/>
        </w:rPr>
        <w:t> </w:t>
      </w:r>
      <w:r>
        <w:rPr>
          <w:spacing w:val="-2"/>
        </w:rPr>
        <w:t>询化、应用化、运营化”的方向升级，咨询化是指从需求实现向需求引导升级，应用化是指从后</w:t>
      </w:r>
      <w:r>
        <w:rPr>
          <w:spacing w:val="-25"/>
        </w:rPr>
        <w:t> </w:t>
      </w:r>
      <w:r>
        <w:rPr>
          <w:spacing w:val="-25"/>
        </w:rPr>
      </w:r>
      <w:r>
        <w:rPr>
          <w:spacing w:val="-2"/>
        </w:rPr>
        <w:t>台系统向前端应用渗透，运营化是指从项目开发向运营服务延伸。公司在前瞻性研判的基础上，</w:t>
      </w:r>
      <w:r>
        <w:rPr>
          <w:spacing w:val="-25"/>
        </w:rPr>
        <w:t> </w:t>
      </w:r>
      <w:r>
        <w:rPr>
          <w:spacing w:val="-25"/>
        </w:rPr>
      </w:r>
      <w:r>
        <w:rPr/>
        <w:t>沿着行业变迁的方向，积极引导 </w:t>
      </w:r>
      <w:r>
        <w:rPr>
          <w:rFonts w:ascii="宋体" w:hAnsi="宋体" w:cs="宋体" w:eastAsia="宋体" w:hint="default"/>
        </w:rPr>
        <w:t>IT</w:t>
      </w:r>
      <w:r>
        <w:rPr>
          <w:rFonts w:ascii="宋体" w:hAnsi="宋体" w:cs="宋体" w:eastAsia="宋体" w:hint="default"/>
          <w:spacing w:val="-54"/>
        </w:rPr>
        <w:t> </w:t>
      </w:r>
      <w:r>
        <w:rPr/>
        <w:t>产品和服务的升级。</w:t>
      </w:r>
    </w:p>
    <w:p>
      <w:pPr>
        <w:pStyle w:val="BodyText"/>
        <w:spacing w:line="357" w:lineRule="auto" w:before="32"/>
        <w:ind w:left="558" w:right="101"/>
        <w:jc w:val="left"/>
      </w:pPr>
      <w:r>
        <w:rPr/>
        <w:t>人力成本上升风险</w:t>
      </w:r>
      <w:r>
        <w:rPr>
          <w:w w:val="100"/>
        </w:rPr>
        <w:t> </w:t>
      </w:r>
      <w:r>
        <w:rPr>
          <w:spacing w:val="-2"/>
        </w:rPr>
        <w:t>软件企业的人才竞争非常激烈，随着规模及业务量的不断扩大，公司将面临着人力资源成本</w:t>
      </w:r>
    </w:p>
    <w:p>
      <w:pPr>
        <w:pStyle w:val="BodyText"/>
        <w:spacing w:line="357" w:lineRule="auto" w:before="30"/>
        <w:ind w:left="138" w:right="207"/>
        <w:jc w:val="both"/>
      </w:pPr>
      <w:r>
        <w:rPr>
          <w:spacing w:val="-2"/>
        </w:rPr>
        <w:t>上升、技术人员和核心业务骨干缺乏的风险。若公司的管理能力和人力资源不能适应新的环境变</w:t>
      </w:r>
      <w:r>
        <w:rPr>
          <w:spacing w:val="-25"/>
        </w:rPr>
        <w:t> </w:t>
      </w:r>
      <w:r>
        <w:rPr>
          <w:spacing w:val="-25"/>
        </w:rPr>
      </w:r>
      <w:r>
        <w:rPr>
          <w:spacing w:val="-6"/>
        </w:rPr>
        <w:t>化，将会给公司带来不利影响。公司将持续改进人力资源管理工作，在保证员工满意度的前提下，</w:t>
      </w:r>
      <w:r>
        <w:rPr>
          <w:spacing w:val="-54"/>
        </w:rPr>
        <w:t> </w:t>
      </w:r>
      <w:r>
        <w:rPr>
          <w:spacing w:val="-54"/>
        </w:rPr>
      </w:r>
      <w:r>
        <w:rPr/>
        <w:t>控制人力成本上升风险。</w:t>
      </w:r>
    </w:p>
    <w:p>
      <w:pPr>
        <w:pStyle w:val="BodyText"/>
        <w:spacing w:line="240" w:lineRule="auto" w:before="32"/>
        <w:ind w:left="558" w:right="101"/>
        <w:jc w:val="left"/>
      </w:pPr>
      <w:r>
        <w:rPr/>
        <w:t>行业技术升级风险</w:t>
      </w:r>
    </w:p>
    <w:p>
      <w:pPr>
        <w:pStyle w:val="BodyText"/>
        <w:spacing w:line="357" w:lineRule="auto" w:before="133"/>
        <w:ind w:left="138" w:right="101" w:firstLine="419"/>
        <w:jc w:val="left"/>
      </w:pPr>
      <w:r>
        <w:rPr>
          <w:spacing w:val="-1"/>
          <w:w w:val="100"/>
        </w:rPr>
        <w:t>对于金融</w:t>
      </w:r>
      <w:r>
        <w:rPr>
          <w:spacing w:val="-51"/>
          <w:w w:val="100"/>
        </w:rPr>
        <w:t> </w:t>
      </w:r>
      <w:r>
        <w:rPr>
          <w:rFonts w:ascii="宋体" w:hAnsi="宋体" w:cs="宋体" w:eastAsia="宋体" w:hint="default"/>
          <w:spacing w:val="-2"/>
          <w:w w:val="100"/>
        </w:rPr>
        <w:t>IT</w:t>
      </w:r>
      <w:r>
        <w:rPr>
          <w:rFonts w:ascii="宋体" w:hAnsi="宋体" w:cs="宋体" w:eastAsia="宋体" w:hint="default"/>
          <w:spacing w:val="-51"/>
          <w:w w:val="100"/>
        </w:rPr>
        <w:t> </w:t>
      </w:r>
      <w:r>
        <w:rPr>
          <w:spacing w:val="-7"/>
          <w:w w:val="100"/>
        </w:rPr>
        <w:t>企业来说，技术及产品开发是核心竞争要素。如果不能及时跟踪技术的发展升级，</w:t>
      </w:r>
      <w:r>
        <w:rPr>
          <w:w w:val="100"/>
        </w:rPr>
        <w:t> </w:t>
      </w:r>
      <w:r>
        <w:rPr/>
        <w:t>或者不能及时将储备技术开发成符合市场需求的新产品，公司可能会在新一轮竞争中丧失已有优</w:t>
      </w:r>
      <w:r>
        <w:rPr>
          <w:w w:val="100"/>
        </w:rPr>
        <w:t> </w:t>
      </w:r>
      <w:r>
        <w:rPr/>
        <w:t>势。针对上述风险，公司将保持灵活的市场需求反应体系，继续加大在基础技术和产品开发上的</w:t>
      </w:r>
      <w:r>
        <w:rPr>
          <w:w w:val="100"/>
        </w:rPr>
        <w:t> </w:t>
      </w:r>
      <w:r>
        <w:rPr/>
        <w:t>投入，通过技术平台的升级、技术规范的落实、技术考核的加强、以及技术梯队的完善，把公司</w:t>
      </w:r>
      <w:r>
        <w:rPr>
          <w:w w:val="100"/>
        </w:rPr>
        <w:t> </w:t>
      </w:r>
      <w:r>
        <w:rPr/>
        <w:t>的技术与研发能力提升到一个新的高度。</w:t>
      </w:r>
    </w:p>
    <w:p>
      <w:pPr>
        <w:pStyle w:val="BodyText"/>
        <w:spacing w:line="240" w:lineRule="auto" w:before="30"/>
        <w:ind w:left="558" w:right="101"/>
        <w:jc w:val="left"/>
      </w:pPr>
      <w:r>
        <w:rPr/>
        <w:t>下游行业周期风险</w:t>
      </w:r>
    </w:p>
    <w:p>
      <w:pPr>
        <w:pStyle w:val="BodyText"/>
        <w:spacing w:line="357" w:lineRule="auto" w:before="133"/>
        <w:ind w:left="138" w:right="207" w:firstLine="419"/>
        <w:jc w:val="both"/>
      </w:pPr>
      <w:r>
        <w:rPr/>
        <w:t>公司主营业务为证券</w:t>
      </w:r>
      <w:r>
        <w:rPr>
          <w:spacing w:val="-18"/>
        </w:rPr>
        <w:t> </w:t>
      </w:r>
      <w:r>
        <w:rPr>
          <w:rFonts w:ascii="宋体" w:hAnsi="宋体" w:cs="宋体" w:eastAsia="宋体" w:hint="default"/>
          <w:spacing w:val="-3"/>
        </w:rPr>
        <w:t>IT</w:t>
      </w:r>
      <w:r>
        <w:rPr>
          <w:spacing w:val="-3"/>
        </w:rPr>
        <w:t>，下游证券行业具有明显的周期性。资本市场低迷时期，证券客户经</w:t>
      </w:r>
      <w:r>
        <w:rPr>
          <w:w w:val="100"/>
        </w:rPr>
        <w:t> </w:t>
      </w:r>
      <w:r>
        <w:rPr>
          <w:spacing w:val="-4"/>
        </w:rPr>
        <w:t>营压力增加，可能削减或延后其</w:t>
      </w:r>
      <w:r>
        <w:rPr>
          <w:spacing w:val="-25"/>
        </w:rPr>
        <w:t> </w:t>
      </w:r>
      <w:r>
        <w:rPr>
          <w:rFonts w:ascii="宋体" w:hAnsi="宋体" w:cs="宋体" w:eastAsia="宋体" w:hint="default"/>
        </w:rPr>
        <w:t>IT</w:t>
      </w:r>
      <w:r>
        <w:rPr>
          <w:rFonts w:ascii="宋体" w:hAnsi="宋体" w:cs="宋体" w:eastAsia="宋体" w:hint="default"/>
          <w:spacing w:val="-28"/>
        </w:rPr>
        <w:t> </w:t>
      </w:r>
      <w:r>
        <w:rPr>
          <w:spacing w:val="-4"/>
        </w:rPr>
        <w:t>投入。上述情况可能对公司的业务发展、财务状况造成不利影</w:t>
      </w:r>
      <w:r>
        <w:rPr>
          <w:spacing w:val="-94"/>
        </w:rPr>
        <w:t> </w:t>
      </w:r>
      <w:r>
        <w:rPr>
          <w:spacing w:val="-94"/>
        </w:rPr>
      </w:r>
      <w:r>
        <w:rPr>
          <w:spacing w:val="-3"/>
        </w:rPr>
        <w:t>响。公司在立足证券</w:t>
      </w:r>
      <w:r>
        <w:rPr>
          <w:spacing w:val="-42"/>
        </w:rPr>
        <w:t> </w:t>
      </w:r>
      <w:r>
        <w:rPr>
          <w:rFonts w:ascii="宋体" w:hAnsi="宋体" w:cs="宋体" w:eastAsia="宋体" w:hint="default"/>
        </w:rPr>
        <w:t>IT</w:t>
      </w:r>
      <w:r>
        <w:rPr>
          <w:rFonts w:ascii="宋体" w:hAnsi="宋体" w:cs="宋体" w:eastAsia="宋体" w:hint="default"/>
          <w:spacing w:val="25"/>
        </w:rPr>
        <w:t> </w:t>
      </w:r>
      <w:r>
        <w:rPr>
          <w:spacing w:val="-3"/>
        </w:rPr>
        <w:t>的同时，通过对大金融</w:t>
      </w:r>
      <w:r>
        <w:rPr>
          <w:spacing w:val="-42"/>
        </w:rPr>
        <w:t> </w:t>
      </w:r>
      <w:r>
        <w:rPr>
          <w:rFonts w:ascii="宋体" w:hAnsi="宋体" w:cs="宋体" w:eastAsia="宋体" w:hint="default"/>
        </w:rPr>
        <w:t>IT</w:t>
      </w:r>
      <w:r>
        <w:rPr>
          <w:rFonts w:ascii="宋体" w:hAnsi="宋体" w:cs="宋体" w:eastAsia="宋体" w:hint="default"/>
          <w:spacing w:val="-40"/>
        </w:rPr>
        <w:t> </w:t>
      </w:r>
      <w:r>
        <w:rPr>
          <w:spacing w:val="-3"/>
        </w:rPr>
        <w:t>行业领域的拓展和产品线的扩充，积极应对下</w:t>
      </w:r>
      <w:r>
        <w:rPr>
          <w:spacing w:val="-100"/>
        </w:rPr>
        <w:t> </w:t>
      </w:r>
      <w:r>
        <w:rPr>
          <w:spacing w:val="-100"/>
        </w:rPr>
      </w:r>
      <w:r>
        <w:rPr/>
        <w:t>游行业周期风险。</w:t>
      </w:r>
    </w:p>
    <w:p>
      <w:pPr>
        <w:pStyle w:val="BodyText"/>
        <w:spacing w:line="240" w:lineRule="auto" w:before="30"/>
        <w:ind w:left="558" w:right="101"/>
        <w:jc w:val="left"/>
      </w:pPr>
      <w:r>
        <w:rPr/>
        <w:t>政策推进速度风险</w:t>
      </w:r>
    </w:p>
    <w:p>
      <w:pPr>
        <w:pStyle w:val="BodyText"/>
        <w:spacing w:line="357" w:lineRule="auto" w:before="133"/>
        <w:ind w:left="138" w:right="208" w:firstLine="419"/>
        <w:jc w:val="both"/>
      </w:pPr>
      <w:r>
        <w:rPr>
          <w:spacing w:val="-4"/>
        </w:rPr>
        <w:t>公司目前所处的证券、基金、银行等金融行业的 </w:t>
      </w:r>
      <w:r>
        <w:rPr>
          <w:rFonts w:ascii="宋体" w:hAnsi="宋体" w:cs="宋体" w:eastAsia="宋体" w:hint="default"/>
        </w:rPr>
        <w:t>IT</w:t>
      </w:r>
      <w:r>
        <w:rPr>
          <w:rFonts w:ascii="宋体" w:hAnsi="宋体" w:cs="宋体" w:eastAsia="宋体" w:hint="default"/>
          <w:spacing w:val="-56"/>
        </w:rPr>
        <w:t> </w:t>
      </w:r>
      <w:r>
        <w:rPr>
          <w:spacing w:val="-4"/>
        </w:rPr>
        <w:t>市场，其规模总体不断扩大，但市场需求</w:t>
      </w:r>
      <w:r>
        <w:rPr>
          <w:w w:val="100"/>
        </w:rPr>
        <w:t> </w:t>
      </w:r>
      <w:r>
        <w:rPr>
          <w:spacing w:val="-6"/>
          <w:w w:val="100"/>
        </w:rPr>
        <w:t>和容量的增长速度在很大程度上受到政策导向的影响。例如，若金融创新政策未来推进速度放缓，</w:t>
      </w:r>
      <w:r>
        <w:rPr>
          <w:w w:val="100"/>
        </w:rPr>
        <w:t> </w:t>
      </w:r>
      <w:r>
        <w:rPr>
          <w:spacing w:val="-2"/>
        </w:rPr>
        <w:t>将会给公司的研发、营销各个环节带来不利影响。上述情况给公司的业务发展带来不确定性。公</w:t>
      </w:r>
      <w:r>
        <w:rPr>
          <w:spacing w:val="-25"/>
        </w:rPr>
        <w:t> </w:t>
      </w:r>
      <w:r>
        <w:rPr>
          <w:spacing w:val="-25"/>
        </w:rPr>
      </w:r>
      <w:r>
        <w:rPr/>
        <w:t>司积极研究行业发展趋势和政策方向，尽可能降低政策风险。</w:t>
      </w:r>
    </w:p>
    <w:p>
      <w:pPr>
        <w:pStyle w:val="BodyText"/>
        <w:spacing w:line="240" w:lineRule="auto" w:before="30"/>
        <w:ind w:left="558" w:right="101"/>
        <w:jc w:val="left"/>
      </w:pPr>
      <w:r>
        <w:rPr/>
        <w:t>应收账款坏账风险</w:t>
      </w:r>
    </w:p>
    <w:p>
      <w:pPr>
        <w:pStyle w:val="BodyText"/>
        <w:spacing w:line="357" w:lineRule="auto" w:before="133"/>
        <w:ind w:left="138" w:right="208" w:firstLine="419"/>
        <w:jc w:val="both"/>
      </w:pPr>
      <w:r>
        <w:rPr>
          <w:spacing w:val="-6"/>
          <w:w w:val="100"/>
        </w:rPr>
        <w:t>受行业支付习惯及定制化软件项目账期的影响，金融</w:t>
      </w:r>
      <w:r>
        <w:rPr>
          <w:spacing w:val="-42"/>
          <w:w w:val="100"/>
        </w:rPr>
        <w:t> </w:t>
      </w:r>
      <w:r>
        <w:rPr>
          <w:rFonts w:ascii="宋体" w:hAnsi="宋体" w:cs="宋体" w:eastAsia="宋体" w:hint="default"/>
          <w:w w:val="100"/>
        </w:rPr>
        <w:t>IT</w:t>
      </w:r>
      <w:r>
        <w:rPr>
          <w:rFonts w:ascii="宋体" w:hAnsi="宋体" w:cs="宋体" w:eastAsia="宋体" w:hint="default"/>
          <w:spacing w:val="-46"/>
          <w:w w:val="100"/>
        </w:rPr>
        <w:t> </w:t>
      </w:r>
      <w:r>
        <w:rPr>
          <w:spacing w:val="-2"/>
          <w:w w:val="100"/>
        </w:rPr>
        <w:t>企业普遍存在应收账款占比较高的情</w:t>
      </w:r>
      <w:r>
        <w:rPr>
          <w:w w:val="100"/>
        </w:rPr>
        <w:t> </w:t>
      </w:r>
      <w:r>
        <w:rPr>
          <w:spacing w:val="-2"/>
        </w:rPr>
        <w:t>况。如果不能有效控制和收回应收款项，公司将存在形成呆坏账的风险。本公司下游客户多为大</w:t>
      </w:r>
      <w:r>
        <w:rPr>
          <w:spacing w:val="-25"/>
        </w:rPr>
        <w:t> </w:t>
      </w:r>
      <w:r>
        <w:rPr>
          <w:spacing w:val="-25"/>
        </w:rPr>
      </w:r>
      <w:r>
        <w:rPr>
          <w:spacing w:val="-2"/>
        </w:rPr>
        <w:t>型金融机构、政府等，信用资质良好，应收账款回款情况较为顺畅。报告期内，公司未发生重大</w:t>
      </w:r>
      <w:r>
        <w:rPr>
          <w:spacing w:val="-25"/>
        </w:rPr>
        <w:t> </w:t>
      </w:r>
      <w:r>
        <w:rPr>
          <w:spacing w:val="-25"/>
        </w:rPr>
      </w:r>
      <w:r>
        <w:rPr>
          <w:spacing w:val="-2"/>
        </w:rPr>
        <w:t>账款未收回的情形，账款情况总体与实际业务经营相匹配。未来，公司将进一步加强应收账款管</w:t>
      </w:r>
      <w:r>
        <w:rPr>
          <w:spacing w:val="-25"/>
        </w:rPr>
        <w:t> </w:t>
      </w:r>
      <w:r>
        <w:rPr>
          <w:spacing w:val="-25"/>
        </w:rPr>
      </w:r>
      <w:r>
        <w:rPr/>
        <w:t>理，降低应收账款回收风险。</w:t>
      </w:r>
    </w:p>
    <w:p>
      <w:pPr>
        <w:pStyle w:val="Heading2"/>
        <w:spacing w:line="240" w:lineRule="auto" w:before="84"/>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15"/>
        </w:rPr>
        <w:t> </w:t>
      </w:r>
      <w:r>
        <w:rPr/>
        <w:t>其他</w:t>
      </w:r>
      <w:r>
        <w:rPr>
          <w:b w:val="0"/>
          <w:bCs w:val="0"/>
        </w:rPr>
      </w:r>
    </w:p>
    <w:p>
      <w:pPr>
        <w:pStyle w:val="BodyText"/>
        <w:spacing w:line="240" w:lineRule="auto" w:before="64"/>
        <w:ind w:left="138" w:right="0"/>
        <w:jc w:val="both"/>
      </w:pPr>
      <w:r>
        <w:rPr/>
        <w:t>□适用</w:t>
      </w:r>
      <w:r>
        <w:rPr>
          <w:spacing w:val="104"/>
        </w:rPr>
        <w:t> </w:t>
      </w:r>
      <w:r>
        <w:rPr/>
        <w:t>√不适用</w:t>
      </w:r>
    </w:p>
    <w:p>
      <w:pPr>
        <w:spacing w:after="0" w:line="240" w:lineRule="auto"/>
        <w:jc w:val="both"/>
        <w:sectPr>
          <w:footerReference w:type="default" r:id="rId15"/>
          <w:pgSz w:w="11910" w:h="16840"/>
          <w:pgMar w:footer="1195" w:header="880" w:top="1120" w:bottom="1380" w:left="1660" w:right="1060"/>
          <w:pgNumType w:start="22"/>
        </w:sectPr>
      </w:pPr>
    </w:p>
    <w:p>
      <w:pPr>
        <w:spacing w:line="240" w:lineRule="auto" w:before="8"/>
        <w:rPr>
          <w:rFonts w:ascii="宋体" w:hAnsi="宋体" w:cs="宋体" w:eastAsia="宋体" w:hint="default"/>
          <w:sz w:val="25"/>
          <w:szCs w:val="25"/>
        </w:rPr>
      </w:pPr>
    </w:p>
    <w:p>
      <w:pPr>
        <w:pStyle w:val="Heading2"/>
        <w:spacing w:line="312" w:lineRule="exact" w:before="56"/>
        <w:ind w:left="638" w:right="195" w:hanging="420"/>
        <w:jc w:val="left"/>
        <w:rPr>
          <w:b w:val="0"/>
          <w:bCs w:val="0"/>
        </w:rPr>
      </w:pPr>
      <w:r>
        <w:rPr>
          <w:spacing w:val="-2"/>
          <w:w w:val="95"/>
        </w:rPr>
        <w:t>四、公司因不适用准则规定或国家秘密、商业秘密等特殊原因，未按准则披露的情况</w:t>
      </w:r>
      <w:r>
        <w:rPr>
          <w:spacing w:val="87"/>
          <w:w w:val="95"/>
        </w:rPr>
        <w:t> </w:t>
      </w:r>
      <w:r>
        <w:rPr>
          <w:spacing w:val="87"/>
          <w:w w:val="95"/>
        </w:rPr>
      </w:r>
      <w:r>
        <w:rPr/>
        <w:t>和原因说明</w:t>
      </w:r>
      <w:r>
        <w:rPr>
          <w:b w:val="0"/>
          <w:bCs w:val="0"/>
        </w:rPr>
      </w:r>
    </w:p>
    <w:p>
      <w:pPr>
        <w:pStyle w:val="BodyText"/>
        <w:tabs>
          <w:tab w:pos="1060" w:val="left" w:leader="none"/>
        </w:tabs>
        <w:spacing w:line="240" w:lineRule="auto" w:before="35"/>
        <w:ind w:right="195"/>
        <w:jc w:val="left"/>
      </w:pPr>
      <w:r>
        <w:rPr>
          <w:spacing w:val="-1"/>
        </w:rPr>
        <w:t>□适用</w:t>
        <w:tab/>
      </w:r>
      <w:r>
        <w:rPr>
          <w:spacing w:val="-2"/>
        </w:rPr>
        <w:t>√不适用</w:t>
      </w:r>
    </w:p>
    <w:p>
      <w:pPr>
        <w:pStyle w:val="Heading1"/>
        <w:tabs>
          <w:tab w:pos="4701" w:val="left" w:leader="none"/>
        </w:tabs>
        <w:spacing w:line="240" w:lineRule="auto" w:before="42"/>
        <w:ind w:left="3441" w:right="195"/>
        <w:jc w:val="left"/>
        <w:rPr>
          <w:b w:val="0"/>
          <w:bCs w:val="0"/>
        </w:rPr>
      </w:pPr>
      <w:bookmarkStart w:name="_TOC_250007" w:id="5"/>
      <w:r>
        <w:rPr>
          <w:w w:val="95"/>
        </w:rPr>
        <w:t>第五节</w:t>
        <w:tab/>
      </w:r>
      <w:r>
        <w:rPr/>
        <w:t>重要事项</w:t>
      </w:r>
      <w:bookmarkEnd w:id="5"/>
      <w:r>
        <w:rPr>
          <w:b w:val="0"/>
          <w:bCs w:val="0"/>
        </w:rPr>
      </w:r>
    </w:p>
    <w:p>
      <w:pPr>
        <w:pStyle w:val="Heading2"/>
        <w:spacing w:line="240" w:lineRule="auto" w:before="246"/>
        <w:ind w:right="195"/>
        <w:jc w:val="left"/>
        <w:rPr>
          <w:b w:val="0"/>
          <w:bCs w:val="0"/>
        </w:rPr>
      </w:pPr>
      <w:r>
        <w:rPr/>
        <w:t>一、普通股利润分配或资本公积金转增预案</w:t>
      </w:r>
      <w:r>
        <w:rPr>
          <w:b w:val="0"/>
          <w:bCs w:val="0"/>
        </w:rPr>
      </w:r>
    </w:p>
    <w:p>
      <w:pPr>
        <w:pStyle w:val="Heading2"/>
        <w:spacing w:line="240" w:lineRule="auto" w:before="58"/>
        <w:ind w:right="19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现金分红政策的制定、执行或调整情况</w:t>
      </w:r>
      <w:r>
        <w:rPr>
          <w:b w:val="0"/>
          <w:bCs w:val="0"/>
        </w:rPr>
      </w:r>
    </w:p>
    <w:p>
      <w:pPr>
        <w:pStyle w:val="BodyText"/>
        <w:tabs>
          <w:tab w:pos="1060" w:val="left" w:leader="none"/>
        </w:tabs>
        <w:spacing w:line="272" w:lineRule="exact" w:before="61"/>
        <w:ind w:left="638" w:right="7152" w:hanging="420"/>
        <w:jc w:val="left"/>
      </w:pPr>
      <w:r>
        <w:rPr>
          <w:spacing w:val="-1"/>
        </w:rPr>
        <w:t>√适用</w:t>
        <w:tab/>
      </w:r>
      <w:r>
        <w:rPr>
          <w:spacing w:val="-2"/>
        </w:rPr>
        <w:t>□不适用</w:t>
      </w:r>
      <w:r>
        <w:rPr>
          <w:spacing w:val="-99"/>
        </w:rPr>
        <w:t> </w:t>
      </w:r>
      <w:r>
        <w:rPr>
          <w:spacing w:val="-99"/>
        </w:rPr>
      </w:r>
      <w:r>
        <w:rPr>
          <w:spacing w:val="-1"/>
        </w:rPr>
        <w:t>现金分红政策：</w:t>
      </w:r>
    </w:p>
    <w:p>
      <w:pPr>
        <w:pStyle w:val="BodyText"/>
        <w:spacing w:line="360" w:lineRule="auto" w:before="108"/>
        <w:ind w:left="638" w:right="195"/>
        <w:jc w:val="left"/>
      </w:pPr>
      <w:r>
        <w:rPr/>
        <w:t>（一）分红比例的规定</w:t>
      </w:r>
      <w:r>
        <w:rPr>
          <w:w w:val="100"/>
        </w:rPr>
        <w:t> </w:t>
      </w:r>
      <w:r>
        <w:rPr>
          <w:spacing w:val="-2"/>
        </w:rPr>
        <w:t>在公司正常经营且现金流量满足的前提条件下，公司将积极采取现金分红，且最近三年以现</w:t>
      </w:r>
    </w:p>
    <w:p>
      <w:pPr>
        <w:pStyle w:val="BodyText"/>
        <w:spacing w:line="355" w:lineRule="auto" w:before="28"/>
        <w:ind w:right="195"/>
        <w:jc w:val="left"/>
      </w:pPr>
      <w:r>
        <w:rPr>
          <w:spacing w:val="-2"/>
        </w:rPr>
        <w:t>金方式累计分配的利润不少于最近三年实现的年均可分配利润的</w:t>
      </w:r>
      <w:r>
        <w:rPr/>
        <w:t> </w:t>
      </w:r>
      <w:r>
        <w:rPr>
          <w:rFonts w:ascii="宋体" w:hAnsi="宋体" w:cs="宋体" w:eastAsia="宋体" w:hint="default"/>
          <w:spacing w:val="-2"/>
        </w:rPr>
        <w:t>30%</w:t>
      </w:r>
      <w:r>
        <w:rPr>
          <w:spacing w:val="-2"/>
        </w:rPr>
        <w:t>，存在股东违规占用公司资</w:t>
      </w:r>
      <w:r>
        <w:rPr>
          <w:spacing w:val="-78"/>
        </w:rPr>
        <w:t> </w:t>
      </w:r>
      <w:r>
        <w:rPr>
          <w:spacing w:val="-78"/>
        </w:rPr>
      </w:r>
      <w:r>
        <w:rPr/>
        <w:t>金情况的，公司应当扣减该股东所分配的现金红利，以偿还其占用的资金。</w:t>
      </w:r>
    </w:p>
    <w:p>
      <w:pPr>
        <w:pStyle w:val="BodyText"/>
        <w:spacing w:line="355" w:lineRule="auto" w:before="32"/>
        <w:ind w:left="638" w:right="195"/>
        <w:jc w:val="left"/>
      </w:pPr>
      <w:r>
        <w:rPr/>
        <w:t>（二）股利分配的时间间隔</w:t>
      </w:r>
      <w:r>
        <w:rPr>
          <w:w w:val="100"/>
        </w:rPr>
        <w:t> </w:t>
      </w:r>
      <w:r>
        <w:rPr>
          <w:spacing w:val="-2"/>
        </w:rPr>
        <w:t>在满足上述现金分红条件情况下，公司将积极采取现金方式分配股利，原则上每年度进行一</w:t>
      </w:r>
    </w:p>
    <w:p>
      <w:pPr>
        <w:pStyle w:val="BodyText"/>
        <w:spacing w:line="355" w:lineRule="auto" w:before="34"/>
        <w:ind w:left="638" w:right="195" w:hanging="420"/>
        <w:jc w:val="left"/>
      </w:pPr>
      <w:r>
        <w:rPr>
          <w:spacing w:val="-2"/>
        </w:rPr>
        <w:t>次现金分红，公司董事会可以根据公司盈利情况及资金需求状况提议公司进行中期现金分红。</w:t>
      </w:r>
      <w:r>
        <w:rPr>
          <w:spacing w:val="-28"/>
        </w:rPr>
        <w:t> </w:t>
      </w:r>
      <w:r>
        <w:rPr>
          <w:spacing w:val="-28"/>
        </w:rPr>
      </w:r>
      <w:r>
        <w:rPr/>
        <w:t>现金分红政策执行情况：</w:t>
      </w:r>
    </w:p>
    <w:p>
      <w:pPr>
        <w:pStyle w:val="BodyText"/>
        <w:spacing w:line="240" w:lineRule="auto" w:before="32"/>
        <w:ind w:left="638" w:right="195"/>
        <w:jc w:val="left"/>
      </w:pPr>
      <w:r>
        <w:rPr>
          <w:rFonts w:ascii="宋体" w:hAnsi="宋体" w:cs="宋体" w:eastAsia="宋体" w:hint="default"/>
        </w:rPr>
        <w:t>2016</w:t>
      </w:r>
      <w:r>
        <w:rPr>
          <w:rFonts w:ascii="宋体" w:hAnsi="宋体" w:cs="宋体" w:eastAsia="宋体" w:hint="default"/>
          <w:spacing w:val="-56"/>
        </w:rPr>
        <w:t> </w:t>
      </w:r>
      <w:r>
        <w:rPr/>
        <w:t>年度公司以当时总股本</w:t>
      </w:r>
      <w:r>
        <w:rPr>
          <w:spacing w:val="-53"/>
        </w:rPr>
        <w:t> </w:t>
      </w:r>
      <w:r>
        <w:rPr>
          <w:rFonts w:ascii="宋体" w:hAnsi="宋体" w:cs="宋体" w:eastAsia="宋体" w:hint="default"/>
        </w:rPr>
        <w:t>835,009,500</w:t>
      </w:r>
      <w:r>
        <w:rPr>
          <w:rFonts w:ascii="宋体" w:hAnsi="宋体" w:cs="宋体" w:eastAsia="宋体" w:hint="default"/>
          <w:spacing w:val="-56"/>
        </w:rPr>
        <w:t> </w:t>
      </w:r>
      <w:r>
        <w:rPr/>
        <w:t>为基数</w:t>
      </w:r>
      <w:r>
        <w:rPr>
          <w:rFonts w:ascii="宋体" w:hAnsi="宋体" w:cs="宋体" w:eastAsia="宋体" w:hint="default"/>
        </w:rPr>
        <w:t>,</w:t>
      </w:r>
      <w:r>
        <w:rPr/>
        <w:t>向全体股东每</w:t>
      </w:r>
      <w:r>
        <w:rPr>
          <w:spacing w:val="-54"/>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4"/>
        </w:rPr>
        <w:t> </w:t>
      </w:r>
      <w:r>
        <w:rPr>
          <w:rFonts w:ascii="宋体" w:hAnsi="宋体" w:cs="宋体" w:eastAsia="宋体" w:hint="default"/>
        </w:rPr>
        <w:t>0.85</w:t>
      </w:r>
      <w:r>
        <w:rPr>
          <w:rFonts w:ascii="宋体" w:hAnsi="宋体" w:cs="宋体" w:eastAsia="宋体" w:hint="default"/>
          <w:spacing w:val="-56"/>
        </w:rPr>
        <w:t> </w:t>
      </w:r>
      <w:r>
        <w:rPr/>
        <w:t>元</w:t>
      </w:r>
    </w:p>
    <w:p>
      <w:pPr>
        <w:pStyle w:val="BodyText"/>
        <w:spacing w:line="240" w:lineRule="auto" w:before="133"/>
        <w:ind w:right="195"/>
        <w:jc w:val="left"/>
      </w:pPr>
      <w:r>
        <w:rPr>
          <w:rFonts w:ascii="宋体" w:hAnsi="宋体" w:cs="宋体" w:eastAsia="宋体" w:hint="default"/>
        </w:rPr>
        <w:t>(</w:t>
      </w:r>
      <w:r>
        <w:rPr/>
        <w:t>含税</w:t>
      </w:r>
      <w:r>
        <w:rPr>
          <w:rFonts w:ascii="宋体" w:hAnsi="宋体" w:cs="宋体" w:eastAsia="宋体" w:hint="default"/>
        </w:rPr>
        <w:t>),</w:t>
      </w:r>
      <w:r>
        <w:rPr/>
        <w:t>共计派发现金股利</w:t>
      </w:r>
      <w:r>
        <w:rPr>
          <w:spacing w:val="-53"/>
        </w:rPr>
        <w:t> </w:t>
      </w:r>
      <w:r>
        <w:rPr>
          <w:rFonts w:ascii="宋体" w:hAnsi="宋体" w:cs="宋体" w:eastAsia="宋体" w:hint="default"/>
        </w:rPr>
        <w:t>7,097.58</w:t>
      </w:r>
      <w:r>
        <w:rPr>
          <w:rFonts w:ascii="宋体" w:hAnsi="宋体" w:cs="宋体" w:eastAsia="宋体" w:hint="default"/>
          <w:spacing w:val="-54"/>
        </w:rPr>
        <w:t> </w:t>
      </w:r>
      <w:r>
        <w:rPr/>
        <w:t>万元。该方案实施日期为</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3"/>
        </w:rPr>
        <w:t> </w:t>
      </w:r>
      <w:r>
        <w:rPr/>
        <w:t>日，详细内容请查</w:t>
      </w:r>
    </w:p>
    <w:p>
      <w:pPr>
        <w:pStyle w:val="BodyText"/>
        <w:spacing w:line="240" w:lineRule="auto" w:before="133"/>
        <w:ind w:right="195"/>
        <w:jc w:val="left"/>
      </w:pPr>
      <w:r>
        <w:rPr/>
        <w:t>阅</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14</w:t>
      </w:r>
      <w:r>
        <w:rPr>
          <w:rFonts w:ascii="宋体" w:hAnsi="宋体" w:cs="宋体" w:eastAsia="宋体" w:hint="default"/>
          <w:spacing w:val="-54"/>
        </w:rPr>
        <w:t> </w:t>
      </w:r>
      <w:r>
        <w:rPr/>
        <w:t>日在上海证券交易所网站</w:t>
      </w:r>
      <w:r>
        <w:rPr>
          <w:spacing w:val="-53"/>
        </w:rPr>
        <w:t> </w:t>
      </w:r>
      <w:hyperlink r:id="rId10">
        <w:r>
          <w:rPr>
            <w:rFonts w:ascii="宋体" w:hAnsi="宋体" w:cs="宋体" w:eastAsia="宋体" w:hint="default"/>
          </w:rPr>
          <w:t>www.sse.com.cn</w:t>
        </w:r>
      </w:hyperlink>
      <w:r>
        <w:rPr>
          <w:rFonts w:ascii="宋体" w:hAnsi="宋体" w:cs="宋体" w:eastAsia="宋体" w:hint="default"/>
          <w:spacing w:val="-56"/>
        </w:rPr>
        <w:t> </w:t>
      </w:r>
      <w:r>
        <w:rPr/>
        <w:t>刊登的相关公告。</w:t>
      </w:r>
    </w:p>
    <w:p>
      <w:pPr>
        <w:spacing w:line="240" w:lineRule="auto" w:before="12"/>
        <w:rPr>
          <w:rFonts w:ascii="宋体" w:hAnsi="宋体" w:cs="宋体" w:eastAsia="宋体" w:hint="default"/>
          <w:sz w:val="16"/>
          <w:szCs w:val="16"/>
        </w:rPr>
      </w:pPr>
    </w:p>
    <w:p>
      <w:pPr>
        <w:pStyle w:val="Heading2"/>
        <w:spacing w:line="310" w:lineRule="exact" w:before="0"/>
        <w:ind w:left="638" w:right="195"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45"/>
        </w:rPr>
        <w:t> </w:t>
      </w:r>
      <w:r>
        <w:rPr/>
        <w:t>公司近三年（含报告期）的普通股股利分配方案或预案、资本公积金转增股本方</w:t>
      </w:r>
      <w:r>
        <w:rPr>
          <w:w w:val="99"/>
        </w:rPr>
        <w:t> </w:t>
      </w:r>
      <w:r>
        <w:rPr/>
        <w:t>案或预案</w:t>
      </w:r>
      <w:r>
        <w:rPr>
          <w:b w:val="0"/>
          <w:bCs w:val="0"/>
        </w:rPr>
      </w:r>
    </w:p>
    <w:p>
      <w:pPr>
        <w:pStyle w:val="BodyText"/>
        <w:tabs>
          <w:tab w:pos="1051" w:val="left" w:leader="none"/>
        </w:tabs>
        <w:spacing w:line="240" w:lineRule="auto" w:before="36"/>
        <w:ind w:left="0" w:right="2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137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92" w:right="29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12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4" w:right="127"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1" w:lineRule="exact"/>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51" w:firstLine="2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2" w:right="189" w:hanging="106"/>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p>
          <w:p>
            <w:pPr>
              <w:pStyle w:val="TableParagraph"/>
              <w:spacing w:line="271" w:lineRule="exact"/>
              <w:ind w:left="18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ind w:left="146" w:right="147"/>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ind w:left="151" w:right="146"/>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2,644.95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13,200.01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20.04</w:t>
            </w: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7,097.58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23,507.89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30.19</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7,860.11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25,474.94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30.85</w:t>
            </w:r>
          </w:p>
        </w:tc>
      </w:tr>
    </w:tbl>
    <w:p>
      <w:pPr>
        <w:spacing w:line="240" w:lineRule="auto" w:before="6"/>
        <w:rPr>
          <w:rFonts w:ascii="宋体" w:hAnsi="宋体" w:cs="宋体" w:eastAsia="宋体" w:hint="default"/>
          <w:sz w:val="18"/>
          <w:szCs w:val="18"/>
        </w:rPr>
      </w:pPr>
    </w:p>
    <w:p>
      <w:pPr>
        <w:pStyle w:val="BodyText"/>
        <w:spacing w:line="240" w:lineRule="auto" w:before="36"/>
        <w:ind w:left="623" w:right="196"/>
        <w:jc w:val="center"/>
      </w:pPr>
      <w:r>
        <w:rPr>
          <w:rFonts w:ascii="宋体" w:hAnsi="宋体" w:cs="宋体" w:eastAsia="宋体" w:hint="default"/>
        </w:rPr>
        <w:t>2015</w:t>
      </w:r>
      <w:r>
        <w:rPr>
          <w:rFonts w:ascii="宋体" w:hAnsi="宋体" w:cs="宋体" w:eastAsia="宋体" w:hint="default"/>
          <w:spacing w:val="-53"/>
        </w:rPr>
        <w:t> </w:t>
      </w:r>
      <w:r>
        <w:rPr/>
        <w:t>年度中期公司以截至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3"/>
        </w:rPr>
        <w:t> </w:t>
      </w:r>
      <w:r>
        <w:rPr/>
        <w:t>月</w:t>
      </w:r>
      <w:r>
        <w:rPr>
          <w:spacing w:val="-51"/>
        </w:rPr>
        <w:t> </w:t>
      </w:r>
      <w:r>
        <w:rPr>
          <w:rFonts w:ascii="宋体" w:hAnsi="宋体" w:cs="宋体" w:eastAsia="宋体" w:hint="default"/>
        </w:rPr>
        <w:t>30</w:t>
      </w:r>
      <w:r>
        <w:rPr>
          <w:rFonts w:ascii="宋体" w:hAnsi="宋体" w:cs="宋体" w:eastAsia="宋体" w:hint="default"/>
          <w:spacing w:val="-53"/>
        </w:rPr>
        <w:t> </w:t>
      </w:r>
      <w:r>
        <w:rPr/>
        <w:t>日公司总股本</w:t>
      </w:r>
      <w:r>
        <w:rPr>
          <w:spacing w:val="-50"/>
        </w:rPr>
        <w:t> </w:t>
      </w:r>
      <w:r>
        <w:rPr>
          <w:rFonts w:ascii="宋体" w:hAnsi="宋体" w:cs="宋体" w:eastAsia="宋体" w:hint="default"/>
        </w:rPr>
        <w:t>27,683.55</w:t>
      </w:r>
      <w:r>
        <w:rPr>
          <w:rFonts w:ascii="宋体" w:hAnsi="宋体" w:cs="宋体" w:eastAsia="宋体" w:hint="default"/>
          <w:spacing w:val="-53"/>
        </w:rPr>
        <w:t> </w:t>
      </w:r>
      <w:r>
        <w:rPr>
          <w:spacing w:val="-5"/>
        </w:rPr>
        <w:t>万股为基数，向全体股东</w:t>
      </w:r>
    </w:p>
    <w:p>
      <w:pPr>
        <w:pStyle w:val="BodyText"/>
        <w:spacing w:line="240" w:lineRule="auto" w:before="133"/>
        <w:ind w:right="195"/>
        <w:jc w:val="left"/>
      </w:pPr>
      <w:r>
        <w:rPr/>
        <w:t>每</w:t>
      </w:r>
      <w:r>
        <w:rPr>
          <w:spacing w:val="-54"/>
        </w:rPr>
        <w:t> </w:t>
      </w:r>
      <w:r>
        <w:rPr>
          <w:rFonts w:ascii="宋体" w:hAnsi="宋体" w:cs="宋体" w:eastAsia="宋体" w:hint="default"/>
        </w:rPr>
        <w:t>10</w:t>
      </w:r>
      <w:r>
        <w:rPr>
          <w:rFonts w:ascii="宋体" w:hAnsi="宋体" w:cs="宋体" w:eastAsia="宋体" w:hint="default"/>
          <w:spacing w:val="-56"/>
        </w:rPr>
        <w:t> </w:t>
      </w:r>
      <w:r>
        <w:rPr/>
        <w:t>股送红股</w:t>
      </w:r>
      <w:r>
        <w:rPr>
          <w:spacing w:val="-56"/>
        </w:rPr>
        <w:t> </w:t>
      </w:r>
      <w:r>
        <w:rPr>
          <w:rFonts w:ascii="宋体" w:hAnsi="宋体" w:cs="宋体" w:eastAsia="宋体" w:hint="default"/>
        </w:rPr>
        <w:t>10</w:t>
      </w:r>
      <w:r>
        <w:rPr>
          <w:rFonts w:ascii="宋体" w:hAnsi="宋体" w:cs="宋体" w:eastAsia="宋体" w:hint="default"/>
          <w:spacing w:val="-54"/>
        </w:rPr>
        <w:t> </w:t>
      </w:r>
      <w:r>
        <w:rPr/>
        <w:t>股、派发现金股利</w:t>
      </w:r>
      <w:r>
        <w:rPr>
          <w:spacing w:val="-53"/>
        </w:rPr>
        <w:t> </w:t>
      </w:r>
      <w:r>
        <w:rPr>
          <w:rFonts w:ascii="宋体" w:hAnsi="宋体" w:cs="宋体" w:eastAsia="宋体" w:hint="default"/>
        </w:rPr>
        <w:t>1.12</w:t>
      </w:r>
      <w:r>
        <w:rPr>
          <w:rFonts w:ascii="宋体" w:hAnsi="宋体" w:cs="宋体" w:eastAsia="宋体" w:hint="default"/>
          <w:spacing w:val="-54"/>
        </w:rPr>
        <w:t> </w:t>
      </w:r>
      <w:r>
        <w:rPr/>
        <w:t>元（含税），派发红利</w:t>
      </w:r>
      <w:r>
        <w:rPr>
          <w:spacing w:val="-54"/>
        </w:rPr>
        <w:t> </w:t>
      </w:r>
      <w:r>
        <w:rPr>
          <w:rFonts w:ascii="宋体" w:hAnsi="宋体" w:cs="宋体" w:eastAsia="宋体" w:hint="default"/>
        </w:rPr>
        <w:t>3,100.56</w:t>
      </w:r>
      <w:r>
        <w:rPr>
          <w:rFonts w:ascii="宋体" w:hAnsi="宋体" w:cs="宋体" w:eastAsia="宋体" w:hint="default"/>
          <w:spacing w:val="-56"/>
        </w:rPr>
        <w:t> </w:t>
      </w:r>
      <w:r>
        <w:rPr/>
        <w:t>万元。同时进行资本</w:t>
      </w:r>
    </w:p>
    <w:p>
      <w:pPr>
        <w:pStyle w:val="BodyText"/>
        <w:spacing w:line="240" w:lineRule="auto" w:before="133"/>
        <w:ind w:right="0"/>
        <w:jc w:val="left"/>
        <w:rPr>
          <w:rFonts w:ascii="宋体" w:hAnsi="宋体" w:cs="宋体" w:eastAsia="宋体" w:hint="default"/>
        </w:rPr>
      </w:pPr>
      <w:r>
        <w:rPr>
          <w:spacing w:val="-6"/>
        </w:rPr>
        <w:t>公积金转增股本，以截至</w:t>
      </w:r>
      <w:r>
        <w:rPr>
          <w:spacing w:val="-49"/>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w:t>
      </w:r>
      <w:r>
        <w:rPr>
          <w:spacing w:val="-51"/>
        </w:rPr>
        <w:t> </w:t>
      </w:r>
      <w:r>
        <w:rPr>
          <w:rFonts w:ascii="宋体" w:hAnsi="宋体" w:cs="宋体" w:eastAsia="宋体" w:hint="default"/>
        </w:rPr>
        <w:t>30</w:t>
      </w:r>
      <w:r>
        <w:rPr>
          <w:rFonts w:ascii="宋体" w:hAnsi="宋体" w:cs="宋体" w:eastAsia="宋体" w:hint="default"/>
          <w:spacing w:val="-51"/>
        </w:rPr>
        <w:t> </w:t>
      </w:r>
      <w:r>
        <w:rPr/>
        <w:t>日公司总股本</w:t>
      </w:r>
      <w:r>
        <w:rPr>
          <w:spacing w:val="-49"/>
        </w:rPr>
        <w:t> </w:t>
      </w:r>
      <w:r>
        <w:rPr>
          <w:rFonts w:ascii="宋体" w:hAnsi="宋体" w:cs="宋体" w:eastAsia="宋体" w:hint="default"/>
        </w:rPr>
        <w:t>27,683.55</w:t>
      </w:r>
      <w:r>
        <w:rPr>
          <w:rFonts w:ascii="宋体" w:hAnsi="宋体" w:cs="宋体" w:eastAsia="宋体" w:hint="default"/>
          <w:spacing w:val="6"/>
        </w:rPr>
        <w:t> </w:t>
      </w:r>
      <w:r>
        <w:rPr>
          <w:spacing w:val="-6"/>
        </w:rPr>
        <w:t>万股为基数，向全体股东每</w:t>
      </w:r>
      <w:r>
        <w:rPr>
          <w:spacing w:val="-49"/>
        </w:rPr>
        <w:t> </w:t>
      </w:r>
      <w:r>
        <w:rPr>
          <w:rFonts w:ascii="宋体" w:hAnsi="宋体" w:cs="宋体" w:eastAsia="宋体" w:hint="default"/>
        </w:rPr>
        <w:t>10</w:t>
      </w:r>
    </w:p>
    <w:p>
      <w:pPr>
        <w:pStyle w:val="BodyText"/>
        <w:spacing w:line="240" w:lineRule="auto" w:before="133"/>
        <w:ind w:right="195"/>
        <w:jc w:val="left"/>
      </w:pPr>
      <w:r>
        <w:rPr/>
        <w:t>股转增</w:t>
      </w:r>
      <w:r>
        <w:rPr>
          <w:spacing w:val="-54"/>
        </w:rPr>
        <w:t> </w:t>
      </w:r>
      <w:r>
        <w:rPr>
          <w:rFonts w:ascii="宋体" w:hAnsi="宋体" w:cs="宋体" w:eastAsia="宋体" w:hint="default"/>
        </w:rPr>
        <w:t>10</w:t>
      </w:r>
      <w:r>
        <w:rPr>
          <w:rFonts w:ascii="宋体" w:hAnsi="宋体" w:cs="宋体" w:eastAsia="宋体" w:hint="default"/>
          <w:spacing w:val="-56"/>
        </w:rPr>
        <w:t> </w:t>
      </w:r>
      <w:r>
        <w:rPr/>
        <w:t>股，送股、转增后公司总股本增加至</w:t>
      </w:r>
      <w:r>
        <w:rPr>
          <w:spacing w:val="-54"/>
        </w:rPr>
        <w:t> </w:t>
      </w:r>
      <w:r>
        <w:rPr>
          <w:rFonts w:ascii="宋体" w:hAnsi="宋体" w:cs="宋体" w:eastAsia="宋体" w:hint="default"/>
        </w:rPr>
        <w:t>83,050.65</w:t>
      </w:r>
      <w:r>
        <w:rPr>
          <w:rFonts w:ascii="宋体" w:hAnsi="宋体" w:cs="宋体" w:eastAsia="宋体" w:hint="default"/>
          <w:spacing w:val="-56"/>
        </w:rPr>
        <w:t> </w:t>
      </w:r>
      <w:r>
        <w:rPr/>
        <w:t>万股。</w:t>
      </w:r>
    </w:p>
    <w:p>
      <w:pPr>
        <w:pStyle w:val="BodyText"/>
        <w:spacing w:line="240" w:lineRule="auto" w:before="135"/>
        <w:ind w:left="626" w:right="93"/>
        <w:jc w:val="center"/>
      </w:pPr>
      <w:r>
        <w:rPr>
          <w:rFonts w:ascii="宋体" w:hAnsi="宋体" w:cs="宋体" w:eastAsia="宋体" w:hint="default"/>
          <w:w w:val="100"/>
        </w:rPr>
        <w:t>2015</w:t>
      </w:r>
      <w:r>
        <w:rPr>
          <w:rFonts w:ascii="宋体" w:hAnsi="宋体" w:cs="宋体" w:eastAsia="宋体" w:hint="default"/>
          <w:spacing w:val="-77"/>
        </w:rPr>
        <w:t> </w:t>
      </w:r>
      <w:r>
        <w:rPr>
          <w:spacing w:val="-3"/>
          <w:w w:val="100"/>
        </w:rPr>
        <w:t>年</w:t>
      </w:r>
      <w:r>
        <w:rPr>
          <w:w w:val="100"/>
        </w:rPr>
        <w:t>度</w:t>
      </w:r>
      <w:r>
        <w:rPr>
          <w:spacing w:val="-3"/>
          <w:w w:val="100"/>
        </w:rPr>
        <w:t>年</w:t>
      </w:r>
      <w:r>
        <w:rPr>
          <w:w w:val="100"/>
        </w:rPr>
        <w:t>度</w:t>
      </w:r>
      <w:r>
        <w:rPr>
          <w:spacing w:val="-3"/>
          <w:w w:val="100"/>
        </w:rPr>
        <w:t>公</w:t>
      </w:r>
      <w:r>
        <w:rPr>
          <w:w w:val="100"/>
        </w:rPr>
        <w:t>司</w:t>
      </w:r>
      <w:r>
        <w:rPr>
          <w:spacing w:val="-3"/>
          <w:w w:val="100"/>
        </w:rPr>
        <w:t>利</w:t>
      </w:r>
      <w:r>
        <w:rPr>
          <w:w w:val="100"/>
        </w:rPr>
        <w:t>润</w:t>
      </w:r>
      <w:r>
        <w:rPr>
          <w:spacing w:val="-3"/>
          <w:w w:val="100"/>
        </w:rPr>
        <w:t>分</w:t>
      </w:r>
      <w:r>
        <w:rPr>
          <w:w w:val="100"/>
        </w:rPr>
        <w:t>配方</w:t>
      </w:r>
      <w:r>
        <w:rPr>
          <w:spacing w:val="-3"/>
          <w:w w:val="100"/>
        </w:rPr>
        <w:t>案</w:t>
      </w:r>
      <w:r>
        <w:rPr>
          <w:w w:val="100"/>
        </w:rPr>
        <w:t>为</w:t>
      </w:r>
      <w:r>
        <w:rPr>
          <w:spacing w:val="-108"/>
          <w:w w:val="100"/>
        </w:rPr>
        <w:t>：</w:t>
      </w:r>
      <w:r>
        <w:rPr>
          <w:w w:val="100"/>
        </w:rPr>
        <w:t>以</w:t>
      </w:r>
      <w:r>
        <w:rPr>
          <w:spacing w:val="-3"/>
          <w:w w:val="100"/>
        </w:rPr>
        <w:t>当</w:t>
      </w:r>
      <w:r>
        <w:rPr>
          <w:w w:val="100"/>
        </w:rPr>
        <w:t>前</w:t>
      </w:r>
      <w:r>
        <w:rPr>
          <w:spacing w:val="-3"/>
          <w:w w:val="100"/>
        </w:rPr>
        <w:t>总</w:t>
      </w:r>
      <w:r>
        <w:rPr>
          <w:w w:val="100"/>
        </w:rPr>
        <w:t>股本</w:t>
      </w:r>
      <w:r>
        <w:rPr>
          <w:spacing w:val="-76"/>
        </w:rPr>
        <w:t> </w:t>
      </w:r>
      <w:r>
        <w:rPr>
          <w:rFonts w:ascii="宋体" w:hAnsi="宋体" w:cs="宋体" w:eastAsia="宋体" w:hint="default"/>
          <w:w w:val="100"/>
        </w:rPr>
        <w:t>8</w:t>
      </w:r>
      <w:r>
        <w:rPr>
          <w:rFonts w:ascii="宋体" w:hAnsi="宋体" w:cs="宋体" w:eastAsia="宋体" w:hint="default"/>
          <w:spacing w:val="-3"/>
          <w:w w:val="100"/>
        </w:rPr>
        <w:t>3</w:t>
      </w:r>
      <w:r>
        <w:rPr>
          <w:rFonts w:ascii="宋体" w:hAnsi="宋体" w:cs="宋体" w:eastAsia="宋体" w:hint="default"/>
          <w:w w:val="100"/>
        </w:rPr>
        <w:t>5,009</w:t>
      </w:r>
      <w:r>
        <w:rPr>
          <w:rFonts w:ascii="宋体" w:hAnsi="宋体" w:cs="宋体" w:eastAsia="宋体" w:hint="default"/>
          <w:spacing w:val="-3"/>
          <w:w w:val="100"/>
        </w:rPr>
        <w:t>,</w:t>
      </w:r>
      <w:r>
        <w:rPr>
          <w:rFonts w:ascii="宋体" w:hAnsi="宋体" w:cs="宋体" w:eastAsia="宋体" w:hint="default"/>
          <w:w w:val="100"/>
        </w:rPr>
        <w:t>500</w:t>
      </w:r>
      <w:r>
        <w:rPr>
          <w:rFonts w:ascii="宋体" w:hAnsi="宋体" w:cs="宋体" w:eastAsia="宋体" w:hint="default"/>
          <w:spacing w:val="-77"/>
        </w:rPr>
        <w:t> </w:t>
      </w:r>
      <w:r>
        <w:rPr>
          <w:spacing w:val="-3"/>
          <w:w w:val="100"/>
        </w:rPr>
        <w:t>为</w:t>
      </w:r>
      <w:r>
        <w:rPr>
          <w:w w:val="100"/>
        </w:rPr>
        <w:t>基</w:t>
      </w:r>
      <w:r>
        <w:rPr>
          <w:spacing w:val="-3"/>
          <w:w w:val="100"/>
        </w:rPr>
        <w:t>数</w:t>
      </w:r>
      <w:r>
        <w:rPr>
          <w:rFonts w:ascii="宋体" w:hAnsi="宋体" w:cs="宋体" w:eastAsia="宋体" w:hint="default"/>
          <w:w w:val="100"/>
        </w:rPr>
        <w:t>,</w:t>
      </w:r>
      <w:r>
        <w:rPr>
          <w:spacing w:val="-3"/>
          <w:w w:val="100"/>
        </w:rPr>
        <w:t>向</w:t>
      </w:r>
      <w:r>
        <w:rPr>
          <w:w w:val="100"/>
        </w:rPr>
        <w:t>全</w:t>
      </w:r>
      <w:r>
        <w:rPr>
          <w:spacing w:val="-3"/>
          <w:w w:val="100"/>
        </w:rPr>
        <w:t>体</w:t>
      </w:r>
      <w:r>
        <w:rPr>
          <w:w w:val="100"/>
        </w:rPr>
        <w:t>股东每</w:t>
      </w:r>
      <w:r>
        <w:rPr>
          <w:spacing w:val="-76"/>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2"/>
        </w:rPr>
        <w:t> </w:t>
      </w:r>
      <w:r>
        <w:rPr>
          <w:w w:val="100"/>
        </w:rPr>
        <w:t>股</w:t>
      </w:r>
    </w:p>
    <w:p>
      <w:pPr>
        <w:pStyle w:val="BodyText"/>
        <w:spacing w:line="240" w:lineRule="auto" w:before="133"/>
        <w:ind w:right="195"/>
        <w:jc w:val="left"/>
      </w:pPr>
      <w:r>
        <w:rPr/>
        <w:t>派发现金股利</w:t>
      </w:r>
      <w:r>
        <w:rPr>
          <w:spacing w:val="-54"/>
        </w:rPr>
        <w:t> </w:t>
      </w:r>
      <w:r>
        <w:rPr>
          <w:rFonts w:ascii="宋体" w:hAnsi="宋体" w:cs="宋体" w:eastAsia="宋体" w:hint="default"/>
        </w:rPr>
        <w:t>0.57</w:t>
      </w:r>
      <w:r>
        <w:rPr>
          <w:rFonts w:ascii="宋体" w:hAnsi="宋体" w:cs="宋体" w:eastAsia="宋体" w:hint="default"/>
          <w:spacing w:val="-56"/>
        </w:rPr>
        <w:t> </w:t>
      </w:r>
      <w:r>
        <w:rPr/>
        <w:t>元</w:t>
      </w:r>
      <w:r>
        <w:rPr>
          <w:rFonts w:ascii="宋体" w:hAnsi="宋体" w:cs="宋体" w:eastAsia="宋体" w:hint="default"/>
        </w:rPr>
        <w:t>(</w:t>
      </w:r>
      <w:r>
        <w:rPr/>
        <w:t>含税</w:t>
      </w:r>
      <w:r>
        <w:rPr>
          <w:rFonts w:ascii="宋体" w:hAnsi="宋体" w:cs="宋体" w:eastAsia="宋体" w:hint="default"/>
        </w:rPr>
        <w:t>),</w:t>
      </w:r>
      <w:r>
        <w:rPr/>
        <w:t>共计派发现金股利</w:t>
      </w:r>
      <w:r>
        <w:rPr>
          <w:spacing w:val="-54"/>
        </w:rPr>
        <w:t> </w:t>
      </w:r>
      <w:r>
        <w:rPr>
          <w:rFonts w:ascii="宋体" w:hAnsi="宋体" w:cs="宋体" w:eastAsia="宋体" w:hint="default"/>
        </w:rPr>
        <w:t>4,759.55</w:t>
      </w:r>
      <w:r>
        <w:rPr>
          <w:rFonts w:ascii="宋体" w:hAnsi="宋体" w:cs="宋体" w:eastAsia="宋体" w:hint="default"/>
          <w:spacing w:val="-54"/>
        </w:rPr>
        <w:t> </w:t>
      </w:r>
      <w:r>
        <w:rPr/>
        <w:t>万元。</w:t>
      </w:r>
    </w:p>
    <w:p>
      <w:pPr>
        <w:spacing w:after="0" w:line="240" w:lineRule="auto"/>
        <w:jc w:val="left"/>
        <w:sectPr>
          <w:pgSz w:w="11910" w:h="16840"/>
          <w:pgMar w:header="880" w:footer="1195" w:top="1120" w:bottom="1380" w:left="1580" w:right="1060"/>
        </w:sectPr>
      </w:pPr>
    </w:p>
    <w:p>
      <w:pPr>
        <w:spacing w:line="240" w:lineRule="auto" w:before="4"/>
        <w:rPr>
          <w:rFonts w:ascii="宋体" w:hAnsi="宋体" w:cs="宋体" w:eastAsia="宋体" w:hint="default"/>
          <w:sz w:val="25"/>
          <w:szCs w:val="25"/>
        </w:rPr>
      </w:pPr>
    </w:p>
    <w:p>
      <w:pPr>
        <w:pStyle w:val="BodyText"/>
        <w:spacing w:line="240" w:lineRule="auto" w:before="36"/>
        <w:ind w:left="1238" w:right="0"/>
        <w:jc w:val="left"/>
        <w:rPr>
          <w:rFonts w:ascii="宋体" w:hAnsi="宋体" w:cs="宋体" w:eastAsia="宋体" w:hint="default"/>
        </w:rPr>
      </w:pPr>
      <w:r>
        <w:rPr>
          <w:spacing w:val="-3"/>
        </w:rPr>
        <w:t>本年度公司利润分配方案拟为：公司以本年度母公司净利润</w:t>
      </w:r>
      <w:r>
        <w:rPr>
          <w:spacing w:val="-33"/>
        </w:rPr>
        <w:t> </w:t>
      </w:r>
      <w:r>
        <w:rPr>
          <w:rFonts w:ascii="宋体" w:hAnsi="宋体" w:cs="宋体" w:eastAsia="宋体" w:hint="default"/>
        </w:rPr>
        <w:t>7,527.24</w:t>
      </w:r>
      <w:r>
        <w:rPr>
          <w:rFonts w:ascii="宋体" w:hAnsi="宋体" w:cs="宋体" w:eastAsia="宋体" w:hint="default"/>
          <w:spacing w:val="-36"/>
        </w:rPr>
        <w:t> </w:t>
      </w:r>
      <w:r>
        <w:rPr>
          <w:spacing w:val="-4"/>
        </w:rPr>
        <w:t>万元为基数，提取</w:t>
      </w:r>
      <w:r>
        <w:rPr>
          <w:spacing w:val="-32"/>
        </w:rPr>
        <w:t> </w:t>
      </w:r>
      <w:r>
        <w:rPr>
          <w:rFonts w:ascii="宋体" w:hAnsi="宋体" w:cs="宋体" w:eastAsia="宋体" w:hint="default"/>
        </w:rPr>
        <w:t>10%</w:t>
      </w:r>
    </w:p>
    <w:p>
      <w:pPr>
        <w:pStyle w:val="BodyText"/>
        <w:spacing w:line="240" w:lineRule="auto" w:before="135"/>
        <w:ind w:left="818" w:right="0"/>
        <w:jc w:val="left"/>
      </w:pPr>
      <w:r>
        <w:rPr/>
        <w:t>的法定盈余公积金</w:t>
      </w:r>
      <w:r>
        <w:rPr>
          <w:spacing w:val="-55"/>
        </w:rPr>
        <w:t> </w:t>
      </w:r>
      <w:r>
        <w:rPr>
          <w:rFonts w:ascii="宋体" w:hAnsi="宋体" w:cs="宋体" w:eastAsia="宋体" w:hint="default"/>
        </w:rPr>
        <w:t>752.72</w:t>
      </w:r>
      <w:r>
        <w:rPr>
          <w:rFonts w:ascii="宋体" w:hAnsi="宋体" w:cs="宋体" w:eastAsia="宋体" w:hint="default"/>
          <w:spacing w:val="-57"/>
        </w:rPr>
        <w:t> </w:t>
      </w:r>
      <w:r>
        <w:rPr/>
        <w:t>万元，按以上比例提取法定盈余公积金后，母公司未分配的利润为</w:t>
      </w:r>
    </w:p>
    <w:p>
      <w:pPr>
        <w:pStyle w:val="BodyText"/>
        <w:spacing w:line="240" w:lineRule="auto" w:before="133"/>
        <w:ind w:left="818" w:right="0"/>
        <w:jc w:val="left"/>
      </w:pPr>
      <w:r>
        <w:rPr>
          <w:rFonts w:ascii="宋体" w:hAnsi="宋体" w:cs="宋体" w:eastAsia="宋体" w:hint="default"/>
        </w:rPr>
        <w:t>37,369.75</w:t>
      </w:r>
      <w:r>
        <w:rPr>
          <w:rFonts w:ascii="宋体" w:hAnsi="宋体" w:cs="宋体" w:eastAsia="宋体" w:hint="default"/>
          <w:spacing w:val="-56"/>
        </w:rPr>
        <w:t> </w:t>
      </w:r>
      <w:r>
        <w:rPr/>
        <w:t>万元。公司以当前总股本</w:t>
      </w:r>
      <w:r>
        <w:rPr>
          <w:spacing w:val="-53"/>
        </w:rPr>
        <w:t> </w:t>
      </w:r>
      <w:r>
        <w:rPr>
          <w:rFonts w:ascii="宋体" w:hAnsi="宋体" w:cs="宋体" w:eastAsia="宋体" w:hint="default"/>
        </w:rPr>
        <w:t>853,210,484</w:t>
      </w:r>
      <w:r>
        <w:rPr>
          <w:rFonts w:ascii="宋体" w:hAnsi="宋体" w:cs="宋体" w:eastAsia="宋体" w:hint="default"/>
          <w:spacing w:val="-56"/>
        </w:rPr>
        <w:t> </w:t>
      </w:r>
      <w:r>
        <w:rPr/>
        <w:t>股为基数</w:t>
      </w:r>
      <w:r>
        <w:rPr>
          <w:rFonts w:ascii="宋体" w:hAnsi="宋体" w:cs="宋体" w:eastAsia="宋体" w:hint="default"/>
        </w:rPr>
        <w:t>,</w:t>
      </w:r>
      <w:r>
        <w:rPr/>
        <w:t>拟向全体股东每</w:t>
      </w:r>
      <w:r>
        <w:rPr>
          <w:spacing w:val="-54"/>
        </w:rPr>
        <w:t> </w:t>
      </w:r>
      <w:r>
        <w:rPr>
          <w:rFonts w:ascii="宋体" w:hAnsi="宋体" w:cs="宋体" w:eastAsia="宋体" w:hint="default"/>
        </w:rPr>
        <w:t>10</w:t>
      </w:r>
      <w:r>
        <w:rPr>
          <w:rFonts w:ascii="宋体" w:hAnsi="宋体" w:cs="宋体" w:eastAsia="宋体" w:hint="default"/>
          <w:spacing w:val="-55"/>
        </w:rPr>
        <w:t> </w:t>
      </w:r>
      <w:r>
        <w:rPr/>
        <w:t>股派发现金股利</w:t>
      </w:r>
    </w:p>
    <w:p>
      <w:pPr>
        <w:pStyle w:val="BodyText"/>
        <w:spacing w:line="240" w:lineRule="auto" w:before="133"/>
        <w:ind w:left="818" w:right="0"/>
        <w:jc w:val="left"/>
      </w:pPr>
      <w:r>
        <w:rPr>
          <w:rFonts w:ascii="宋体" w:hAnsi="宋体" w:cs="宋体" w:eastAsia="宋体" w:hint="default"/>
        </w:rPr>
        <w:t>0.31</w:t>
      </w:r>
      <w:r>
        <w:rPr>
          <w:rFonts w:ascii="宋体" w:hAnsi="宋体" w:cs="宋体" w:eastAsia="宋体" w:hint="default"/>
          <w:spacing w:val="-55"/>
        </w:rPr>
        <w:t> </w:t>
      </w:r>
      <w:r>
        <w:rPr/>
        <w:t>元</w:t>
      </w:r>
      <w:r>
        <w:rPr>
          <w:rFonts w:ascii="宋体" w:hAnsi="宋体" w:cs="宋体" w:eastAsia="宋体" w:hint="default"/>
        </w:rPr>
        <w:t>(</w:t>
      </w:r>
      <w:r>
        <w:rPr/>
        <w:t>含税</w:t>
      </w:r>
      <w:r>
        <w:rPr>
          <w:rFonts w:ascii="宋体" w:hAnsi="宋体" w:cs="宋体" w:eastAsia="宋体" w:hint="default"/>
        </w:rPr>
        <w:t>),</w:t>
      </w:r>
      <w:r>
        <w:rPr/>
        <w:t>共计派发现金股利</w:t>
      </w:r>
      <w:r>
        <w:rPr>
          <w:spacing w:val="-52"/>
        </w:rPr>
        <w:t> </w:t>
      </w:r>
      <w:r>
        <w:rPr>
          <w:rFonts w:ascii="宋体" w:hAnsi="宋体" w:cs="宋体" w:eastAsia="宋体" w:hint="default"/>
        </w:rPr>
        <w:t>2,644.95</w:t>
      </w:r>
      <w:r>
        <w:rPr>
          <w:rFonts w:ascii="宋体" w:hAnsi="宋体" w:cs="宋体" w:eastAsia="宋体" w:hint="default"/>
          <w:spacing w:val="-55"/>
        </w:rPr>
        <w:t> </w:t>
      </w:r>
      <w:r>
        <w:rPr/>
        <w:t>万元。</w:t>
      </w:r>
    </w:p>
    <w:p>
      <w:pPr>
        <w:pStyle w:val="BodyText"/>
        <w:spacing w:line="357" w:lineRule="auto" w:before="133"/>
        <w:ind w:left="818" w:right="210" w:firstLine="419"/>
        <w:jc w:val="both"/>
      </w:pPr>
      <w:r>
        <w:rPr/>
        <w:t>对于公司所处的金融 </w:t>
      </w:r>
      <w:r>
        <w:rPr>
          <w:rFonts w:ascii="宋体" w:hAnsi="宋体" w:cs="宋体" w:eastAsia="宋体" w:hint="default"/>
        </w:rPr>
        <w:t>IT</w:t>
      </w:r>
      <w:r>
        <w:rPr>
          <w:rFonts w:ascii="宋体" w:hAnsi="宋体" w:cs="宋体" w:eastAsia="宋体" w:hint="default"/>
          <w:spacing w:val="-65"/>
        </w:rPr>
        <w:t> </w:t>
      </w:r>
      <w:r>
        <w:rPr>
          <w:spacing w:val="-5"/>
        </w:rPr>
        <w:t>行业来说，技术及产品开发是核心竞争要素。为了保证能够及时跟踪</w:t>
      </w:r>
      <w:r>
        <w:rPr>
          <w:w w:val="100"/>
        </w:rPr>
        <w:t> </w:t>
      </w:r>
      <w:r>
        <w:rPr>
          <w:spacing w:val="-2"/>
        </w:rPr>
        <w:t>技术的发展升级，及时将储备技术开发成符合市场的产品。报告期内，公司进一步加大了对新技</w:t>
      </w:r>
      <w:r>
        <w:rPr>
          <w:spacing w:val="-25"/>
        </w:rPr>
        <w:t> </w:t>
      </w:r>
      <w:r>
        <w:rPr>
          <w:spacing w:val="-25"/>
        </w:rPr>
      </w:r>
      <w:r>
        <w:rPr/>
        <w:t>术和新产品开发的研发投入，加大市场开发力度与布局。</w:t>
      </w:r>
    </w:p>
    <w:p>
      <w:pPr>
        <w:pStyle w:val="BodyText"/>
        <w:spacing w:line="357" w:lineRule="auto" w:before="30"/>
        <w:ind w:left="818" w:right="207" w:firstLine="419"/>
        <w:jc w:val="both"/>
      </w:pPr>
      <w:r>
        <w:rPr>
          <w:spacing w:val="-4"/>
        </w:rPr>
        <w:t>对留存未分配利润的资金安排如下：在金融 </w:t>
      </w:r>
      <w:r>
        <w:rPr>
          <w:rFonts w:ascii="宋体" w:hAnsi="宋体" w:cs="宋体" w:eastAsia="宋体" w:hint="default"/>
        </w:rPr>
        <w:t>IT</w:t>
      </w:r>
      <w:r>
        <w:rPr>
          <w:rFonts w:ascii="宋体" w:hAnsi="宋体" w:cs="宋体" w:eastAsia="宋体" w:hint="default"/>
          <w:spacing w:val="-56"/>
        </w:rPr>
        <w:t> </w:t>
      </w:r>
      <w:r>
        <w:rPr>
          <w:spacing w:val="-4"/>
        </w:rPr>
        <w:t>行业稳步发展的环境下，公司需进一步加大在</w:t>
      </w:r>
      <w:r>
        <w:rPr>
          <w:w w:val="100"/>
        </w:rPr>
        <w:t> </w:t>
      </w:r>
      <w:r>
        <w:rPr/>
        <w:t>新产品、新技术的研发投入，加快相关产品线的开发与完善。</w:t>
      </w:r>
    </w:p>
    <w:p>
      <w:pPr>
        <w:pStyle w:val="Heading2"/>
        <w:spacing w:line="240" w:lineRule="auto" w:before="84"/>
        <w:ind w:left="8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以现金方式要约回购股份计入现金分红的情况</w:t>
      </w:r>
      <w:r>
        <w:rPr>
          <w:b w:val="0"/>
          <w:bCs w:val="0"/>
        </w:rPr>
      </w:r>
    </w:p>
    <w:p>
      <w:pPr>
        <w:pStyle w:val="BodyText"/>
        <w:spacing w:line="240" w:lineRule="auto" w:before="33"/>
        <w:ind w:left="818" w:right="0"/>
        <w:jc w:val="left"/>
      </w:pPr>
      <w:r>
        <w:rPr/>
        <w:t>□适用</w:t>
      </w:r>
      <w:r>
        <w:rPr>
          <w:spacing w:val="-1"/>
        </w:rPr>
        <w:t> </w:t>
      </w:r>
      <w:r>
        <w:rPr/>
        <w:t>√不适用</w:t>
      </w:r>
    </w:p>
    <w:p>
      <w:pPr>
        <w:pStyle w:val="Heading2"/>
        <w:spacing w:line="310" w:lineRule="exact" w:before="85"/>
        <w:ind w:left="1238" w:right="194"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44"/>
        </w:rPr>
        <w:t> </w:t>
      </w:r>
      <w:r>
        <w:rPr/>
        <w:t>报告期内盈利且母公司可供普通股股东分配利润为正，但未提出普通股现金利润</w:t>
      </w:r>
      <w:r>
        <w:rPr>
          <w:w w:val="99"/>
        </w:rPr>
        <w:t> </w:t>
      </w:r>
      <w:r>
        <w:rPr/>
        <w:t>分配方案预案的，公司应当详细披露原因以及未分配利润的用途和使用计划</w:t>
      </w:r>
      <w:r>
        <w:rPr>
          <w:b w:val="0"/>
          <w:bCs w:val="0"/>
        </w:rPr>
      </w:r>
    </w:p>
    <w:p>
      <w:pPr>
        <w:pStyle w:val="BodyText"/>
        <w:spacing w:line="240" w:lineRule="auto" w:before="36"/>
        <w:ind w:left="818" w:right="0"/>
        <w:jc w:val="left"/>
      </w:pPr>
      <w:r>
        <w:rPr/>
        <w:t>□适用</w:t>
      </w:r>
      <w:r>
        <w:rPr>
          <w:spacing w:val="-1"/>
        </w:rPr>
        <w:t> </w:t>
      </w:r>
      <w:r>
        <w:rPr/>
        <w:t>√不适用</w:t>
      </w:r>
    </w:p>
    <w:p>
      <w:pPr>
        <w:pStyle w:val="Heading2"/>
        <w:spacing w:line="240" w:lineRule="auto" w:before="50"/>
        <w:ind w:left="818" w:right="0"/>
        <w:jc w:val="left"/>
        <w:rPr>
          <w:b w:val="0"/>
          <w:bCs w:val="0"/>
        </w:rPr>
      </w:pPr>
      <w:r>
        <w:rPr/>
        <w:t>二、承诺事项履行情况</w:t>
      </w:r>
      <w:r>
        <w:rPr>
          <w:b w:val="0"/>
          <w:bCs w:val="0"/>
        </w:rPr>
      </w:r>
    </w:p>
    <w:p>
      <w:pPr>
        <w:pStyle w:val="Heading2"/>
        <w:spacing w:line="312" w:lineRule="exact" w:before="88"/>
        <w:ind w:left="1384" w:right="0" w:hanging="56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53"/>
        </w:rPr>
        <w:t> </w:t>
      </w:r>
      <w:r>
        <w:rPr>
          <w:spacing w:val="2"/>
        </w:rPr>
        <w:t>公司实际控制人、股东、关联方、收购人以及公司等承诺相关方在报告期内或</w:t>
      </w:r>
      <w:r>
        <w:rPr>
          <w:w w:val="99"/>
        </w:rPr>
        <w:t> </w:t>
      </w:r>
      <w:r>
        <w:rPr/>
        <w:t>持续到报告期内的承诺事项</w:t>
      </w:r>
      <w:r>
        <w:rPr>
          <w:b w:val="0"/>
          <w:bCs w:val="0"/>
        </w:rPr>
      </w:r>
    </w:p>
    <w:p>
      <w:pPr>
        <w:pStyle w:val="BodyText"/>
        <w:spacing w:line="240" w:lineRule="auto" w:before="33"/>
        <w:ind w:left="81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58"/>
        <w:gridCol w:w="710"/>
        <w:gridCol w:w="1136"/>
        <w:gridCol w:w="2410"/>
        <w:gridCol w:w="850"/>
        <w:gridCol w:w="566"/>
        <w:gridCol w:w="711"/>
        <w:gridCol w:w="893"/>
        <w:gridCol w:w="809"/>
      </w:tblGrid>
      <w:tr>
        <w:trPr>
          <w:trHeight w:val="218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承诺背景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39" w:right="13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4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986" w:right="989"/>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0" w:right="103"/>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2" w:right="17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4" w:right="122"/>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before="2"/>
              <w:ind w:left="189" w:right="185"/>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283" w:hRule="exact"/>
        </w:trPr>
        <w:tc>
          <w:tcPr>
            <w:tcW w:w="1558" w:type="dxa"/>
            <w:vMerge w:val="restart"/>
            <w:tcBorders>
              <w:top w:val="single" w:sz="4" w:space="0" w:color="000000"/>
              <w:left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与股改相关的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58"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收购报告书或</w:t>
            </w:r>
          </w:p>
          <w:p>
            <w:pPr>
              <w:pStyle w:val="TableParagraph"/>
              <w:spacing w:line="272" w:lineRule="exact" w:before="27"/>
              <w:ind w:left="100" w:right="183"/>
              <w:jc w:val="left"/>
              <w:rPr>
                <w:rFonts w:ascii="宋体" w:hAnsi="宋体" w:cs="宋体" w:eastAsia="宋体" w:hint="default"/>
                <w:sz w:val="21"/>
                <w:szCs w:val="21"/>
              </w:rPr>
            </w:pPr>
            <w:r>
              <w:rPr>
                <w:rFonts w:ascii="宋体" w:hAnsi="宋体" w:cs="宋体" w:eastAsia="宋体" w:hint="default"/>
                <w:sz w:val="21"/>
                <w:szCs w:val="21"/>
              </w:rPr>
              <w:t>权益变动报告</w:t>
            </w:r>
            <w:r>
              <w:rPr>
                <w:rFonts w:ascii="宋体" w:hAnsi="宋体" w:cs="宋体" w:eastAsia="宋体" w:hint="default"/>
                <w:w w:val="100"/>
                <w:sz w:val="21"/>
                <w:szCs w:val="21"/>
              </w:rPr>
              <w:t> </w:t>
            </w:r>
            <w:r>
              <w:rPr>
                <w:rFonts w:ascii="宋体" w:hAnsi="宋体" w:cs="宋体" w:eastAsia="宋体" w:hint="default"/>
                <w:sz w:val="21"/>
                <w:szCs w:val="21"/>
              </w:rPr>
              <w:t>书中所作承诺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00" w:right="183"/>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盈利</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预测</w:t>
            </w:r>
            <w:r>
              <w:rPr>
                <w:rFonts w:ascii="宋体" w:hAnsi="宋体" w:cs="宋体" w:eastAsia="宋体" w:hint="default"/>
                <w:spacing w:val="-103"/>
                <w:sz w:val="21"/>
                <w:szCs w:val="21"/>
              </w:rPr>
              <w:t> </w:t>
            </w:r>
            <w:r>
              <w:rPr>
                <w:rFonts w:ascii="宋体" w:hAnsi="宋体" w:cs="宋体" w:eastAsia="宋体" w:hint="default"/>
                <w:sz w:val="21"/>
                <w:szCs w:val="21"/>
              </w:rPr>
              <w:t>及补</w:t>
            </w:r>
            <w:r>
              <w:rPr>
                <w:rFonts w:ascii="宋体" w:hAnsi="宋体" w:cs="宋体" w:eastAsia="宋体" w:hint="default"/>
                <w:spacing w:val="-103"/>
                <w:sz w:val="21"/>
                <w:szCs w:val="21"/>
              </w:rPr>
              <w:t> </w:t>
            </w:r>
            <w:r>
              <w:rPr>
                <w:rFonts w:ascii="宋体" w:hAnsi="宋体" w:cs="宋体" w:eastAsia="宋体" w:hint="default"/>
                <w:sz w:val="21"/>
                <w:szCs w:val="21"/>
              </w:rPr>
              <w:t>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深圳市金</w:t>
            </w: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证科技股</w:t>
            </w:r>
            <w:r>
              <w:rPr>
                <w:rFonts w:ascii="宋体" w:hAnsi="宋体" w:cs="宋体" w:eastAsia="宋体" w:hint="default"/>
                <w:w w:val="100"/>
                <w:sz w:val="21"/>
                <w:szCs w:val="21"/>
              </w:rPr>
              <w:t> </w:t>
            </w:r>
            <w:r>
              <w:rPr>
                <w:rFonts w:ascii="宋体" w:hAnsi="宋体" w:cs="宋体" w:eastAsia="宋体" w:hint="default"/>
                <w:sz w:val="21"/>
                <w:szCs w:val="21"/>
              </w:rPr>
              <w:t>份有限公</w:t>
            </w:r>
            <w:r>
              <w:rPr>
                <w:rFonts w:ascii="宋体" w:hAnsi="宋体" w:cs="宋体" w:eastAsia="宋体" w:hint="default"/>
                <w:w w:val="100"/>
                <w:sz w:val="21"/>
                <w:szCs w:val="21"/>
              </w:rPr>
              <w:t> </w:t>
            </w:r>
            <w:r>
              <w:rPr>
                <w:rFonts w:ascii="宋体" w:hAnsi="宋体" w:cs="宋体" w:eastAsia="宋体" w:hint="default"/>
                <w:sz w:val="21"/>
                <w:szCs w:val="21"/>
              </w:rPr>
              <w:t>司、北京</w:t>
            </w:r>
            <w:r>
              <w:rPr>
                <w:rFonts w:ascii="宋体" w:hAnsi="宋体" w:cs="宋体" w:eastAsia="宋体" w:hint="default"/>
                <w:w w:val="100"/>
                <w:sz w:val="21"/>
                <w:szCs w:val="21"/>
              </w:rPr>
              <w:t> </w:t>
            </w:r>
            <w:r>
              <w:rPr>
                <w:rFonts w:ascii="宋体" w:hAnsi="宋体" w:cs="宋体" w:eastAsia="宋体" w:hint="default"/>
                <w:sz w:val="21"/>
                <w:szCs w:val="21"/>
              </w:rPr>
              <w:t>联龙博通</w:t>
            </w:r>
            <w:r>
              <w:rPr>
                <w:rFonts w:ascii="宋体" w:hAnsi="宋体" w:cs="宋体" w:eastAsia="宋体" w:hint="default"/>
                <w:w w:val="100"/>
                <w:sz w:val="21"/>
                <w:szCs w:val="21"/>
              </w:rPr>
              <w:t> </w:t>
            </w:r>
            <w:r>
              <w:rPr>
                <w:rFonts w:ascii="宋体" w:hAnsi="宋体" w:cs="宋体" w:eastAsia="宋体" w:hint="default"/>
                <w:sz w:val="21"/>
                <w:szCs w:val="21"/>
              </w:rPr>
              <w:t>电子商务</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详细内容请查阅</w:t>
            </w:r>
            <w:r>
              <w:rPr>
                <w:rFonts w:ascii="宋体" w:hAnsi="宋体" w:cs="宋体" w:eastAsia="宋体" w:hint="default"/>
                <w:spacing w:val="-58"/>
                <w:sz w:val="21"/>
                <w:szCs w:val="21"/>
              </w:rPr>
              <w:t> </w:t>
            </w:r>
            <w:r>
              <w:rPr>
                <w:rFonts w:ascii="宋体" w:hAnsi="宋体" w:cs="宋体" w:eastAsia="宋体" w:hint="default"/>
                <w:sz w:val="21"/>
                <w:szCs w:val="21"/>
              </w:rPr>
              <w:t>2015</w:t>
            </w:r>
            <w:r>
              <w:rPr>
                <w:rFonts w:ascii="宋体" w:hAnsi="宋体" w:cs="宋体" w:eastAsia="宋体" w:hint="default"/>
                <w:spacing w:val="-60"/>
                <w:sz w:val="21"/>
                <w:szCs w:val="21"/>
              </w:rPr>
              <w:t> </w:t>
            </w:r>
            <w:r>
              <w:rPr>
                <w:rFonts w:ascii="宋体" w:hAnsi="宋体" w:cs="宋体" w:eastAsia="宋体" w:hint="default"/>
                <w:sz w:val="21"/>
                <w:szCs w:val="21"/>
              </w:rPr>
              <w:t>年</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15</w:t>
            </w:r>
            <w:r>
              <w:rPr>
                <w:rFonts w:ascii="宋体" w:hAnsi="宋体" w:cs="宋体" w:eastAsia="宋体" w:hint="default"/>
                <w:spacing w:val="-77"/>
                <w:sz w:val="21"/>
                <w:szCs w:val="21"/>
              </w:rPr>
              <w:t> </w:t>
            </w:r>
            <w:r>
              <w:rPr>
                <w:rFonts w:ascii="宋体" w:hAnsi="宋体" w:cs="宋体" w:eastAsia="宋体" w:hint="default"/>
                <w:sz w:val="21"/>
                <w:szCs w:val="21"/>
              </w:rPr>
              <w:t>日在上海证券交</w:t>
            </w:r>
            <w:r>
              <w:rPr>
                <w:rFonts w:ascii="宋体" w:hAnsi="宋体" w:cs="宋体" w:eastAsia="宋体" w:hint="default"/>
                <w:w w:val="100"/>
                <w:sz w:val="21"/>
                <w:szCs w:val="21"/>
              </w:rPr>
              <w:t> </w:t>
            </w:r>
            <w:r>
              <w:rPr>
                <w:rFonts w:ascii="宋体" w:hAnsi="宋体" w:cs="宋体" w:eastAsia="宋体" w:hint="default"/>
                <w:sz w:val="21"/>
                <w:szCs w:val="21"/>
              </w:rPr>
              <w:t>易所网站</w:t>
            </w:r>
            <w:r>
              <w:rPr>
                <w:rFonts w:ascii="宋体" w:hAnsi="宋体" w:cs="宋体" w:eastAsia="宋体" w:hint="default"/>
                <w:w w:val="100"/>
                <w:sz w:val="21"/>
                <w:szCs w:val="21"/>
              </w:rPr>
              <w:t> </w:t>
            </w:r>
            <w:hyperlink r:id="rId10">
              <w:r>
                <w:rPr>
                  <w:rFonts w:ascii="宋体" w:hAnsi="宋体" w:cs="宋体" w:eastAsia="宋体" w:hint="default"/>
                  <w:sz w:val="21"/>
                  <w:szCs w:val="21"/>
                </w:rPr>
                <w:t>www.sse.com.cn</w:t>
              </w:r>
            </w:hyperlink>
            <w:r>
              <w:rPr>
                <w:rFonts w:ascii="宋体" w:hAnsi="宋体" w:cs="宋体" w:eastAsia="宋体" w:hint="default"/>
                <w:spacing w:val="-53"/>
                <w:sz w:val="21"/>
                <w:szCs w:val="21"/>
              </w:rPr>
              <w:t> </w:t>
            </w:r>
            <w:r>
              <w:rPr>
                <w:rFonts w:ascii="宋体" w:hAnsi="宋体" w:cs="宋体" w:eastAsia="宋体" w:hint="default"/>
                <w:sz w:val="21"/>
                <w:szCs w:val="21"/>
              </w:rPr>
              <w:t>刊登的</w:t>
            </w:r>
          </w:p>
          <w:p>
            <w:pPr>
              <w:pStyle w:val="TableParagraph"/>
              <w:spacing w:line="237" w:lineRule="auto" w:before="1"/>
              <w:ind w:left="100" w:right="101"/>
              <w:jc w:val="left"/>
              <w:rPr>
                <w:rFonts w:ascii="宋体" w:hAnsi="宋体" w:cs="宋体" w:eastAsia="宋体" w:hint="default"/>
                <w:sz w:val="21"/>
                <w:szCs w:val="21"/>
              </w:rPr>
            </w:pPr>
            <w:r>
              <w:rPr>
                <w:rFonts w:ascii="宋体" w:hAnsi="宋体" w:cs="宋体" w:eastAsia="宋体" w:hint="default"/>
                <w:sz w:val="21"/>
                <w:szCs w:val="21"/>
              </w:rPr>
              <w:t>《金证股份第五届董事</w:t>
            </w:r>
            <w:r>
              <w:rPr>
                <w:rFonts w:ascii="宋体" w:hAnsi="宋体" w:cs="宋体" w:eastAsia="宋体" w:hint="default"/>
                <w:w w:val="100"/>
                <w:sz w:val="21"/>
                <w:szCs w:val="21"/>
              </w:rPr>
              <w:t> </w:t>
            </w:r>
            <w:r>
              <w:rPr>
                <w:rFonts w:ascii="宋体" w:hAnsi="宋体" w:cs="宋体" w:eastAsia="宋体" w:hint="default"/>
                <w:sz w:val="21"/>
                <w:szCs w:val="21"/>
              </w:rPr>
              <w:t>会</w:t>
            </w:r>
            <w:r>
              <w:rPr>
                <w:rFonts w:ascii="宋体" w:hAnsi="宋体" w:cs="宋体" w:eastAsia="宋体" w:hint="default"/>
                <w:spacing w:val="-57"/>
                <w:sz w:val="21"/>
                <w:szCs w:val="21"/>
              </w:rPr>
              <w:t> </w:t>
            </w:r>
            <w:r>
              <w:rPr>
                <w:rFonts w:ascii="宋体" w:hAnsi="宋体" w:cs="宋体" w:eastAsia="宋体" w:hint="default"/>
                <w:sz w:val="21"/>
                <w:szCs w:val="21"/>
              </w:rPr>
              <w:t>2015</w:t>
            </w:r>
            <w:r>
              <w:rPr>
                <w:rFonts w:ascii="宋体" w:hAnsi="宋体" w:cs="宋体" w:eastAsia="宋体" w:hint="default"/>
                <w:spacing w:val="-60"/>
                <w:sz w:val="21"/>
                <w:szCs w:val="21"/>
              </w:rPr>
              <w:t> </w:t>
            </w:r>
            <w:r>
              <w:rPr>
                <w:rFonts w:ascii="宋体" w:hAnsi="宋体" w:cs="宋体" w:eastAsia="宋体" w:hint="default"/>
                <w:sz w:val="21"/>
                <w:szCs w:val="21"/>
              </w:rPr>
              <w:t>年第十四次会议</w:t>
            </w:r>
            <w:r>
              <w:rPr>
                <w:rFonts w:ascii="宋体" w:hAnsi="宋体" w:cs="宋体" w:eastAsia="宋体" w:hint="default"/>
                <w:w w:val="100"/>
                <w:sz w:val="21"/>
                <w:szCs w:val="21"/>
              </w:rPr>
              <w:t> </w:t>
            </w:r>
            <w:r>
              <w:rPr>
                <w:rFonts w:ascii="宋体" w:hAnsi="宋体" w:cs="宋体" w:eastAsia="宋体" w:hint="default"/>
                <w:sz w:val="21"/>
                <w:szCs w:val="21"/>
              </w:rPr>
              <w:t>决议公告》</w:t>
            </w:r>
            <w:r>
              <w:rPr>
                <w:rFonts w:ascii="宋体" w:hAnsi="宋体" w:cs="宋体" w:eastAsia="宋体" w:hint="default"/>
                <w:sz w:val="21"/>
                <w:szCs w:val="21"/>
              </w:rPr>
              <w:t>(</w:t>
            </w:r>
            <w:r>
              <w:rPr>
                <w:rFonts w:ascii="宋体" w:hAnsi="宋体" w:cs="宋体" w:eastAsia="宋体" w:hint="default"/>
                <w:sz w:val="21"/>
                <w:szCs w:val="21"/>
              </w:rPr>
              <w:t>公告编号</w:t>
            </w:r>
            <w:r>
              <w:rPr>
                <w:rFonts w:ascii="宋体" w:hAnsi="宋体" w:cs="宋体" w:eastAsia="宋体" w:hint="default"/>
                <w:w w:val="100"/>
                <w:sz w:val="21"/>
                <w:szCs w:val="21"/>
              </w:rPr>
              <w:t> </w:t>
            </w:r>
            <w:r>
              <w:rPr>
                <w:rFonts w:ascii="宋体" w:hAnsi="宋体" w:cs="宋体" w:eastAsia="宋体" w:hint="default"/>
                <w:sz w:val="21"/>
                <w:szCs w:val="21"/>
              </w:rPr>
              <w:t>2015-079)</w:t>
            </w:r>
            <w:r>
              <w:rPr>
                <w:rFonts w:ascii="宋体" w:hAnsi="宋体" w:cs="宋体" w:eastAsia="宋体" w:hint="default"/>
                <w:sz w:val="21"/>
                <w:szCs w:val="21"/>
              </w:rPr>
              <w:t>中关于业绩</w:t>
            </w:r>
            <w:r>
              <w:rPr>
                <w:rFonts w:ascii="宋体" w:hAnsi="宋体" w:cs="宋体" w:eastAsia="宋体" w:hint="default"/>
                <w:w w:val="100"/>
                <w:sz w:val="21"/>
                <w:szCs w:val="21"/>
              </w:rPr>
              <w:t> </w:t>
            </w:r>
            <w:r>
              <w:rPr>
                <w:rFonts w:ascii="宋体" w:hAnsi="宋体" w:cs="宋体" w:eastAsia="宋体" w:hint="default"/>
                <w:sz w:val="21"/>
                <w:szCs w:val="21"/>
              </w:rPr>
              <w:t>预测、浮动对价支付安</w:t>
            </w:r>
            <w:r>
              <w:rPr>
                <w:rFonts w:ascii="宋体" w:hAnsi="宋体" w:cs="宋体" w:eastAsia="宋体" w:hint="default"/>
                <w:w w:val="100"/>
                <w:sz w:val="21"/>
                <w:szCs w:val="21"/>
              </w:rPr>
              <w:t> </w:t>
            </w:r>
            <w:r>
              <w:rPr>
                <w:rFonts w:ascii="宋体" w:hAnsi="宋体" w:cs="宋体" w:eastAsia="宋体" w:hint="default"/>
                <w:sz w:val="21"/>
                <w:szCs w:val="21"/>
              </w:rPr>
              <w:t>排、补偿承诺及业绩奖</w:t>
            </w:r>
            <w:r>
              <w:rPr>
                <w:rFonts w:ascii="宋体" w:hAnsi="宋体" w:cs="宋体" w:eastAsia="宋体" w:hint="default"/>
                <w:w w:val="100"/>
                <w:sz w:val="21"/>
                <w:szCs w:val="21"/>
              </w:rPr>
              <w:t> </w:t>
            </w:r>
            <w:r>
              <w:rPr>
                <w:rFonts w:ascii="宋体" w:hAnsi="宋体" w:cs="宋体" w:eastAsia="宋体" w:hint="default"/>
                <w:sz w:val="21"/>
                <w:szCs w:val="21"/>
              </w:rPr>
              <w:t>励的相关内容。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2015</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37" w:lineRule="auto" w:before="2"/>
              <w:ind w:left="100" w:right="263"/>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日至</w:t>
            </w:r>
            <w:r>
              <w:rPr>
                <w:rFonts w:ascii="宋体" w:hAnsi="宋体" w:cs="宋体" w:eastAsia="宋体" w:hint="default"/>
                <w:spacing w:val="-103"/>
                <w:sz w:val="21"/>
                <w:szCs w:val="21"/>
              </w:rPr>
              <w:t> </w:t>
            </w:r>
            <w:r>
              <w:rPr>
                <w:rFonts w:ascii="宋体" w:hAnsi="宋体" w:cs="宋体" w:eastAsia="宋体" w:hint="default"/>
                <w:sz w:val="21"/>
                <w:szCs w:val="21"/>
              </w:rPr>
              <w:t>2017</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2" w:lineRule="exact" w:before="27"/>
              <w:ind w:left="100" w:right="263"/>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82"/>
              <w:jc w:val="center"/>
              <w:rPr>
                <w:rFonts w:ascii="宋体" w:hAnsi="宋体" w:cs="宋体" w:eastAsia="宋体" w:hint="default"/>
                <w:sz w:val="21"/>
                <w:szCs w:val="21"/>
              </w:rPr>
            </w:pPr>
            <w:r>
              <w:rPr>
                <w:rFonts w:ascii="宋体" w:hAnsi="宋体" w:cs="宋体" w:eastAsia="宋体" w:hint="default"/>
                <w:sz w:val="21"/>
                <w:szCs w:val="21"/>
              </w:rPr>
              <w:t>与首次公开发</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9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558"/>
        <w:gridCol w:w="710"/>
        <w:gridCol w:w="1136"/>
        <w:gridCol w:w="2410"/>
        <w:gridCol w:w="850"/>
        <w:gridCol w:w="566"/>
        <w:gridCol w:w="711"/>
        <w:gridCol w:w="893"/>
        <w:gridCol w:w="809"/>
      </w:tblGrid>
      <w:tr>
        <w:trPr>
          <w:trHeight w:val="33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行相关的承诺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183"/>
              <w:jc w:val="left"/>
              <w:rPr>
                <w:rFonts w:ascii="宋体" w:hAnsi="宋体" w:cs="宋体" w:eastAsia="宋体" w:hint="default"/>
                <w:sz w:val="21"/>
                <w:szCs w:val="21"/>
              </w:rPr>
            </w:pPr>
            <w:r>
              <w:rPr>
                <w:rFonts w:ascii="宋体" w:hAnsi="宋体" w:cs="宋体" w:eastAsia="宋体" w:hint="default"/>
                <w:sz w:val="21"/>
                <w:szCs w:val="21"/>
              </w:rPr>
              <w:t>与再融资相关</w:t>
            </w:r>
            <w:r>
              <w:rPr>
                <w:rFonts w:ascii="宋体" w:hAnsi="宋体" w:cs="宋体" w:eastAsia="宋体" w:hint="default"/>
                <w:w w:val="100"/>
                <w:sz w:val="21"/>
                <w:szCs w:val="21"/>
              </w:rPr>
              <w:t> </w:t>
            </w:r>
            <w:r>
              <w:rPr>
                <w:rFonts w:ascii="宋体" w:hAnsi="宋体" w:cs="宋体" w:eastAsia="宋体" w:hint="default"/>
                <w:sz w:val="21"/>
                <w:szCs w:val="21"/>
              </w:rPr>
              <w:t>的承诺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杜宣、赵</w:t>
            </w: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剑、李结</w:t>
            </w:r>
            <w:r>
              <w:rPr>
                <w:rFonts w:ascii="宋体" w:hAnsi="宋体" w:cs="宋体" w:eastAsia="宋体" w:hint="default"/>
                <w:w w:val="100"/>
                <w:sz w:val="21"/>
                <w:szCs w:val="21"/>
              </w:rPr>
              <w:t> </w:t>
            </w:r>
            <w:r>
              <w:rPr>
                <w:rFonts w:ascii="宋体" w:hAnsi="宋体" w:cs="宋体" w:eastAsia="宋体" w:hint="default"/>
                <w:sz w:val="21"/>
                <w:szCs w:val="21"/>
              </w:rPr>
              <w:t>义、徐岷</w:t>
            </w:r>
            <w:r>
              <w:rPr>
                <w:rFonts w:ascii="宋体" w:hAnsi="宋体" w:cs="宋体" w:eastAsia="宋体" w:hint="default"/>
                <w:w w:val="100"/>
                <w:sz w:val="21"/>
                <w:szCs w:val="21"/>
              </w:rPr>
              <w:t> </w:t>
            </w:r>
            <w:r>
              <w:rPr>
                <w:rFonts w:ascii="宋体" w:hAnsi="宋体" w:cs="宋体" w:eastAsia="宋体" w:hint="default"/>
                <w:sz w:val="21"/>
                <w:szCs w:val="21"/>
              </w:rPr>
              <w:t>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本次发行新增股份的性</w:t>
            </w:r>
          </w:p>
          <w:p>
            <w:pPr>
              <w:pStyle w:val="TableParagraph"/>
              <w:spacing w:line="237" w:lineRule="auto"/>
              <w:ind w:left="100" w:right="89"/>
              <w:jc w:val="left"/>
              <w:rPr>
                <w:rFonts w:ascii="宋体" w:hAnsi="宋体" w:cs="宋体" w:eastAsia="宋体" w:hint="default"/>
                <w:sz w:val="21"/>
                <w:szCs w:val="21"/>
              </w:rPr>
            </w:pPr>
            <w:r>
              <w:rPr>
                <w:rFonts w:ascii="宋体" w:hAnsi="宋体" w:cs="宋体" w:eastAsia="宋体" w:hint="default"/>
                <w:sz w:val="21"/>
                <w:szCs w:val="21"/>
              </w:rPr>
              <w:t>质为有限售条件流通</w:t>
            </w:r>
            <w:r>
              <w:rPr>
                <w:rFonts w:ascii="宋体" w:hAnsi="宋体" w:cs="宋体" w:eastAsia="宋体" w:hint="default"/>
                <w:w w:val="100"/>
                <w:sz w:val="21"/>
                <w:szCs w:val="21"/>
              </w:rPr>
              <w:t> </w:t>
            </w:r>
            <w:r>
              <w:rPr>
                <w:rFonts w:ascii="宋体" w:hAnsi="宋体" w:cs="宋体" w:eastAsia="宋体" w:hint="default"/>
                <w:sz w:val="21"/>
                <w:szCs w:val="21"/>
              </w:rPr>
              <w:t>股，限售期为</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预计上市可交易时间为</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pacing w:val="-18"/>
                <w:sz w:val="21"/>
                <w:szCs w:val="21"/>
              </w:rPr>
              <w:t>日。如遇</w:t>
            </w:r>
            <w:r>
              <w:rPr>
                <w:rFonts w:ascii="宋体" w:hAnsi="宋体" w:cs="宋体" w:eastAsia="宋体" w:hint="default"/>
                <w:w w:val="100"/>
                <w:sz w:val="21"/>
                <w:szCs w:val="21"/>
              </w:rPr>
              <w:t> </w:t>
            </w:r>
            <w:r>
              <w:rPr>
                <w:rFonts w:ascii="宋体" w:hAnsi="宋体" w:cs="宋体" w:eastAsia="宋体" w:hint="default"/>
                <w:sz w:val="21"/>
                <w:szCs w:val="21"/>
              </w:rPr>
              <w:t>法定节假日或休息日，</w:t>
            </w:r>
            <w:r>
              <w:rPr>
                <w:rFonts w:ascii="宋体" w:hAnsi="宋体" w:cs="宋体" w:eastAsia="宋体" w:hint="default"/>
                <w:w w:val="100"/>
                <w:sz w:val="21"/>
                <w:szCs w:val="21"/>
              </w:rPr>
              <w:t> </w:t>
            </w:r>
            <w:r>
              <w:rPr>
                <w:rFonts w:ascii="宋体" w:hAnsi="宋体" w:cs="宋体" w:eastAsia="宋体" w:hint="default"/>
                <w:sz w:val="21"/>
                <w:szCs w:val="21"/>
              </w:rPr>
              <w:t>则顺延至其后的第一个</w:t>
            </w:r>
            <w:r>
              <w:rPr>
                <w:rFonts w:ascii="宋体" w:hAnsi="宋体" w:cs="宋体" w:eastAsia="宋体" w:hint="default"/>
                <w:w w:val="100"/>
                <w:sz w:val="21"/>
                <w:szCs w:val="21"/>
              </w:rPr>
              <w:t> </w:t>
            </w:r>
            <w:r>
              <w:rPr>
                <w:rFonts w:ascii="宋体" w:hAnsi="宋体" w:cs="宋体" w:eastAsia="宋体" w:hint="default"/>
                <w:sz w:val="21"/>
                <w:szCs w:val="21"/>
              </w:rPr>
              <w:t>交易日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2015</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before="2"/>
              <w:ind w:left="100" w:right="263"/>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2018</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与股权激励相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关的承诺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其他对公司中</w:t>
            </w:r>
          </w:p>
          <w:p>
            <w:pPr>
              <w:pStyle w:val="TableParagraph"/>
              <w:spacing w:line="240" w:lineRule="auto"/>
              <w:ind w:left="100" w:right="182"/>
              <w:jc w:val="left"/>
              <w:rPr>
                <w:rFonts w:ascii="宋体" w:hAnsi="宋体" w:cs="宋体" w:eastAsia="宋体" w:hint="default"/>
                <w:sz w:val="21"/>
                <w:szCs w:val="21"/>
              </w:rPr>
            </w:pPr>
            <w:r>
              <w:rPr>
                <w:rFonts w:ascii="宋体" w:hAnsi="宋体" w:cs="宋体" w:eastAsia="宋体" w:hint="default"/>
                <w:sz w:val="21"/>
                <w:szCs w:val="21"/>
              </w:rPr>
              <w:t>小股东所作承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0"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深圳前海</w:t>
            </w:r>
          </w:p>
          <w:p>
            <w:pPr>
              <w:pStyle w:val="TableParagraph"/>
              <w:spacing w:line="237" w:lineRule="auto" w:before="2"/>
              <w:ind w:left="103" w:right="178"/>
              <w:jc w:val="both"/>
              <w:rPr>
                <w:rFonts w:ascii="宋体" w:hAnsi="宋体" w:cs="宋体" w:eastAsia="宋体" w:hint="default"/>
                <w:sz w:val="21"/>
                <w:szCs w:val="21"/>
              </w:rPr>
            </w:pPr>
            <w:r>
              <w:rPr>
                <w:rFonts w:ascii="宋体" w:hAnsi="宋体" w:cs="宋体" w:eastAsia="宋体" w:hint="default"/>
                <w:sz w:val="21"/>
                <w:szCs w:val="21"/>
              </w:rPr>
              <w:t>联礼阳投</w:t>
            </w:r>
            <w:r>
              <w:rPr>
                <w:rFonts w:ascii="宋体" w:hAnsi="宋体" w:cs="宋体" w:eastAsia="宋体" w:hint="default"/>
                <w:w w:val="100"/>
                <w:sz w:val="21"/>
                <w:szCs w:val="21"/>
              </w:rPr>
              <w:t> </w:t>
            </w:r>
            <w:r>
              <w:rPr>
                <w:rFonts w:ascii="宋体" w:hAnsi="宋体" w:cs="宋体" w:eastAsia="宋体" w:hint="default"/>
                <w:sz w:val="21"/>
                <w:szCs w:val="21"/>
              </w:rPr>
              <w:t>资有限责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联礼阳通过本次协议转</w:t>
            </w:r>
          </w:p>
          <w:p>
            <w:pPr>
              <w:pStyle w:val="TableParagraph"/>
              <w:spacing w:line="237" w:lineRule="auto" w:before="2"/>
              <w:ind w:left="100" w:right="142"/>
              <w:jc w:val="left"/>
              <w:rPr>
                <w:rFonts w:ascii="宋体" w:hAnsi="宋体" w:cs="宋体" w:eastAsia="宋体" w:hint="default"/>
                <w:sz w:val="21"/>
                <w:szCs w:val="21"/>
              </w:rPr>
            </w:pPr>
            <w:r>
              <w:rPr>
                <w:rFonts w:ascii="宋体" w:hAnsi="宋体" w:cs="宋体" w:eastAsia="宋体" w:hint="default"/>
                <w:sz w:val="21"/>
                <w:szCs w:val="21"/>
              </w:rPr>
              <w:t>让获得的金证股份之</w:t>
            </w:r>
            <w:r>
              <w:rPr>
                <w:rFonts w:ascii="宋体" w:hAnsi="宋体" w:cs="宋体" w:eastAsia="宋体" w:hint="default"/>
                <w:w w:val="100"/>
                <w:sz w:val="21"/>
                <w:szCs w:val="21"/>
              </w:rPr>
              <w:t> </w:t>
            </w:r>
            <w:r>
              <w:rPr>
                <w:rFonts w:ascii="宋体" w:hAnsi="宋体" w:cs="宋体" w:eastAsia="宋体" w:hint="default"/>
                <w:sz w:val="21"/>
                <w:szCs w:val="21"/>
              </w:rPr>
              <w:t>49,830,390</w:t>
            </w:r>
            <w:r>
              <w:rPr>
                <w:rFonts w:ascii="宋体" w:hAnsi="宋体" w:cs="宋体" w:eastAsia="宋体" w:hint="default"/>
                <w:spacing w:val="-53"/>
                <w:sz w:val="21"/>
                <w:szCs w:val="21"/>
              </w:rPr>
              <w:t> </w:t>
            </w:r>
            <w:r>
              <w:rPr>
                <w:rFonts w:ascii="宋体" w:hAnsi="宋体" w:cs="宋体" w:eastAsia="宋体" w:hint="default"/>
                <w:sz w:val="21"/>
                <w:szCs w:val="21"/>
              </w:rPr>
              <w:t>股股份（包</w:t>
            </w:r>
            <w:r>
              <w:rPr>
                <w:rFonts w:ascii="宋体" w:hAnsi="宋体" w:cs="宋体" w:eastAsia="宋体" w:hint="default"/>
                <w:w w:val="100"/>
                <w:sz w:val="21"/>
                <w:szCs w:val="21"/>
              </w:rPr>
              <w:t> </w:t>
            </w:r>
            <w:r>
              <w:rPr>
                <w:rFonts w:ascii="宋体" w:hAnsi="宋体" w:cs="宋体" w:eastAsia="宋体" w:hint="default"/>
                <w:sz w:val="21"/>
                <w:szCs w:val="21"/>
              </w:rPr>
              <w:t>括由该部分股份派生的</w:t>
            </w:r>
            <w:r>
              <w:rPr>
                <w:rFonts w:ascii="宋体" w:hAnsi="宋体" w:cs="宋体" w:eastAsia="宋体" w:hint="default"/>
                <w:w w:val="100"/>
                <w:sz w:val="21"/>
                <w:szCs w:val="21"/>
              </w:rPr>
              <w:t> </w:t>
            </w:r>
            <w:r>
              <w:rPr>
                <w:rFonts w:ascii="宋体" w:hAnsi="宋体" w:cs="宋体" w:eastAsia="宋体" w:hint="default"/>
                <w:sz w:val="21"/>
                <w:szCs w:val="21"/>
              </w:rPr>
              <w:t>股份如送红股、资本公</w:t>
            </w:r>
            <w:r>
              <w:rPr>
                <w:rFonts w:ascii="宋体" w:hAnsi="宋体" w:cs="宋体" w:eastAsia="宋体" w:hint="default"/>
                <w:w w:val="100"/>
                <w:sz w:val="21"/>
                <w:szCs w:val="21"/>
              </w:rPr>
              <w:t> </w:t>
            </w:r>
            <w:r>
              <w:rPr>
                <w:rFonts w:ascii="宋体" w:hAnsi="宋体" w:cs="宋体" w:eastAsia="宋体" w:hint="default"/>
                <w:sz w:val="21"/>
                <w:szCs w:val="21"/>
              </w:rPr>
              <w:t>积金转增等），自在中</w:t>
            </w:r>
            <w:r>
              <w:rPr>
                <w:rFonts w:ascii="宋体" w:hAnsi="宋体" w:cs="宋体" w:eastAsia="宋体" w:hint="default"/>
                <w:w w:val="100"/>
                <w:sz w:val="21"/>
                <w:szCs w:val="21"/>
              </w:rPr>
              <w:t> </w:t>
            </w:r>
            <w:r>
              <w:rPr>
                <w:rFonts w:ascii="宋体" w:hAnsi="宋体" w:cs="宋体" w:eastAsia="宋体" w:hint="default"/>
                <w:sz w:val="21"/>
                <w:szCs w:val="21"/>
              </w:rPr>
              <w:t>国证券登记结算有限责</w:t>
            </w:r>
            <w:r>
              <w:rPr>
                <w:rFonts w:ascii="宋体" w:hAnsi="宋体" w:cs="宋体" w:eastAsia="宋体" w:hint="default"/>
                <w:w w:val="100"/>
                <w:sz w:val="21"/>
                <w:szCs w:val="21"/>
              </w:rPr>
              <w:t> </w:t>
            </w:r>
            <w:r>
              <w:rPr>
                <w:rFonts w:ascii="宋体" w:hAnsi="宋体" w:cs="宋体" w:eastAsia="宋体" w:hint="default"/>
                <w:sz w:val="21"/>
                <w:szCs w:val="21"/>
              </w:rPr>
              <w:t>任公司上海分公司办理</w:t>
            </w:r>
            <w:r>
              <w:rPr>
                <w:rFonts w:ascii="宋体" w:hAnsi="宋体" w:cs="宋体" w:eastAsia="宋体" w:hint="default"/>
                <w:w w:val="100"/>
                <w:sz w:val="21"/>
                <w:szCs w:val="21"/>
              </w:rPr>
              <w:t> </w:t>
            </w:r>
            <w:r>
              <w:rPr>
                <w:rFonts w:ascii="宋体" w:hAnsi="宋体" w:cs="宋体" w:eastAsia="宋体" w:hint="default"/>
                <w:sz w:val="21"/>
                <w:szCs w:val="21"/>
              </w:rPr>
              <w:t>完成过户登记之日起锁</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pacing w:val="-51"/>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2016</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ind w:left="100" w:right="263"/>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2019</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9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2"/>
        <w:spacing w:line="312" w:lineRule="exact" w:before="56"/>
        <w:ind w:left="1384" w:right="0" w:hanging="56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3"/>
        </w:rPr>
        <w:t> </w:t>
      </w:r>
      <w:r>
        <w:rPr>
          <w:spacing w:val="2"/>
        </w:rPr>
        <w:t>公司资产或项目存在盈利预测，且报告期仍处在盈利预测期间，公司就资产或</w:t>
      </w:r>
      <w:r>
        <w:rPr>
          <w:w w:val="99"/>
        </w:rPr>
        <w:t> </w:t>
      </w:r>
      <w:r>
        <w:rPr/>
        <w:t>项目</w:t>
      </w:r>
      <w:r>
        <w:rPr>
          <w:b w:val="0"/>
          <w:bCs w:val="0"/>
        </w:rPr>
      </w:r>
    </w:p>
    <w:p>
      <w:pPr>
        <w:pStyle w:val="Heading4"/>
        <w:spacing w:line="274" w:lineRule="exact" w:before="33"/>
        <w:ind w:left="818" w:right="0"/>
        <w:jc w:val="left"/>
        <w:rPr>
          <w:b w:val="0"/>
          <w:bCs w:val="0"/>
        </w:rPr>
      </w:pPr>
      <w:r>
        <w:rPr/>
        <w:t>是否达到原盈利预测及其原因作出说明</w:t>
      </w:r>
      <w:r>
        <w:rPr>
          <w:b w:val="0"/>
          <w:bCs w:val="0"/>
        </w:rPr>
      </w:r>
    </w:p>
    <w:p>
      <w:pPr>
        <w:pStyle w:val="BodyText"/>
        <w:spacing w:line="274" w:lineRule="exact"/>
        <w:ind w:left="818" w:right="0"/>
        <w:jc w:val="left"/>
      </w:pPr>
      <w:r>
        <w:rPr/>
        <w:t>□已达到 □未达到 √不适用</w:t>
      </w:r>
    </w:p>
    <w:p>
      <w:pPr>
        <w:pStyle w:val="Heading2"/>
        <w:spacing w:line="240" w:lineRule="auto" w:before="50"/>
        <w:ind w:left="818" w:right="0"/>
        <w:jc w:val="left"/>
        <w:rPr>
          <w:b w:val="0"/>
          <w:bCs w:val="0"/>
        </w:rPr>
      </w:pPr>
      <w:r>
        <w:rPr/>
        <w:t>三、报告期内资金被占用情况及清欠进展情况</w:t>
      </w:r>
      <w:r>
        <w:rPr>
          <w:b w:val="0"/>
          <w:bCs w:val="0"/>
        </w:rPr>
      </w:r>
    </w:p>
    <w:p>
      <w:pPr>
        <w:pStyle w:val="BodyText"/>
        <w:spacing w:line="240" w:lineRule="auto" w:before="64"/>
        <w:ind w:left="818" w:right="0"/>
        <w:jc w:val="left"/>
      </w:pPr>
      <w:r>
        <w:rPr/>
        <w:t>□适用</w:t>
      </w:r>
      <w:r>
        <w:rPr>
          <w:spacing w:val="-1"/>
        </w:rPr>
        <w:t> </w:t>
      </w:r>
      <w:r>
        <w:rPr/>
        <w:t>√不适用</w:t>
      </w:r>
    </w:p>
    <w:p>
      <w:pPr>
        <w:pStyle w:val="Heading2"/>
        <w:spacing w:line="240" w:lineRule="auto" w:before="50"/>
        <w:ind w:left="818" w:right="0"/>
        <w:jc w:val="left"/>
        <w:rPr>
          <w:b w:val="0"/>
          <w:bCs w:val="0"/>
        </w:rPr>
      </w:pPr>
      <w:r>
        <w:rPr/>
        <w:t>四、公司对会计师事务所“非标准意见审计报告”的说明</w:t>
      </w:r>
      <w:r>
        <w:rPr>
          <w:b w:val="0"/>
          <w:bCs w:val="0"/>
        </w:rPr>
      </w:r>
    </w:p>
    <w:p>
      <w:pPr>
        <w:pStyle w:val="BodyText"/>
        <w:spacing w:line="240" w:lineRule="auto" w:before="64"/>
        <w:ind w:left="818" w:right="0"/>
        <w:jc w:val="left"/>
      </w:pPr>
      <w:r>
        <w:rPr/>
        <w:t>□适用</w:t>
      </w:r>
      <w:r>
        <w:rPr>
          <w:spacing w:val="-1"/>
        </w:rPr>
        <w:t> </w:t>
      </w:r>
      <w:r>
        <w:rPr/>
        <w:t>√不适用</w:t>
      </w:r>
    </w:p>
    <w:p>
      <w:pPr>
        <w:pStyle w:val="Heading2"/>
        <w:spacing w:line="240" w:lineRule="auto" w:before="53"/>
        <w:ind w:left="818" w:right="0"/>
        <w:jc w:val="left"/>
        <w:rPr>
          <w:b w:val="0"/>
          <w:bCs w:val="0"/>
        </w:rPr>
      </w:pPr>
      <w:r>
        <w:rPr/>
        <w:t>五、公司对会计政策、会计估计变更或重大会计差错更正原因和影响的分析说明</w:t>
      </w:r>
      <w:r>
        <w:rPr>
          <w:b w:val="0"/>
          <w:bCs w:val="0"/>
        </w:rPr>
      </w:r>
    </w:p>
    <w:p>
      <w:pPr>
        <w:pStyle w:val="Heading2"/>
        <w:spacing w:line="240" w:lineRule="auto" w:before="55"/>
        <w:ind w:left="818" w:right="0"/>
        <w:jc w:val="left"/>
        <w:rPr>
          <w:b w:val="0"/>
          <w:bCs w:val="0"/>
        </w:rPr>
      </w:pPr>
      <w:r>
        <w:rPr/>
        <w:t>（一）</w:t>
      </w:r>
      <w:r>
        <w:rPr>
          <w:spacing w:val="-8"/>
        </w:rPr>
        <w:t> </w:t>
      </w:r>
      <w:r>
        <w:rPr/>
        <w:t>公司对会计政策、会计估计变更原因及影响的分析说明</w:t>
      </w:r>
      <w:r>
        <w:rPr>
          <w:b w:val="0"/>
          <w:bCs w:val="0"/>
        </w:rPr>
      </w:r>
    </w:p>
    <w:p>
      <w:pPr>
        <w:pStyle w:val="BodyText"/>
        <w:tabs>
          <w:tab w:pos="1660" w:val="left" w:leader="none"/>
        </w:tabs>
        <w:spacing w:line="273" w:lineRule="exact" w:before="64"/>
        <w:ind w:left="818" w:right="0"/>
        <w:jc w:val="left"/>
      </w:pPr>
      <w:r>
        <w:rPr>
          <w:spacing w:val="-1"/>
        </w:rPr>
        <w:t>√适用</w:t>
        <w:tab/>
      </w:r>
      <w:r>
        <w:rPr>
          <w:spacing w:val="-2"/>
        </w:rPr>
        <w:t>□不适用</w:t>
      </w:r>
    </w:p>
    <w:p>
      <w:pPr>
        <w:pStyle w:val="BodyText"/>
        <w:spacing w:line="357" w:lineRule="auto"/>
        <w:ind w:left="818" w:right="0" w:firstLine="479"/>
        <w:jc w:val="left"/>
      </w:pPr>
      <w:r>
        <w:rPr>
          <w:rFonts w:ascii="宋体" w:hAnsi="宋体" w:cs="宋体" w:eastAsia="宋体" w:hint="default"/>
        </w:rPr>
        <w:t>1.2017</w:t>
      </w:r>
      <w:r>
        <w:rPr>
          <w:rFonts w:ascii="宋体" w:hAnsi="宋体" w:cs="宋体" w:eastAsia="宋体" w:hint="default"/>
          <w:spacing w:val="-43"/>
        </w:rPr>
        <w:t> </w:t>
      </w:r>
      <w:r>
        <w:rPr/>
        <w:t>年</w:t>
      </w:r>
      <w:r>
        <w:rPr>
          <w:spacing w:val="-43"/>
        </w:rPr>
        <w:t> </w:t>
      </w:r>
      <w:r>
        <w:rPr>
          <w:rFonts w:ascii="宋体" w:hAnsi="宋体" w:cs="宋体" w:eastAsia="宋体" w:hint="default"/>
        </w:rPr>
        <w:t>10</w:t>
      </w:r>
      <w:r>
        <w:rPr>
          <w:rFonts w:ascii="宋体" w:hAnsi="宋体" w:cs="宋体" w:eastAsia="宋体" w:hint="default"/>
          <w:spacing w:val="-43"/>
        </w:rPr>
        <w:t> </w:t>
      </w:r>
      <w:r>
        <w:rPr/>
        <w:t>月</w:t>
      </w:r>
      <w:r>
        <w:rPr>
          <w:spacing w:val="-45"/>
        </w:rPr>
        <w:t> </w:t>
      </w:r>
      <w:r>
        <w:rPr>
          <w:rFonts w:ascii="宋体" w:hAnsi="宋体" w:cs="宋体" w:eastAsia="宋体" w:hint="default"/>
        </w:rPr>
        <w:t>25</w:t>
      </w:r>
      <w:r>
        <w:rPr>
          <w:rFonts w:ascii="宋体" w:hAnsi="宋体" w:cs="宋体" w:eastAsia="宋体" w:hint="default"/>
          <w:spacing w:val="-44"/>
        </w:rPr>
        <w:t> </w:t>
      </w:r>
      <w:r>
        <w:rPr>
          <w:spacing w:val="-5"/>
        </w:rPr>
        <w:t>日，公司召开了公司第六届董事会第十二次会议、第六届监事会第七次会</w:t>
      </w:r>
      <w:r>
        <w:rPr>
          <w:w w:val="100"/>
        </w:rPr>
        <w:t> </w:t>
      </w:r>
      <w:r>
        <w:rPr/>
        <w:t>议审议通过《关于公司会计政策变更的议案》。</w:t>
      </w:r>
    </w:p>
    <w:p>
      <w:pPr>
        <w:pStyle w:val="BodyText"/>
        <w:spacing w:line="240" w:lineRule="auto" w:before="30"/>
        <w:ind w:left="1238" w:right="0"/>
        <w:jc w:val="left"/>
      </w:pPr>
      <w:r>
        <w:rPr/>
        <w:t>财政部于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日发布了《关于印发修订</w:t>
      </w:r>
      <w:r>
        <w:rPr>
          <w:rFonts w:ascii="宋体" w:hAnsi="宋体" w:cs="宋体" w:eastAsia="宋体" w:hint="default"/>
        </w:rPr>
        <w:t>&lt;</w:t>
      </w:r>
      <w:r>
        <w:rPr/>
        <w:t>企业会计准则第</w:t>
      </w:r>
      <w:r>
        <w:rPr>
          <w:spacing w:val="-53"/>
        </w:rPr>
        <w:t> </w:t>
      </w:r>
      <w:r>
        <w:rPr>
          <w:rFonts w:ascii="宋体" w:hAnsi="宋体" w:cs="宋体" w:eastAsia="宋体" w:hint="default"/>
        </w:rPr>
        <w:t>16</w:t>
      </w:r>
      <w:r>
        <w:rPr>
          <w:rFonts w:ascii="宋体" w:hAnsi="宋体" w:cs="宋体" w:eastAsia="宋体" w:hint="default"/>
          <w:spacing w:val="-55"/>
        </w:rPr>
        <w:t> </w:t>
      </w:r>
      <w:r>
        <w:rPr/>
        <w:t>号—政府补助</w:t>
      </w:r>
      <w:r>
        <w:rPr>
          <w:rFonts w:ascii="宋体" w:hAnsi="宋体" w:cs="宋体" w:eastAsia="宋体" w:hint="default"/>
        </w:rPr>
        <w:t>&gt; </w:t>
      </w:r>
      <w:r>
        <w:rPr>
          <w:spacing w:val="-3"/>
        </w:rPr>
        <w:t>的通</w:t>
      </w:r>
      <w:r>
        <w:rPr/>
      </w:r>
    </w:p>
    <w:p>
      <w:pPr>
        <w:pStyle w:val="BodyText"/>
        <w:spacing w:line="240" w:lineRule="auto" w:before="133"/>
        <w:ind w:left="818" w:right="0"/>
        <w:jc w:val="left"/>
        <w:rPr>
          <w:rFonts w:ascii="宋体" w:hAnsi="宋体" w:cs="宋体" w:eastAsia="宋体" w:hint="default"/>
        </w:rPr>
      </w:pPr>
      <w:r>
        <w:rPr/>
        <w:t>知》（财会〔</w:t>
      </w:r>
      <w:r>
        <w:rPr>
          <w:rFonts w:ascii="宋体" w:hAnsi="宋体" w:cs="宋体" w:eastAsia="宋体" w:hint="default"/>
        </w:rPr>
        <w:t>2017</w:t>
      </w:r>
      <w:r>
        <w:rPr/>
        <w:t>〕</w:t>
      </w:r>
      <w:r>
        <w:rPr>
          <w:rFonts w:ascii="宋体" w:hAnsi="宋体" w:cs="宋体" w:eastAsia="宋体" w:hint="default"/>
        </w:rPr>
        <w:t>15</w:t>
      </w:r>
      <w:r>
        <w:rPr>
          <w:rFonts w:ascii="宋体" w:hAnsi="宋体" w:cs="宋体" w:eastAsia="宋体" w:hint="default"/>
          <w:spacing w:val="-56"/>
        </w:rPr>
        <w:t> </w:t>
      </w:r>
      <w:r>
        <w:rPr/>
        <w:t>号），对《企业会计准则第</w:t>
      </w:r>
      <w:r>
        <w:rPr>
          <w:spacing w:val="-57"/>
        </w:rPr>
        <w:t> </w:t>
      </w:r>
      <w:r>
        <w:rPr>
          <w:rFonts w:ascii="宋体" w:hAnsi="宋体" w:cs="宋体" w:eastAsia="宋体" w:hint="default"/>
        </w:rPr>
        <w:t>16</w:t>
      </w:r>
      <w:r>
        <w:rPr>
          <w:rFonts w:ascii="宋体" w:hAnsi="宋体" w:cs="宋体" w:eastAsia="宋体" w:hint="default"/>
          <w:spacing w:val="-55"/>
        </w:rPr>
        <w:t> </w:t>
      </w:r>
      <w:r>
        <w:rPr/>
        <w:t>号—政府补助》进行了修订，自</w:t>
      </w:r>
      <w:r>
        <w:rPr>
          <w:spacing w:val="-55"/>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6</w:t>
      </w:r>
    </w:p>
    <w:p>
      <w:pPr>
        <w:pStyle w:val="BodyText"/>
        <w:spacing w:line="355" w:lineRule="auto" w:before="133"/>
        <w:ind w:left="818" w:right="0"/>
        <w:jc w:val="left"/>
      </w:pPr>
      <w:r>
        <w:rPr/>
        <w:t>月</w:t>
      </w:r>
      <w:r>
        <w:rPr>
          <w:spacing w:val="-49"/>
        </w:rPr>
        <w:t> </w:t>
      </w:r>
      <w:r>
        <w:rPr>
          <w:rFonts w:ascii="宋体" w:hAnsi="宋体" w:cs="宋体" w:eastAsia="宋体" w:hint="default"/>
        </w:rPr>
        <w:t>12</w:t>
      </w:r>
      <w:r>
        <w:rPr>
          <w:rFonts w:ascii="宋体" w:hAnsi="宋体" w:cs="宋体" w:eastAsia="宋体" w:hint="default"/>
          <w:spacing w:val="-52"/>
        </w:rPr>
        <w:t> </w:t>
      </w:r>
      <w:r>
        <w:rPr>
          <w:spacing w:val="-4"/>
        </w:rPr>
        <w:t>日起施行。公司对</w:t>
      </w:r>
      <w:r>
        <w:rPr>
          <w:spacing w:val="-48"/>
        </w:rPr>
        <w:t> </w:t>
      </w:r>
      <w:r>
        <w:rPr>
          <w:rFonts w:ascii="宋体" w:hAnsi="宋体" w:cs="宋体" w:eastAsia="宋体" w:hint="default"/>
        </w:rPr>
        <w:t>2017</w:t>
      </w:r>
      <w:r>
        <w:rPr>
          <w:rFonts w:ascii="宋体" w:hAnsi="宋体" w:cs="宋体" w:eastAsia="宋体" w:hint="default"/>
          <w:spacing w:val="-49"/>
        </w:rPr>
        <w:t> </w:t>
      </w:r>
      <w:r>
        <w:rPr/>
        <w:t>年</w:t>
      </w:r>
      <w:r>
        <w:rPr>
          <w:spacing w:val="-52"/>
        </w:rPr>
        <w:t> </w:t>
      </w:r>
      <w:r>
        <w:rPr>
          <w:rFonts w:ascii="宋体" w:hAnsi="宋体" w:cs="宋体" w:eastAsia="宋体" w:hint="default"/>
        </w:rPr>
        <w:t>1</w:t>
      </w:r>
      <w:r>
        <w:rPr>
          <w:rFonts w:ascii="宋体" w:hAnsi="宋体" w:cs="宋体" w:eastAsia="宋体" w:hint="default"/>
          <w:spacing w:val="-49"/>
        </w:rPr>
        <w:t> </w:t>
      </w:r>
      <w:r>
        <w:rPr/>
        <w:t>月</w:t>
      </w:r>
      <w:r>
        <w:rPr>
          <w:spacing w:val="-52"/>
        </w:rPr>
        <w:t> </w:t>
      </w:r>
      <w:r>
        <w:rPr>
          <w:rFonts w:ascii="宋体" w:hAnsi="宋体" w:cs="宋体" w:eastAsia="宋体" w:hint="default"/>
        </w:rPr>
        <w:t>1</w:t>
      </w:r>
      <w:r>
        <w:rPr>
          <w:rFonts w:ascii="宋体" w:hAnsi="宋体" w:cs="宋体" w:eastAsia="宋体" w:hint="default"/>
          <w:spacing w:val="-49"/>
        </w:rPr>
        <w:t> </w:t>
      </w:r>
      <w:r>
        <w:rPr>
          <w:spacing w:val="-3"/>
        </w:rPr>
        <w:t>日存在的政府补助采用未来适用法处理，对</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49"/>
        </w:rPr>
        <w:t> </w:t>
      </w:r>
      <w:r>
        <w:rPr>
          <w:rFonts w:ascii="宋体" w:hAnsi="宋体" w:cs="宋体" w:eastAsia="宋体" w:hint="default"/>
        </w:rPr>
        <w:t>1</w:t>
      </w:r>
      <w:r>
        <w:rPr>
          <w:rFonts w:ascii="宋体" w:hAnsi="宋体" w:cs="宋体" w:eastAsia="宋体" w:hint="default"/>
          <w:spacing w:val="-52"/>
        </w:rPr>
        <w:t> </w:t>
      </w:r>
      <w:r>
        <w:rPr/>
        <w:t>月</w:t>
      </w:r>
      <w:r>
        <w:rPr>
          <w:spacing w:val="-49"/>
        </w:rPr>
        <w:t> </w:t>
      </w:r>
      <w:r>
        <w:rPr>
          <w:rFonts w:ascii="宋体" w:hAnsi="宋体" w:cs="宋体" w:eastAsia="宋体" w:hint="default"/>
        </w:rPr>
        <w:t>1</w:t>
      </w:r>
      <w:r>
        <w:rPr>
          <w:rFonts w:ascii="宋体" w:hAnsi="宋体" w:cs="宋体" w:eastAsia="宋体" w:hint="default"/>
          <w:w w:val="100"/>
        </w:rPr>
        <w:t> </w:t>
      </w:r>
      <w:r>
        <w:rPr/>
        <w:t>日至本准则施行日之间新增的政府补助根据本准则进行调整。</w:t>
      </w:r>
    </w:p>
    <w:p>
      <w:pPr>
        <w:pStyle w:val="BodyText"/>
        <w:spacing w:line="355" w:lineRule="auto" w:before="35"/>
        <w:ind w:left="818" w:right="205" w:firstLine="419"/>
        <w:jc w:val="left"/>
      </w:pPr>
      <w:r>
        <w:rPr/>
        <w:t>根据财政部《企业会计准则第</w:t>
      </w:r>
      <w:r>
        <w:rPr>
          <w:spacing w:val="-54"/>
        </w:rPr>
        <w:t> </w:t>
      </w:r>
      <w:r>
        <w:rPr>
          <w:rFonts w:ascii="宋体" w:hAnsi="宋体" w:cs="宋体" w:eastAsia="宋体" w:hint="default"/>
        </w:rPr>
        <w:t>16</w:t>
      </w:r>
      <w:r>
        <w:rPr>
          <w:rFonts w:ascii="宋体" w:hAnsi="宋体" w:cs="宋体" w:eastAsia="宋体" w:hint="default"/>
          <w:spacing w:val="-3"/>
        </w:rPr>
        <w:t> </w:t>
      </w:r>
      <w:r>
        <w:rPr/>
        <w:t>号—政府补助》（财会〔</w:t>
      </w:r>
      <w:r>
        <w:rPr>
          <w:rFonts w:ascii="宋体" w:hAnsi="宋体" w:cs="宋体" w:eastAsia="宋体" w:hint="default"/>
        </w:rPr>
        <w:t>2017</w:t>
      </w:r>
      <w:r>
        <w:rPr/>
        <w:t>〕</w:t>
      </w:r>
      <w:r>
        <w:rPr>
          <w:rFonts w:ascii="宋体" w:hAnsi="宋体" w:cs="宋体" w:eastAsia="宋体" w:hint="default"/>
        </w:rPr>
        <w:t>15</w:t>
      </w:r>
      <w:r>
        <w:rPr>
          <w:rFonts w:ascii="宋体" w:hAnsi="宋体" w:cs="宋体" w:eastAsia="宋体" w:hint="default"/>
          <w:spacing w:val="-57"/>
        </w:rPr>
        <w:t> </w:t>
      </w:r>
      <w:r>
        <w:rPr/>
        <w:t>号）的要求，公司修改</w:t>
      </w:r>
      <w:r>
        <w:rPr>
          <w:w w:val="100"/>
        </w:rPr>
        <w:t> </w:t>
      </w:r>
      <w:r>
        <w:rPr>
          <w:spacing w:val="-3"/>
        </w:rPr>
        <w:t>财务报表列报，将与日常活动有关的政府补助，按照经济业务实质，计入</w:t>
      </w:r>
      <w:r>
        <w:rPr>
          <w:spacing w:val="44"/>
        </w:rPr>
        <w:t> </w:t>
      </w:r>
      <w:r>
        <w:rPr>
          <w:spacing w:val="-5"/>
        </w:rPr>
        <w:t>“其他收益”；与日常</w:t>
      </w:r>
    </w:p>
    <w:p>
      <w:pPr>
        <w:spacing w:after="0" w:line="355" w:lineRule="auto"/>
        <w:jc w:val="left"/>
        <w:sectPr>
          <w:pgSz w:w="11910" w:h="16840"/>
          <w:pgMar w:header="880" w:footer="1195" w:top="1120" w:bottom="1380" w:left="980" w:right="1060"/>
        </w:sectPr>
      </w:pPr>
    </w:p>
    <w:p>
      <w:pPr>
        <w:spacing w:line="240" w:lineRule="auto" w:before="4"/>
        <w:rPr>
          <w:rFonts w:ascii="宋体" w:hAnsi="宋体" w:cs="宋体" w:eastAsia="宋体" w:hint="default"/>
          <w:sz w:val="25"/>
          <w:szCs w:val="25"/>
        </w:rPr>
      </w:pPr>
    </w:p>
    <w:p>
      <w:pPr>
        <w:pStyle w:val="BodyText"/>
        <w:spacing w:line="357" w:lineRule="auto" w:before="36"/>
        <w:ind w:right="195"/>
        <w:jc w:val="left"/>
      </w:pPr>
      <w:r>
        <w:rPr>
          <w:spacing w:val="-2"/>
        </w:rPr>
        <w:t>活动无关的政府补助计入“营业外收入”；财政直接将贴息资金拨付给公司的，将对应的贴息冲</w:t>
      </w:r>
      <w:r>
        <w:rPr>
          <w:spacing w:val="-25"/>
        </w:rPr>
        <w:t> </w:t>
      </w:r>
      <w:r>
        <w:rPr>
          <w:spacing w:val="-25"/>
        </w:rPr>
      </w:r>
      <w:r>
        <w:rPr/>
        <w:t>减相关借款费用。</w:t>
      </w:r>
    </w:p>
    <w:p>
      <w:pPr>
        <w:pStyle w:val="BodyText"/>
        <w:spacing w:line="355" w:lineRule="auto" w:before="30"/>
        <w:ind w:right="217" w:firstLine="419"/>
        <w:jc w:val="both"/>
      </w:pPr>
      <w:r>
        <w:rPr>
          <w:spacing w:val="-2"/>
        </w:rPr>
        <w:t>公司执行上述新修订的准则后不涉及对以前年度损益的追溯调整，仅对财务报表列示产生影</w:t>
      </w:r>
      <w:r>
        <w:rPr>
          <w:w w:val="100"/>
        </w:rPr>
        <w:t> </w:t>
      </w:r>
      <w:r>
        <w:rPr>
          <w:spacing w:val="-2"/>
        </w:rPr>
        <w:t>响，对公司当期损益、总资产和净资产不产生影响，对公司财务状况、经营成果和现金流量无影</w:t>
      </w:r>
      <w:r>
        <w:rPr>
          <w:spacing w:val="-25"/>
        </w:rPr>
        <w:t> </w:t>
      </w:r>
      <w:r>
        <w:rPr>
          <w:spacing w:val="-25"/>
        </w:rPr>
      </w:r>
      <w:r>
        <w:rPr/>
        <w:t>响。</w:t>
      </w:r>
    </w:p>
    <w:p>
      <w:pPr>
        <w:pStyle w:val="BodyText"/>
        <w:spacing w:line="357" w:lineRule="auto" w:before="32"/>
        <w:ind w:right="275" w:firstLine="419"/>
        <w:jc w:val="both"/>
      </w:pPr>
      <w:r>
        <w:rPr>
          <w:rFonts w:ascii="宋体" w:hAnsi="宋体" w:cs="宋体" w:eastAsia="宋体" w:hint="default"/>
        </w:rPr>
        <w:t>2.2018</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t>日，公司第六届董事会</w:t>
      </w:r>
      <w:r>
        <w:rPr>
          <w:spacing w:val="-54"/>
        </w:rPr>
        <w:t> </w:t>
      </w:r>
      <w:r>
        <w:rPr>
          <w:rFonts w:ascii="宋体" w:hAnsi="宋体" w:cs="宋体" w:eastAsia="宋体" w:hint="default"/>
        </w:rPr>
        <w:t>2018</w:t>
      </w:r>
      <w:r>
        <w:rPr>
          <w:rFonts w:ascii="宋体" w:hAnsi="宋体" w:cs="宋体" w:eastAsia="宋体" w:hint="default"/>
          <w:spacing w:val="-53"/>
        </w:rPr>
        <w:t> </w:t>
      </w:r>
      <w:r>
        <w:rPr/>
        <w:t>年第七次会议和第六届监事会</w:t>
      </w:r>
      <w:r>
        <w:rPr>
          <w:spacing w:val="-56"/>
        </w:rPr>
        <w:t> </w:t>
      </w:r>
      <w:r>
        <w:rPr>
          <w:rFonts w:ascii="宋体" w:hAnsi="宋体" w:cs="宋体" w:eastAsia="宋体" w:hint="default"/>
        </w:rPr>
        <w:t>2018</w:t>
      </w:r>
      <w:r>
        <w:rPr>
          <w:rFonts w:ascii="宋体" w:hAnsi="宋体" w:cs="宋体" w:eastAsia="宋体" w:hint="default"/>
          <w:spacing w:val="-56"/>
        </w:rPr>
        <w:t> </w:t>
      </w:r>
      <w:r>
        <w:rPr/>
        <w:t>年第二次</w:t>
      </w:r>
      <w:r>
        <w:rPr>
          <w:w w:val="100"/>
        </w:rPr>
        <w:t> </w:t>
      </w:r>
      <w:r>
        <w:rPr/>
        <w:t>会议审议通过了《关于公司会计政策变更的议案》。</w:t>
      </w:r>
    </w:p>
    <w:p>
      <w:pPr>
        <w:pStyle w:val="BodyText"/>
        <w:spacing w:line="357" w:lineRule="auto" w:before="30"/>
        <w:ind w:right="208" w:firstLine="419"/>
        <w:jc w:val="both"/>
      </w:pP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4</w:t>
      </w:r>
      <w:r>
        <w:rPr>
          <w:rFonts w:ascii="宋体" w:hAnsi="宋体" w:cs="宋体" w:eastAsia="宋体" w:hint="default"/>
          <w:spacing w:val="-51"/>
        </w:rPr>
        <w:t> </w:t>
      </w:r>
      <w:r>
        <w:rPr/>
        <w:t>月</w:t>
      </w:r>
      <w:r>
        <w:rPr>
          <w:spacing w:val="-49"/>
        </w:rPr>
        <w:t> </w:t>
      </w:r>
      <w:r>
        <w:rPr>
          <w:rFonts w:ascii="宋体" w:hAnsi="宋体" w:cs="宋体" w:eastAsia="宋体" w:hint="default"/>
        </w:rPr>
        <w:t>28</w:t>
      </w:r>
      <w:r>
        <w:rPr>
          <w:rFonts w:ascii="宋体" w:hAnsi="宋体" w:cs="宋体" w:eastAsia="宋体" w:hint="default"/>
          <w:spacing w:val="-51"/>
        </w:rPr>
        <w:t> </w:t>
      </w:r>
      <w:r>
        <w:rPr>
          <w:spacing w:val="-4"/>
        </w:rPr>
        <w:t>日，财政部颁布了关于印发《企业会计准则第</w:t>
      </w:r>
      <w:r>
        <w:rPr>
          <w:spacing w:val="-47"/>
        </w:rPr>
        <w:t> </w:t>
      </w:r>
      <w:r>
        <w:rPr>
          <w:rFonts w:ascii="宋体" w:hAnsi="宋体" w:cs="宋体" w:eastAsia="宋体" w:hint="default"/>
        </w:rPr>
        <w:t>42</w:t>
      </w:r>
      <w:r>
        <w:rPr>
          <w:rFonts w:ascii="宋体" w:hAnsi="宋体" w:cs="宋体" w:eastAsia="宋体" w:hint="default"/>
          <w:spacing w:val="-49"/>
        </w:rPr>
        <w:t> </w:t>
      </w:r>
      <w:r>
        <w:rPr/>
        <w:t>号——持有待售的非流动资</w:t>
      </w:r>
      <w:r>
        <w:rPr>
          <w:w w:val="100"/>
        </w:rPr>
        <w:t> </w:t>
      </w:r>
      <w:r>
        <w:rPr>
          <w:spacing w:val="-4"/>
        </w:rPr>
        <w:t>产、处置组和终止经营》的通知（财会〔</w:t>
      </w:r>
      <w:r>
        <w:rPr>
          <w:rFonts w:ascii="宋体" w:hAnsi="宋体" w:cs="宋体" w:eastAsia="宋体" w:hint="default"/>
          <w:spacing w:val="-4"/>
        </w:rPr>
        <w:t>2017</w:t>
      </w:r>
      <w:r>
        <w:rPr>
          <w:spacing w:val="-4"/>
        </w:rPr>
        <w:t>〕</w:t>
      </w:r>
      <w:r>
        <w:rPr>
          <w:rFonts w:ascii="宋体" w:hAnsi="宋体" w:cs="宋体" w:eastAsia="宋体" w:hint="default"/>
          <w:spacing w:val="-4"/>
        </w:rPr>
        <w:t>13</w:t>
      </w:r>
      <w:r>
        <w:rPr>
          <w:rFonts w:ascii="宋体" w:hAnsi="宋体" w:cs="宋体" w:eastAsia="宋体" w:hint="default"/>
          <w:spacing w:val="-45"/>
        </w:rPr>
        <w:t> </w:t>
      </w:r>
      <w:r>
        <w:rPr>
          <w:spacing w:val="-4"/>
        </w:rPr>
        <w:t>号）；</w:t>
      </w:r>
      <w:r>
        <w:rPr>
          <w:rFonts w:ascii="宋体" w:hAnsi="宋体" w:cs="宋体" w:eastAsia="宋体" w:hint="default"/>
          <w:spacing w:val="-4"/>
        </w:rPr>
        <w:t>2017</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25</w:t>
      </w:r>
      <w:r>
        <w:rPr>
          <w:rFonts w:ascii="宋体" w:hAnsi="宋体" w:cs="宋体" w:eastAsia="宋体" w:hint="default"/>
          <w:spacing w:val="-42"/>
        </w:rPr>
        <w:t> </w:t>
      </w:r>
      <w:r>
        <w:rPr>
          <w:spacing w:val="-4"/>
        </w:rPr>
        <w:t>日，财政部颁布了《关</w:t>
      </w:r>
      <w:r>
        <w:rPr>
          <w:spacing w:val="-100"/>
        </w:rPr>
        <w:t> </w:t>
      </w:r>
      <w:r>
        <w:rPr>
          <w:spacing w:val="-100"/>
        </w:rPr>
      </w:r>
      <w:r>
        <w:rPr>
          <w:spacing w:val="-3"/>
        </w:rPr>
        <w:t>于修订印发一般企业财务报表格式的通知》（财会〔</w:t>
      </w:r>
      <w:r>
        <w:rPr>
          <w:rFonts w:ascii="宋体" w:hAnsi="宋体" w:cs="宋体" w:eastAsia="宋体" w:hint="default"/>
          <w:spacing w:val="-3"/>
        </w:rPr>
        <w:t>2017</w:t>
      </w:r>
      <w:r>
        <w:rPr>
          <w:spacing w:val="-3"/>
        </w:rPr>
        <w:t>〕</w:t>
      </w:r>
      <w:r>
        <w:rPr>
          <w:rFonts w:ascii="宋体" w:hAnsi="宋体" w:cs="宋体" w:eastAsia="宋体" w:hint="default"/>
          <w:spacing w:val="-3"/>
        </w:rPr>
        <w:t>30 </w:t>
      </w:r>
      <w:r>
        <w:rPr>
          <w:spacing w:val="-3"/>
        </w:rPr>
        <w:t>号），要求执行企业会计准则的非</w:t>
      </w:r>
      <w:r>
        <w:rPr>
          <w:spacing w:val="-67"/>
        </w:rPr>
        <w:t> </w:t>
      </w:r>
      <w:r>
        <w:rPr>
          <w:spacing w:val="-67"/>
        </w:rPr>
      </w:r>
      <w:r>
        <w:rPr/>
        <w:t>金融企业应当按照企业会计准则和通知要求编制</w:t>
      </w:r>
      <w:r>
        <w:rPr>
          <w:spacing w:val="-58"/>
        </w:rPr>
        <w:t> </w:t>
      </w:r>
      <w:r>
        <w:rPr>
          <w:rFonts w:ascii="宋体" w:hAnsi="宋体" w:cs="宋体" w:eastAsia="宋体" w:hint="default"/>
        </w:rPr>
        <w:t>2017</w:t>
      </w:r>
      <w:r>
        <w:rPr>
          <w:rFonts w:ascii="宋体" w:hAnsi="宋体" w:cs="宋体" w:eastAsia="宋体" w:hint="default"/>
          <w:spacing w:val="-57"/>
        </w:rPr>
        <w:t> </w:t>
      </w:r>
      <w:r>
        <w:rPr/>
        <w:t>年度及以后期间的财务报表。</w:t>
      </w:r>
    </w:p>
    <w:p>
      <w:pPr>
        <w:pStyle w:val="BodyText"/>
        <w:spacing w:line="240" w:lineRule="auto" w:before="30"/>
        <w:ind w:left="638" w:right="0"/>
        <w:jc w:val="left"/>
      </w:pPr>
      <w:r>
        <w:rPr>
          <w:w w:val="100"/>
        </w:rPr>
        <w:t>（</w:t>
      </w:r>
      <w:r>
        <w:rPr>
          <w:rFonts w:ascii="宋体" w:hAnsi="宋体" w:cs="宋体" w:eastAsia="宋体" w:hint="default"/>
          <w:spacing w:val="-3"/>
          <w:w w:val="100"/>
        </w:rPr>
        <w:t>1</w:t>
      </w:r>
      <w:r>
        <w:rPr>
          <w:spacing w:val="-135"/>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2"/>
        </w:rPr>
        <w:t> </w:t>
      </w:r>
      <w:r>
        <w:rPr>
          <w:rFonts w:ascii="宋体" w:hAnsi="宋体" w:cs="宋体" w:eastAsia="宋体" w:hint="default"/>
          <w:w w:val="100"/>
        </w:rPr>
        <w:t>42</w:t>
      </w:r>
      <w:r>
        <w:rPr>
          <w:rFonts w:ascii="宋体" w:hAnsi="宋体" w:cs="宋体" w:eastAsia="宋体" w:hint="default"/>
          <w:spacing w:val="-55"/>
        </w:rPr>
        <w:t> </w:t>
      </w:r>
      <w:r>
        <w:rPr>
          <w:w w:val="100"/>
        </w:rPr>
        <w:t>号—</w:t>
      </w:r>
      <w:r>
        <w:rPr>
          <w:spacing w:val="-3"/>
          <w:w w:val="100"/>
        </w:rPr>
        <w:t>—</w:t>
      </w:r>
      <w:r>
        <w:rPr>
          <w:w w:val="100"/>
        </w:rPr>
        <w:t>持</w:t>
      </w:r>
      <w:r>
        <w:rPr>
          <w:spacing w:val="-3"/>
          <w:w w:val="100"/>
        </w:rPr>
        <w:t>有</w:t>
      </w:r>
      <w:r>
        <w:rPr>
          <w:w w:val="100"/>
        </w:rPr>
        <w:t>待</w:t>
      </w:r>
      <w:r>
        <w:rPr>
          <w:spacing w:val="-3"/>
          <w:w w:val="100"/>
        </w:rPr>
        <w:t>售</w:t>
      </w:r>
      <w:r>
        <w:rPr>
          <w:w w:val="100"/>
        </w:rPr>
        <w:t>的</w:t>
      </w:r>
      <w:r>
        <w:rPr>
          <w:spacing w:val="-3"/>
          <w:w w:val="100"/>
        </w:rPr>
        <w:t>非</w:t>
      </w:r>
      <w:r>
        <w:rPr>
          <w:w w:val="100"/>
        </w:rPr>
        <w:t>流</w:t>
      </w:r>
      <w:r>
        <w:rPr>
          <w:spacing w:val="-3"/>
          <w:w w:val="100"/>
        </w:rPr>
        <w:t>动</w:t>
      </w:r>
      <w:r>
        <w:rPr>
          <w:w w:val="100"/>
        </w:rPr>
        <w:t>资</w:t>
      </w:r>
      <w:r>
        <w:rPr>
          <w:spacing w:val="-3"/>
          <w:w w:val="100"/>
        </w:rPr>
        <w:t>产</w:t>
      </w:r>
      <w:r>
        <w:rPr>
          <w:spacing w:val="-68"/>
          <w:w w:val="100"/>
        </w:rPr>
        <w:t>、</w:t>
      </w:r>
      <w:r>
        <w:rPr>
          <w:spacing w:val="-3"/>
          <w:w w:val="100"/>
        </w:rPr>
        <w:t>处</w:t>
      </w:r>
      <w:r>
        <w:rPr>
          <w:w w:val="100"/>
        </w:rPr>
        <w:t>置</w:t>
      </w:r>
      <w:r>
        <w:rPr>
          <w:spacing w:val="-3"/>
          <w:w w:val="100"/>
        </w:rPr>
        <w:t>组</w:t>
      </w:r>
      <w:r>
        <w:rPr>
          <w:w w:val="100"/>
        </w:rPr>
        <w:t>和</w:t>
      </w:r>
      <w:r>
        <w:rPr>
          <w:spacing w:val="-3"/>
          <w:w w:val="100"/>
        </w:rPr>
        <w:t>终</w:t>
      </w:r>
      <w:r>
        <w:rPr>
          <w:w w:val="100"/>
        </w:rPr>
        <w:t>止</w:t>
      </w:r>
      <w:r>
        <w:rPr>
          <w:spacing w:val="-3"/>
          <w:w w:val="100"/>
        </w:rPr>
        <w:t>经</w:t>
      </w:r>
      <w:r>
        <w:rPr>
          <w:w w:val="100"/>
        </w:rPr>
        <w:t>营</w:t>
      </w:r>
      <w:r>
        <w:rPr>
          <w:spacing w:val="-137"/>
          <w:w w:val="100"/>
        </w:rPr>
        <w:t>》</w:t>
      </w:r>
      <w:r>
        <w:rPr>
          <w:w w:val="100"/>
        </w:rPr>
        <w:t>（</w:t>
      </w:r>
      <w:r>
        <w:rPr>
          <w:spacing w:val="-3"/>
          <w:w w:val="100"/>
        </w:rPr>
        <w:t>财</w:t>
      </w:r>
      <w:r>
        <w:rPr>
          <w:spacing w:val="-70"/>
          <w:w w:val="100"/>
        </w:rPr>
        <w:t>会</w:t>
      </w:r>
      <w:r>
        <w:rPr>
          <w:w w:val="100"/>
        </w:rPr>
        <w:t>〔</w:t>
      </w:r>
      <w:r>
        <w:rPr>
          <w:rFonts w:ascii="宋体" w:hAnsi="宋体" w:cs="宋体" w:eastAsia="宋体" w:hint="default"/>
          <w:w w:val="100"/>
        </w:rPr>
        <w:t>20</w:t>
      </w:r>
      <w:r>
        <w:rPr>
          <w:rFonts w:ascii="宋体" w:hAnsi="宋体" w:cs="宋体" w:eastAsia="宋体" w:hint="default"/>
          <w:spacing w:val="-3"/>
          <w:w w:val="100"/>
        </w:rPr>
        <w:t>17</w:t>
      </w:r>
      <w:r>
        <w:rPr>
          <w:w w:val="100"/>
        </w:rPr>
        <w:t>〕</w:t>
      </w:r>
    </w:p>
    <w:p>
      <w:pPr>
        <w:pStyle w:val="BodyText"/>
        <w:spacing w:line="355" w:lineRule="auto" w:before="133"/>
        <w:ind w:right="195"/>
        <w:jc w:val="left"/>
      </w:pPr>
      <w:r>
        <w:rPr>
          <w:rFonts w:ascii="宋体" w:hAnsi="宋体" w:cs="宋体" w:eastAsia="宋体" w:hint="default"/>
        </w:rPr>
        <w:t>13 </w:t>
      </w:r>
      <w:r>
        <w:rPr>
          <w:spacing w:val="-3"/>
        </w:rPr>
        <w:t>号）修订的主要内容包括：明确了持有待售类别的划分条件、持有待售类别的计量、终止经营</w:t>
      </w:r>
      <w:r>
        <w:rPr>
          <w:spacing w:val="-91"/>
        </w:rPr>
        <w:t> </w:t>
      </w:r>
      <w:r>
        <w:rPr>
          <w:spacing w:val="-91"/>
        </w:rPr>
      </w:r>
      <w:r>
        <w:rPr/>
        <w:t>的列报。</w:t>
      </w:r>
    </w:p>
    <w:p>
      <w:pPr>
        <w:pStyle w:val="BodyText"/>
        <w:spacing w:line="357" w:lineRule="auto" w:before="32"/>
        <w:ind w:left="638" w:right="195"/>
        <w:jc w:val="left"/>
      </w:pPr>
      <w:r>
        <w:rPr/>
        <w:t>对公司财务报表项目列示产生的影响如下：</w:t>
      </w:r>
      <w:r>
        <w:rPr>
          <w:w w:val="100"/>
        </w:rPr>
        <w:t> </w:t>
      </w:r>
      <w:r>
        <w:rPr>
          <w:spacing w:val="-2"/>
        </w:rPr>
        <w:t>在资产负债表中新增“持有待售的资产”、“持有待售的负债”项目。</w:t>
      </w:r>
    </w:p>
    <w:p>
      <w:pPr>
        <w:pStyle w:val="BodyText"/>
        <w:spacing w:line="357" w:lineRule="auto" w:before="30"/>
        <w:ind w:right="208" w:firstLine="419"/>
        <w:jc w:val="both"/>
      </w:pPr>
      <w:r>
        <w:rPr/>
        <w:t>（</w:t>
      </w:r>
      <w:r>
        <w:rPr>
          <w:rFonts w:ascii="宋体" w:hAnsi="宋体" w:cs="宋体" w:eastAsia="宋体" w:hint="default"/>
        </w:rPr>
        <w:t>2</w:t>
      </w:r>
      <w:r>
        <w:rPr/>
        <w:t>）《关于修订印发一般企业财务报表格式的通知》（财会〔</w:t>
      </w:r>
      <w:r>
        <w:rPr>
          <w:rFonts w:ascii="宋体" w:hAnsi="宋体" w:cs="宋体" w:eastAsia="宋体" w:hint="default"/>
        </w:rPr>
        <w:t>2017</w:t>
      </w:r>
      <w:r>
        <w:rPr/>
        <w:t>〕</w:t>
      </w:r>
      <w:r>
        <w:rPr>
          <w:rFonts w:ascii="宋体" w:hAnsi="宋体" w:cs="宋体" w:eastAsia="宋体" w:hint="default"/>
        </w:rPr>
        <w:t>30</w:t>
      </w:r>
      <w:r>
        <w:rPr>
          <w:rFonts w:ascii="宋体" w:hAnsi="宋体" w:cs="宋体" w:eastAsia="宋体" w:hint="default"/>
          <w:spacing w:val="-56"/>
        </w:rPr>
        <w:t> </w:t>
      </w:r>
      <w:r>
        <w:rPr/>
        <w:t>号）调整的主要内</w:t>
      </w:r>
      <w:r>
        <w:rPr>
          <w:w w:val="100"/>
        </w:rPr>
        <w:t> </w:t>
      </w:r>
      <w:r>
        <w:rPr>
          <w:spacing w:val="-2"/>
        </w:rPr>
        <w:t>容包括：在利润表新增“持续经营净利润”和“终止经营净利润”行项目，分别反映净利润中的</w:t>
      </w:r>
      <w:r>
        <w:rPr>
          <w:spacing w:val="-25"/>
        </w:rPr>
        <w:t> </w:t>
      </w:r>
      <w:r>
        <w:rPr>
          <w:spacing w:val="-25"/>
        </w:rPr>
      </w:r>
      <w:r>
        <w:rPr>
          <w:spacing w:val="-2"/>
        </w:rPr>
        <w:t>与持续经营相关的净利润和与终止经营相关的净利润；在利润表中新增“资产处置收益”项目，</w:t>
      </w:r>
      <w:r>
        <w:rPr>
          <w:spacing w:val="-25"/>
        </w:rPr>
        <w:t> </w:t>
      </w:r>
      <w:r>
        <w:rPr>
          <w:spacing w:val="-25"/>
        </w:rPr>
      </w:r>
      <w:r>
        <w:rPr>
          <w:spacing w:val="-2"/>
        </w:rPr>
        <w:t>将部分原列示为“营业外收入”及“营业外支出”的资产处置损益重分类至“资产处置收益”项</w:t>
      </w:r>
      <w:r>
        <w:rPr>
          <w:spacing w:val="-25"/>
        </w:rPr>
        <w:t> </w:t>
      </w:r>
      <w:r>
        <w:rPr>
          <w:spacing w:val="-25"/>
        </w:rPr>
      </w:r>
      <w:r>
        <w:rPr>
          <w:spacing w:val="-3"/>
        </w:rPr>
        <w:t>目，</w:t>
      </w:r>
      <w:r>
        <w:rPr>
          <w:rFonts w:ascii="宋体" w:hAnsi="宋体" w:cs="宋体" w:eastAsia="宋体" w:hint="default"/>
          <w:spacing w:val="-3"/>
        </w:rPr>
        <w:t>2017</w:t>
      </w:r>
      <w:r>
        <w:rPr>
          <w:rFonts w:ascii="宋体" w:hAnsi="宋体" w:cs="宋体" w:eastAsia="宋体" w:hint="default"/>
          <w:spacing w:val="-48"/>
        </w:rPr>
        <w:t> </w:t>
      </w:r>
      <w:r>
        <w:rPr/>
        <w:t>年相应调减营业外收入</w:t>
      </w:r>
      <w:r>
        <w:rPr>
          <w:spacing w:val="-47"/>
        </w:rPr>
        <w:t> </w:t>
      </w:r>
      <w:r>
        <w:rPr>
          <w:rFonts w:ascii="宋体" w:hAnsi="宋体" w:cs="宋体" w:eastAsia="宋体" w:hint="default"/>
        </w:rPr>
        <w:t>123,174.18</w:t>
      </w:r>
      <w:r>
        <w:rPr>
          <w:rFonts w:ascii="宋体" w:hAnsi="宋体" w:cs="宋体" w:eastAsia="宋体" w:hint="default"/>
          <w:spacing w:val="-50"/>
        </w:rPr>
        <w:t> </w:t>
      </w:r>
      <w:r>
        <w:rPr>
          <w:spacing w:val="-3"/>
        </w:rPr>
        <w:t>元，调减营业外支出</w:t>
      </w:r>
      <w:r>
        <w:rPr>
          <w:spacing w:val="-48"/>
        </w:rPr>
        <w:t> </w:t>
      </w:r>
      <w:r>
        <w:rPr>
          <w:rFonts w:ascii="宋体" w:hAnsi="宋体" w:cs="宋体" w:eastAsia="宋体" w:hint="default"/>
        </w:rPr>
        <w:t>3,580.53</w:t>
      </w:r>
      <w:r>
        <w:rPr>
          <w:rFonts w:ascii="宋体" w:hAnsi="宋体" w:cs="宋体" w:eastAsia="宋体" w:hint="default"/>
          <w:spacing w:val="-50"/>
        </w:rPr>
        <w:t> </w:t>
      </w:r>
      <w:r>
        <w:rPr>
          <w:spacing w:val="-3"/>
        </w:rPr>
        <w:t>元，调增资产处置收</w:t>
      </w:r>
    </w:p>
    <w:p>
      <w:pPr>
        <w:pStyle w:val="BodyText"/>
        <w:spacing w:line="240" w:lineRule="auto" w:before="30"/>
        <w:ind w:right="195"/>
        <w:jc w:val="left"/>
      </w:pPr>
      <w:r>
        <w:rPr/>
        <w:t>益</w:t>
      </w:r>
      <w:r>
        <w:rPr>
          <w:spacing w:val="-52"/>
        </w:rPr>
        <w:t> </w:t>
      </w:r>
      <w:r>
        <w:rPr>
          <w:rFonts w:ascii="宋体" w:hAnsi="宋体" w:cs="宋体" w:eastAsia="宋体" w:hint="default"/>
        </w:rPr>
        <w:t>119,593.65</w:t>
      </w:r>
      <w:r>
        <w:rPr>
          <w:rFonts w:ascii="宋体" w:hAnsi="宋体" w:cs="宋体" w:eastAsia="宋体" w:hint="default"/>
          <w:spacing w:val="-54"/>
        </w:rPr>
        <w:t> </w:t>
      </w:r>
      <w:r>
        <w:rPr/>
        <w:t>元。</w:t>
      </w:r>
    </w:p>
    <w:p>
      <w:pPr>
        <w:pStyle w:val="BodyText"/>
        <w:spacing w:line="357" w:lineRule="auto" w:before="133"/>
        <w:ind w:right="217" w:firstLine="419"/>
        <w:jc w:val="both"/>
      </w:pPr>
      <w:r>
        <w:rPr>
          <w:spacing w:val="-2"/>
        </w:rPr>
        <w:t>公司执行上述新修订的准则后不涉及对以前年度损益的追溯调整，仅对财务报表列示产生影</w:t>
      </w:r>
      <w:r>
        <w:rPr>
          <w:w w:val="100"/>
        </w:rPr>
        <w:t> </w:t>
      </w:r>
      <w:r>
        <w:rPr>
          <w:spacing w:val="-2"/>
        </w:rPr>
        <w:t>响，对公司当期损益、总资产和净资产不产生影响，对公司财务状况、经营成果和现金流量无影</w:t>
      </w:r>
      <w:r>
        <w:rPr>
          <w:spacing w:val="-25"/>
        </w:rPr>
        <w:t> </w:t>
      </w:r>
      <w:r>
        <w:rPr>
          <w:spacing w:val="-25"/>
        </w:rPr>
      </w:r>
      <w:r>
        <w:rPr/>
        <w:t>响。</w:t>
      </w:r>
    </w:p>
    <w:p>
      <w:pPr>
        <w:pStyle w:val="Heading2"/>
        <w:spacing w:line="240" w:lineRule="auto" w:before="84"/>
        <w:ind w:right="195"/>
        <w:jc w:val="left"/>
        <w:rPr>
          <w:b w:val="0"/>
          <w:bCs w:val="0"/>
        </w:rPr>
      </w:pPr>
      <w:r>
        <w:rPr/>
        <w:t>（二）</w:t>
      </w:r>
      <w:r>
        <w:rPr>
          <w:spacing w:val="-8"/>
        </w:rPr>
        <w:t> </w:t>
      </w:r>
      <w:r>
        <w:rPr/>
        <w:t>公司对重大会计差错更正原因及影响的分析说明</w:t>
      </w:r>
      <w:r>
        <w:rPr>
          <w:b w:val="0"/>
          <w:bCs w:val="0"/>
        </w:rPr>
      </w:r>
    </w:p>
    <w:p>
      <w:pPr>
        <w:pStyle w:val="BodyText"/>
        <w:tabs>
          <w:tab w:pos="1060" w:val="left" w:leader="none"/>
        </w:tabs>
        <w:spacing w:line="240" w:lineRule="auto" w:before="61"/>
        <w:ind w:right="195"/>
        <w:jc w:val="left"/>
      </w:pPr>
      <w:r>
        <w:rPr>
          <w:spacing w:val="-1"/>
        </w:rPr>
        <w:t>□适用</w:t>
        <w:tab/>
      </w:r>
      <w:r>
        <w:rPr>
          <w:spacing w:val="-2"/>
        </w:rPr>
        <w:t>√不适用</w:t>
      </w:r>
    </w:p>
    <w:p>
      <w:pPr>
        <w:pStyle w:val="Heading2"/>
        <w:spacing w:line="240" w:lineRule="auto" w:before="52"/>
        <w:ind w:right="195"/>
        <w:jc w:val="left"/>
        <w:rPr>
          <w:b w:val="0"/>
          <w:bCs w:val="0"/>
        </w:rPr>
      </w:pPr>
      <w:r>
        <w:rPr/>
        <w:t>（三）</w:t>
      </w:r>
      <w:r>
        <w:rPr>
          <w:spacing w:val="-8"/>
        </w:rPr>
        <w:t> </w:t>
      </w:r>
      <w:r>
        <w:rPr/>
        <w:t>与前任会计师事务所进行的沟通情况</w:t>
      </w:r>
      <w:r>
        <w:rPr>
          <w:b w:val="0"/>
          <w:bCs w:val="0"/>
        </w:rPr>
      </w:r>
    </w:p>
    <w:p>
      <w:pPr>
        <w:pStyle w:val="BodyText"/>
        <w:tabs>
          <w:tab w:pos="1060" w:val="left" w:leader="none"/>
        </w:tabs>
        <w:spacing w:line="240" w:lineRule="auto" w:before="64"/>
        <w:ind w:right="195"/>
        <w:jc w:val="left"/>
      </w:pPr>
      <w:r>
        <w:rPr>
          <w:spacing w:val="-1"/>
        </w:rPr>
        <w:t>□适用</w:t>
        <w:tab/>
      </w:r>
      <w:r>
        <w:rPr>
          <w:spacing w:val="-2"/>
        </w:rPr>
        <w:t>√不适用</w:t>
      </w:r>
    </w:p>
    <w:p>
      <w:pPr>
        <w:pStyle w:val="Heading2"/>
        <w:spacing w:line="240" w:lineRule="auto" w:before="50"/>
        <w:ind w:right="195"/>
        <w:jc w:val="left"/>
        <w:rPr>
          <w:b w:val="0"/>
          <w:bCs w:val="0"/>
        </w:rPr>
      </w:pPr>
      <w:r>
        <w:rPr/>
        <w:t>（四）</w:t>
      </w:r>
      <w:r>
        <w:rPr>
          <w:spacing w:val="-5"/>
        </w:rPr>
        <w:t> </w:t>
      </w:r>
      <w:r>
        <w:rPr/>
        <w:t>其他说明</w:t>
      </w:r>
      <w:r>
        <w:rPr>
          <w:b w:val="0"/>
          <w:bCs w:val="0"/>
        </w:rPr>
      </w:r>
    </w:p>
    <w:p>
      <w:pPr>
        <w:pStyle w:val="BodyText"/>
        <w:tabs>
          <w:tab w:pos="1060" w:val="left" w:leader="none"/>
        </w:tabs>
        <w:spacing w:line="240" w:lineRule="auto" w:before="64"/>
        <w:ind w:right="195"/>
        <w:jc w:val="left"/>
      </w:pPr>
      <w:r>
        <w:rPr>
          <w:spacing w:val="-1"/>
        </w:rPr>
        <w:t>□适用</w:t>
        <w:tab/>
      </w:r>
      <w:r>
        <w:rPr>
          <w:spacing w:val="-2"/>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60"/>
        </w:sectPr>
      </w:pPr>
    </w:p>
    <w:p>
      <w:pPr>
        <w:pStyle w:val="Heading2"/>
        <w:spacing w:line="240" w:lineRule="auto"/>
        <w:ind w:right="0"/>
        <w:jc w:val="left"/>
        <w:rPr>
          <w:b w:val="0"/>
          <w:bCs w:val="0"/>
        </w:rPr>
      </w:pPr>
      <w:r>
        <w:rPr>
          <w:w w:val="95"/>
        </w:rPr>
        <w:t>六、聘任、解聘会计师事务所情况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tabs>
          <w:tab w:pos="1480" w:val="left" w:leader="none"/>
        </w:tabs>
        <w:spacing w:line="240" w:lineRule="auto" w:before="140"/>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60"/>
          <w:cols w:num="2" w:equalWidth="0">
            <w:col w:w="3832" w:space="2479"/>
            <w:col w:w="2959"/>
          </w:cols>
        </w:sectPr>
      </w:pPr>
    </w:p>
    <w:p>
      <w:pPr>
        <w:spacing w:line="240" w:lineRule="auto" w:before="2"/>
        <w:rPr>
          <w:rFonts w:ascii="宋体" w:hAnsi="宋体" w:cs="宋体" w:eastAsia="宋体" w:hint="default"/>
          <w:sz w:val="2"/>
          <w:szCs w:val="2"/>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4515;height:2" coordorigin="10,10" coordsize="4515,2">
              <v:shape style="position:absolute;left:10;top:10;width:4515;height:2" coordorigin="10,10" coordsize="4515,0" path="m10,10l4524,10e" filled="false" stroked="true" strokeweight=".48004pt" strokecolor="#000000">
                <v:path arrowok="t"/>
              </v:shape>
            </v:group>
            <v:group style="position:absolute;left:4534;top:10;width:4516;height:2" coordorigin="4534,10" coordsize="4516,2">
              <v:shape style="position:absolute;left:4534;top:10;width:4516;height:2" coordorigin="4534,10" coordsize="4516,0" path="m4534,10l9050,10e" filled="false" stroked="true" strokeweight=".48004pt" strokecolor="#000000">
                <v:path arrowok="t"/>
              </v:shape>
            </v:group>
            <v:group style="position:absolute;left:5;top:5;width:2;height:293" coordorigin="5,5" coordsize="2,293">
              <v:shape style="position:absolute;left:5;top:5;width:2;height:293" coordorigin="5,5" coordsize="0,293" path="m5,5l5,298e" filled="false" stroked="true" strokeweight=".48pt" strokecolor="#000000">
                <v:path arrowok="t"/>
              </v:shape>
            </v:group>
            <v:group style="position:absolute;left:10;top:293;width:4515;height:2" coordorigin="10,293" coordsize="4515,2">
              <v:shape style="position:absolute;left:10;top:293;width:4515;height:2" coordorigin="10,293" coordsize="4515,0" path="m10,293l4524,293e" filled="false" stroked="true" strokeweight=".47998pt" strokecolor="#000000">
                <v:path arrowok="t"/>
              </v:shape>
            </v:group>
            <v:group style="position:absolute;left:4529;top:5;width:2;height:293" coordorigin="4529,5" coordsize="2,293">
              <v:shape style="position:absolute;left:4529;top:5;width:2;height:293" coordorigin="4529,5" coordsize="0,293" path="m4529,5l4529,298e" filled="false" stroked="true" strokeweight=".48001pt" strokecolor="#000000">
                <v:path arrowok="t"/>
              </v:shape>
            </v:group>
            <v:group style="position:absolute;left:4534;top:293;width:4516;height:2" coordorigin="4534,293" coordsize="4516,2">
              <v:shape style="position:absolute;left:4534;top:293;width:4516;height:2" coordorigin="4534,293" coordsize="4516,0" path="m4534,293l9050,293e" filled="false" stroked="true" strokeweight=".47998pt" strokecolor="#000000">
                <v:path arrowok="t"/>
              </v:shape>
            </v:group>
            <v:group style="position:absolute;left:9054;top:5;width:2;height:293" coordorigin="9054,5" coordsize="2,293">
              <v:shape style="position:absolute;left:9054;top:5;width:2;height:293" coordorigin="9054,5" coordsize="0,293" path="m9054,5l9054,298e" filled="false" stroked="true" strokeweight=".47998pt" strokecolor="#000000">
                <v:path arrowok="t"/>
              </v:shape>
              <v:shape style="position:absolute;left:4529;top:10;width:4525;height:284" type="#_x0000_t202" filled="false" stroked="false">
                <v:textbox inset="0,0,0,0">
                  <w:txbxContent>
                    <w:p>
                      <w:pPr>
                        <w:spacing w:line="246" w:lineRule="exact" w:before="0"/>
                        <w:ind w:left="2" w:right="0" w:firstLine="0"/>
                        <w:jc w:val="center"/>
                        <w:rPr>
                          <w:rFonts w:ascii="宋体" w:hAnsi="宋体" w:cs="宋体" w:eastAsia="宋体" w:hint="default"/>
                          <w:sz w:val="21"/>
                          <w:szCs w:val="21"/>
                        </w:rPr>
                      </w:pPr>
                      <w:r>
                        <w:rPr>
                          <w:rFonts w:ascii="宋体" w:hAnsi="宋体" w:cs="宋体" w:eastAsia="宋体" w:hint="default"/>
                          <w:sz w:val="21"/>
                          <w:szCs w:val="21"/>
                        </w:rPr>
                        <w:t>现聘任</w:t>
                      </w:r>
                    </w:p>
                  </w:txbxContent>
                </v:textbox>
                <w10:wrap type="none"/>
              </v:shape>
            </v:group>
          </v:group>
        </w:pict>
      </w:r>
      <w:r>
        <w:rPr>
          <w:rFonts w:ascii="宋体" w:hAnsi="宋体" w:cs="宋体" w:eastAsia="宋体" w:hint="default"/>
          <w:position w:val="-5"/>
          <w:sz w:val="20"/>
          <w:szCs w:val="20"/>
        </w:rPr>
      </w:r>
    </w:p>
    <w:p>
      <w:pPr>
        <w:spacing w:after="0" w:line="302" w:lineRule="exact"/>
        <w:rPr>
          <w:rFonts w:ascii="宋体" w:hAnsi="宋体" w:cs="宋体" w:eastAsia="宋体" w:hint="default"/>
          <w:sz w:val="20"/>
          <w:szCs w:val="20"/>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大华会计师事务所（特殊普通</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2,510</w:t>
            </w:r>
          </w:p>
        </w:tc>
      </w:tr>
    </w:tbl>
    <w:p>
      <w:pPr>
        <w:spacing w:line="240" w:lineRule="auto" w:before="7"/>
        <w:rPr>
          <w:rFonts w:ascii="宋体" w:hAnsi="宋体" w:cs="宋体" w:eastAsia="宋体" w:hint="default"/>
          <w:sz w:val="15"/>
          <w:szCs w:val="15"/>
        </w:rPr>
      </w:pPr>
    </w:p>
    <w:p>
      <w:pPr>
        <w:pStyle w:val="BodyText"/>
        <w:spacing w:line="273" w:lineRule="exact" w:before="36"/>
        <w:ind w:right="215"/>
        <w:jc w:val="left"/>
      </w:pPr>
      <w:r>
        <w:rPr/>
        <w:t>聘任、解聘会计师事务所的情况说明</w:t>
      </w:r>
    </w:p>
    <w:p>
      <w:pPr>
        <w:pStyle w:val="BodyText"/>
        <w:spacing w:line="273" w:lineRule="exact"/>
        <w:ind w:right="215"/>
        <w:jc w:val="left"/>
      </w:pPr>
      <w:r>
        <w:rPr/>
        <w:t>√适用</w:t>
      </w:r>
      <w:r>
        <w:rPr>
          <w:spacing w:val="-1"/>
        </w:rPr>
        <w:t> </w:t>
      </w:r>
      <w:r>
        <w:rPr/>
        <w:t>□不适用</w:t>
      </w:r>
    </w:p>
    <w:p>
      <w:pPr>
        <w:pStyle w:val="BodyText"/>
        <w:spacing w:line="355" w:lineRule="auto"/>
        <w:ind w:right="215" w:firstLine="419"/>
        <w:jc w:val="left"/>
      </w:pPr>
      <w:r>
        <w:rPr>
          <w:spacing w:val="-3"/>
        </w:rPr>
        <w:t>经公司审计委员会提议，</w:t>
      </w:r>
      <w:r>
        <w:rPr>
          <w:rFonts w:ascii="宋体" w:hAnsi="宋体" w:cs="宋体" w:eastAsia="宋体" w:hint="default"/>
          <w:spacing w:val="-3"/>
        </w:rPr>
        <w:t>2018</w:t>
      </w:r>
      <w:r>
        <w:rPr>
          <w:rFonts w:ascii="宋体" w:hAnsi="宋体" w:cs="宋体" w:eastAsia="宋体" w:hint="default"/>
        </w:rPr>
        <w:t> </w:t>
      </w:r>
      <w:r>
        <w:rPr>
          <w:spacing w:val="-3"/>
        </w:rPr>
        <w:t>年公司续聘大华会计师事务所（特殊普通合伙）为公司财务审</w:t>
      </w:r>
      <w:r>
        <w:rPr>
          <w:w w:val="100"/>
        </w:rPr>
        <w:t> </w:t>
      </w:r>
      <w:r>
        <w:rPr/>
        <w:t>计机构，同时公司聘请大华会计师事务所（特殊普通合伙）审计本公司</w:t>
      </w:r>
      <w:r>
        <w:rPr>
          <w:spacing w:val="-56"/>
        </w:rPr>
        <w:t> </w:t>
      </w:r>
      <w:r>
        <w:rPr>
          <w:rFonts w:ascii="宋体" w:hAnsi="宋体" w:cs="宋体" w:eastAsia="宋体" w:hint="default"/>
        </w:rPr>
        <w:t>2018</w:t>
      </w:r>
      <w:r>
        <w:rPr>
          <w:rFonts w:ascii="宋体" w:hAnsi="宋体" w:cs="宋体" w:eastAsia="宋体" w:hint="default"/>
          <w:spacing w:val="-58"/>
        </w:rPr>
        <w:t> </w:t>
      </w:r>
      <w:r>
        <w:rPr/>
        <w:t>年内控自评报告。</w:t>
      </w:r>
    </w:p>
    <w:p>
      <w:pPr>
        <w:pStyle w:val="BodyText"/>
        <w:spacing w:line="274" w:lineRule="exact" w:before="32"/>
        <w:ind w:right="215"/>
        <w:jc w:val="left"/>
      </w:pPr>
      <w:r>
        <w:rPr/>
        <w:t>审计期间改聘会计师事务所的情况说明</w:t>
      </w:r>
    </w:p>
    <w:p>
      <w:pPr>
        <w:pStyle w:val="BodyText"/>
        <w:tabs>
          <w:tab w:pos="1060" w:val="left" w:leader="none"/>
        </w:tabs>
        <w:spacing w:line="274" w:lineRule="exact"/>
        <w:ind w:right="215"/>
        <w:jc w:val="left"/>
      </w:pPr>
      <w:r>
        <w:rPr>
          <w:spacing w:val="-1"/>
        </w:rPr>
        <w:t>□适用</w:t>
        <w:tab/>
      </w:r>
      <w:r>
        <w:rPr>
          <w:spacing w:val="-2"/>
        </w:rPr>
        <w:t>√不适用</w:t>
      </w:r>
    </w:p>
    <w:p>
      <w:pPr>
        <w:pStyle w:val="Heading2"/>
        <w:tabs>
          <w:tab w:pos="1057" w:val="left" w:leader="none"/>
        </w:tabs>
        <w:spacing w:line="283" w:lineRule="auto" w:before="50"/>
        <w:ind w:right="5935"/>
        <w:jc w:val="left"/>
        <w:rPr>
          <w:b w:val="0"/>
          <w:bCs w:val="0"/>
        </w:rPr>
      </w:pPr>
      <w:r>
        <w:rPr/>
        <w:t>七、面临暂停上市风险的情况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tabs>
          <w:tab w:pos="1060" w:val="left" w:leader="none"/>
        </w:tabs>
        <w:spacing w:line="240" w:lineRule="auto" w:before="18"/>
        <w:ind w:right="215"/>
        <w:jc w:val="left"/>
      </w:pPr>
      <w:r>
        <w:rPr>
          <w:spacing w:val="-1"/>
        </w:rPr>
        <w:t>□适用</w:t>
        <w:tab/>
      </w:r>
      <w:r>
        <w:rPr>
          <w:spacing w:val="-2"/>
        </w:rPr>
        <w:t>√不适用</w:t>
      </w:r>
    </w:p>
    <w:p>
      <w:pPr>
        <w:pStyle w:val="Heading2"/>
        <w:tabs>
          <w:tab w:pos="1057" w:val="left" w:leader="none"/>
        </w:tabs>
        <w:spacing w:line="240" w:lineRule="auto" w:before="52"/>
        <w:ind w:right="21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64"/>
        <w:ind w:right="215"/>
        <w:jc w:val="left"/>
      </w:pPr>
      <w:r>
        <w:rPr/>
        <w:t>□适用</w:t>
      </w:r>
      <w:r>
        <w:rPr>
          <w:spacing w:val="-1"/>
        </w:rPr>
        <w:t> </w:t>
      </w:r>
      <w:r>
        <w:rPr/>
        <w:t>√不适用</w:t>
      </w:r>
    </w:p>
    <w:p>
      <w:pPr>
        <w:pStyle w:val="Heading2"/>
        <w:spacing w:line="240" w:lineRule="auto" w:before="50"/>
        <w:ind w:right="215"/>
        <w:jc w:val="left"/>
        <w:rPr>
          <w:b w:val="0"/>
          <w:bCs w:val="0"/>
        </w:rPr>
      </w:pPr>
      <w:r>
        <w:rPr/>
        <w:t>八、面临终止上市的情况和原因</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spacing w:line="240" w:lineRule="auto" w:before="50"/>
        <w:ind w:right="215"/>
        <w:jc w:val="left"/>
        <w:rPr>
          <w:b w:val="0"/>
          <w:bCs w:val="0"/>
        </w:rPr>
      </w:pPr>
      <w:r>
        <w:rPr/>
        <w:t>九、破产重整相关事项</w:t>
      </w:r>
      <w:r>
        <w:rPr>
          <w:b w:val="0"/>
          <w:bCs w:val="0"/>
        </w:rPr>
      </w:r>
    </w:p>
    <w:p>
      <w:pPr>
        <w:pStyle w:val="BodyText"/>
        <w:spacing w:line="240" w:lineRule="auto" w:before="64"/>
        <w:ind w:right="215"/>
        <w:jc w:val="left"/>
      </w:pPr>
      <w:r>
        <w:rPr/>
        <w:t>□适用</w:t>
      </w:r>
      <w:r>
        <w:rPr>
          <w:spacing w:val="-1"/>
        </w:rPr>
        <w:t> </w:t>
      </w:r>
      <w:r>
        <w:rPr/>
        <w:t>√不适用</w:t>
      </w:r>
    </w:p>
    <w:p>
      <w:pPr>
        <w:pStyle w:val="Heading2"/>
        <w:spacing w:line="240" w:lineRule="auto" w:before="50"/>
        <w:ind w:right="215"/>
        <w:jc w:val="left"/>
        <w:rPr>
          <w:b w:val="0"/>
          <w:bCs w:val="0"/>
        </w:rPr>
      </w:pPr>
      <w:r>
        <w:rPr/>
        <w:t>十、重大诉讼、仲裁事项</w:t>
      </w:r>
      <w:r>
        <w:rPr>
          <w:b w:val="0"/>
          <w:bCs w:val="0"/>
        </w:rPr>
      </w:r>
    </w:p>
    <w:p>
      <w:pPr>
        <w:pStyle w:val="BodyText"/>
        <w:spacing w:line="240" w:lineRule="auto" w:before="64"/>
        <w:ind w:right="215"/>
        <w:jc w:val="left"/>
      </w:pPr>
      <w:r>
        <w:rPr/>
        <w:t>□本年度公司有重大诉讼、仲裁事项</w:t>
      </w:r>
      <w:r>
        <w:rPr>
          <w:spacing w:val="-7"/>
        </w:rPr>
        <w:t> </w:t>
      </w:r>
      <w:r>
        <w:rPr/>
        <w:t>√本年度公司无重大诉讼、仲裁事项</w:t>
      </w:r>
    </w:p>
    <w:p>
      <w:pPr>
        <w:pStyle w:val="Heading2"/>
        <w:spacing w:line="310" w:lineRule="exact" w:before="85"/>
        <w:ind w:left="638" w:right="215" w:hanging="420"/>
        <w:jc w:val="left"/>
        <w:rPr>
          <w:b w:val="0"/>
          <w:bCs w:val="0"/>
        </w:rPr>
      </w:pPr>
      <w:r>
        <w:rPr>
          <w:spacing w:val="-2"/>
          <w:w w:val="95"/>
        </w:rPr>
        <w:t>十一、上市公司及其董事、监事、高级管理人员、控股股东、实际控制人、收购人处</w:t>
      </w:r>
      <w:r>
        <w:rPr>
          <w:spacing w:val="88"/>
          <w:w w:val="95"/>
        </w:rPr>
        <w:t> </w:t>
      </w:r>
      <w:r>
        <w:rPr>
          <w:spacing w:val="88"/>
          <w:w w:val="95"/>
        </w:rPr>
      </w:r>
      <w:r>
        <w:rPr/>
        <w:t>罚及整改情况</w:t>
      </w:r>
      <w:r>
        <w:rPr>
          <w:b w:val="0"/>
          <w:bCs w:val="0"/>
        </w:rPr>
      </w:r>
    </w:p>
    <w:p>
      <w:pPr>
        <w:pStyle w:val="BodyText"/>
        <w:spacing w:line="240" w:lineRule="auto" w:before="36"/>
        <w:ind w:right="215"/>
        <w:jc w:val="left"/>
      </w:pPr>
      <w:r>
        <w:rPr/>
        <w:t>□适用</w:t>
      </w:r>
      <w:r>
        <w:rPr>
          <w:spacing w:val="-1"/>
        </w:rPr>
        <w:t> </w:t>
      </w:r>
      <w:r>
        <w:rPr/>
        <w:t>√不适用</w:t>
      </w:r>
    </w:p>
    <w:p>
      <w:pPr>
        <w:pStyle w:val="Heading2"/>
        <w:spacing w:line="240" w:lineRule="auto" w:before="50"/>
        <w:ind w:right="215"/>
        <w:jc w:val="left"/>
        <w:rPr>
          <w:b w:val="0"/>
          <w:bCs w:val="0"/>
        </w:rPr>
      </w:pPr>
      <w:r>
        <w:rPr/>
        <w:t>十二、报告期内公司及其控股股东、实际控制人诚信状况的说明</w:t>
      </w:r>
      <w:r>
        <w:rPr>
          <w:b w:val="0"/>
          <w:bCs w:val="0"/>
        </w:rPr>
      </w:r>
    </w:p>
    <w:p>
      <w:pPr>
        <w:pStyle w:val="Heading2"/>
        <w:tabs>
          <w:tab w:pos="1060" w:val="left" w:leader="none"/>
        </w:tabs>
        <w:spacing w:line="283" w:lineRule="auto" w:before="64"/>
        <w:ind w:right="878"/>
        <w:jc w:val="left"/>
        <w:rPr>
          <w:b w:val="0"/>
          <w:bCs w:val="0"/>
        </w:rPr>
      </w:pPr>
      <w:r>
        <w:rPr>
          <w:rFonts w:ascii="宋体" w:hAnsi="宋体" w:cs="宋体" w:eastAsia="宋体" w:hint="default"/>
          <w:b w:val="0"/>
          <w:bCs w:val="0"/>
          <w:spacing w:val="-1"/>
          <w:sz w:val="21"/>
          <w:szCs w:val="21"/>
        </w:rPr>
        <w:t>□适用</w:t>
        <w:tab/>
      </w:r>
      <w:r>
        <w:rPr>
          <w:rFonts w:ascii="宋体" w:hAnsi="宋体" w:cs="宋体" w:eastAsia="宋体" w:hint="default"/>
          <w:b w:val="0"/>
          <w:bCs w:val="0"/>
          <w:spacing w:val="-2"/>
          <w:sz w:val="21"/>
          <w:szCs w:val="21"/>
        </w:rPr>
        <w:t>√不适用</w:t>
      </w:r>
      <w:r>
        <w:rPr>
          <w:rFonts w:ascii="宋体" w:hAnsi="宋体" w:cs="宋体" w:eastAsia="宋体" w:hint="default"/>
          <w:b w:val="0"/>
          <w:bCs w:val="0"/>
          <w:spacing w:val="-99"/>
          <w:sz w:val="21"/>
          <w:szCs w:val="21"/>
        </w:rPr>
        <w:t> </w:t>
      </w:r>
      <w:r>
        <w:rPr>
          <w:rFonts w:ascii="宋体" w:hAnsi="宋体" w:cs="宋体" w:eastAsia="宋体" w:hint="default"/>
          <w:b w:val="0"/>
          <w:bCs w:val="0"/>
          <w:spacing w:val="-99"/>
          <w:sz w:val="21"/>
          <w:szCs w:val="21"/>
        </w:rPr>
      </w:r>
      <w:r>
        <w:rPr>
          <w:w w:val="95"/>
        </w:rPr>
        <w:t>十三、公司股权激励计划、员工持股计划或其他员工激励措施的情况及其影响  </w:t>
      </w:r>
      <w:r>
        <w:rPr>
          <w:spacing w:val="58"/>
          <w:w w:val="95"/>
        </w:rPr>
        <w:t> </w:t>
      </w:r>
      <w:r>
        <w:rPr>
          <w:spacing w:val="58"/>
          <w:w w:val="95"/>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4"/>
        </w:rPr>
        <w:t> </w:t>
      </w:r>
      <w:r>
        <w:rPr/>
        <w:t>相关激励事项已在临时公告披露且后续实施无进展或变化的</w:t>
      </w:r>
      <w:r>
        <w:rPr>
          <w:b w:val="0"/>
          <w:bCs w:val="0"/>
        </w:rPr>
      </w:r>
    </w:p>
    <w:p>
      <w:pPr>
        <w:pStyle w:val="BodyText"/>
        <w:spacing w:line="240" w:lineRule="auto" w:before="21"/>
        <w:ind w:right="21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322"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事项概述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查询索引</w:t>
            </w:r>
          </w:p>
        </w:tc>
      </w:tr>
      <w:tr>
        <w:trPr>
          <w:trHeight w:val="82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公司第二期员工持股计划完成股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票购买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具体</w:t>
            </w:r>
            <w:r>
              <w:rPr>
                <w:rFonts w:ascii="宋体" w:hAnsi="宋体" w:cs="宋体" w:eastAsia="宋体" w:hint="default"/>
                <w:spacing w:val="-3"/>
                <w:w w:val="100"/>
                <w:sz w:val="21"/>
                <w:szCs w:val="21"/>
              </w:rPr>
              <w:t>内</w:t>
            </w:r>
            <w:r>
              <w:rPr>
                <w:rFonts w:ascii="宋体" w:hAnsi="宋体" w:cs="宋体" w:eastAsia="宋体" w:hint="default"/>
                <w:w w:val="100"/>
                <w:sz w:val="21"/>
                <w:szCs w:val="21"/>
              </w:rPr>
              <w:t>容</w:t>
            </w:r>
            <w:r>
              <w:rPr>
                <w:rFonts w:ascii="宋体" w:hAnsi="宋体" w:cs="宋体" w:eastAsia="宋体" w:hint="default"/>
                <w:spacing w:val="-3"/>
                <w:w w:val="100"/>
                <w:sz w:val="21"/>
                <w:szCs w:val="21"/>
              </w:rPr>
              <w:t>详</w:t>
            </w:r>
            <w:r>
              <w:rPr>
                <w:rFonts w:ascii="宋体" w:hAnsi="宋体" w:cs="宋体" w:eastAsia="宋体" w:hint="default"/>
                <w:w w:val="100"/>
                <w:sz w:val="21"/>
                <w:szCs w:val="21"/>
              </w:rPr>
              <w:t>见</w:t>
            </w:r>
            <w:r>
              <w:rPr>
                <w:rFonts w:ascii="宋体" w:hAnsi="宋体" w:cs="宋体" w:eastAsia="宋体" w:hint="default"/>
                <w:spacing w:val="-3"/>
                <w:w w:val="100"/>
                <w:sz w:val="21"/>
                <w:szCs w:val="21"/>
              </w:rPr>
              <w:t>公司</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27</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刊</w:t>
            </w:r>
            <w:r>
              <w:rPr>
                <w:rFonts w:ascii="宋体" w:hAnsi="宋体" w:cs="宋体" w:eastAsia="宋体" w:hint="default"/>
                <w:w w:val="100"/>
                <w:sz w:val="21"/>
                <w:szCs w:val="21"/>
              </w:rPr>
              <w:t>登</w:t>
            </w:r>
            <w:r>
              <w:rPr>
                <w:rFonts w:ascii="宋体" w:hAnsi="宋体" w:cs="宋体" w:eastAsia="宋体" w:hint="default"/>
                <w:spacing w:val="-99"/>
                <w:w w:val="100"/>
                <w:sz w:val="21"/>
                <w:szCs w:val="21"/>
              </w:rPr>
              <w:t>在</w:t>
            </w:r>
            <w:r>
              <w:rPr>
                <w:rFonts w:ascii="宋体" w:hAnsi="宋体" w:cs="宋体" w:eastAsia="宋体" w:hint="default"/>
                <w:w w:val="100"/>
                <w:sz w:val="21"/>
                <w:szCs w:val="21"/>
              </w:rPr>
              <w:t>《</w:t>
            </w:r>
            <w:r>
              <w:rPr>
                <w:rFonts w:ascii="宋体" w:hAnsi="宋体" w:cs="宋体" w:eastAsia="宋体" w:hint="default"/>
                <w:spacing w:val="-3"/>
                <w:w w:val="100"/>
                <w:sz w:val="21"/>
                <w:szCs w:val="21"/>
              </w:rPr>
              <w:t>中国</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报</w:t>
            </w:r>
            <w:r>
              <w:rPr>
                <w:rFonts w:ascii="宋体" w:hAnsi="宋体" w:cs="宋体" w:eastAsia="宋体" w:hint="default"/>
                <w:spacing w:val="-97"/>
                <w:w w:val="100"/>
                <w:sz w:val="21"/>
                <w:szCs w:val="21"/>
              </w:rPr>
              <w:t>》</w:t>
            </w:r>
            <w:r>
              <w:rPr>
                <w:rFonts w:ascii="宋体" w:hAnsi="宋体" w:cs="宋体" w:eastAsia="宋体" w:hint="default"/>
                <w:w w:val="100"/>
                <w:sz w:val="21"/>
                <w:szCs w:val="21"/>
              </w:rPr>
              <w:t>、</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4"/>
                <w:sz w:val="21"/>
                <w:szCs w:val="21"/>
              </w:rPr>
              <w:t>《证券时报》及上海证券交易所网站（</w:t>
            </w:r>
            <w:hyperlink r:id="rId10">
              <w:r>
                <w:rPr>
                  <w:rFonts w:ascii="宋体" w:hAnsi="宋体" w:cs="宋体" w:eastAsia="宋体" w:hint="default"/>
                  <w:spacing w:val="-4"/>
                  <w:sz w:val="21"/>
                  <w:szCs w:val="21"/>
                </w:rPr>
                <w:t>www.sse.com.cn</w:t>
              </w:r>
            </w:hyperlink>
            <w:r>
              <w:rPr>
                <w:rFonts w:ascii="宋体" w:hAnsi="宋体" w:cs="宋体" w:eastAsia="宋体" w:hint="default"/>
                <w:spacing w:val="-4"/>
                <w:sz w:val="21"/>
                <w:szCs w:val="21"/>
              </w:rPr>
              <w:t>）的公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告。（编号：</w:t>
            </w:r>
            <w:r>
              <w:rPr>
                <w:rFonts w:ascii="宋体" w:hAnsi="宋体" w:cs="宋体" w:eastAsia="宋体" w:hint="default"/>
                <w:sz w:val="21"/>
                <w:szCs w:val="21"/>
              </w:rPr>
              <w:t>2016-085</w:t>
            </w:r>
            <w:r>
              <w:rPr>
                <w:rFonts w:ascii="宋体" w:hAnsi="宋体" w:cs="宋体" w:eastAsia="宋体" w:hint="default"/>
                <w:sz w:val="21"/>
                <w:szCs w:val="21"/>
              </w:rPr>
              <w:t>）</w:t>
            </w:r>
          </w:p>
        </w:tc>
      </w:tr>
    </w:tbl>
    <w:p>
      <w:pPr>
        <w:spacing w:line="240" w:lineRule="auto" w:before="4"/>
        <w:rPr>
          <w:rFonts w:ascii="宋体" w:hAnsi="宋体" w:cs="宋体" w:eastAsia="宋体" w:hint="default"/>
          <w:sz w:val="20"/>
          <w:szCs w:val="20"/>
        </w:rPr>
      </w:pPr>
    </w:p>
    <w:p>
      <w:pPr>
        <w:pStyle w:val="Heading2"/>
        <w:spacing w:line="240" w:lineRule="auto"/>
        <w:ind w:right="215"/>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2"/>
        </w:rPr>
        <w:t> </w:t>
      </w:r>
      <w:r>
        <w:rPr/>
        <w:t>临时公告未披露或有后续进展的激励情况</w:t>
      </w:r>
      <w:r>
        <w:rPr>
          <w:b w:val="0"/>
          <w:bCs w:val="0"/>
        </w:rPr>
      </w:r>
    </w:p>
    <w:p>
      <w:pPr>
        <w:pStyle w:val="BodyText"/>
        <w:spacing w:line="274" w:lineRule="exact" w:before="64"/>
        <w:ind w:right="215"/>
        <w:jc w:val="left"/>
      </w:pPr>
      <w:r>
        <w:rPr/>
        <w:t>股权激励情况</w:t>
      </w:r>
    </w:p>
    <w:p>
      <w:pPr>
        <w:pStyle w:val="BodyText"/>
        <w:spacing w:line="274" w:lineRule="exact"/>
        <w:ind w:right="215"/>
        <w:jc w:val="left"/>
      </w:pPr>
      <w:r>
        <w:rPr/>
        <w:t>□适用</w:t>
      </w:r>
      <w:r>
        <w:rPr>
          <w:spacing w:val="-1"/>
        </w:rPr>
        <w:t> </w:t>
      </w:r>
      <w:r>
        <w:rPr/>
        <w:t>√不适用</w:t>
      </w:r>
    </w:p>
    <w:p>
      <w:pPr>
        <w:spacing w:after="0" w:line="274"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36"/>
        <w:ind w:left="138" w:right="1055"/>
        <w:jc w:val="left"/>
      </w:pPr>
      <w:r>
        <w:rPr/>
        <w:t>其他说明</w:t>
      </w:r>
    </w:p>
    <w:p>
      <w:pPr>
        <w:pStyle w:val="BodyText"/>
        <w:tabs>
          <w:tab w:pos="980" w:val="left" w:leader="none"/>
        </w:tabs>
        <w:spacing w:line="272" w:lineRule="exact" w:before="27"/>
        <w:ind w:left="138" w:right="7263"/>
        <w:jc w:val="left"/>
      </w:pPr>
      <w:r>
        <w:rPr>
          <w:spacing w:val="-1"/>
        </w:rPr>
        <w:t>□适用</w:t>
        <w:tab/>
      </w:r>
      <w:r>
        <w:rPr>
          <w:spacing w:val="-2"/>
        </w:rPr>
        <w:t>√不适用</w:t>
      </w:r>
      <w:r>
        <w:rPr>
          <w:spacing w:val="-99"/>
        </w:rPr>
        <w:t> </w:t>
      </w:r>
      <w:r>
        <w:rPr>
          <w:spacing w:val="-99"/>
        </w:rPr>
      </w:r>
      <w:r>
        <w:rPr>
          <w:spacing w:val="-2"/>
        </w:rPr>
        <w:t>员工持股计划情况</w:t>
      </w:r>
    </w:p>
    <w:p>
      <w:pPr>
        <w:pStyle w:val="BodyText"/>
        <w:tabs>
          <w:tab w:pos="980" w:val="left" w:leader="none"/>
        </w:tabs>
        <w:spacing w:line="247" w:lineRule="exact"/>
        <w:ind w:left="138" w:right="1055"/>
        <w:jc w:val="left"/>
      </w:pPr>
      <w:r>
        <w:rPr>
          <w:spacing w:val="-1"/>
        </w:rPr>
        <w:t>√适用</w:t>
        <w:tab/>
      </w:r>
      <w:r>
        <w:rPr>
          <w:spacing w:val="-2"/>
        </w:rPr>
        <w:t>□不适用</w:t>
      </w:r>
    </w:p>
    <w:p>
      <w:pPr>
        <w:pStyle w:val="BodyText"/>
        <w:spacing w:line="357" w:lineRule="auto"/>
        <w:ind w:left="138" w:right="163" w:firstLine="479"/>
        <w:jc w:val="left"/>
      </w:pPr>
      <w:r>
        <w:rPr/>
        <w:t>公司于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2"/>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日召开</w:t>
      </w:r>
      <w:r>
        <w:rPr>
          <w:spacing w:val="-53"/>
        </w:rPr>
        <w:t> </w:t>
      </w:r>
      <w:r>
        <w:rPr>
          <w:rFonts w:ascii="宋体" w:hAnsi="宋体" w:cs="宋体" w:eastAsia="宋体" w:hint="default"/>
        </w:rPr>
        <w:t>2016</w:t>
      </w:r>
      <w:r>
        <w:rPr>
          <w:rFonts w:ascii="宋体" w:hAnsi="宋体" w:cs="宋体" w:eastAsia="宋体" w:hint="default"/>
          <w:spacing w:val="-55"/>
        </w:rPr>
        <w:t> </w:t>
      </w:r>
      <w:r>
        <w:rPr/>
        <w:t>年第五次临时股东大会审议通过了《深圳市金证科技股</w:t>
      </w:r>
      <w:r>
        <w:rPr>
          <w:w w:val="100"/>
        </w:rPr>
        <w:t> </w:t>
      </w:r>
      <w:r>
        <w:rPr/>
        <w:t>份有限公司第二期员工持股计划（草案）》及其摘要。</w:t>
      </w:r>
    </w:p>
    <w:p>
      <w:pPr>
        <w:pStyle w:val="BodyText"/>
        <w:spacing w:line="240" w:lineRule="auto" w:before="30"/>
        <w:ind w:left="558" w:right="0"/>
        <w:jc w:val="left"/>
      </w:pPr>
      <w:r>
        <w:rPr/>
        <w:t>公司于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4"/>
        </w:rPr>
        <w:t> </w:t>
      </w:r>
      <w:r>
        <w:rPr>
          <w:rFonts w:ascii="宋体" w:hAnsi="宋体" w:cs="宋体" w:eastAsia="宋体" w:hint="default"/>
        </w:rPr>
        <w:t>4</w:t>
      </w:r>
      <w:r>
        <w:rPr>
          <w:rFonts w:ascii="宋体" w:hAnsi="宋体" w:cs="宋体" w:eastAsia="宋体" w:hint="default"/>
          <w:spacing w:val="-53"/>
        </w:rPr>
        <w:t> </w:t>
      </w:r>
      <w:r>
        <w:rPr/>
        <w:t>日接到通知，截至</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日，公司第二期员工持股计划专用账</w:t>
      </w:r>
    </w:p>
    <w:p>
      <w:pPr>
        <w:pStyle w:val="BodyText"/>
        <w:spacing w:line="240" w:lineRule="auto" w:before="133"/>
        <w:ind w:left="138" w:right="0"/>
        <w:jc w:val="left"/>
      </w:pPr>
      <w:r>
        <w:rPr/>
        <w:t>户（平安证券金增富集合资产管理计划）通过二级市场累计购入公司股票</w:t>
      </w:r>
      <w:r>
        <w:rPr>
          <w:spacing w:val="-57"/>
        </w:rPr>
        <w:t> </w:t>
      </w:r>
      <w:r>
        <w:rPr>
          <w:rFonts w:ascii="宋体" w:hAnsi="宋体" w:cs="宋体" w:eastAsia="宋体" w:hint="default"/>
        </w:rPr>
        <w:t>2,606,030</w:t>
      </w:r>
      <w:r>
        <w:rPr>
          <w:rFonts w:ascii="宋体" w:hAnsi="宋体" w:cs="宋体" w:eastAsia="宋体" w:hint="default"/>
          <w:spacing w:val="-56"/>
        </w:rPr>
        <w:t> </w:t>
      </w:r>
      <w:r>
        <w:rPr/>
        <w:t>股，成交金</w:t>
      </w:r>
    </w:p>
    <w:p>
      <w:pPr>
        <w:pStyle w:val="BodyText"/>
        <w:spacing w:line="240" w:lineRule="auto" w:before="133"/>
        <w:ind w:left="138" w:right="1055"/>
        <w:jc w:val="left"/>
      </w:pPr>
      <w:r>
        <w:rPr/>
        <w:t>额合计</w:t>
      </w:r>
      <w:r>
        <w:rPr>
          <w:spacing w:val="-54"/>
        </w:rPr>
        <w:t> </w:t>
      </w:r>
      <w:r>
        <w:rPr>
          <w:rFonts w:ascii="宋体" w:hAnsi="宋体" w:cs="宋体" w:eastAsia="宋体" w:hint="default"/>
        </w:rPr>
        <w:t>77,197,242.68</w:t>
      </w:r>
      <w:r>
        <w:rPr>
          <w:rFonts w:ascii="宋体" w:hAnsi="宋体" w:cs="宋体" w:eastAsia="宋体" w:hint="default"/>
          <w:spacing w:val="-53"/>
        </w:rPr>
        <w:t> </w:t>
      </w:r>
      <w:r>
        <w:rPr/>
        <w:t>元，交易均价</w:t>
      </w:r>
      <w:r>
        <w:rPr>
          <w:spacing w:val="-54"/>
        </w:rPr>
        <w:t> </w:t>
      </w:r>
      <w:r>
        <w:rPr>
          <w:rFonts w:ascii="宋体" w:hAnsi="宋体" w:cs="宋体" w:eastAsia="宋体" w:hint="default"/>
        </w:rPr>
        <w:t>29.6225</w:t>
      </w:r>
      <w:r>
        <w:rPr>
          <w:rFonts w:ascii="宋体" w:hAnsi="宋体" w:cs="宋体" w:eastAsia="宋体" w:hint="default"/>
          <w:spacing w:val="-56"/>
        </w:rPr>
        <w:t> </w:t>
      </w:r>
      <w:r>
        <w:rPr/>
        <w:t>元</w:t>
      </w:r>
      <w:r>
        <w:rPr>
          <w:rFonts w:ascii="宋体" w:hAnsi="宋体" w:cs="宋体" w:eastAsia="宋体" w:hint="default"/>
        </w:rPr>
        <w:t>/</w:t>
      </w:r>
      <w:r>
        <w:rPr/>
        <w:t>股，占公司总股本的比例为</w:t>
      </w:r>
      <w:r>
        <w:rPr>
          <w:spacing w:val="-56"/>
        </w:rPr>
        <w:t> </w:t>
      </w:r>
      <w:r>
        <w:rPr>
          <w:rFonts w:ascii="宋体" w:hAnsi="宋体" w:cs="宋体" w:eastAsia="宋体" w:hint="default"/>
        </w:rPr>
        <w:t>0.31%</w:t>
      </w:r>
      <w:r>
        <w:rPr/>
        <w:t>。</w:t>
      </w:r>
    </w:p>
    <w:p>
      <w:pPr>
        <w:pStyle w:val="BodyText"/>
        <w:spacing w:line="240" w:lineRule="auto" w:before="133"/>
        <w:ind w:left="558" w:right="0"/>
        <w:jc w:val="left"/>
      </w:pPr>
      <w:r>
        <w:rPr/>
        <w:t>截至</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25</w:t>
      </w:r>
      <w:r>
        <w:rPr>
          <w:rFonts w:ascii="宋体" w:hAnsi="宋体" w:cs="宋体" w:eastAsia="宋体" w:hint="default"/>
          <w:spacing w:val="-55"/>
        </w:rPr>
        <w:t> </w:t>
      </w:r>
      <w:r>
        <w:rPr/>
        <w:t>日，公司第二期员工持股计划专用账户（平安证券金增富集合资产管理</w:t>
      </w:r>
    </w:p>
    <w:p>
      <w:pPr>
        <w:pStyle w:val="BodyText"/>
        <w:spacing w:line="355" w:lineRule="auto" w:before="136"/>
        <w:ind w:left="138" w:right="0"/>
        <w:jc w:val="left"/>
      </w:pPr>
      <w:r>
        <w:rPr>
          <w:spacing w:val="-4"/>
        </w:rPr>
        <w:t>计划）通过二级市场累计购入公司股票</w:t>
      </w:r>
      <w:r>
        <w:rPr>
          <w:spacing w:val="-41"/>
        </w:rPr>
        <w:t> </w:t>
      </w:r>
      <w:r>
        <w:rPr>
          <w:rFonts w:ascii="宋体" w:hAnsi="宋体" w:cs="宋体" w:eastAsia="宋体" w:hint="default"/>
        </w:rPr>
        <w:t>8,125,002</w:t>
      </w:r>
      <w:r>
        <w:rPr>
          <w:rFonts w:ascii="宋体" w:hAnsi="宋体" w:cs="宋体" w:eastAsia="宋体" w:hint="default"/>
          <w:spacing w:val="-43"/>
        </w:rPr>
        <w:t> </w:t>
      </w:r>
      <w:r>
        <w:rPr>
          <w:spacing w:val="-6"/>
        </w:rPr>
        <w:t>股，成交金额合计</w:t>
      </w:r>
      <w:r>
        <w:rPr>
          <w:spacing w:val="-41"/>
        </w:rPr>
        <w:t> </w:t>
      </w:r>
      <w:r>
        <w:rPr>
          <w:rFonts w:ascii="宋体" w:hAnsi="宋体" w:cs="宋体" w:eastAsia="宋体" w:hint="default"/>
        </w:rPr>
        <w:t>250,114,047.32</w:t>
      </w:r>
      <w:r>
        <w:rPr>
          <w:rFonts w:ascii="宋体" w:hAnsi="宋体" w:cs="宋体" w:eastAsia="宋体" w:hint="default"/>
          <w:spacing w:val="-39"/>
        </w:rPr>
        <w:t> </w:t>
      </w:r>
      <w:r>
        <w:rPr>
          <w:spacing w:val="-8"/>
        </w:rPr>
        <w:t>元，交易均</w:t>
      </w:r>
      <w:r>
        <w:rPr>
          <w:spacing w:val="-100"/>
        </w:rPr>
        <w:t> </w:t>
      </w:r>
      <w:r>
        <w:rPr>
          <w:spacing w:val="-100"/>
        </w:rPr>
      </w:r>
      <w:r>
        <w:rPr/>
        <w:t>价</w:t>
      </w:r>
      <w:r>
        <w:rPr>
          <w:spacing w:val="-55"/>
        </w:rPr>
        <w:t> </w:t>
      </w:r>
      <w:r>
        <w:rPr>
          <w:rFonts w:ascii="宋体" w:hAnsi="宋体" w:cs="宋体" w:eastAsia="宋体" w:hint="default"/>
        </w:rPr>
        <w:t>30.7833</w:t>
      </w:r>
      <w:r>
        <w:rPr>
          <w:rFonts w:ascii="宋体" w:hAnsi="宋体" w:cs="宋体" w:eastAsia="宋体" w:hint="default"/>
          <w:spacing w:val="-57"/>
        </w:rPr>
        <w:t> </w:t>
      </w:r>
      <w:r>
        <w:rPr/>
        <w:t>元</w:t>
      </w:r>
      <w:r>
        <w:rPr>
          <w:rFonts w:ascii="宋体" w:hAnsi="宋体" w:cs="宋体" w:eastAsia="宋体" w:hint="default"/>
        </w:rPr>
        <w:t>/</w:t>
      </w:r>
      <w:r>
        <w:rPr/>
        <w:t>股，占公司总股本的比例为</w:t>
      </w:r>
      <w:r>
        <w:rPr>
          <w:spacing w:val="-55"/>
        </w:rPr>
        <w:t> </w:t>
      </w:r>
      <w:r>
        <w:rPr>
          <w:rFonts w:ascii="宋体" w:hAnsi="宋体" w:cs="宋体" w:eastAsia="宋体" w:hint="default"/>
        </w:rPr>
        <w:t>0.973%</w:t>
      </w:r>
      <w:r>
        <w:rPr/>
        <w:t>。</w:t>
      </w:r>
    </w:p>
    <w:p>
      <w:pPr>
        <w:pStyle w:val="BodyText"/>
        <w:spacing w:line="355" w:lineRule="auto" w:before="32"/>
        <w:ind w:left="138" w:right="163" w:firstLine="419"/>
        <w:jc w:val="left"/>
      </w:pPr>
      <w:r>
        <w:rPr>
          <w:spacing w:val="-2"/>
        </w:rPr>
        <w:t>至此，公司第二期员工持股计划已完成股票购买，购买的股票将按照规定予以锁定，锁定期</w:t>
      </w:r>
      <w:r>
        <w:rPr>
          <w:w w:val="100"/>
        </w:rPr>
        <w:t> </w:t>
      </w:r>
      <w:r>
        <w:rPr/>
        <w:t>为</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25</w:t>
      </w:r>
      <w:r>
        <w:rPr>
          <w:rFonts w:ascii="宋体" w:hAnsi="宋体" w:cs="宋体" w:eastAsia="宋体" w:hint="default"/>
          <w:spacing w:val="-53"/>
        </w:rPr>
        <w:t> </w:t>
      </w:r>
      <w:r>
        <w:rPr>
          <w:spacing w:val="-3"/>
        </w:rPr>
        <w:t>日。</w:t>
      </w:r>
      <w:r>
        <w:rPr/>
      </w:r>
    </w:p>
    <w:p>
      <w:pPr>
        <w:pStyle w:val="BodyText"/>
        <w:spacing w:line="274" w:lineRule="exact" w:before="32"/>
        <w:ind w:left="138" w:right="1055"/>
        <w:jc w:val="left"/>
      </w:pPr>
      <w:r>
        <w:rPr/>
        <w:t>其他激励措施</w:t>
      </w:r>
    </w:p>
    <w:p>
      <w:pPr>
        <w:pStyle w:val="BodyText"/>
        <w:spacing w:line="274" w:lineRule="exact"/>
        <w:ind w:left="138" w:right="1055"/>
        <w:jc w:val="left"/>
      </w:pPr>
      <w:r>
        <w:rPr/>
        <w:t>□适用</w:t>
      </w:r>
      <w:r>
        <w:rPr>
          <w:spacing w:val="-1"/>
        </w:rPr>
        <w:t> </w:t>
      </w:r>
      <w:r>
        <w:rPr/>
        <w:t>√不适用</w:t>
      </w:r>
    </w:p>
    <w:p>
      <w:pPr>
        <w:pStyle w:val="Heading2"/>
        <w:spacing w:line="240" w:lineRule="auto" w:before="50"/>
        <w:ind w:left="138" w:right="1055"/>
        <w:jc w:val="left"/>
        <w:rPr>
          <w:b w:val="0"/>
          <w:bCs w:val="0"/>
        </w:rPr>
      </w:pPr>
      <w:r>
        <w:rPr/>
        <w:t>十四、重大关联交易</w:t>
      </w:r>
      <w:r>
        <w:rPr>
          <w:b w:val="0"/>
          <w:bCs w:val="0"/>
        </w:rPr>
      </w:r>
    </w:p>
    <w:p>
      <w:pPr>
        <w:pStyle w:val="Heading2"/>
        <w:spacing w:line="240" w:lineRule="auto" w:before="58"/>
        <w:ind w:left="138" w:right="105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7"/>
        <w:ind w:left="138" w:right="1055"/>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61"/>
        <w:ind w:left="138" w:right="1055"/>
        <w:jc w:val="left"/>
      </w:pPr>
      <w:r>
        <w:rPr/>
        <w:t>□适用</w:t>
      </w:r>
      <w:r>
        <w:rPr>
          <w:spacing w:val="-1"/>
        </w:rPr>
        <w:t> </w:t>
      </w:r>
      <w:r>
        <w:rPr/>
        <w:t>√不适用</w:t>
      </w:r>
    </w:p>
    <w:p>
      <w:pPr>
        <w:pStyle w:val="Heading2"/>
        <w:spacing w:line="240" w:lineRule="auto" w:before="52"/>
        <w:ind w:left="138" w:right="1055"/>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spacing w:line="240" w:lineRule="auto" w:before="50"/>
        <w:ind w:left="138" w:right="1055"/>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64"/>
        <w:ind w:left="138" w:right="1055"/>
        <w:jc w:val="left"/>
      </w:pPr>
      <w:r>
        <w:rPr/>
        <w:t>□适用</w:t>
      </w:r>
      <w:r>
        <w:rPr>
          <w:spacing w:val="-1"/>
        </w:rPr>
        <w:t> </w:t>
      </w:r>
      <w:r>
        <w:rPr/>
        <w:t>√不适用</w:t>
      </w:r>
    </w:p>
    <w:p>
      <w:pPr>
        <w:pStyle w:val="Heading2"/>
        <w:tabs>
          <w:tab w:pos="977" w:val="left" w:leader="none"/>
        </w:tabs>
        <w:spacing w:line="240" w:lineRule="auto" w:before="50"/>
        <w:ind w:left="138" w:right="105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资产或股权收购、出售发生的关联交易</w:t>
      </w:r>
      <w:r>
        <w:rPr>
          <w:b w:val="0"/>
          <w:bCs w:val="0"/>
        </w:rPr>
      </w:r>
    </w:p>
    <w:p>
      <w:pPr>
        <w:pStyle w:val="Heading2"/>
        <w:spacing w:line="240" w:lineRule="auto" w:before="58"/>
        <w:ind w:left="138" w:right="1055"/>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64"/>
        <w:ind w:left="138" w:right="1055"/>
        <w:jc w:val="left"/>
      </w:pPr>
      <w:r>
        <w:rPr/>
        <w:t>□适用</w:t>
      </w:r>
      <w:r>
        <w:rPr>
          <w:spacing w:val="-1"/>
        </w:rPr>
        <w:t> </w:t>
      </w:r>
      <w:r>
        <w:rPr/>
        <w:t>√不适用</w:t>
      </w:r>
    </w:p>
    <w:p>
      <w:pPr>
        <w:pStyle w:val="Heading2"/>
        <w:spacing w:line="240" w:lineRule="auto" w:before="50"/>
        <w:ind w:left="138" w:right="1055"/>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spacing w:line="240" w:lineRule="auto" w:before="50"/>
        <w:ind w:left="138" w:right="1055"/>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64"/>
        <w:ind w:left="138" w:right="1055"/>
        <w:jc w:val="left"/>
      </w:pPr>
      <w:r>
        <w:rPr/>
        <w:t>□适用</w:t>
      </w:r>
      <w:r>
        <w:rPr>
          <w:spacing w:val="-1"/>
        </w:rPr>
        <w:t> </w:t>
      </w:r>
      <w:r>
        <w:rPr/>
        <w:t>√不适用</w:t>
      </w:r>
    </w:p>
    <w:p>
      <w:pPr>
        <w:pStyle w:val="Heading2"/>
        <w:spacing w:line="240" w:lineRule="auto" w:before="50"/>
        <w:ind w:left="138" w:right="1055"/>
        <w:jc w:val="left"/>
        <w:rPr>
          <w:b w:val="0"/>
          <w:bCs w:val="0"/>
        </w:rPr>
      </w:pPr>
      <w:r>
        <w:rPr>
          <w:rFonts w:ascii="宋体" w:hAnsi="宋体" w:cs="宋体" w:eastAsia="宋体" w:hint="default"/>
        </w:rPr>
        <w:t>4</w:t>
      </w:r>
      <w:r>
        <w:rPr/>
        <w:t>、</w:t>
      </w:r>
      <w:r>
        <w:rPr>
          <w:spacing w:val="-68"/>
        </w:rPr>
        <w:t> </w:t>
      </w:r>
      <w:r>
        <w:rPr/>
        <w:t>涉及业绩约定的，应当披露报告期内的业绩实现情况</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spacing w:line="240" w:lineRule="auto" w:before="52"/>
        <w:ind w:left="138" w:right="105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共同对外投资的重大关联交易</w:t>
      </w:r>
      <w:r>
        <w:rPr>
          <w:b w:val="0"/>
          <w:bCs w:val="0"/>
        </w:rPr>
      </w:r>
    </w:p>
    <w:p>
      <w:pPr>
        <w:pStyle w:val="Heading2"/>
        <w:spacing w:line="240" w:lineRule="auto" w:before="25"/>
        <w:ind w:left="138" w:right="1055"/>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64"/>
        <w:ind w:left="138" w:right="1055"/>
        <w:jc w:val="left"/>
      </w:pPr>
      <w:r>
        <w:rPr/>
        <w:t>□适用</w:t>
      </w:r>
      <w:r>
        <w:rPr>
          <w:spacing w:val="-1"/>
        </w:rPr>
        <w:t> </w:t>
      </w:r>
      <w:r>
        <w:rPr/>
        <w:t>√不适用</w:t>
      </w:r>
    </w:p>
    <w:p>
      <w:pPr>
        <w:pStyle w:val="Heading2"/>
        <w:spacing w:line="240" w:lineRule="auto" w:before="50"/>
        <w:ind w:left="138" w:right="1055"/>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spacing w:after="0" w:line="240" w:lineRule="auto"/>
        <w:jc w:val="left"/>
        <w:sectPr>
          <w:pgSz w:w="11910" w:h="16840"/>
          <w:pgMar w:header="880" w:footer="1195" w:top="1120" w:bottom="1380" w:left="1660" w:right="11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660" w:right="800"/>
        </w:sectPr>
      </w:pPr>
    </w:p>
    <w:p>
      <w:pPr>
        <w:pStyle w:val="Heading2"/>
        <w:spacing w:line="240" w:lineRule="auto"/>
        <w:ind w:left="138" w:right="-17"/>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64"/>
        <w:ind w:left="138" w:right="-17"/>
        <w:jc w:val="left"/>
      </w:pPr>
      <w:r>
        <w:rPr/>
        <w:t>□适用</w:t>
      </w:r>
      <w:r>
        <w:rPr>
          <w:spacing w:val="-1"/>
        </w:rPr>
        <w:t> </w:t>
      </w:r>
      <w:r>
        <w:rPr/>
        <w:t>√不适用</w:t>
      </w:r>
    </w:p>
    <w:p>
      <w:pPr>
        <w:pStyle w:val="Heading2"/>
        <w:spacing w:line="240" w:lineRule="auto" w:before="52"/>
        <w:ind w:left="138" w:right="-1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关联债权债务往来</w:t>
      </w:r>
      <w:r>
        <w:rPr>
          <w:b w:val="0"/>
          <w:bCs w:val="0"/>
        </w:rPr>
      </w:r>
    </w:p>
    <w:p>
      <w:pPr>
        <w:pStyle w:val="Heading2"/>
        <w:spacing w:line="240" w:lineRule="auto" w:before="25"/>
        <w:ind w:left="138" w:right="-17"/>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64"/>
        <w:ind w:left="138" w:right="-17"/>
        <w:jc w:val="left"/>
      </w:pPr>
      <w:r>
        <w:rPr/>
        <w:t>□适用</w:t>
      </w:r>
      <w:r>
        <w:rPr>
          <w:spacing w:val="-1"/>
        </w:rPr>
        <w:t> </w:t>
      </w:r>
      <w:r>
        <w:rPr/>
        <w:t>√不适用</w:t>
      </w:r>
    </w:p>
    <w:p>
      <w:pPr>
        <w:pStyle w:val="Heading2"/>
        <w:spacing w:line="240" w:lineRule="auto" w:before="50"/>
        <w:ind w:left="138" w:right="-17"/>
        <w:jc w:val="left"/>
        <w:rPr>
          <w:b w:val="0"/>
          <w:bCs w:val="0"/>
        </w:rPr>
      </w:pPr>
      <w:r>
        <w:rPr>
          <w:rFonts w:ascii="宋体" w:hAnsi="宋体" w:cs="宋体" w:eastAsia="宋体" w:hint="default"/>
        </w:rPr>
        <w:t>2</w:t>
      </w:r>
      <w:r>
        <w:rPr/>
        <w:t>、</w:t>
      </w:r>
      <w:r>
        <w:rPr>
          <w:spacing w:val="-66"/>
        </w:rPr>
        <w:t> </w:t>
      </w:r>
      <w:r>
        <w:rPr/>
        <w:t>已在临时公告披露，但有后续实施的进展或变化的事项</w:t>
      </w:r>
      <w:r>
        <w:rPr>
          <w:b w:val="0"/>
          <w:bCs w:val="0"/>
        </w:rPr>
      </w:r>
    </w:p>
    <w:p>
      <w:pPr>
        <w:pStyle w:val="BodyText"/>
        <w:tabs>
          <w:tab w:pos="980" w:val="left" w:leader="none"/>
        </w:tabs>
        <w:spacing w:line="240" w:lineRule="auto" w:before="64"/>
        <w:ind w:left="138" w:right="-17"/>
        <w:jc w:val="left"/>
      </w:pPr>
      <w:r>
        <w:rPr>
          <w:spacing w:val="-1"/>
        </w:rPr>
        <w:t>□适用</w:t>
        <w:tab/>
      </w:r>
      <w:r>
        <w:rPr>
          <w:spacing w:val="-2"/>
        </w:rPr>
        <w:t>√不适用</w:t>
      </w:r>
    </w:p>
    <w:p>
      <w:pPr>
        <w:pStyle w:val="Heading2"/>
        <w:spacing w:line="240" w:lineRule="auto" w:before="52"/>
        <w:ind w:left="138" w:right="-17"/>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61"/>
        <w:ind w:left="138" w:right="-17"/>
        <w:jc w:val="left"/>
      </w:pPr>
      <w:r>
        <w:rPr/>
        <w:t>□适用</w:t>
      </w:r>
      <w:r>
        <w:rPr>
          <w:spacing w:val="-1"/>
        </w:rPr>
        <w:t> </w:t>
      </w:r>
      <w:r>
        <w:rPr/>
        <w:t>√不适用</w:t>
      </w:r>
    </w:p>
    <w:p>
      <w:pPr>
        <w:pStyle w:val="Heading2"/>
        <w:spacing w:line="240" w:lineRule="auto" w:before="53"/>
        <w:ind w:left="138" w:right="-1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4"/>
        </w:rPr>
        <w:t> </w:t>
      </w:r>
      <w:r>
        <w:rPr/>
        <w:t>其他</w:t>
      </w:r>
      <w:r>
        <w:rPr>
          <w:b w:val="0"/>
          <w:bCs w:val="0"/>
        </w:rPr>
      </w:r>
    </w:p>
    <w:p>
      <w:pPr>
        <w:pStyle w:val="Heading2"/>
        <w:tabs>
          <w:tab w:pos="977" w:val="left" w:leader="none"/>
        </w:tabs>
        <w:spacing w:line="283" w:lineRule="auto" w:before="31"/>
        <w:ind w:left="138" w:right="2952"/>
        <w:jc w:val="left"/>
        <w:rPr>
          <w:b w:val="0"/>
          <w:bCs w:val="0"/>
        </w:rPr>
      </w:pPr>
      <w:r>
        <w:rPr>
          <w:rFonts w:ascii="宋体" w:hAnsi="宋体" w:cs="宋体" w:eastAsia="宋体" w:hint="default"/>
          <w:b w:val="0"/>
          <w:bCs w:val="0"/>
          <w:spacing w:val="-1"/>
          <w:sz w:val="21"/>
          <w:szCs w:val="21"/>
        </w:rPr>
        <w:t>□适用</w:t>
        <w:tab/>
      </w:r>
      <w:r>
        <w:rPr>
          <w:rFonts w:ascii="宋体" w:hAnsi="宋体" w:cs="宋体" w:eastAsia="宋体" w:hint="default"/>
          <w:b w:val="0"/>
          <w:bCs w:val="0"/>
          <w:spacing w:val="-2"/>
          <w:sz w:val="21"/>
          <w:szCs w:val="21"/>
        </w:rPr>
        <w:t>√不适用</w:t>
      </w:r>
      <w:r>
        <w:rPr>
          <w:rFonts w:ascii="宋体" w:hAnsi="宋体" w:cs="宋体" w:eastAsia="宋体" w:hint="default"/>
          <w:b w:val="0"/>
          <w:bCs w:val="0"/>
          <w:spacing w:val="-99"/>
          <w:sz w:val="21"/>
          <w:szCs w:val="21"/>
        </w:rPr>
        <w:t> </w:t>
      </w:r>
      <w:r>
        <w:rPr>
          <w:rFonts w:ascii="宋体" w:hAnsi="宋体" w:cs="宋体" w:eastAsia="宋体" w:hint="default"/>
          <w:b w:val="0"/>
          <w:bCs w:val="0"/>
          <w:spacing w:val="-99"/>
          <w:sz w:val="21"/>
          <w:szCs w:val="21"/>
        </w:rPr>
      </w:r>
      <w:r>
        <w:rPr/>
        <w:t>十五、重大合同及其履行情况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99"/>
        </w:rPr>
        <w:t> </w:t>
      </w:r>
      <w:r>
        <w:rPr>
          <w:rFonts w:ascii="宋体" w:hAnsi="宋体" w:cs="宋体" w:eastAsia="宋体" w:hint="default"/>
        </w:rPr>
        <w:t>1</w:t>
      </w:r>
      <w:r>
        <w:rPr/>
        <w:t>、</w:t>
      </w:r>
      <w:r>
        <w:rPr>
          <w:spacing w:val="-64"/>
        </w:rPr>
        <w:t> </w:t>
      </w:r>
      <w:r>
        <w:rPr/>
        <w:t>托管情况</w:t>
      </w:r>
      <w:r>
        <w:rPr>
          <w:b w:val="0"/>
          <w:bCs w:val="0"/>
        </w:rPr>
      </w:r>
    </w:p>
    <w:p>
      <w:pPr>
        <w:pStyle w:val="BodyText"/>
        <w:spacing w:line="240" w:lineRule="auto" w:before="21"/>
        <w:ind w:left="138" w:right="-17"/>
        <w:jc w:val="left"/>
      </w:pPr>
      <w:r>
        <w:rPr/>
        <w:t>□适用</w:t>
      </w:r>
      <w:r>
        <w:rPr>
          <w:spacing w:val="-1"/>
        </w:rPr>
        <w:t> </w:t>
      </w:r>
      <w:r>
        <w:rPr/>
        <w:t>√不适用</w:t>
      </w:r>
    </w:p>
    <w:p>
      <w:pPr>
        <w:pStyle w:val="Heading2"/>
        <w:spacing w:line="240" w:lineRule="auto" w:before="50"/>
        <w:ind w:left="138" w:right="-17"/>
        <w:jc w:val="left"/>
        <w:rPr>
          <w:b w:val="0"/>
          <w:bCs w:val="0"/>
        </w:rPr>
      </w:pPr>
      <w:r>
        <w:rPr>
          <w:rFonts w:ascii="宋体" w:hAnsi="宋体" w:cs="宋体" w:eastAsia="宋体" w:hint="default"/>
        </w:rPr>
        <w:t>2</w:t>
      </w:r>
      <w:r>
        <w:rPr/>
        <w:t>、</w:t>
      </w:r>
      <w:r>
        <w:rPr>
          <w:spacing w:val="-64"/>
        </w:rPr>
        <w:t> </w:t>
      </w:r>
      <w:r>
        <w:rPr/>
        <w:t>承包情况</w:t>
      </w:r>
      <w:r>
        <w:rPr>
          <w:b w:val="0"/>
          <w:bCs w:val="0"/>
        </w:rPr>
      </w:r>
    </w:p>
    <w:p>
      <w:pPr>
        <w:pStyle w:val="BodyText"/>
        <w:spacing w:line="240" w:lineRule="auto" w:before="64"/>
        <w:ind w:left="138" w:right="-17"/>
        <w:jc w:val="left"/>
      </w:pPr>
      <w:r>
        <w:rPr/>
        <w:t>□适用</w:t>
      </w:r>
      <w:r>
        <w:rPr>
          <w:spacing w:val="-1"/>
        </w:rPr>
        <w:t> </w:t>
      </w:r>
      <w:r>
        <w:rPr/>
        <w:t>√不适用</w:t>
      </w:r>
    </w:p>
    <w:p>
      <w:pPr>
        <w:pStyle w:val="Heading2"/>
        <w:spacing w:line="240" w:lineRule="auto" w:before="52"/>
        <w:ind w:left="138" w:right="-17"/>
        <w:jc w:val="left"/>
        <w:rPr>
          <w:b w:val="0"/>
          <w:bCs w:val="0"/>
        </w:rPr>
      </w:pPr>
      <w:r>
        <w:rPr>
          <w:rFonts w:ascii="宋体" w:hAnsi="宋体" w:cs="宋体" w:eastAsia="宋体" w:hint="default"/>
        </w:rPr>
        <w:t>3</w:t>
      </w:r>
      <w:r>
        <w:rPr/>
        <w:t>、</w:t>
      </w:r>
      <w:r>
        <w:rPr>
          <w:spacing w:val="-64"/>
        </w:rPr>
        <w:t> </w:t>
      </w:r>
      <w:r>
        <w:rPr/>
        <w:t>租赁情况</w:t>
      </w:r>
      <w:r>
        <w:rPr>
          <w:b w:val="0"/>
          <w:bCs w:val="0"/>
        </w:rPr>
      </w:r>
    </w:p>
    <w:p>
      <w:pPr>
        <w:pStyle w:val="BodyText"/>
        <w:spacing w:line="240" w:lineRule="auto" w:before="62"/>
        <w:ind w:left="138" w:right="-17"/>
        <w:jc w:val="left"/>
      </w:pPr>
      <w:r>
        <w:rPr/>
        <w:t>□适用</w:t>
      </w:r>
      <w:r>
        <w:rPr>
          <w:spacing w:val="-1"/>
        </w:rPr>
        <w:t> </w:t>
      </w:r>
      <w:r>
        <w:rPr/>
        <w:t>√不适用</w:t>
      </w:r>
    </w:p>
    <w:p>
      <w:pPr>
        <w:pStyle w:val="Heading2"/>
        <w:tabs>
          <w:tab w:pos="977" w:val="left" w:leader="none"/>
        </w:tabs>
        <w:spacing w:line="240" w:lineRule="auto" w:before="52"/>
        <w:ind w:left="138" w:right="-17"/>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61"/>
        <w:ind w:left="1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tabs>
          <w:tab w:pos="1400"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660" w:right="800"/>
          <w:cols w:num="2" w:equalWidth="0">
            <w:col w:w="6341" w:space="329"/>
            <w:col w:w="278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8"/>
        <w:gridCol w:w="566"/>
        <w:gridCol w:w="425"/>
        <w:gridCol w:w="583"/>
        <w:gridCol w:w="590"/>
        <w:gridCol w:w="670"/>
        <w:gridCol w:w="521"/>
        <w:gridCol w:w="593"/>
        <w:gridCol w:w="590"/>
        <w:gridCol w:w="595"/>
        <w:gridCol w:w="670"/>
        <w:gridCol w:w="596"/>
        <w:gridCol w:w="593"/>
        <w:gridCol w:w="595"/>
      </w:tblGrid>
      <w:tr>
        <w:trPr>
          <w:trHeight w:val="30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67" w:right="6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4" w:right="7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26" w:right="24"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17" w:right="119"/>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3" w:right="4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9" w:right="79"/>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9" w:right="7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81" w:right="79"/>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19" w:right="11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81" w:right="7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9" w:right="7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1" w:right="7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10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深圳市齐普</w:t>
            </w:r>
          </w:p>
          <w:p>
            <w:pPr>
              <w:pStyle w:val="TableParagraph"/>
              <w:spacing w:line="240" w:lineRule="auto"/>
              <w:ind w:left="26" w:right="216"/>
              <w:jc w:val="left"/>
              <w:rPr>
                <w:rFonts w:ascii="宋体" w:hAnsi="宋体" w:cs="宋体" w:eastAsia="宋体" w:hint="default"/>
                <w:sz w:val="21"/>
                <w:szCs w:val="21"/>
              </w:rPr>
            </w:pPr>
            <w:r>
              <w:rPr>
                <w:rFonts w:ascii="宋体" w:hAnsi="宋体" w:cs="宋体" w:eastAsia="宋体" w:hint="default"/>
                <w:sz w:val="21"/>
                <w:szCs w:val="21"/>
              </w:rPr>
              <w:t>生科技股份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40" w:lineRule="auto"/>
              <w:ind w:left="23" w:right="108"/>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40" w:lineRule="auto"/>
              <w:ind w:left="23" w:right="178"/>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sz w:val="21"/>
              </w:rPr>
              <w:t>30,0</w:t>
            </w:r>
          </w:p>
          <w:p>
            <w:pPr>
              <w:pStyle w:val="TableParagraph"/>
              <w:spacing w:line="273" w:lineRule="exact"/>
              <w:ind w:left="31" w:right="0"/>
              <w:jc w:val="left"/>
              <w:rPr>
                <w:rFonts w:ascii="宋体" w:hAnsi="宋体" w:cs="宋体" w:eastAsia="宋体" w:hint="default"/>
                <w:sz w:val="21"/>
                <w:szCs w:val="21"/>
              </w:rPr>
            </w:pPr>
            <w:r>
              <w:rPr>
                <w:rFonts w:ascii="宋体"/>
                <w:sz w:val="21"/>
              </w:rPr>
              <w:t>00.0</w:t>
            </w:r>
          </w:p>
          <w:p>
            <w:pPr>
              <w:pStyle w:val="TableParagraph"/>
              <w:spacing w:line="274" w:lineRule="exact"/>
              <w:ind w:left="345" w:right="0"/>
              <w:jc w:val="left"/>
              <w:rPr>
                <w:rFonts w:ascii="宋体" w:hAnsi="宋体" w:cs="宋体" w:eastAsia="宋体" w:hint="default"/>
                <w:sz w:val="21"/>
                <w:szCs w:val="21"/>
              </w:rPr>
            </w:pPr>
            <w:r>
              <w:rPr>
                <w:rFonts w:ascii="宋体"/>
                <w:w w:val="100"/>
                <w:sz w:val="21"/>
              </w:rPr>
              <w:t>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sz w:val="21"/>
              </w:rPr>
              <w:t>2017</w:t>
            </w:r>
          </w:p>
          <w:p>
            <w:pPr>
              <w:pStyle w:val="TableParagraph"/>
              <w:spacing w:line="237" w:lineRule="auto" w:before="1"/>
              <w:ind w:left="23" w:right="132"/>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pacing w:val="-103"/>
                <w:sz w:val="21"/>
                <w:szCs w:val="21"/>
              </w:rPr>
              <w:t> </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sz w:val="21"/>
              </w:rPr>
              <w:t>2017</w:t>
            </w:r>
          </w:p>
          <w:p>
            <w:pPr>
              <w:pStyle w:val="TableParagraph"/>
              <w:spacing w:line="237" w:lineRule="auto" w:before="1"/>
              <w:ind w:left="23" w:right="21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pacing w:val="-103"/>
                <w:sz w:val="21"/>
                <w:szCs w:val="21"/>
              </w:rPr>
              <w:t> </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sz w:val="21"/>
              </w:rPr>
              <w:t>2018</w:t>
            </w:r>
          </w:p>
          <w:p>
            <w:pPr>
              <w:pStyle w:val="TableParagraph"/>
              <w:spacing w:line="237" w:lineRule="auto" w:before="1"/>
              <w:ind w:left="24" w:right="63"/>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pacing w:val="-103"/>
                <w:sz w:val="21"/>
                <w:szCs w:val="21"/>
              </w:rPr>
              <w:t> </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40" w:lineRule="auto"/>
              <w:ind w:left="24" w:right="134"/>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7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40" w:lineRule="auto"/>
              <w:ind w:left="187" w:right="79" w:hanging="106"/>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099"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深圳市齐普</w:t>
            </w:r>
          </w:p>
          <w:p>
            <w:pPr>
              <w:pStyle w:val="TableParagraph"/>
              <w:spacing w:line="240" w:lineRule="auto"/>
              <w:ind w:left="26" w:right="216"/>
              <w:jc w:val="left"/>
              <w:rPr>
                <w:rFonts w:ascii="宋体" w:hAnsi="宋体" w:cs="宋体" w:eastAsia="宋体" w:hint="default"/>
                <w:sz w:val="21"/>
                <w:szCs w:val="21"/>
              </w:rPr>
            </w:pPr>
            <w:r>
              <w:rPr>
                <w:rFonts w:ascii="宋体" w:hAnsi="宋体" w:cs="宋体" w:eastAsia="宋体" w:hint="default"/>
                <w:sz w:val="21"/>
                <w:szCs w:val="21"/>
              </w:rPr>
              <w:t>生科技股份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40" w:lineRule="auto"/>
              <w:ind w:left="23" w:right="108"/>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40" w:lineRule="auto"/>
              <w:ind w:left="23" w:right="178"/>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sz w:val="21"/>
              </w:rPr>
              <w:t>10,0</w:t>
            </w:r>
          </w:p>
          <w:p>
            <w:pPr>
              <w:pStyle w:val="TableParagraph"/>
              <w:spacing w:line="272" w:lineRule="exact"/>
              <w:ind w:left="31" w:right="0"/>
              <w:jc w:val="left"/>
              <w:rPr>
                <w:rFonts w:ascii="宋体" w:hAnsi="宋体" w:cs="宋体" w:eastAsia="宋体" w:hint="default"/>
                <w:sz w:val="21"/>
                <w:szCs w:val="21"/>
              </w:rPr>
            </w:pPr>
            <w:r>
              <w:rPr>
                <w:rFonts w:ascii="宋体"/>
                <w:sz w:val="21"/>
              </w:rPr>
              <w:t>00.0</w:t>
            </w:r>
          </w:p>
          <w:p>
            <w:pPr>
              <w:pStyle w:val="TableParagraph"/>
              <w:spacing w:line="274" w:lineRule="exact"/>
              <w:ind w:left="345" w:right="0"/>
              <w:jc w:val="left"/>
              <w:rPr>
                <w:rFonts w:ascii="宋体" w:hAnsi="宋体" w:cs="宋体" w:eastAsia="宋体" w:hint="default"/>
                <w:sz w:val="21"/>
                <w:szCs w:val="21"/>
              </w:rPr>
            </w:pPr>
            <w:r>
              <w:rPr>
                <w:rFonts w:ascii="宋体"/>
                <w:w w:val="100"/>
                <w:sz w:val="21"/>
              </w:rPr>
              <w:t>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sz w:val="21"/>
              </w:rPr>
              <w:t>2017</w:t>
            </w:r>
          </w:p>
          <w:p>
            <w:pPr>
              <w:pStyle w:val="TableParagraph"/>
              <w:spacing w:line="240" w:lineRule="auto"/>
              <w:ind w:left="23" w:right="2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6</w:t>
            </w:r>
            <w:r>
              <w:rPr>
                <w:rFonts w:ascii="宋体" w:hAnsi="宋体" w:cs="宋体" w:eastAsia="宋体" w:hint="default"/>
                <w:sz w:val="21"/>
                <w:szCs w:val="21"/>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sz w:val="21"/>
              </w:rPr>
              <w:t>2017</w:t>
            </w:r>
          </w:p>
          <w:p>
            <w:pPr>
              <w:pStyle w:val="TableParagraph"/>
              <w:spacing w:line="240" w:lineRule="auto"/>
              <w:ind w:left="23" w:right="10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6</w:t>
            </w:r>
            <w:r>
              <w:rPr>
                <w:rFonts w:ascii="宋体" w:hAnsi="宋体" w:cs="宋体" w:eastAsia="宋体" w:hint="default"/>
                <w:sz w:val="21"/>
                <w:szCs w:val="21"/>
              </w:rPr>
              <w:t>日</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2018</w:t>
            </w:r>
          </w:p>
          <w:p>
            <w:pPr>
              <w:pStyle w:val="TableParagraph"/>
              <w:spacing w:line="237" w:lineRule="auto"/>
              <w:ind w:left="24" w:right="6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40" w:lineRule="auto"/>
              <w:ind w:left="24" w:right="134"/>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7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40" w:lineRule="auto"/>
              <w:ind w:left="187" w:right="79" w:hanging="106"/>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099"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40" w:lineRule="auto"/>
              <w:ind w:left="26" w:right="216"/>
              <w:jc w:val="left"/>
              <w:rPr>
                <w:rFonts w:ascii="宋体" w:hAnsi="宋体" w:cs="宋体" w:eastAsia="宋体" w:hint="default"/>
                <w:sz w:val="21"/>
                <w:szCs w:val="21"/>
              </w:rPr>
            </w:pPr>
            <w:r>
              <w:rPr>
                <w:rFonts w:ascii="宋体" w:hAnsi="宋体" w:cs="宋体" w:eastAsia="宋体" w:hint="default"/>
                <w:sz w:val="21"/>
                <w:szCs w:val="21"/>
              </w:rPr>
              <w:t>博泽科技股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全资</w:t>
            </w:r>
          </w:p>
          <w:p>
            <w:pPr>
              <w:pStyle w:val="TableParagraph"/>
              <w:spacing w:line="240" w:lineRule="auto"/>
              <w:ind w:left="23" w:right="108"/>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40" w:lineRule="auto"/>
              <w:ind w:left="23" w:right="178"/>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sz w:val="21"/>
              </w:rPr>
              <w:t>5,00</w:t>
            </w:r>
          </w:p>
          <w:p>
            <w:pPr>
              <w:pStyle w:val="TableParagraph"/>
              <w:spacing w:line="273" w:lineRule="exact"/>
              <w:ind w:left="31" w:right="0"/>
              <w:jc w:val="left"/>
              <w:rPr>
                <w:rFonts w:ascii="宋体" w:hAnsi="宋体" w:cs="宋体" w:eastAsia="宋体" w:hint="default"/>
                <w:sz w:val="21"/>
                <w:szCs w:val="21"/>
              </w:rPr>
            </w:pPr>
            <w:r>
              <w:rPr>
                <w:rFonts w:ascii="宋体"/>
                <w:sz w:val="21"/>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sz w:val="21"/>
              </w:rPr>
              <w:t>2017</w:t>
            </w:r>
          </w:p>
          <w:p>
            <w:pPr>
              <w:pStyle w:val="TableParagraph"/>
              <w:spacing w:line="240" w:lineRule="auto"/>
              <w:ind w:left="23" w:right="2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9</w:t>
            </w:r>
            <w:r>
              <w:rPr>
                <w:rFonts w:ascii="宋体" w:hAnsi="宋体" w:cs="宋体" w:eastAsia="宋体" w:hint="default"/>
                <w:sz w:val="21"/>
                <w:szCs w:val="21"/>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sz w:val="21"/>
              </w:rPr>
              <w:t>2017</w:t>
            </w:r>
          </w:p>
          <w:p>
            <w:pPr>
              <w:pStyle w:val="TableParagraph"/>
              <w:spacing w:line="240" w:lineRule="auto"/>
              <w:ind w:left="23" w:right="10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9</w:t>
            </w:r>
            <w:r>
              <w:rPr>
                <w:rFonts w:ascii="宋体" w:hAnsi="宋体" w:cs="宋体" w:eastAsia="宋体" w:hint="default"/>
                <w:sz w:val="21"/>
                <w:szCs w:val="21"/>
              </w:rPr>
              <w:t>日</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sz w:val="21"/>
              </w:rPr>
              <w:t>2018</w:t>
            </w:r>
          </w:p>
          <w:p>
            <w:pPr>
              <w:pStyle w:val="TableParagraph"/>
              <w:spacing w:line="237" w:lineRule="auto"/>
              <w:ind w:left="24" w:right="16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40" w:lineRule="auto"/>
              <w:ind w:left="24" w:right="134"/>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7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全资</w:t>
            </w:r>
          </w:p>
          <w:p>
            <w:pPr>
              <w:pStyle w:val="TableParagraph"/>
              <w:spacing w:line="240" w:lineRule="auto"/>
              <w:ind w:left="187" w:right="79" w:hanging="106"/>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82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72" w:lineRule="exact" w:before="27"/>
              <w:ind w:left="26" w:right="216"/>
              <w:jc w:val="left"/>
              <w:rPr>
                <w:rFonts w:ascii="宋体" w:hAnsi="宋体" w:cs="宋体" w:eastAsia="宋体" w:hint="default"/>
                <w:sz w:val="21"/>
                <w:szCs w:val="21"/>
              </w:rPr>
            </w:pPr>
            <w:r>
              <w:rPr>
                <w:rFonts w:ascii="宋体" w:hAnsi="宋体" w:cs="宋体" w:eastAsia="宋体" w:hint="default"/>
                <w:sz w:val="21"/>
                <w:szCs w:val="21"/>
              </w:rPr>
              <w:t>博泽科技股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全资</w:t>
            </w:r>
          </w:p>
          <w:p>
            <w:pPr>
              <w:pStyle w:val="TableParagraph"/>
              <w:spacing w:line="272" w:lineRule="exact" w:before="27"/>
              <w:ind w:left="23" w:right="108"/>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72" w:lineRule="exact" w:before="27"/>
              <w:ind w:left="23" w:right="178"/>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sz w:val="21"/>
              </w:rPr>
              <w:t>6,00</w:t>
            </w:r>
          </w:p>
          <w:p>
            <w:pPr>
              <w:pStyle w:val="TableParagraph"/>
              <w:spacing w:line="274" w:lineRule="exact"/>
              <w:ind w:left="31" w:right="0"/>
              <w:jc w:val="left"/>
              <w:rPr>
                <w:rFonts w:ascii="宋体" w:hAnsi="宋体" w:cs="宋体" w:eastAsia="宋体" w:hint="default"/>
                <w:sz w:val="21"/>
                <w:szCs w:val="21"/>
              </w:rPr>
            </w:pPr>
            <w:r>
              <w:rPr>
                <w:rFonts w:ascii="宋体"/>
                <w:sz w:val="21"/>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2017</w:t>
            </w:r>
          </w:p>
          <w:p>
            <w:pPr>
              <w:pStyle w:val="TableParagraph"/>
              <w:spacing w:line="272" w:lineRule="exact" w:before="27"/>
              <w:ind w:left="23" w:right="2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30</w:t>
            </w:r>
            <w:r>
              <w:rPr>
                <w:rFonts w:ascii="宋体" w:hAnsi="宋体" w:cs="宋体" w:eastAsia="宋体" w:hint="default"/>
                <w:sz w:val="21"/>
                <w:szCs w:val="21"/>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2017</w:t>
            </w:r>
          </w:p>
          <w:p>
            <w:pPr>
              <w:pStyle w:val="TableParagraph"/>
              <w:spacing w:line="272" w:lineRule="exact" w:before="27"/>
              <w:ind w:left="23" w:right="10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30</w:t>
            </w:r>
            <w:r>
              <w:rPr>
                <w:rFonts w:ascii="宋体" w:hAnsi="宋体" w:cs="宋体" w:eastAsia="宋体" w:hint="default"/>
                <w:sz w:val="21"/>
                <w:szCs w:val="21"/>
              </w:rPr>
              <w:t>日</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2018</w:t>
            </w:r>
          </w:p>
          <w:p>
            <w:pPr>
              <w:pStyle w:val="TableParagraph"/>
              <w:spacing w:line="272" w:lineRule="exact" w:before="27"/>
              <w:ind w:left="24" w:right="6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29</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7"/>
              <w:ind w:left="24" w:right="134"/>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7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全资</w:t>
            </w:r>
          </w:p>
          <w:p>
            <w:pPr>
              <w:pStyle w:val="TableParagraph"/>
              <w:spacing w:line="272" w:lineRule="exact" w:before="27"/>
              <w:ind w:left="187" w:right="79" w:hanging="106"/>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bl>
    <w:p>
      <w:pPr>
        <w:spacing w:after="0" w:line="272" w:lineRule="exact"/>
        <w:jc w:val="left"/>
        <w:rPr>
          <w:rFonts w:ascii="宋体" w:hAnsi="宋体" w:cs="宋体" w:eastAsia="宋体" w:hint="default"/>
          <w:sz w:val="21"/>
          <w:szCs w:val="21"/>
        </w:rPr>
        <w:sectPr>
          <w:type w:val="continuous"/>
          <w:pgSz w:w="11910" w:h="16840"/>
          <w:pgMar w:top="1120" w:bottom="1380" w:left="166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308"/>
        <w:gridCol w:w="566"/>
        <w:gridCol w:w="425"/>
        <w:gridCol w:w="583"/>
        <w:gridCol w:w="590"/>
        <w:gridCol w:w="670"/>
        <w:gridCol w:w="521"/>
        <w:gridCol w:w="593"/>
        <w:gridCol w:w="590"/>
        <w:gridCol w:w="595"/>
        <w:gridCol w:w="252"/>
        <w:gridCol w:w="418"/>
        <w:gridCol w:w="596"/>
        <w:gridCol w:w="593"/>
        <w:gridCol w:w="595"/>
      </w:tblGrid>
      <w:tr>
        <w:trPr>
          <w:trHeight w:val="305"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0" w:type="dxa"/>
            <w:gridSpan w:val="2"/>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0"/>
              <w:jc w:val="left"/>
              <w:rPr>
                <w:rFonts w:ascii="宋体" w:hAnsi="宋体" w:cs="宋体" w:eastAsia="宋体" w:hint="default"/>
                <w:sz w:val="21"/>
                <w:szCs w:val="21"/>
              </w:rPr>
            </w:pPr>
            <w:r>
              <w:rPr>
                <w:rFonts w:ascii="宋体"/>
                <w:sz w:val="21"/>
              </w:rPr>
              <w:t>51,000.00</w:t>
            </w:r>
          </w:p>
        </w:tc>
      </w:tr>
      <w:tr>
        <w:trPr>
          <w:trHeight w:val="319"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0"/>
              <w:jc w:val="left"/>
              <w:rPr>
                <w:rFonts w:ascii="宋体" w:hAnsi="宋体" w:cs="宋体" w:eastAsia="宋体" w:hint="default"/>
                <w:sz w:val="21"/>
                <w:szCs w:val="21"/>
              </w:rPr>
            </w:pPr>
            <w:r>
              <w:rPr>
                <w:rFonts w:ascii="宋体"/>
                <w:sz w:val="21"/>
              </w:rPr>
              <w:t>51,000.00</w:t>
            </w:r>
          </w:p>
        </w:tc>
      </w:tr>
      <w:tr>
        <w:trPr>
          <w:trHeight w:val="317"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2"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sz w:val="21"/>
              </w:rPr>
              <w:t>72,000.0</w:t>
            </w:r>
          </w:p>
        </w:tc>
      </w:tr>
      <w:tr>
        <w:trPr>
          <w:trHeight w:val="317"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0"/>
              <w:jc w:val="left"/>
              <w:rPr>
                <w:rFonts w:ascii="宋体" w:hAnsi="宋体" w:cs="宋体" w:eastAsia="宋体" w:hint="default"/>
                <w:sz w:val="21"/>
                <w:szCs w:val="21"/>
              </w:rPr>
            </w:pPr>
            <w:r>
              <w:rPr>
                <w:rFonts w:ascii="宋体"/>
                <w:sz w:val="21"/>
              </w:rPr>
              <w:t>72,000.00</w:t>
            </w:r>
          </w:p>
        </w:tc>
      </w:tr>
      <w:tr>
        <w:trPr>
          <w:trHeight w:val="319"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9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sz w:val="21"/>
              </w:rPr>
              <w:t>123,000.00</w:t>
            </w:r>
          </w:p>
        </w:tc>
      </w:tr>
      <w:tr>
        <w:trPr>
          <w:trHeight w:val="554"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54.03</w:t>
            </w:r>
          </w:p>
        </w:tc>
      </w:tr>
      <w:tr>
        <w:trPr>
          <w:trHeight w:val="317"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9"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w w:val="100"/>
                <w:sz w:val="21"/>
              </w:rPr>
              <w:t>0</w:t>
            </w:r>
          </w:p>
        </w:tc>
      </w:tr>
      <w:tr>
        <w:trPr>
          <w:trHeight w:val="317"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的被担保对象提供的债务担保金额（</w:t>
            </w:r>
            <w:r>
              <w:rPr>
                <w:rFonts w:ascii="宋体" w:hAnsi="宋体" w:cs="宋体" w:eastAsia="宋体" w:hint="default"/>
                <w:sz w:val="21"/>
                <w:szCs w:val="21"/>
              </w:rPr>
              <w:t>D</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tabs>
                <w:tab w:pos="1126" w:val="left" w:leader="none"/>
              </w:tabs>
              <w:spacing w:line="241" w:lineRule="exact"/>
              <w:ind w:left="-157" w:right="0"/>
              <w:jc w:val="lef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72,000.00</w:t>
            </w:r>
          </w:p>
        </w:tc>
      </w:tr>
      <w:tr>
        <w:trPr>
          <w:trHeight w:val="319"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sz w:val="21"/>
              </w:rPr>
              <w:t>9,168.41</w:t>
            </w:r>
          </w:p>
        </w:tc>
      </w:tr>
      <w:tr>
        <w:trPr>
          <w:trHeight w:val="317"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2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0"/>
              <w:jc w:val="left"/>
              <w:rPr>
                <w:rFonts w:ascii="宋体" w:hAnsi="宋体" w:cs="宋体" w:eastAsia="宋体" w:hint="default"/>
                <w:sz w:val="21"/>
                <w:szCs w:val="21"/>
              </w:rPr>
            </w:pPr>
            <w:r>
              <w:rPr>
                <w:rFonts w:ascii="宋体"/>
                <w:sz w:val="21"/>
              </w:rPr>
              <w:t>81,168.41</w:t>
            </w:r>
          </w:p>
        </w:tc>
      </w:tr>
      <w:tr>
        <w:trPr>
          <w:trHeight w:val="319"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2201" w:type="dxa"/>
            <w:gridSpan w:val="4"/>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担保情况说明</w:t>
            </w:r>
          </w:p>
        </w:tc>
        <w:tc>
          <w:tcPr>
            <w:tcW w:w="2201"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6"/>
          <w:pgSz w:w="11910" w:h="16840"/>
          <w:pgMar w:footer="1195" w:header="880" w:top="1120" w:bottom="1380" w:left="1580" w:right="1040"/>
        </w:sectPr>
      </w:pPr>
    </w:p>
    <w:p>
      <w:pPr>
        <w:pStyle w:val="Heading2"/>
        <w:tabs>
          <w:tab w:pos="1057" w:val="left" w:leader="none"/>
        </w:tabs>
        <w:spacing w:line="283"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w w:val="95"/>
        </w:rPr>
        <w:t>委托他人进行现金资产管理的情况</w:t>
      </w:r>
      <w:r>
        <w:rPr>
          <w:spacing w:val="63"/>
          <w:w w:val="95"/>
        </w:rPr>
        <w:t> </w:t>
      </w:r>
      <w:r>
        <w:rPr>
          <w:spacing w:val="63"/>
          <w:w w:val="95"/>
        </w:rPr>
      </w:r>
      <w:r>
        <w:rPr>
          <w:rFonts w:ascii="宋体" w:hAnsi="宋体" w:cs="宋体" w:eastAsia="宋体" w:hint="default"/>
        </w:rPr>
        <w:t>1</w:t>
      </w:r>
      <w:r>
        <w:rPr/>
        <w:t>、</w:t>
      </w:r>
      <w:r>
        <w:rPr>
          <w:spacing w:val="-3"/>
        </w:rPr>
        <w:t> </w:t>
      </w:r>
      <w:r>
        <w:rPr/>
        <w:t>委托理财情况</w:t>
      </w:r>
      <w:r>
        <w:rPr>
          <w:b w:val="0"/>
          <w:bCs w:val="0"/>
        </w:rPr>
      </w:r>
    </w:p>
    <w:p>
      <w:pPr>
        <w:pStyle w:val="Heading2"/>
        <w:tabs>
          <w:tab w:pos="1057" w:val="left" w:leader="none"/>
        </w:tabs>
        <w:spacing w:line="240" w:lineRule="auto" w:before="15"/>
        <w:ind w:right="0"/>
        <w:jc w:val="left"/>
        <w:rPr>
          <w:b w:val="0"/>
          <w:bCs w:val="0"/>
        </w:rPr>
      </w:pPr>
      <w:r>
        <w:rPr>
          <w:rFonts w:ascii="宋体" w:hAnsi="宋体" w:cs="宋体" w:eastAsia="宋体" w:hint="default"/>
        </w:rPr>
        <w:t>(1).</w:t>
        <w:tab/>
      </w:r>
      <w:r>
        <w:rPr/>
        <w:t>委托理财总体情况</w:t>
      </w:r>
      <w:r>
        <w:rPr>
          <w:b w:val="0"/>
          <w:bCs w:val="0"/>
        </w:rPr>
      </w:r>
    </w:p>
    <w:p>
      <w:pPr>
        <w:pStyle w:val="BodyText"/>
        <w:tabs>
          <w:tab w:pos="1060" w:val="left" w:leader="none"/>
        </w:tabs>
        <w:spacing w:line="240" w:lineRule="auto" w:before="1"/>
        <w:ind w:right="0"/>
        <w:jc w:val="left"/>
      </w:pPr>
      <w:r>
        <w:rPr>
          <w:spacing w:val="-1"/>
        </w:rPr>
        <w:t>√适用</w:t>
        <w:tab/>
      </w:r>
      <w:r>
        <w:rPr>
          <w:spacing w:val="-2"/>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671" w:space="1521"/>
            <w:col w:w="3098"/>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431"/>
              <w:jc w:val="right"/>
              <w:rPr>
                <w:rFonts w:ascii="宋体" w:hAnsi="宋体" w:cs="宋体" w:eastAsia="宋体" w:hint="default"/>
                <w:sz w:val="24"/>
                <w:szCs w:val="24"/>
              </w:rPr>
            </w:pPr>
            <w:r>
              <w:rPr>
                <w:rFonts w:ascii="宋体" w:hAnsi="宋体" w:cs="宋体" w:eastAsia="宋体" w:hint="default"/>
                <w:sz w:val="24"/>
                <w:szCs w:val="24"/>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64" w:right="0"/>
              <w:jc w:val="left"/>
              <w:rPr>
                <w:rFonts w:ascii="宋体" w:hAnsi="宋体" w:cs="宋体" w:eastAsia="宋体" w:hint="default"/>
                <w:sz w:val="24"/>
                <w:szCs w:val="24"/>
              </w:rPr>
            </w:pPr>
            <w:r>
              <w:rPr>
                <w:rFonts w:ascii="宋体" w:hAnsi="宋体" w:cs="宋体" w:eastAsia="宋体" w:hint="default"/>
                <w:sz w:val="24"/>
                <w:szCs w:val="24"/>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84" w:right="0"/>
              <w:jc w:val="left"/>
              <w:rPr>
                <w:rFonts w:ascii="宋体" w:hAnsi="宋体" w:cs="宋体" w:eastAsia="宋体" w:hint="default"/>
                <w:sz w:val="24"/>
                <w:szCs w:val="24"/>
              </w:rPr>
            </w:pPr>
            <w:r>
              <w:rPr>
                <w:rFonts w:ascii="宋体" w:hAnsi="宋体" w:cs="宋体" w:eastAsia="宋体" w:hint="default"/>
                <w:sz w:val="24"/>
                <w:szCs w:val="24"/>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90" w:right="0"/>
              <w:jc w:val="left"/>
              <w:rPr>
                <w:rFonts w:ascii="宋体" w:hAnsi="宋体" w:cs="宋体" w:eastAsia="宋体" w:hint="default"/>
                <w:sz w:val="24"/>
                <w:szCs w:val="24"/>
              </w:rPr>
            </w:pPr>
            <w:r>
              <w:rPr>
                <w:rFonts w:ascii="宋体" w:hAnsi="宋体" w:cs="宋体" w:eastAsia="宋体" w:hint="default"/>
                <w:sz w:val="24"/>
                <w:szCs w:val="24"/>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hAnsi="宋体" w:cs="宋体" w:eastAsia="宋体" w:hint="default"/>
                <w:spacing w:val="-1"/>
                <w:sz w:val="21"/>
                <w:szCs w:val="21"/>
              </w:rPr>
              <w:t>公募基金产品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sz w:val="21"/>
              </w:rPr>
              <w:t>40,000,000.00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pacing w:val="-1"/>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11,000,000.00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r>
    </w:tbl>
    <w:p>
      <w:pPr>
        <w:pStyle w:val="BodyText"/>
        <w:spacing w:line="241" w:lineRule="exact"/>
        <w:ind w:left="638" w:right="123"/>
        <w:jc w:val="left"/>
      </w:pPr>
      <w:r>
        <w:rPr/>
        <w:t>公募基金产品为子公司金证财富南京科技有限公司购置的基金产品，银行理财产品为子公司</w:t>
      </w:r>
    </w:p>
    <w:p>
      <w:pPr>
        <w:pStyle w:val="BodyText"/>
        <w:spacing w:line="410" w:lineRule="atLeast"/>
        <w:ind w:right="4395"/>
        <w:jc w:val="left"/>
        <w:rPr>
          <w:rFonts w:ascii="宋体" w:hAnsi="宋体" w:cs="宋体" w:eastAsia="宋体" w:hint="default"/>
        </w:rPr>
      </w:pPr>
      <w:r>
        <w:rPr>
          <w:spacing w:val="-2"/>
        </w:rPr>
        <w:t>成都金证信息技术有限公司购置的银行理财产品</w:t>
      </w:r>
      <w:r>
        <w:rPr>
          <w:spacing w:val="-65"/>
        </w:rPr>
        <w:t> </w:t>
      </w:r>
      <w:r>
        <w:rPr>
          <w:spacing w:val="-65"/>
        </w:rPr>
      </w:r>
      <w:r>
        <w:rPr>
          <w:rFonts w:ascii="宋体" w:hAnsi="宋体" w:cs="宋体" w:eastAsia="宋体" w:hint="default"/>
          <w:b/>
          <w:bCs/>
        </w:rPr>
        <w:t>其他情况</w:t>
      </w:r>
      <w:r>
        <w:rPr>
          <w:rFonts w:ascii="宋体" w:hAnsi="宋体" w:cs="宋体" w:eastAsia="宋体" w:hint="default"/>
        </w:rPr>
      </w:r>
    </w:p>
    <w:p>
      <w:pPr>
        <w:pStyle w:val="BodyText"/>
        <w:tabs>
          <w:tab w:pos="1060" w:val="left" w:leader="none"/>
        </w:tabs>
        <w:spacing w:line="269" w:lineRule="exact"/>
        <w:ind w:right="215"/>
        <w:jc w:val="left"/>
      </w:pPr>
      <w:r>
        <w:rPr>
          <w:spacing w:val="-1"/>
        </w:rPr>
        <w:t>□适用</w:t>
        <w:tab/>
      </w:r>
      <w:r>
        <w:rPr>
          <w:spacing w:val="-2"/>
        </w:rPr>
        <w:t>√不适用</w:t>
      </w:r>
    </w:p>
    <w:p>
      <w:pPr>
        <w:pStyle w:val="Heading2"/>
        <w:tabs>
          <w:tab w:pos="1057" w:val="left" w:leader="none"/>
        </w:tabs>
        <w:spacing w:line="309" w:lineRule="exact" w:before="0"/>
        <w:ind w:right="215"/>
        <w:jc w:val="left"/>
        <w:rPr>
          <w:b w:val="0"/>
          <w:bCs w:val="0"/>
        </w:rPr>
      </w:pPr>
      <w:r>
        <w:rPr>
          <w:rFonts w:ascii="宋体" w:hAnsi="宋体" w:cs="宋体" w:eastAsia="宋体" w:hint="default"/>
        </w:rPr>
        <w:t>(2).</w:t>
        <w:tab/>
      </w:r>
      <w:r>
        <w:rPr/>
        <w:t>单项委托理财情况</w:t>
      </w:r>
      <w:r>
        <w:rPr>
          <w:b w:val="0"/>
          <w:bCs w:val="0"/>
        </w:rPr>
      </w:r>
    </w:p>
    <w:p>
      <w:pPr>
        <w:tabs>
          <w:tab w:pos="1060" w:val="left" w:leader="none"/>
        </w:tabs>
        <w:spacing w:before="4"/>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67" w:lineRule="exact"/>
        <w:ind w:right="215"/>
        <w:jc w:val="left"/>
      </w:pPr>
      <w:r>
        <w:rPr>
          <w:spacing w:val="-1"/>
        </w:rPr>
        <w:t>□适用</w:t>
        <w:tab/>
      </w:r>
      <w:r>
        <w:rPr>
          <w:spacing w:val="-2"/>
        </w:rPr>
        <w:t>√不适用</w:t>
      </w:r>
    </w:p>
    <w:p>
      <w:pPr>
        <w:pStyle w:val="Heading2"/>
        <w:tabs>
          <w:tab w:pos="1057" w:val="left" w:leader="none"/>
        </w:tabs>
        <w:spacing w:line="310" w:lineRule="exact" w:before="0"/>
        <w:ind w:right="215"/>
        <w:jc w:val="left"/>
        <w:rPr>
          <w:b w:val="0"/>
          <w:bCs w:val="0"/>
        </w:rPr>
      </w:pPr>
      <w:r>
        <w:rPr>
          <w:rFonts w:ascii="宋体" w:hAnsi="宋体" w:cs="宋体" w:eastAsia="宋体" w:hint="default"/>
        </w:rPr>
        <w:t>(3).</w:t>
        <w:tab/>
      </w:r>
      <w:r>
        <w:rPr/>
        <w:t>委托理财减值准备</w:t>
      </w:r>
      <w:r>
        <w:rPr>
          <w:b w:val="0"/>
          <w:bCs w:val="0"/>
        </w:rPr>
      </w:r>
    </w:p>
    <w:p>
      <w:pPr>
        <w:pStyle w:val="BodyText"/>
        <w:tabs>
          <w:tab w:pos="1060" w:val="left" w:leader="none"/>
        </w:tabs>
        <w:spacing w:line="240" w:lineRule="auto" w:before="1"/>
        <w:ind w:right="215"/>
        <w:jc w:val="left"/>
      </w:pPr>
      <w:r>
        <w:rPr>
          <w:spacing w:val="-1"/>
        </w:rPr>
        <w:t>□适用</w:t>
        <w:tab/>
      </w:r>
      <w:r>
        <w:rPr>
          <w:spacing w:val="-2"/>
        </w:rPr>
        <w:t>√不适用</w:t>
      </w:r>
    </w:p>
    <w:p>
      <w:pPr>
        <w:pStyle w:val="Heading2"/>
        <w:spacing w:line="240" w:lineRule="auto" w:before="52"/>
        <w:ind w:right="215"/>
        <w:jc w:val="left"/>
        <w:rPr>
          <w:b w:val="0"/>
          <w:bCs w:val="0"/>
        </w:rPr>
      </w:pPr>
      <w:r>
        <w:rPr>
          <w:rFonts w:ascii="宋体" w:hAnsi="宋体" w:cs="宋体" w:eastAsia="宋体" w:hint="default"/>
        </w:rPr>
        <w:t>2</w:t>
      </w:r>
      <w:r>
        <w:rPr/>
        <w:t>、</w:t>
      </w:r>
      <w:r>
        <w:rPr>
          <w:spacing w:val="-66"/>
        </w:rPr>
        <w:t> </w:t>
      </w:r>
      <w:r>
        <w:rPr/>
        <w:t>委托贷款情况</w:t>
      </w:r>
      <w:r>
        <w:rPr>
          <w:b w:val="0"/>
          <w:bCs w:val="0"/>
        </w:rPr>
      </w:r>
    </w:p>
    <w:p>
      <w:pPr>
        <w:pStyle w:val="Heading2"/>
        <w:tabs>
          <w:tab w:pos="1057" w:val="left" w:leader="none"/>
        </w:tabs>
        <w:spacing w:line="240" w:lineRule="auto" w:before="55"/>
        <w:ind w:right="215"/>
        <w:jc w:val="left"/>
        <w:rPr>
          <w:b w:val="0"/>
          <w:bCs w:val="0"/>
        </w:rPr>
      </w:pPr>
      <w:r>
        <w:rPr>
          <w:rFonts w:ascii="宋体" w:hAnsi="宋体" w:cs="宋体" w:eastAsia="宋体" w:hint="default"/>
        </w:rPr>
        <w:t>(1).</w:t>
        <w:tab/>
      </w:r>
      <w:r>
        <w:rPr/>
        <w:t>委托贷款总体情况</w:t>
      </w:r>
      <w:r>
        <w:rPr>
          <w:b w:val="0"/>
          <w:bCs w:val="0"/>
        </w:rPr>
      </w:r>
    </w:p>
    <w:p>
      <w:pPr>
        <w:pStyle w:val="BodyText"/>
        <w:tabs>
          <w:tab w:pos="1060" w:val="left" w:leader="none"/>
        </w:tabs>
        <w:spacing w:line="240" w:lineRule="auto" w:before="4"/>
        <w:ind w:right="215"/>
        <w:jc w:val="left"/>
      </w:pPr>
      <w:r>
        <w:rPr>
          <w:spacing w:val="-1"/>
        </w:rPr>
        <w:t>√适用</w:t>
        <w:tab/>
      </w:r>
      <w:r>
        <w:rPr>
          <w:spacing w:val="-2"/>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9"/>
        <w:gridCol w:w="1700"/>
        <w:gridCol w:w="1844"/>
        <w:gridCol w:w="1841"/>
        <w:gridCol w:w="2137"/>
      </w:tblGrid>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类型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7"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0"/>
              <w:jc w:val="right"/>
              <w:rPr>
                <w:rFonts w:ascii="宋体" w:hAnsi="宋体" w:cs="宋体" w:eastAsia="宋体" w:hint="default"/>
                <w:sz w:val="21"/>
                <w:szCs w:val="21"/>
              </w:rPr>
            </w:pPr>
            <w:r>
              <w:rPr>
                <w:rFonts w:ascii="宋体" w:hAnsi="宋体" w:cs="宋体" w:eastAsia="宋体" w:hint="default"/>
                <w:spacing w:val="-1"/>
                <w:sz w:val="21"/>
                <w:szCs w:val="21"/>
              </w:rPr>
              <w:t>经营性贷款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sz w:val="21"/>
              </w:rPr>
              <w:t>10,000,000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sz w:val="21"/>
              </w:rPr>
              <w:t>20,533,900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sz w:val="15"/>
          <w:szCs w:val="15"/>
        </w:rPr>
      </w:pPr>
    </w:p>
    <w:p>
      <w:pPr>
        <w:pStyle w:val="Heading4"/>
        <w:spacing w:line="240" w:lineRule="auto" w:before="36"/>
        <w:ind w:right="215"/>
        <w:jc w:val="left"/>
        <w:rPr>
          <w:b w:val="0"/>
          <w:bCs w:val="0"/>
        </w:rPr>
      </w:pPr>
      <w:r>
        <w:rPr/>
        <w:t>其他情况</w:t>
      </w:r>
      <w:r>
        <w:rPr>
          <w:b w:val="0"/>
          <w:bCs w:val="0"/>
        </w:rPr>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17"/>
          <w:pgSz w:w="11910" w:h="16840"/>
          <w:pgMar w:footer="1195" w:header="880" w:top="1120" w:bottom="1380" w:left="880" w:right="360"/>
          <w:pgNumType w:start="31"/>
        </w:sectPr>
      </w:pPr>
    </w:p>
    <w:p>
      <w:pPr>
        <w:pStyle w:val="BodyText"/>
        <w:tabs>
          <w:tab w:pos="1760" w:val="left" w:leader="none"/>
        </w:tabs>
        <w:spacing w:line="271" w:lineRule="exact" w:before="36"/>
        <w:ind w:left="918" w:right="0"/>
        <w:jc w:val="left"/>
      </w:pPr>
      <w:r>
        <w:rPr>
          <w:spacing w:val="-1"/>
        </w:rPr>
        <w:t>□适用</w:t>
        <w:tab/>
      </w:r>
      <w:r>
        <w:rPr>
          <w:spacing w:val="-2"/>
        </w:rPr>
        <w:t>√不适用</w:t>
      </w:r>
    </w:p>
    <w:p>
      <w:pPr>
        <w:pStyle w:val="Heading2"/>
        <w:tabs>
          <w:tab w:pos="1757" w:val="left" w:leader="none"/>
        </w:tabs>
        <w:spacing w:line="310" w:lineRule="exact" w:before="0"/>
        <w:ind w:left="918" w:right="0"/>
        <w:jc w:val="left"/>
        <w:rPr>
          <w:b w:val="0"/>
          <w:bCs w:val="0"/>
        </w:rPr>
      </w:pPr>
      <w:r>
        <w:rPr>
          <w:rFonts w:ascii="宋体" w:hAnsi="宋体" w:cs="宋体" w:eastAsia="宋体" w:hint="default"/>
        </w:rPr>
        <w:t>(2).</w:t>
        <w:tab/>
      </w:r>
      <w:r>
        <w:rPr>
          <w:w w:val="95"/>
        </w:rPr>
        <w:t>单项委托贷款情况</w:t>
      </w:r>
      <w:r>
        <w:rPr>
          <w:b w:val="0"/>
          <w:bCs w:val="0"/>
        </w:rPr>
      </w:r>
    </w:p>
    <w:p>
      <w:pPr>
        <w:pStyle w:val="BodyText"/>
        <w:tabs>
          <w:tab w:pos="1760" w:val="left" w:leader="none"/>
        </w:tabs>
        <w:spacing w:line="240" w:lineRule="auto" w:before="4"/>
        <w:ind w:left="9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tabs>
          <w:tab w:pos="1969" w:val="left" w:leader="none"/>
        </w:tabs>
        <w:spacing w:line="240" w:lineRule="auto"/>
        <w:ind w:left="918" w:right="0"/>
        <w:jc w:val="left"/>
      </w:pPr>
      <w:r>
        <w:rPr>
          <w:spacing w:val="-1"/>
        </w:rPr>
        <w:t>单位：元</w:t>
        <w:tab/>
      </w:r>
      <w:r>
        <w:rPr>
          <w:spacing w:val="-2"/>
        </w:rPr>
        <w:t>币种：人民币</w:t>
      </w:r>
    </w:p>
    <w:p>
      <w:pPr>
        <w:spacing w:after="0" w:line="240" w:lineRule="auto"/>
        <w:jc w:val="left"/>
        <w:sectPr>
          <w:type w:val="continuous"/>
          <w:pgSz w:w="11910" w:h="16840"/>
          <w:pgMar w:top="1120" w:bottom="1380" w:left="880" w:right="360"/>
          <w:cols w:num="2" w:equalWidth="0">
            <w:col w:w="3685" w:space="2837"/>
            <w:col w:w="414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61"/>
        <w:gridCol w:w="689"/>
        <w:gridCol w:w="950"/>
        <w:gridCol w:w="723"/>
        <w:gridCol w:w="703"/>
        <w:gridCol w:w="425"/>
        <w:gridCol w:w="427"/>
        <w:gridCol w:w="655"/>
        <w:gridCol w:w="567"/>
        <w:gridCol w:w="569"/>
        <w:gridCol w:w="850"/>
        <w:gridCol w:w="992"/>
        <w:gridCol w:w="710"/>
        <w:gridCol w:w="754"/>
        <w:gridCol w:w="653"/>
      </w:tblGrid>
      <w:tr>
        <w:trPr>
          <w:trHeight w:val="164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224"/>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151"/>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203"/>
              <w:jc w:val="left"/>
              <w:rPr>
                <w:rFonts w:ascii="宋体" w:hAnsi="宋体" w:cs="宋体" w:eastAsia="宋体" w:hint="default"/>
                <w:sz w:val="21"/>
                <w:szCs w:val="21"/>
              </w:rPr>
            </w:pPr>
            <w:r>
              <w:rPr>
                <w:rFonts w:ascii="宋体" w:hAnsi="宋体" w:cs="宋体" w:eastAsia="宋体" w:hint="default"/>
                <w:sz w:val="21"/>
                <w:szCs w:val="21"/>
              </w:rPr>
              <w:t>委托贷</w:t>
            </w:r>
            <w:r>
              <w:rPr>
                <w:rFonts w:ascii="宋体" w:hAnsi="宋体" w:cs="宋体" w:eastAsia="宋体" w:hint="default"/>
                <w:spacing w:val="-102"/>
                <w:sz w:val="21"/>
                <w:szCs w:val="21"/>
              </w:rPr>
              <w:t> </w:t>
            </w:r>
            <w:r>
              <w:rPr>
                <w:rFonts w:ascii="宋体" w:hAnsi="宋体" w:cs="宋体" w:eastAsia="宋体" w:hint="default"/>
                <w:sz w:val="21"/>
                <w:szCs w:val="21"/>
              </w:rPr>
              <w:t>款金额</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67"/>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120"/>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年</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预</w:t>
            </w:r>
          </w:p>
          <w:p>
            <w:pPr>
              <w:pStyle w:val="TableParagraph"/>
              <w:spacing w:line="237" w:lineRule="auto"/>
              <w:ind w:left="103" w:right="13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103"/>
              <w:jc w:val="both"/>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益或损</w:t>
            </w:r>
            <w:r>
              <w:rPr>
                <w:rFonts w:ascii="宋体" w:hAnsi="宋体" w:cs="宋体" w:eastAsia="宋体" w:hint="default"/>
                <w:spacing w:val="-102"/>
                <w:sz w:val="21"/>
                <w:szCs w:val="21"/>
              </w:rPr>
              <w:t> </w:t>
            </w:r>
            <w:r>
              <w:rPr>
                <w:rFonts w:ascii="宋体" w:hAnsi="宋体" w:cs="宋体" w:eastAsia="宋体" w:hint="default"/>
                <w:sz w:val="21"/>
                <w:szCs w:val="21"/>
              </w:rPr>
              <w:t>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243"/>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未来</w:t>
            </w: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托贷</w:t>
            </w:r>
            <w:r>
              <w:rPr>
                <w:rFonts w:ascii="宋体" w:hAnsi="宋体" w:cs="宋体" w:eastAsia="宋体" w:hint="default"/>
                <w:spacing w:val="-103"/>
                <w:sz w:val="21"/>
                <w:szCs w:val="21"/>
              </w:rPr>
              <w:t> </w:t>
            </w:r>
            <w:r>
              <w:rPr>
                <w:rFonts w:ascii="宋体" w:hAnsi="宋体" w:cs="宋体" w:eastAsia="宋体" w:hint="default"/>
                <w:sz w:val="21"/>
                <w:szCs w:val="21"/>
              </w:rPr>
              <w:t>款计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03" w:right="117"/>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1371"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40" w:lineRule="auto"/>
              <w:ind w:left="103" w:right="151"/>
              <w:jc w:val="left"/>
              <w:rPr>
                <w:rFonts w:ascii="宋体" w:hAnsi="宋体" w:cs="宋体" w:eastAsia="宋体" w:hint="default"/>
                <w:sz w:val="21"/>
                <w:szCs w:val="21"/>
              </w:rPr>
            </w:pP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10,000,</w:t>
            </w:r>
          </w:p>
          <w:p>
            <w:pPr>
              <w:pStyle w:val="TableParagraph"/>
              <w:spacing w:line="273" w:lineRule="exact"/>
              <w:ind w:left="103" w:right="0"/>
              <w:jc w:val="left"/>
              <w:rPr>
                <w:rFonts w:ascii="宋体" w:hAnsi="宋体" w:cs="宋体" w:eastAsia="宋体" w:hint="default"/>
                <w:sz w:val="21"/>
                <w:szCs w:val="21"/>
              </w:rPr>
            </w:pPr>
            <w:r>
              <w:rPr>
                <w:rFonts w:ascii="宋体"/>
                <w:sz w:val="21"/>
              </w:rPr>
              <w:t>000.00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p>
          <w:p>
            <w:pPr>
              <w:pStyle w:val="TableParagraph"/>
              <w:spacing w:line="272" w:lineRule="exact" w:before="27"/>
              <w:ind w:left="103" w:right="134"/>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按同</w:t>
            </w:r>
          </w:p>
          <w:p>
            <w:pPr>
              <w:pStyle w:val="TableParagraph"/>
              <w:spacing w:line="237" w:lineRule="auto"/>
              <w:ind w:left="100" w:right="120"/>
              <w:jc w:val="both"/>
              <w:rPr>
                <w:rFonts w:ascii="宋体" w:hAnsi="宋体" w:cs="宋体" w:eastAsia="宋体" w:hint="default"/>
                <w:sz w:val="21"/>
                <w:szCs w:val="21"/>
              </w:rPr>
            </w:pPr>
            <w:r>
              <w:rPr>
                <w:rFonts w:ascii="宋体" w:hAnsi="宋体" w:cs="宋体" w:eastAsia="宋体" w:hint="default"/>
                <w:sz w:val="21"/>
                <w:szCs w:val="21"/>
              </w:rPr>
              <w:t>期基</w:t>
            </w:r>
            <w:r>
              <w:rPr>
                <w:rFonts w:ascii="宋体" w:hAnsi="宋体" w:cs="宋体" w:eastAsia="宋体" w:hint="default"/>
                <w:spacing w:val="-103"/>
                <w:sz w:val="21"/>
                <w:szCs w:val="21"/>
              </w:rPr>
              <w:t> </w:t>
            </w:r>
            <w:r>
              <w:rPr>
                <w:rFonts w:ascii="宋体" w:hAnsi="宋体" w:cs="宋体" w:eastAsia="宋体" w:hint="default"/>
                <w:sz w:val="21"/>
                <w:szCs w:val="21"/>
              </w:rPr>
              <w:t>准利</w:t>
            </w:r>
            <w:r>
              <w:rPr>
                <w:rFonts w:ascii="宋体" w:hAnsi="宋体" w:cs="宋体" w:eastAsia="宋体" w:hint="default"/>
                <w:spacing w:val="-103"/>
                <w:sz w:val="21"/>
                <w:szCs w:val="21"/>
              </w:rPr>
              <w:t> </w:t>
            </w:r>
            <w:r>
              <w:rPr>
                <w:rFonts w:ascii="宋体" w:hAnsi="宋体" w:cs="宋体" w:eastAsia="宋体" w:hint="default"/>
                <w:sz w:val="21"/>
                <w:szCs w:val="21"/>
              </w:rPr>
              <w:t>率计</w:t>
            </w:r>
            <w:r>
              <w:rPr>
                <w:rFonts w:ascii="宋体" w:hAnsi="宋体" w:cs="宋体" w:eastAsia="宋体" w:hint="default"/>
                <w:spacing w:val="-103"/>
                <w:sz w:val="21"/>
                <w:szCs w:val="21"/>
              </w:rPr>
              <w:t> </w:t>
            </w:r>
            <w:r>
              <w:rPr>
                <w:rFonts w:ascii="宋体" w:hAnsi="宋体" w:cs="宋体" w:eastAsia="宋体" w:hint="default"/>
                <w:sz w:val="21"/>
                <w:szCs w:val="21"/>
              </w:rPr>
              <w:t>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4.3</w:t>
            </w:r>
          </w:p>
          <w:p>
            <w:pPr>
              <w:pStyle w:val="TableParagraph"/>
              <w:spacing w:line="273" w:lineRule="exact"/>
              <w:ind w:left="103" w:right="0"/>
              <w:jc w:val="left"/>
              <w:rPr>
                <w:rFonts w:ascii="宋体" w:hAnsi="宋体" w:cs="宋体" w:eastAsia="宋体" w:hint="default"/>
                <w:sz w:val="21"/>
                <w:szCs w:val="21"/>
              </w:rPr>
            </w:pPr>
            <w:r>
              <w:rPr>
                <w:rFonts w:ascii="宋体"/>
                <w:sz w:val="21"/>
              </w:rPr>
              <w:t>5%</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357,66</w:t>
            </w:r>
          </w:p>
          <w:p>
            <w:pPr>
              <w:pStyle w:val="TableParagraph"/>
              <w:spacing w:line="273" w:lineRule="exact"/>
              <w:ind w:left="100" w:right="0"/>
              <w:jc w:val="left"/>
              <w:rPr>
                <w:rFonts w:ascii="宋体" w:hAnsi="宋体" w:cs="宋体" w:eastAsia="宋体" w:hint="default"/>
                <w:sz w:val="21"/>
                <w:szCs w:val="21"/>
              </w:rPr>
            </w:pPr>
            <w:r>
              <w:rPr>
                <w:rFonts w:ascii="宋体"/>
                <w:sz w:val="21"/>
              </w:rPr>
              <w:t>6.68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日收回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72" w:lineRule="exact" w:before="27"/>
              <w:ind w:left="103" w:right="151"/>
              <w:jc w:val="left"/>
              <w:rPr>
                <w:rFonts w:ascii="宋体" w:hAnsi="宋体" w:cs="宋体" w:eastAsia="宋体" w:hint="default"/>
                <w:sz w:val="21"/>
                <w:szCs w:val="21"/>
              </w:rPr>
            </w:pP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22,000</w:t>
            </w:r>
          </w:p>
          <w:p>
            <w:pPr>
              <w:pStyle w:val="TableParagraph"/>
              <w:spacing w:line="274" w:lineRule="exact"/>
              <w:ind w:left="103" w:right="0"/>
              <w:jc w:val="left"/>
              <w:rPr>
                <w:rFonts w:ascii="宋体" w:hAnsi="宋体" w:cs="宋体" w:eastAsia="宋体" w:hint="default"/>
                <w:sz w:val="21"/>
                <w:szCs w:val="21"/>
              </w:rPr>
            </w:pPr>
            <w:r>
              <w:rPr>
                <w:rFonts w:ascii="宋体"/>
                <w:sz w:val="21"/>
              </w:rPr>
              <w:t>,000.00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ind w:left="103" w:right="134"/>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按同</w:t>
            </w:r>
          </w:p>
          <w:p>
            <w:pPr>
              <w:pStyle w:val="TableParagraph"/>
              <w:spacing w:line="237" w:lineRule="auto" w:before="2"/>
              <w:ind w:left="100" w:right="120"/>
              <w:jc w:val="both"/>
              <w:rPr>
                <w:rFonts w:ascii="宋体" w:hAnsi="宋体" w:cs="宋体" w:eastAsia="宋体" w:hint="default"/>
                <w:sz w:val="21"/>
                <w:szCs w:val="21"/>
              </w:rPr>
            </w:pPr>
            <w:r>
              <w:rPr>
                <w:rFonts w:ascii="宋体" w:hAnsi="宋体" w:cs="宋体" w:eastAsia="宋体" w:hint="default"/>
                <w:sz w:val="21"/>
                <w:szCs w:val="21"/>
              </w:rPr>
              <w:t>期基</w:t>
            </w:r>
            <w:r>
              <w:rPr>
                <w:rFonts w:ascii="宋体" w:hAnsi="宋体" w:cs="宋体" w:eastAsia="宋体" w:hint="default"/>
                <w:spacing w:val="-103"/>
                <w:sz w:val="21"/>
                <w:szCs w:val="21"/>
              </w:rPr>
              <w:t> </w:t>
            </w:r>
            <w:r>
              <w:rPr>
                <w:rFonts w:ascii="宋体" w:hAnsi="宋体" w:cs="宋体" w:eastAsia="宋体" w:hint="default"/>
                <w:sz w:val="21"/>
                <w:szCs w:val="21"/>
              </w:rPr>
              <w:t>准利</w:t>
            </w:r>
            <w:r>
              <w:rPr>
                <w:rFonts w:ascii="宋体" w:hAnsi="宋体" w:cs="宋体" w:eastAsia="宋体" w:hint="default"/>
                <w:spacing w:val="-103"/>
                <w:sz w:val="21"/>
                <w:szCs w:val="21"/>
              </w:rPr>
              <w:t> </w:t>
            </w:r>
            <w:r>
              <w:rPr>
                <w:rFonts w:ascii="宋体" w:hAnsi="宋体" w:cs="宋体" w:eastAsia="宋体" w:hint="default"/>
                <w:sz w:val="21"/>
                <w:szCs w:val="21"/>
              </w:rPr>
              <w:t>率计</w:t>
            </w:r>
            <w:r>
              <w:rPr>
                <w:rFonts w:ascii="宋体" w:hAnsi="宋体" w:cs="宋体" w:eastAsia="宋体" w:hint="default"/>
                <w:spacing w:val="-103"/>
                <w:sz w:val="21"/>
                <w:szCs w:val="21"/>
              </w:rPr>
              <w:t> </w:t>
            </w:r>
            <w:r>
              <w:rPr>
                <w:rFonts w:ascii="宋体" w:hAnsi="宋体" w:cs="宋体" w:eastAsia="宋体" w:hint="default"/>
                <w:sz w:val="21"/>
                <w:szCs w:val="21"/>
              </w:rPr>
              <w:t>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1,842,</w:t>
            </w:r>
          </w:p>
          <w:p>
            <w:pPr>
              <w:pStyle w:val="TableParagraph"/>
              <w:spacing w:line="274" w:lineRule="exact"/>
              <w:ind w:left="100" w:right="0"/>
              <w:jc w:val="left"/>
              <w:rPr>
                <w:rFonts w:ascii="宋体" w:hAnsi="宋体" w:cs="宋体" w:eastAsia="宋体" w:hint="default"/>
                <w:sz w:val="21"/>
                <w:szCs w:val="21"/>
              </w:rPr>
            </w:pPr>
            <w:r>
              <w:rPr>
                <w:rFonts w:ascii="宋体"/>
                <w:sz w:val="21"/>
              </w:rPr>
              <w:t>137.54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3"/>
                <w:sz w:val="21"/>
                <w:szCs w:val="21"/>
              </w:rPr>
              <w:t>29</w:t>
            </w:r>
            <w:r>
              <w:rPr>
                <w:rFonts w:ascii="宋体" w:hAnsi="宋体" w:cs="宋体" w:eastAsia="宋体" w:hint="default"/>
                <w:sz w:val="21"/>
                <w:szCs w:val="21"/>
              </w:rPr>
            </w:r>
          </w:p>
          <w:p>
            <w:pPr>
              <w:pStyle w:val="TableParagraph"/>
              <w:spacing w:line="237" w:lineRule="auto"/>
              <w:ind w:left="103" w:right="140"/>
              <w:jc w:val="left"/>
              <w:rPr>
                <w:rFonts w:ascii="宋体" w:hAnsi="宋体" w:cs="宋体" w:eastAsia="宋体" w:hint="default"/>
                <w:sz w:val="21"/>
                <w:szCs w:val="21"/>
              </w:rPr>
            </w:pPr>
            <w:r>
              <w:rPr>
                <w:rFonts w:ascii="宋体" w:hAnsi="宋体" w:cs="宋体" w:eastAsia="宋体" w:hint="default"/>
                <w:sz w:val="21"/>
                <w:szCs w:val="21"/>
              </w:rPr>
              <w:t>日提前</w:t>
            </w:r>
            <w:r>
              <w:rPr>
                <w:rFonts w:ascii="宋体" w:hAnsi="宋体" w:cs="宋体" w:eastAsia="宋体" w:hint="default"/>
                <w:spacing w:val="-102"/>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1146.61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Heading4"/>
        <w:spacing w:line="273" w:lineRule="exact" w:before="36"/>
        <w:ind w:left="918" w:right="5873"/>
        <w:jc w:val="left"/>
        <w:rPr>
          <w:b w:val="0"/>
          <w:bCs w:val="0"/>
        </w:rPr>
      </w:pPr>
      <w:r>
        <w:rPr/>
        <w:t>其他情况</w:t>
      </w:r>
      <w:r>
        <w:rPr>
          <w:b w:val="0"/>
          <w:bCs w:val="0"/>
        </w:rPr>
      </w:r>
    </w:p>
    <w:p>
      <w:pPr>
        <w:pStyle w:val="BodyText"/>
        <w:tabs>
          <w:tab w:pos="1760" w:val="left" w:leader="none"/>
        </w:tabs>
        <w:spacing w:line="269" w:lineRule="exact"/>
        <w:ind w:left="918" w:right="5873"/>
        <w:jc w:val="left"/>
      </w:pPr>
      <w:r>
        <w:rPr>
          <w:spacing w:val="-1"/>
        </w:rPr>
        <w:t>□适用</w:t>
        <w:tab/>
      </w:r>
      <w:r>
        <w:rPr>
          <w:spacing w:val="-2"/>
        </w:rPr>
        <w:t>√不适用</w:t>
      </w:r>
    </w:p>
    <w:p>
      <w:pPr>
        <w:pStyle w:val="Heading2"/>
        <w:tabs>
          <w:tab w:pos="1757" w:val="left" w:leader="none"/>
        </w:tabs>
        <w:spacing w:line="311" w:lineRule="exact" w:before="0"/>
        <w:ind w:left="918" w:right="5873"/>
        <w:jc w:val="left"/>
        <w:rPr>
          <w:b w:val="0"/>
          <w:bCs w:val="0"/>
        </w:rPr>
      </w:pPr>
      <w:r>
        <w:rPr>
          <w:rFonts w:ascii="宋体" w:hAnsi="宋体" w:cs="宋体" w:eastAsia="宋体" w:hint="default"/>
        </w:rPr>
        <w:t>(3).</w:t>
        <w:tab/>
      </w:r>
      <w:r>
        <w:rPr/>
        <w:t>委托贷款减值准备</w:t>
      </w:r>
      <w:r>
        <w:rPr>
          <w:b w:val="0"/>
          <w:bCs w:val="0"/>
        </w:rPr>
      </w:r>
    </w:p>
    <w:p>
      <w:pPr>
        <w:pStyle w:val="BodyText"/>
        <w:tabs>
          <w:tab w:pos="1760" w:val="left" w:leader="none"/>
        </w:tabs>
        <w:spacing w:line="240" w:lineRule="auto" w:before="1"/>
        <w:ind w:left="918" w:right="5873"/>
        <w:jc w:val="left"/>
      </w:pPr>
      <w:r>
        <w:rPr>
          <w:spacing w:val="-1"/>
        </w:rPr>
        <w:t>□适用</w:t>
        <w:tab/>
      </w:r>
      <w:r>
        <w:rPr>
          <w:spacing w:val="-2"/>
        </w:rPr>
        <w:t>√不适用</w:t>
      </w:r>
    </w:p>
    <w:p>
      <w:pPr>
        <w:pStyle w:val="Heading2"/>
        <w:spacing w:line="240" w:lineRule="auto" w:before="52"/>
        <w:ind w:left="918" w:right="5873"/>
        <w:jc w:val="left"/>
        <w:rPr>
          <w:b w:val="0"/>
          <w:bCs w:val="0"/>
        </w:rPr>
      </w:pPr>
      <w:r>
        <w:rPr>
          <w:rFonts w:ascii="宋体" w:hAnsi="宋体" w:cs="宋体" w:eastAsia="宋体" w:hint="default"/>
        </w:rPr>
        <w:t>3</w:t>
      </w:r>
      <w:r>
        <w:rPr/>
        <w:t>、</w:t>
      </w:r>
      <w:r>
        <w:rPr>
          <w:spacing w:val="-62"/>
        </w:rPr>
        <w:t> </w:t>
      </w:r>
      <w:r>
        <w:rPr/>
        <w:t>其他情况</w:t>
      </w:r>
      <w:r>
        <w:rPr>
          <w:b w:val="0"/>
          <w:bCs w:val="0"/>
        </w:rPr>
      </w:r>
    </w:p>
    <w:p>
      <w:pPr>
        <w:pStyle w:val="BodyText"/>
        <w:tabs>
          <w:tab w:pos="1760" w:val="left" w:leader="none"/>
        </w:tabs>
        <w:spacing w:line="240" w:lineRule="auto" w:before="64"/>
        <w:ind w:left="918" w:right="5873"/>
        <w:jc w:val="left"/>
      </w:pPr>
      <w:r>
        <w:rPr>
          <w:spacing w:val="-1"/>
        </w:rPr>
        <w:t>□适用</w:t>
        <w:tab/>
      </w:r>
      <w:r>
        <w:rPr>
          <w:spacing w:val="-2"/>
        </w:rPr>
        <w:t>√不适用</w:t>
      </w:r>
    </w:p>
    <w:p>
      <w:pPr>
        <w:pStyle w:val="Heading2"/>
        <w:tabs>
          <w:tab w:pos="1757" w:val="left" w:leader="none"/>
        </w:tabs>
        <w:spacing w:line="240" w:lineRule="auto" w:before="50"/>
        <w:ind w:left="918" w:right="5873"/>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tabs>
          <w:tab w:pos="1760" w:val="left" w:leader="none"/>
        </w:tabs>
        <w:spacing w:line="240" w:lineRule="auto" w:before="64"/>
        <w:ind w:left="918" w:right="5873"/>
        <w:jc w:val="left"/>
      </w:pPr>
      <w:r>
        <w:rPr>
          <w:spacing w:val="-1"/>
        </w:rPr>
        <w:t>□适用</w:t>
        <w:tab/>
      </w:r>
      <w:r>
        <w:rPr>
          <w:spacing w:val="-2"/>
        </w:rPr>
        <w:t>√不适用</w:t>
      </w:r>
    </w:p>
    <w:p>
      <w:pPr>
        <w:pStyle w:val="Heading2"/>
        <w:spacing w:line="240" w:lineRule="auto" w:before="50"/>
        <w:ind w:left="918" w:right="5873"/>
        <w:jc w:val="left"/>
        <w:rPr>
          <w:b w:val="0"/>
          <w:bCs w:val="0"/>
        </w:rPr>
      </w:pPr>
      <w:r>
        <w:rPr/>
        <w:t>十六、其他重大事项的说明</w:t>
      </w:r>
      <w:r>
        <w:rPr>
          <w:b w:val="0"/>
          <w:bCs w:val="0"/>
        </w:rPr>
      </w:r>
    </w:p>
    <w:p>
      <w:pPr>
        <w:spacing w:line="283" w:lineRule="auto" w:before="64"/>
        <w:ind w:left="918" w:right="5873" w:firstLine="0"/>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十七、积极履行社会责任的工作情况</w:t>
      </w:r>
      <w:r>
        <w:rPr>
          <w:rFonts w:ascii="宋体" w:hAnsi="宋体" w:cs="宋体" w:eastAsia="宋体" w:hint="default"/>
          <w:b/>
          <w:bCs/>
          <w:w w:val="99"/>
          <w:sz w:val="24"/>
          <w:szCs w:val="24"/>
        </w:rPr>
        <w:t> </w:t>
      </w: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pacing w:val="35"/>
          <w:sz w:val="24"/>
          <w:szCs w:val="24"/>
        </w:rPr>
        <w:t> </w:t>
      </w:r>
      <w:r>
        <w:rPr>
          <w:rFonts w:ascii="宋体" w:hAnsi="宋体" w:cs="宋体" w:eastAsia="宋体" w:hint="default"/>
          <w:b/>
          <w:bCs/>
          <w:sz w:val="24"/>
          <w:szCs w:val="24"/>
        </w:rPr>
        <w:t>上市公司扶贫工作情况</w:t>
      </w:r>
      <w:r>
        <w:rPr>
          <w:rFonts w:ascii="宋体" w:hAnsi="宋体" w:cs="宋体" w:eastAsia="宋体" w:hint="default"/>
          <w:sz w:val="24"/>
          <w:szCs w:val="24"/>
        </w:rPr>
      </w:r>
    </w:p>
    <w:p>
      <w:pPr>
        <w:pStyle w:val="BodyText"/>
        <w:spacing w:line="240" w:lineRule="auto" w:before="21"/>
        <w:ind w:left="918" w:right="5873"/>
        <w:jc w:val="left"/>
      </w:pPr>
      <w:r>
        <w:rPr/>
        <w:t>□适用</w:t>
      </w:r>
      <w:r>
        <w:rPr>
          <w:spacing w:val="-1"/>
        </w:rPr>
        <w:t> </w:t>
      </w:r>
      <w:r>
        <w:rPr/>
        <w:t>√不适用</w:t>
      </w:r>
    </w:p>
    <w:p>
      <w:pPr>
        <w:pStyle w:val="Heading2"/>
        <w:spacing w:line="240" w:lineRule="auto" w:before="50"/>
        <w:ind w:left="918" w:right="5873"/>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5"/>
        </w:rPr>
        <w:t> </w:t>
      </w:r>
      <w:r>
        <w:rPr/>
        <w:t>社会责任工作情况</w:t>
      </w:r>
      <w:r>
        <w:rPr>
          <w:b w:val="0"/>
          <w:bCs w:val="0"/>
        </w:rPr>
      </w:r>
    </w:p>
    <w:p>
      <w:pPr>
        <w:pStyle w:val="BodyText"/>
        <w:tabs>
          <w:tab w:pos="1760" w:val="left" w:leader="none"/>
        </w:tabs>
        <w:spacing w:line="240" w:lineRule="auto" w:before="64"/>
        <w:ind w:left="918" w:right="5873"/>
        <w:jc w:val="left"/>
      </w:pPr>
      <w:r>
        <w:rPr>
          <w:spacing w:val="-1"/>
        </w:rPr>
        <w:t>□适用</w:t>
        <w:tab/>
      </w:r>
      <w:r>
        <w:rPr>
          <w:spacing w:val="-2"/>
        </w:rPr>
        <w:t>√不适用</w:t>
      </w:r>
    </w:p>
    <w:p>
      <w:pPr>
        <w:pStyle w:val="Heading2"/>
        <w:spacing w:line="240" w:lineRule="auto" w:before="50"/>
        <w:ind w:left="918" w:right="5873"/>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5"/>
        </w:rPr>
        <w:t> </w:t>
      </w:r>
      <w:r>
        <w:rPr/>
        <w:t>环境信息情况</w:t>
      </w:r>
      <w:r>
        <w:rPr>
          <w:b w:val="0"/>
          <w:bCs w:val="0"/>
        </w:rPr>
      </w:r>
    </w:p>
    <w:p>
      <w:pPr>
        <w:pStyle w:val="Heading2"/>
        <w:spacing w:line="240" w:lineRule="auto" w:before="58"/>
        <w:ind w:left="918" w:right="0"/>
        <w:jc w:val="left"/>
        <w:rPr>
          <w:b w:val="0"/>
          <w:bCs w:val="0"/>
        </w:rPr>
      </w:pPr>
      <w:r>
        <w:rPr>
          <w:rFonts w:ascii="宋体" w:hAnsi="宋体" w:cs="宋体" w:eastAsia="宋体" w:hint="default"/>
        </w:rPr>
        <w:t>1.</w:t>
      </w:r>
      <w:r>
        <w:rPr>
          <w:rFonts w:ascii="宋体" w:hAnsi="宋体" w:cs="宋体" w:eastAsia="宋体" w:hint="default"/>
          <w:spacing w:val="61"/>
        </w:rPr>
        <w:t> </w:t>
      </w:r>
      <w:r>
        <w:rPr/>
        <w:t>属于环境保护部门公布的重点排污单位的公司及其重要子公司的环保情况说明</w:t>
      </w:r>
      <w:r>
        <w:rPr>
          <w:b w:val="0"/>
          <w:bCs w:val="0"/>
        </w:rPr>
      </w:r>
    </w:p>
    <w:p>
      <w:pPr>
        <w:pStyle w:val="BodyText"/>
        <w:tabs>
          <w:tab w:pos="1760" w:val="left" w:leader="none"/>
        </w:tabs>
        <w:spacing w:line="240" w:lineRule="auto" w:before="64"/>
        <w:ind w:left="918" w:right="5873"/>
        <w:jc w:val="left"/>
      </w:pPr>
      <w:r>
        <w:rPr>
          <w:spacing w:val="-1"/>
        </w:rPr>
        <w:t>□适用</w:t>
        <w:tab/>
      </w:r>
      <w:r>
        <w:rPr>
          <w:spacing w:val="-2"/>
        </w:rPr>
        <w:t>√不适用</w:t>
      </w:r>
    </w:p>
    <w:p>
      <w:pPr>
        <w:pStyle w:val="Heading2"/>
        <w:spacing w:line="240" w:lineRule="auto" w:before="50"/>
        <w:ind w:left="918" w:right="5873"/>
        <w:jc w:val="left"/>
        <w:rPr>
          <w:b w:val="0"/>
          <w:bCs w:val="0"/>
        </w:rPr>
      </w:pPr>
      <w:r>
        <w:rPr>
          <w:rFonts w:ascii="宋体" w:hAnsi="宋体" w:cs="宋体" w:eastAsia="宋体" w:hint="default"/>
        </w:rPr>
        <w:t>2.</w:t>
      </w:r>
      <w:r>
        <w:rPr>
          <w:rFonts w:ascii="宋体" w:hAnsi="宋体" w:cs="宋体" w:eastAsia="宋体" w:hint="default"/>
          <w:spacing w:val="58"/>
        </w:rPr>
        <w:t> </w:t>
      </w:r>
      <w:r>
        <w:rPr/>
        <w:t>重点排污单位之外的公司</w:t>
      </w:r>
      <w:r>
        <w:rPr>
          <w:b w:val="0"/>
          <w:bCs w:val="0"/>
        </w:rPr>
      </w:r>
    </w:p>
    <w:p>
      <w:pPr>
        <w:pStyle w:val="BodyText"/>
        <w:tabs>
          <w:tab w:pos="1760" w:val="left" w:leader="none"/>
        </w:tabs>
        <w:spacing w:line="240" w:lineRule="auto" w:before="64"/>
        <w:ind w:left="918" w:right="5873"/>
        <w:jc w:val="left"/>
      </w:pPr>
      <w:r>
        <w:rPr>
          <w:spacing w:val="-1"/>
        </w:rPr>
        <w:t>□适用</w:t>
        <w:tab/>
      </w:r>
      <w:r>
        <w:rPr>
          <w:spacing w:val="-2"/>
        </w:rPr>
        <w:t>√不适用</w:t>
      </w:r>
    </w:p>
    <w:p>
      <w:pPr>
        <w:pStyle w:val="Heading2"/>
        <w:spacing w:line="240" w:lineRule="auto" w:before="50"/>
        <w:ind w:left="918" w:right="5873"/>
        <w:jc w:val="left"/>
        <w:rPr>
          <w:b w:val="0"/>
          <w:bCs w:val="0"/>
        </w:rPr>
      </w:pPr>
      <w:r>
        <w:rPr>
          <w:rFonts w:ascii="宋体" w:hAnsi="宋体" w:cs="宋体" w:eastAsia="宋体" w:hint="default"/>
        </w:rPr>
        <w:t>3.</w:t>
      </w:r>
      <w:r>
        <w:rPr>
          <w:rFonts w:ascii="宋体" w:hAnsi="宋体" w:cs="宋体" w:eastAsia="宋体" w:hint="default"/>
          <w:spacing w:val="61"/>
        </w:rPr>
        <w:t> </w:t>
      </w:r>
      <w:r>
        <w:rPr/>
        <w:t>其他说明</w:t>
      </w:r>
      <w:r>
        <w:rPr>
          <w:b w:val="0"/>
          <w:bCs w:val="0"/>
        </w:rPr>
      </w:r>
    </w:p>
    <w:p>
      <w:pPr>
        <w:pStyle w:val="BodyText"/>
        <w:tabs>
          <w:tab w:pos="1760" w:val="left" w:leader="none"/>
        </w:tabs>
        <w:spacing w:line="240" w:lineRule="auto" w:before="64"/>
        <w:ind w:left="918" w:right="5873"/>
        <w:jc w:val="left"/>
      </w:pPr>
      <w:r>
        <w:rPr>
          <w:spacing w:val="-1"/>
        </w:rPr>
        <w:t>□适用</w:t>
        <w:tab/>
      </w:r>
      <w:r>
        <w:rPr>
          <w:spacing w:val="-2"/>
        </w:rPr>
        <w:t>√不适用</w:t>
      </w:r>
    </w:p>
    <w:p>
      <w:pPr>
        <w:spacing w:after="0" w:line="240" w:lineRule="auto"/>
        <w:jc w:val="left"/>
        <w:sectPr>
          <w:type w:val="continuous"/>
          <w:pgSz w:w="11910" w:h="16840"/>
          <w:pgMar w:top="1120" w:bottom="1380" w:left="880" w:right="360"/>
        </w:sectPr>
      </w:pPr>
    </w:p>
    <w:p>
      <w:pPr>
        <w:spacing w:line="240" w:lineRule="auto" w:before="8"/>
        <w:rPr>
          <w:rFonts w:ascii="宋体" w:hAnsi="宋体" w:cs="宋体" w:eastAsia="宋体" w:hint="default"/>
          <w:sz w:val="25"/>
          <w:szCs w:val="25"/>
        </w:rPr>
      </w:pPr>
    </w:p>
    <w:p>
      <w:pPr>
        <w:pStyle w:val="Heading2"/>
        <w:spacing w:line="240" w:lineRule="auto"/>
        <w:ind w:right="215"/>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7"/>
        </w:rPr>
        <w:t> </w:t>
      </w:r>
      <w:r>
        <w:rPr/>
        <w:t>其他说明</w:t>
      </w:r>
      <w:r>
        <w:rPr>
          <w:b w:val="0"/>
          <w:bCs w:val="0"/>
        </w:rPr>
      </w:r>
    </w:p>
    <w:p>
      <w:pPr>
        <w:tabs>
          <w:tab w:pos="1060" w:val="left" w:leader="none"/>
        </w:tabs>
        <w:spacing w:line="283" w:lineRule="auto" w:before="64"/>
        <w:ind w:left="218" w:right="6175" w:firstLine="0"/>
        <w:jc w:val="left"/>
        <w:rPr>
          <w:rFonts w:ascii="宋体" w:hAnsi="宋体" w:cs="宋体" w:eastAsia="宋体" w:hint="default"/>
          <w:sz w:val="24"/>
          <w:szCs w:val="24"/>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4"/>
          <w:szCs w:val="24"/>
        </w:rPr>
        <w:t>十八、可转换公司债券情况</w:t>
      </w:r>
      <w:r>
        <w:rPr>
          <w:rFonts w:ascii="宋体" w:hAnsi="宋体" w:cs="宋体" w:eastAsia="宋体" w:hint="default"/>
          <w:b/>
          <w:bCs/>
          <w:w w:val="99"/>
          <w:sz w:val="24"/>
          <w:szCs w:val="24"/>
        </w:rPr>
        <w:t> </w:t>
      </w:r>
      <w:r>
        <w:rPr>
          <w:rFonts w:ascii="Calibri" w:hAnsi="Calibri" w:cs="Calibri" w:eastAsia="Calibri" w:hint="default"/>
          <w:b/>
          <w:bCs/>
          <w:sz w:val="24"/>
          <w:szCs w:val="24"/>
        </w:rPr>
        <w:t>(</w:t>
      </w:r>
      <w:r>
        <w:rPr>
          <w:rFonts w:ascii="宋体" w:hAnsi="宋体" w:cs="宋体" w:eastAsia="宋体" w:hint="default"/>
          <w:b/>
          <w:bCs/>
          <w:sz w:val="24"/>
          <w:szCs w:val="24"/>
        </w:rPr>
        <w:t>一</w:t>
      </w:r>
      <w:r>
        <w:rPr>
          <w:rFonts w:ascii="Calibri" w:hAnsi="Calibri" w:cs="Calibri" w:eastAsia="Calibri" w:hint="default"/>
          <w:b/>
          <w:bCs/>
          <w:sz w:val="24"/>
          <w:szCs w:val="24"/>
        </w:rPr>
        <w:t>)</w:t>
      </w:r>
      <w:r>
        <w:rPr>
          <w:rFonts w:ascii="Calibri" w:hAnsi="Calibri" w:cs="Calibri" w:eastAsia="Calibri" w:hint="default"/>
          <w:b/>
          <w:bCs/>
          <w:spacing w:val="-28"/>
          <w:sz w:val="24"/>
          <w:szCs w:val="24"/>
        </w:rPr>
        <w:t> </w:t>
      </w:r>
      <w:r>
        <w:rPr>
          <w:rFonts w:ascii="宋体" w:hAnsi="宋体" w:cs="宋体" w:eastAsia="宋体" w:hint="default"/>
          <w:b/>
          <w:bCs/>
          <w:sz w:val="24"/>
          <w:szCs w:val="24"/>
        </w:rPr>
        <w:t>转债发行情况</w:t>
      </w:r>
      <w:r>
        <w:rPr>
          <w:rFonts w:ascii="宋体" w:hAnsi="宋体" w:cs="宋体" w:eastAsia="宋体" w:hint="default"/>
          <w:sz w:val="24"/>
          <w:szCs w:val="24"/>
        </w:rPr>
      </w:r>
    </w:p>
    <w:p>
      <w:pPr>
        <w:pStyle w:val="BodyText"/>
        <w:tabs>
          <w:tab w:pos="1060" w:val="left" w:leader="none"/>
        </w:tabs>
        <w:spacing w:line="256" w:lineRule="exact"/>
        <w:ind w:right="215"/>
        <w:jc w:val="left"/>
      </w:pPr>
      <w:r>
        <w:rPr>
          <w:spacing w:val="-1"/>
        </w:rPr>
        <w:t>□适用</w:t>
        <w:tab/>
      </w:r>
      <w:r>
        <w:rPr>
          <w:spacing w:val="-2"/>
        </w:rPr>
        <w:t>√不适用</w:t>
      </w:r>
    </w:p>
    <w:p>
      <w:pPr>
        <w:pStyle w:val="Heading2"/>
        <w:spacing w:line="240" w:lineRule="auto" w:before="50"/>
        <w:ind w:right="2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3"/>
        <w:ind w:right="215"/>
        <w:jc w:val="left"/>
      </w:pPr>
      <w:r>
        <w:rPr/>
        <w:t>□适用</w:t>
      </w:r>
      <w:r>
        <w:rPr>
          <w:spacing w:val="-1"/>
        </w:rPr>
        <w:t> </w:t>
      </w:r>
      <w:r>
        <w:rPr/>
        <w:t>√不适用</w:t>
      </w:r>
    </w:p>
    <w:p>
      <w:pPr>
        <w:pStyle w:val="Heading2"/>
        <w:spacing w:line="240" w:lineRule="auto" w:before="52"/>
        <w:ind w:right="21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报告期转债变动情况</w:t>
      </w:r>
      <w:r>
        <w:rPr>
          <w:b w:val="0"/>
          <w:bCs w:val="0"/>
        </w:rPr>
      </w:r>
    </w:p>
    <w:p>
      <w:pPr>
        <w:pStyle w:val="BodyText"/>
        <w:spacing w:line="240" w:lineRule="auto" w:before="31"/>
        <w:ind w:right="5935"/>
        <w:jc w:val="left"/>
      </w:pPr>
      <w:r>
        <w:rPr/>
        <w:t>□适用</w:t>
      </w:r>
      <w:r>
        <w:rPr>
          <w:spacing w:val="-2"/>
        </w:rPr>
        <w:t> </w:t>
      </w:r>
      <w:r>
        <w:rPr/>
        <w:t>√不适用</w:t>
      </w:r>
      <w:r>
        <w:rPr>
          <w:w w:val="100"/>
        </w:rPr>
        <w:t> </w:t>
      </w:r>
      <w:r>
        <w:rPr>
          <w:spacing w:val="-2"/>
        </w:rPr>
        <w:t>报告期转债累计转股情况</w:t>
      </w:r>
    </w:p>
    <w:p>
      <w:pPr>
        <w:pStyle w:val="BodyText"/>
        <w:spacing w:line="272" w:lineRule="exact"/>
        <w:ind w:right="215"/>
        <w:jc w:val="left"/>
      </w:pPr>
      <w:r>
        <w:rPr/>
        <w:t>□适用</w:t>
      </w:r>
      <w:r>
        <w:rPr>
          <w:spacing w:val="-1"/>
        </w:rPr>
        <w:t> </w:t>
      </w:r>
      <w:r>
        <w:rPr/>
        <w:t>√不适用</w:t>
      </w:r>
    </w:p>
    <w:p>
      <w:pPr>
        <w:pStyle w:val="Heading2"/>
        <w:spacing w:line="240" w:lineRule="auto" w:before="52"/>
        <w:ind w:right="21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转股价格历次调整情况</w:t>
      </w:r>
      <w:r>
        <w:rPr>
          <w:b w:val="0"/>
          <w:bCs w:val="0"/>
        </w:rPr>
      </w:r>
    </w:p>
    <w:p>
      <w:pPr>
        <w:pStyle w:val="BodyText"/>
        <w:spacing w:line="240" w:lineRule="auto" w:before="31"/>
        <w:ind w:right="215"/>
        <w:jc w:val="left"/>
      </w:pPr>
      <w:r>
        <w:rPr/>
        <w:t>□适用</w:t>
      </w:r>
      <w:r>
        <w:rPr>
          <w:spacing w:val="-1"/>
        </w:rPr>
        <w:t> </w:t>
      </w:r>
      <w:r>
        <w:rPr/>
        <w:t>√不适用</w:t>
      </w:r>
    </w:p>
    <w:p>
      <w:pPr>
        <w:pStyle w:val="Heading2"/>
        <w:spacing w:line="240" w:lineRule="auto" w:before="52"/>
        <w:ind w:right="21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公司的负债情况、资信变化情况及在未来年度还债的现金安排</w:t>
      </w:r>
      <w:r>
        <w:rPr>
          <w:b w:val="0"/>
          <w:bCs w:val="0"/>
        </w:rPr>
      </w:r>
    </w:p>
    <w:p>
      <w:pPr>
        <w:pStyle w:val="BodyText"/>
        <w:tabs>
          <w:tab w:pos="1060" w:val="left" w:leader="none"/>
        </w:tabs>
        <w:spacing w:line="240" w:lineRule="auto" w:before="33"/>
        <w:ind w:right="215"/>
        <w:jc w:val="left"/>
      </w:pPr>
      <w:r>
        <w:rPr>
          <w:spacing w:val="-1"/>
        </w:rPr>
        <w:t>□适用</w:t>
        <w:tab/>
      </w:r>
      <w:r>
        <w:rPr>
          <w:spacing w:val="-2"/>
        </w:rPr>
        <w:t>√不适用</w:t>
      </w:r>
    </w:p>
    <w:p>
      <w:pPr>
        <w:pStyle w:val="Heading2"/>
        <w:spacing w:line="240" w:lineRule="auto" w:before="50"/>
        <w:ind w:right="21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28"/>
        </w:rPr>
        <w:t> </w:t>
      </w:r>
      <w:r>
        <w:rPr/>
        <w:t>转债其他情况说明</w:t>
      </w:r>
      <w:r>
        <w:rPr>
          <w:b w:val="0"/>
          <w:bCs w:val="0"/>
        </w:rPr>
      </w:r>
    </w:p>
    <w:p>
      <w:pPr>
        <w:pStyle w:val="BodyText"/>
        <w:tabs>
          <w:tab w:pos="1060" w:val="left" w:leader="none"/>
        </w:tabs>
        <w:spacing w:line="240" w:lineRule="auto" w:before="33"/>
        <w:ind w:right="215"/>
        <w:jc w:val="left"/>
      </w:pPr>
      <w:r>
        <w:rPr>
          <w:spacing w:val="-1"/>
        </w:rPr>
        <w:t>□适用</w:t>
        <w:tab/>
      </w:r>
      <w:r>
        <w:rPr>
          <w:spacing w:val="-2"/>
        </w:rPr>
        <w:t>√不适用</w:t>
      </w:r>
    </w:p>
    <w:p>
      <w:pPr>
        <w:pStyle w:val="Heading1"/>
        <w:tabs>
          <w:tab w:pos="3576" w:val="left" w:leader="none"/>
        </w:tabs>
        <w:spacing w:line="240" w:lineRule="auto" w:before="42"/>
        <w:ind w:left="2316" w:right="215"/>
        <w:jc w:val="left"/>
        <w:rPr>
          <w:b w:val="0"/>
          <w:bCs w:val="0"/>
        </w:rPr>
      </w:pPr>
      <w:bookmarkStart w:name="_TOC_250006" w:id="6"/>
      <w:r>
        <w:rPr>
          <w:w w:val="95"/>
        </w:rPr>
        <w:t>第六节</w:t>
        <w:tab/>
      </w:r>
      <w:r>
        <w:rPr/>
        <w:t>普通股股份变动及股东情况</w:t>
      </w:r>
      <w:bookmarkEnd w:id="6"/>
      <w:r>
        <w:rPr>
          <w:b w:val="0"/>
          <w:bCs w:val="0"/>
        </w:rPr>
      </w:r>
    </w:p>
    <w:p>
      <w:pPr>
        <w:pStyle w:val="Heading2"/>
        <w:spacing w:line="271" w:lineRule="auto" w:before="247"/>
        <w:ind w:right="6057"/>
        <w:jc w:val="both"/>
        <w:rPr>
          <w:b w:val="0"/>
          <w:bCs w:val="0"/>
        </w:rPr>
      </w:pPr>
      <w:r>
        <w:rPr/>
        <w:t>一、</w:t>
      </w:r>
      <w:r>
        <w:rPr>
          <w:spacing w:val="114"/>
        </w:rPr>
        <w:t> </w:t>
      </w:r>
      <w:r>
        <w:rPr/>
        <w:t>普通股股本变动情况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0"/>
        </w:rPr>
        <w:t> </w:t>
      </w:r>
      <w:r>
        <w:rPr/>
        <w:t>普通股股份变动情况表</w:t>
      </w:r>
      <w:r>
        <w:rPr>
          <w:w w:val="99"/>
        </w:rPr>
        <w:t> </w:t>
      </w:r>
      <w:r>
        <w:rPr>
          <w:rFonts w:ascii="宋体" w:hAnsi="宋体" w:cs="宋体" w:eastAsia="宋体" w:hint="default"/>
        </w:rPr>
        <w:t>1</w:t>
      </w:r>
      <w:r>
        <w:rPr/>
        <w:t>、</w:t>
      </w:r>
      <w:r>
        <w:rPr>
          <w:spacing w:val="-66"/>
        </w:rPr>
        <w:t> </w:t>
      </w:r>
      <w:r>
        <w:rPr/>
        <w:t>普通股股份变动情况表</w:t>
      </w:r>
      <w:r>
        <w:rPr>
          <w:b w:val="0"/>
          <w:bCs w:val="0"/>
        </w:rPr>
      </w:r>
    </w:p>
    <w:p>
      <w:pPr>
        <w:pStyle w:val="BodyText"/>
        <w:spacing w:line="240" w:lineRule="auto" w:before="30"/>
        <w:ind w:right="0"/>
        <w:jc w:val="both"/>
      </w:pPr>
      <w:r>
        <w:rPr/>
        <w:t>报告期内，公司普通股股份总数及股本结构未发生变化。</w:t>
      </w:r>
    </w:p>
    <w:p>
      <w:pPr>
        <w:pStyle w:val="Heading2"/>
        <w:spacing w:line="240" w:lineRule="auto" w:before="52"/>
        <w:ind w:right="0"/>
        <w:jc w:val="both"/>
        <w:rPr>
          <w:b w:val="0"/>
          <w:bCs w:val="0"/>
        </w:rPr>
      </w:pPr>
      <w:r>
        <w:rPr>
          <w:rFonts w:ascii="宋体" w:hAnsi="宋体" w:cs="宋体" w:eastAsia="宋体" w:hint="default"/>
        </w:rPr>
        <w:t>2</w:t>
      </w:r>
      <w:r>
        <w:rPr/>
        <w:t>、</w:t>
      </w:r>
      <w:r>
        <w:rPr>
          <w:spacing w:val="-67"/>
        </w:rPr>
        <w:t> </w:t>
      </w:r>
      <w:r>
        <w:rPr/>
        <w:t>普通股股份变动情况说明</w:t>
      </w:r>
      <w:r>
        <w:rPr>
          <w:b w:val="0"/>
          <w:bCs w:val="0"/>
        </w:rPr>
      </w:r>
    </w:p>
    <w:p>
      <w:pPr>
        <w:pStyle w:val="BodyText"/>
        <w:spacing w:line="240" w:lineRule="auto" w:before="61"/>
        <w:ind w:right="0"/>
        <w:jc w:val="both"/>
      </w:pPr>
      <w:r>
        <w:rPr/>
        <w:t>□适用</w:t>
      </w:r>
      <w:r>
        <w:rPr>
          <w:spacing w:val="104"/>
        </w:rPr>
        <w:t> </w:t>
      </w:r>
      <w:r>
        <w:rPr/>
        <w:t>√不适用</w:t>
      </w:r>
    </w:p>
    <w:p>
      <w:pPr>
        <w:pStyle w:val="Heading2"/>
        <w:spacing w:line="313" w:lineRule="exact" w:before="52"/>
        <w:ind w:right="0"/>
        <w:jc w:val="both"/>
        <w:rPr>
          <w:b w:val="0"/>
          <w:bCs w:val="0"/>
        </w:rPr>
      </w:pPr>
      <w:r>
        <w:rPr>
          <w:rFonts w:ascii="宋体" w:hAnsi="宋体" w:cs="宋体" w:eastAsia="宋体" w:hint="default"/>
        </w:rPr>
        <w:t>3</w:t>
      </w:r>
      <w:r>
        <w:rPr/>
        <w:t>、</w:t>
      </w:r>
      <w:r>
        <w:rPr>
          <w:spacing w:val="-87"/>
        </w:rPr>
        <w:t> </w:t>
      </w:r>
      <w:r>
        <w:rPr/>
        <w:t>普通股股份变动对最近一年和最近一期每股收益、每股净资产等财务指标的影响</w:t>
      </w:r>
      <w:r>
        <w:rPr>
          <w:b w:val="0"/>
          <w:bCs w:val="0"/>
        </w:rPr>
      </w:r>
    </w:p>
    <w:p>
      <w:pPr>
        <w:pStyle w:val="Heading2"/>
        <w:spacing w:line="313" w:lineRule="exact" w:before="0"/>
        <w:ind w:right="0"/>
        <w:jc w:val="both"/>
        <w:rPr>
          <w:b w:val="0"/>
          <w:bCs w:val="0"/>
        </w:rPr>
      </w:pPr>
      <w:r>
        <w:rPr/>
        <w:t>（如有）</w:t>
      </w:r>
      <w:r>
        <w:rPr>
          <w:b w:val="0"/>
          <w:bCs w:val="0"/>
        </w:rPr>
      </w:r>
    </w:p>
    <w:p>
      <w:pPr>
        <w:pStyle w:val="BodyText"/>
        <w:spacing w:line="240" w:lineRule="auto" w:before="61"/>
        <w:ind w:right="0"/>
        <w:jc w:val="both"/>
      </w:pPr>
      <w:r>
        <w:rPr/>
        <w:t>□适用</w:t>
      </w:r>
      <w:r>
        <w:rPr>
          <w:spacing w:val="104"/>
        </w:rPr>
        <w:t> </w:t>
      </w:r>
      <w:r>
        <w:rPr/>
        <w:t>√不适用</w:t>
      </w:r>
    </w:p>
    <w:p>
      <w:pPr>
        <w:pStyle w:val="Heading2"/>
        <w:spacing w:line="240" w:lineRule="auto" w:before="52"/>
        <w:ind w:right="0"/>
        <w:jc w:val="both"/>
        <w:rPr>
          <w:b w:val="0"/>
          <w:bCs w:val="0"/>
        </w:rPr>
      </w:pPr>
      <w:r>
        <w:rPr>
          <w:rFonts w:ascii="宋体" w:hAnsi="宋体" w:cs="宋体" w:eastAsia="宋体" w:hint="default"/>
        </w:rPr>
        <w:t>4</w:t>
      </w:r>
      <w:r>
        <w:rPr/>
        <w:t>、</w:t>
      </w:r>
      <w:r>
        <w:rPr>
          <w:spacing w:val="-67"/>
        </w:rPr>
        <w:t> </w:t>
      </w:r>
      <w:r>
        <w:rPr/>
        <w:t>公司认为必要或证券监管机构要求披露的其他内容</w:t>
      </w:r>
      <w:r>
        <w:rPr>
          <w:b w:val="0"/>
          <w:bCs w:val="0"/>
        </w:rPr>
      </w:r>
    </w:p>
    <w:p>
      <w:pPr>
        <w:pStyle w:val="BodyText"/>
        <w:spacing w:line="240" w:lineRule="auto" w:before="62"/>
        <w:ind w:right="0"/>
        <w:jc w:val="both"/>
      </w:pPr>
      <w:r>
        <w:rPr/>
        <w:t>□适用</w:t>
      </w:r>
      <w:r>
        <w:rPr>
          <w:spacing w:val="104"/>
        </w:rPr>
        <w:t> </w:t>
      </w:r>
      <w:r>
        <w:rPr/>
        <w:t>√不适用</w:t>
      </w:r>
    </w:p>
    <w:p>
      <w:pPr>
        <w:pStyle w:val="Heading2"/>
        <w:spacing w:line="240" w:lineRule="auto" w:before="52"/>
        <w:ind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10"/>
        </w:rPr>
        <w:t> </w:t>
      </w:r>
      <w:r>
        <w:rPr/>
        <w:t>限售股份变动情况</w:t>
      </w:r>
      <w:r>
        <w:rPr>
          <w:b w:val="0"/>
          <w:bCs w:val="0"/>
        </w:rPr>
      </w:r>
    </w:p>
    <w:p>
      <w:pPr>
        <w:pStyle w:val="BodyText"/>
        <w:spacing w:line="240" w:lineRule="auto" w:before="33"/>
        <w:ind w:right="0"/>
        <w:jc w:val="both"/>
      </w:pPr>
      <w:r>
        <w:rPr/>
        <w:t>□适用</w:t>
      </w:r>
      <w:r>
        <w:rPr>
          <w:spacing w:val="-1"/>
        </w:rPr>
        <w:t> </w:t>
      </w:r>
      <w:r>
        <w:rPr/>
        <w:t>√不适用</w:t>
      </w:r>
    </w:p>
    <w:p>
      <w:pPr>
        <w:pStyle w:val="Heading2"/>
        <w:spacing w:line="240" w:lineRule="auto" w:before="50"/>
        <w:ind w:right="0"/>
        <w:jc w:val="both"/>
        <w:rPr>
          <w:b w:val="0"/>
          <w:bCs w:val="0"/>
        </w:rPr>
      </w:pPr>
      <w:r>
        <w:rPr/>
        <w:t>二、 </w:t>
      </w:r>
      <w:r>
        <w:rPr>
          <w:spacing w:val="114"/>
        </w:rPr>
        <w:t> </w:t>
      </w:r>
      <w:r>
        <w:rPr/>
        <w:t>证券发行与上市情况</w:t>
      </w:r>
      <w:r>
        <w:rPr>
          <w:b w:val="0"/>
          <w:bCs w:val="0"/>
        </w:rPr>
      </w:r>
    </w:p>
    <w:p>
      <w:pPr>
        <w:pStyle w:val="Heading2"/>
        <w:spacing w:line="240" w:lineRule="auto" w:before="58"/>
        <w:ind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12"/>
        </w:rPr>
        <w:t> </w:t>
      </w:r>
      <w:r>
        <w:rPr/>
        <w:t>截至报告期内证券发行情况</w:t>
      </w:r>
      <w:r>
        <w:rPr>
          <w:b w:val="0"/>
          <w:bCs w:val="0"/>
        </w:rPr>
      </w:r>
    </w:p>
    <w:p>
      <w:pPr>
        <w:pStyle w:val="BodyText"/>
        <w:spacing w:line="240" w:lineRule="auto" w:before="61"/>
        <w:ind w:right="0"/>
        <w:jc w:val="both"/>
      </w:pPr>
      <w:r>
        <w:rPr/>
        <w:t>√适用</w:t>
      </w:r>
      <w:r>
        <w:rPr>
          <w:spacing w:val="-1"/>
        </w:rPr>
        <w:t> </w:t>
      </w:r>
      <w:r>
        <w:rPr/>
        <w:t>□不适用</w:t>
      </w:r>
    </w:p>
    <w:p>
      <w:pPr>
        <w:pStyle w:val="BodyText"/>
        <w:tabs>
          <w:tab w:pos="1051" w:val="left" w:leader="none"/>
        </w:tabs>
        <w:spacing w:line="274" w:lineRule="exact"/>
        <w:ind w:left="0" w:right="230"/>
        <w:jc w:val="right"/>
      </w:pPr>
      <w:r>
        <w:rPr>
          <w:spacing w:val="-1"/>
        </w:rPr>
        <w:t>单位：股</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21"/>
        <w:gridCol w:w="1141"/>
        <w:gridCol w:w="1166"/>
        <w:gridCol w:w="1371"/>
        <w:gridCol w:w="1140"/>
        <w:gridCol w:w="1371"/>
        <w:gridCol w:w="1140"/>
      </w:tblGrid>
      <w:tr>
        <w:trPr>
          <w:trHeight w:val="55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3" w:hRule="exact"/>
        </w:trPr>
        <w:tc>
          <w:tcPr>
            <w:tcW w:w="172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1721"/>
        <w:gridCol w:w="1141"/>
        <w:gridCol w:w="1166"/>
        <w:gridCol w:w="1371"/>
        <w:gridCol w:w="1140"/>
        <w:gridCol w:w="1371"/>
        <w:gridCol w:w="1140"/>
      </w:tblGrid>
      <w:tr>
        <w:trPr>
          <w:trHeight w:val="557"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公司债券“17</w:t>
            </w:r>
            <w:r>
              <w:rPr>
                <w:rFonts w:ascii="宋体" w:hAnsi="宋体" w:cs="宋体" w:eastAsia="宋体" w:hint="default"/>
                <w:spacing w:val="-71"/>
                <w:sz w:val="21"/>
                <w:szCs w:val="21"/>
              </w:rPr>
              <w:t> </w:t>
            </w:r>
            <w:r>
              <w:rPr>
                <w:rFonts w:ascii="宋体" w:hAnsi="宋体" w:cs="宋体" w:eastAsia="宋体" w:hint="default"/>
                <w:sz w:val="21"/>
                <w:szCs w:val="21"/>
              </w:rPr>
              <w:t>金</w:t>
            </w:r>
          </w:p>
          <w:p>
            <w:pPr>
              <w:pStyle w:val="TableParagraph"/>
              <w:spacing w:line="273" w:lineRule="exact"/>
              <w:ind w:left="926"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53"/>
                <w:sz w:val="21"/>
                <w:szCs w:val="21"/>
              </w:rPr>
              <w:t> </w:t>
            </w:r>
            <w:r>
              <w:rPr>
                <w:rFonts w:ascii="宋体" w:hAnsi="宋体" w:cs="宋体" w:eastAsia="宋体" w:hint="default"/>
                <w:sz w:val="21"/>
                <w:szCs w:val="21"/>
              </w:rPr>
              <w:t>01”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11</w:t>
            </w:r>
          </w:p>
          <w:p>
            <w:pPr>
              <w:pStyle w:val="TableParagraph"/>
              <w:spacing w:line="273" w:lineRule="exact"/>
              <w:ind w:left="19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5" w:right="0"/>
              <w:jc w:val="left"/>
              <w:rPr>
                <w:rFonts w:ascii="宋体" w:hAnsi="宋体" w:cs="宋体" w:eastAsia="宋体" w:hint="default"/>
                <w:sz w:val="21"/>
                <w:szCs w:val="21"/>
              </w:rPr>
            </w:pPr>
            <w:r>
              <w:rPr>
                <w:rFonts w:ascii="宋体"/>
                <w:sz w:val="21"/>
              </w:rPr>
              <w:t>5.39%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350,000,000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11</w:t>
            </w:r>
          </w:p>
          <w:p>
            <w:pPr>
              <w:pStyle w:val="TableParagraph"/>
              <w:spacing w:line="273" w:lineRule="exact"/>
              <w:ind w:left="187"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350,000,000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3" w:lineRule="exact"/>
              <w:ind w:left="19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283" w:hRule="exact"/>
        </w:trPr>
        <w:tc>
          <w:tcPr>
            <w:tcW w:w="172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398" w:right="0"/>
        <w:jc w:val="left"/>
      </w:pPr>
      <w:r>
        <w:rPr/>
        <w:t>截至报告期内证券发行情况的说明（存续期内利率不同的债券，请分别说明）：</w:t>
      </w:r>
    </w:p>
    <w:p>
      <w:pPr>
        <w:pStyle w:val="BodyText"/>
        <w:tabs>
          <w:tab w:pos="1240" w:val="left" w:leader="none"/>
        </w:tabs>
        <w:spacing w:line="274" w:lineRule="exact"/>
        <w:ind w:left="398" w:right="0"/>
        <w:jc w:val="left"/>
      </w:pPr>
      <w:r>
        <w:rPr>
          <w:spacing w:val="-1"/>
        </w:rPr>
        <w:t>□适用</w:t>
        <w:tab/>
      </w:r>
      <w:r>
        <w:rPr>
          <w:spacing w:val="-2"/>
        </w:rPr>
        <w:t>√不适用</w:t>
      </w:r>
    </w:p>
    <w:p>
      <w:pPr>
        <w:pStyle w:val="Heading2"/>
        <w:tabs>
          <w:tab w:pos="1237" w:val="left" w:leader="none"/>
        </w:tabs>
        <w:spacing w:line="240" w:lineRule="auto" w:before="50"/>
        <w:ind w:left="39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公司普通股股份总数及股东结构变动及公司资产和负债结构的变动情况</w:t>
      </w:r>
      <w:r>
        <w:rPr>
          <w:b w:val="0"/>
          <w:bCs w:val="0"/>
        </w:rPr>
      </w:r>
    </w:p>
    <w:p>
      <w:pPr>
        <w:pStyle w:val="BodyText"/>
        <w:tabs>
          <w:tab w:pos="1240" w:val="left" w:leader="none"/>
        </w:tabs>
        <w:spacing w:line="240" w:lineRule="auto" w:before="64"/>
        <w:ind w:left="398" w:right="0"/>
        <w:jc w:val="left"/>
      </w:pPr>
      <w:r>
        <w:rPr>
          <w:spacing w:val="-1"/>
        </w:rPr>
        <w:t>□适用</w:t>
        <w:tab/>
      </w:r>
      <w:r>
        <w:rPr>
          <w:spacing w:val="-2"/>
        </w:rPr>
        <w:t>√不适用</w:t>
      </w:r>
    </w:p>
    <w:p>
      <w:pPr>
        <w:pStyle w:val="Heading2"/>
        <w:tabs>
          <w:tab w:pos="1237" w:val="left" w:leader="none"/>
        </w:tabs>
        <w:spacing w:line="240" w:lineRule="auto" w:before="52"/>
        <w:ind w:left="39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现存的内部职工股情况</w:t>
      </w:r>
      <w:r>
        <w:rPr>
          <w:b w:val="0"/>
          <w:bCs w:val="0"/>
        </w:rPr>
      </w:r>
    </w:p>
    <w:p>
      <w:pPr>
        <w:pStyle w:val="BodyText"/>
        <w:spacing w:line="240" w:lineRule="auto" w:before="61"/>
        <w:ind w:left="398" w:right="0"/>
        <w:jc w:val="left"/>
      </w:pPr>
      <w:r>
        <w:rPr/>
        <w:t>□适用</w:t>
      </w:r>
      <w:r>
        <w:rPr>
          <w:spacing w:val="-1"/>
        </w:rPr>
        <w:t> </w:t>
      </w:r>
      <w:r>
        <w:rPr/>
        <w:t>√不适用</w:t>
      </w:r>
    </w:p>
    <w:p>
      <w:pPr>
        <w:pStyle w:val="Heading2"/>
        <w:tabs>
          <w:tab w:pos="1237" w:val="left" w:leader="none"/>
        </w:tabs>
        <w:spacing w:line="240" w:lineRule="auto" w:before="53"/>
        <w:ind w:left="398" w:right="0"/>
        <w:jc w:val="left"/>
        <w:rPr>
          <w:b w:val="0"/>
          <w:bCs w:val="0"/>
        </w:rPr>
      </w:pPr>
      <w:r>
        <w:rPr/>
        <w:t>三、</w:t>
        <w:tab/>
        <w:t>股东和实际控制人情况</w:t>
      </w:r>
      <w:r>
        <w:rPr>
          <w:b w:val="0"/>
          <w:bCs w:val="0"/>
        </w:rPr>
      </w:r>
    </w:p>
    <w:p>
      <w:pPr>
        <w:pStyle w:val="Heading2"/>
        <w:spacing w:line="240" w:lineRule="auto" w:before="55"/>
        <w:ind w:left="39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股东总数</w:t>
      </w:r>
      <w:r>
        <w:rPr>
          <w:b w:val="0"/>
          <w:bCs w:val="0"/>
        </w:rPr>
      </w:r>
    </w:p>
    <w:p>
      <w:pPr>
        <w:spacing w:line="240" w:lineRule="auto" w:before="2"/>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5955"/>
        <w:gridCol w:w="3269"/>
      </w:tblGrid>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91,549</w:t>
            </w:r>
          </w:p>
        </w:tc>
      </w:tr>
      <w:tr>
        <w:trPr>
          <w:trHeight w:val="281"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84,486</w:t>
            </w: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pacing w:val="-3"/>
                <w:sz w:val="21"/>
                <w:szCs w:val="21"/>
              </w:rPr>
              <w:t>年度报告披露日前上一月末表决权恢复的优先股股东总数（户）</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r>
    </w:tbl>
    <w:p>
      <w:pPr>
        <w:spacing w:line="240" w:lineRule="auto" w:before="3"/>
        <w:rPr>
          <w:rFonts w:ascii="宋体" w:hAnsi="宋体" w:cs="宋体" w:eastAsia="宋体" w:hint="default"/>
          <w:b/>
          <w:bCs/>
          <w:sz w:val="20"/>
          <w:szCs w:val="20"/>
        </w:rPr>
      </w:pPr>
    </w:p>
    <w:p>
      <w:pPr>
        <w:pStyle w:val="Heading2"/>
        <w:spacing w:line="240" w:lineRule="auto"/>
        <w:ind w:left="39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截止报告期末前十名股东、前十名流通股东（或无限售条件股东）持股情况表</w:t>
      </w:r>
      <w:r>
        <w:rPr>
          <w:b w:val="0"/>
          <w:bCs w:val="0"/>
        </w:rPr>
      </w:r>
    </w:p>
    <w:p>
      <w:pPr>
        <w:pStyle w:val="BodyText"/>
        <w:spacing w:line="240" w:lineRule="auto" w:before="33"/>
        <w:ind w:left="0" w:right="230"/>
        <w:jc w:val="right"/>
      </w:pPr>
      <w:r>
        <w:rPr>
          <w:spacing w:val="-1"/>
        </w:rPr>
        <w:t>单位</w:t>
      </w:r>
      <w:r>
        <w:rPr>
          <w:rFonts w:ascii="宋体" w:hAnsi="宋体" w:cs="宋体" w:eastAsia="宋体" w:hint="default"/>
          <w:spacing w:val="-1"/>
        </w:rPr>
        <w:t>:</w:t>
      </w:r>
      <w:r>
        <w:rPr>
          <w:spacing w:val="-1"/>
        </w:rPr>
        <w:t>股</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02"/>
        <w:gridCol w:w="1277"/>
        <w:gridCol w:w="1274"/>
        <w:gridCol w:w="850"/>
        <w:gridCol w:w="1277"/>
        <w:gridCol w:w="992"/>
        <w:gridCol w:w="994"/>
        <w:gridCol w:w="859"/>
      </w:tblGrid>
      <w:tr>
        <w:trPr>
          <w:trHeight w:val="281" w:hRule="exact"/>
        </w:trPr>
        <w:tc>
          <w:tcPr>
            <w:tcW w:w="9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4" w:hRule="exact"/>
        </w:trPr>
        <w:tc>
          <w:tcPr>
            <w:tcW w:w="1702" w:type="dxa"/>
            <w:vMerge w:val="restart"/>
            <w:tcBorders>
              <w:top w:val="single" w:sz="4" w:space="0" w:color="000000"/>
              <w:left w:val="single" w:sz="4" w:space="0" w:color="000000"/>
              <w:right w:val="single" w:sz="4" w:space="0" w:color="000000"/>
            </w:tcBorders>
          </w:tcPr>
          <w:p>
            <w:pPr>
              <w:pStyle w:val="TableParagraph"/>
              <w:spacing w:line="274" w:lineRule="exact" w:before="108"/>
              <w:ind w:left="422"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8"/>
              <w:ind w:left="528" w:right="104"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08"/>
              <w:ind w:left="523" w:right="10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8"/>
              <w:ind w:left="261" w:right="20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77" w:type="dxa"/>
            <w:vMerge w:val="restart"/>
            <w:tcBorders>
              <w:top w:val="single" w:sz="4" w:space="0" w:color="000000"/>
              <w:left w:val="single" w:sz="4" w:space="0" w:color="000000"/>
              <w:right w:val="single" w:sz="4" w:space="0" w:color="000000"/>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7"/>
              <w:ind w:left="527" w:right="103" w:hanging="420"/>
              <w:jc w:val="left"/>
              <w:rPr>
                <w:rFonts w:ascii="宋体" w:hAnsi="宋体" w:cs="宋体" w:eastAsia="宋体" w:hint="default"/>
                <w:sz w:val="21"/>
                <w:szCs w:val="21"/>
              </w:rPr>
            </w:pPr>
            <w:r>
              <w:rPr>
                <w:rFonts w:ascii="宋体" w:hAnsi="宋体" w:cs="宋体" w:eastAsia="宋体" w:hint="default"/>
                <w:sz w:val="21"/>
                <w:szCs w:val="21"/>
              </w:rPr>
              <w:t>条件股份数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08"/>
              <w:ind w:left="213" w:right="21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170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股份状</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9" w:type="dxa"/>
            <w:vMerge/>
            <w:tcBorders>
              <w:left w:val="single" w:sz="4" w:space="0" w:color="000000"/>
              <w:bottom w:val="single" w:sz="4" w:space="0" w:color="000000"/>
              <w:right w:val="single" w:sz="4" w:space="0" w:color="000000"/>
            </w:tcBorders>
          </w:tcPr>
          <w:p>
            <w:pP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90,454,262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65,354,</w:t>
            </w:r>
          </w:p>
          <w:p>
            <w:pPr>
              <w:pStyle w:val="TableParagraph"/>
              <w:spacing w:line="274" w:lineRule="exact"/>
              <w:ind w:left="564" w:right="0"/>
              <w:jc w:val="left"/>
              <w:rPr>
                <w:rFonts w:ascii="宋体" w:hAnsi="宋体" w:cs="宋体" w:eastAsia="宋体" w:hint="default"/>
                <w:sz w:val="21"/>
                <w:szCs w:val="21"/>
              </w:rPr>
            </w:pPr>
            <w:r>
              <w:rPr>
                <w:rFonts w:ascii="宋体"/>
                <w:sz w:val="21"/>
              </w:rPr>
              <w:t>300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90,263,974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34,822,</w:t>
            </w:r>
          </w:p>
          <w:p>
            <w:pPr>
              <w:pStyle w:val="TableParagraph"/>
              <w:spacing w:line="274" w:lineRule="exact"/>
              <w:ind w:left="564" w:right="0"/>
              <w:jc w:val="left"/>
              <w:rPr>
                <w:rFonts w:ascii="宋体" w:hAnsi="宋体" w:cs="宋体" w:eastAsia="宋体" w:hint="default"/>
                <w:sz w:val="21"/>
                <w:szCs w:val="21"/>
              </w:rPr>
            </w:pPr>
            <w:r>
              <w:rPr>
                <w:rFonts w:ascii="宋体"/>
                <w:sz w:val="21"/>
              </w:rPr>
              <w:t>300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86,603,765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31,210,</w:t>
            </w:r>
          </w:p>
          <w:p>
            <w:pPr>
              <w:pStyle w:val="TableParagraph"/>
              <w:spacing w:line="274" w:lineRule="exact"/>
              <w:ind w:left="564" w:right="0"/>
              <w:jc w:val="left"/>
              <w:rPr>
                <w:rFonts w:ascii="宋体" w:hAnsi="宋体" w:cs="宋体" w:eastAsia="宋体" w:hint="default"/>
                <w:sz w:val="21"/>
                <w:szCs w:val="21"/>
              </w:rPr>
            </w:pPr>
            <w:r>
              <w:rPr>
                <w:rFonts w:ascii="宋体"/>
                <w:sz w:val="21"/>
              </w:rPr>
              <w:t>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81,165,428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60,827,</w:t>
            </w:r>
          </w:p>
          <w:p>
            <w:pPr>
              <w:pStyle w:val="TableParagraph"/>
              <w:spacing w:line="274" w:lineRule="exact"/>
              <w:ind w:left="564" w:right="0"/>
              <w:jc w:val="left"/>
              <w:rPr>
                <w:rFonts w:ascii="宋体" w:hAnsi="宋体" w:cs="宋体" w:eastAsia="宋体" w:hint="default"/>
                <w:sz w:val="21"/>
                <w:szCs w:val="21"/>
              </w:rPr>
            </w:pPr>
            <w:r>
              <w:rPr>
                <w:rFonts w:ascii="宋体"/>
                <w:sz w:val="21"/>
              </w:rPr>
              <w:t>529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82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深圳前海联礼阳</w:t>
            </w:r>
          </w:p>
          <w:p>
            <w:pPr>
              <w:pStyle w:val="TableParagraph"/>
              <w:spacing w:line="240" w:lineRule="auto"/>
              <w:ind w:left="100" w:right="115"/>
              <w:jc w:val="left"/>
              <w:rPr>
                <w:rFonts w:ascii="宋体" w:hAnsi="宋体" w:cs="宋体" w:eastAsia="宋体" w:hint="default"/>
                <w:sz w:val="21"/>
                <w:szCs w:val="21"/>
              </w:rPr>
            </w:pPr>
            <w:r>
              <w:rPr>
                <w:rFonts w:ascii="宋体" w:hAnsi="宋体" w:cs="宋体" w:eastAsia="宋体" w:hint="default"/>
                <w:sz w:val="21"/>
                <w:szCs w:val="21"/>
              </w:rPr>
              <w:t>投资有限责任公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49,830,390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平安证券－招商</w:t>
            </w:r>
          </w:p>
          <w:p>
            <w:pPr>
              <w:pStyle w:val="TableParagraph"/>
              <w:spacing w:line="237" w:lineRule="auto" w:before="2"/>
              <w:ind w:left="100" w:right="115"/>
              <w:jc w:val="both"/>
              <w:rPr>
                <w:rFonts w:ascii="宋体" w:hAnsi="宋体" w:cs="宋体" w:eastAsia="宋体" w:hint="default"/>
                <w:sz w:val="21"/>
                <w:szCs w:val="21"/>
              </w:rPr>
            </w:pPr>
            <w:r>
              <w:rPr>
                <w:rFonts w:ascii="宋体" w:hAnsi="宋体" w:cs="宋体" w:eastAsia="宋体" w:hint="default"/>
                <w:sz w:val="21"/>
                <w:szCs w:val="21"/>
              </w:rPr>
              <w:t>银行－平安证券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金增富集合资产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8,125,002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潘文雄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6,748,811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6,748,811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中国证券金融股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6,054,101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6,054,101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香港中央结算有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125,258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3,510,985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40"/>
          <w:pgMar w:header="880" w:footer="1195" w:top="1120" w:bottom="1380" w:left="140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702"/>
        <w:gridCol w:w="1277"/>
        <w:gridCol w:w="991"/>
        <w:gridCol w:w="283"/>
        <w:gridCol w:w="850"/>
        <w:gridCol w:w="569"/>
        <w:gridCol w:w="708"/>
        <w:gridCol w:w="992"/>
        <w:gridCol w:w="994"/>
        <w:gridCol w:w="859"/>
      </w:tblGrid>
      <w:tr>
        <w:trPr>
          <w:trHeight w:val="8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中融国际信托有</w:t>
            </w:r>
          </w:p>
          <w:p>
            <w:pPr>
              <w:pStyle w:val="TableParagraph"/>
              <w:spacing w:line="240" w:lineRule="auto"/>
              <w:ind w:left="100" w:right="115"/>
              <w:jc w:val="left"/>
              <w:rPr>
                <w:rFonts w:ascii="宋体" w:hAnsi="宋体" w:cs="宋体" w:eastAsia="宋体" w:hint="default"/>
                <w:sz w:val="21"/>
                <w:szCs w:val="21"/>
              </w:rPr>
            </w:pPr>
            <w:r>
              <w:rPr>
                <w:rFonts w:ascii="宋体" w:hAnsi="宋体" w:cs="宋体" w:eastAsia="宋体" w:hint="default"/>
                <w:sz w:val="21"/>
                <w:szCs w:val="21"/>
              </w:rPr>
              <w:t>限公司－中融增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强</w:t>
            </w:r>
            <w:r>
              <w:rPr>
                <w:rFonts w:ascii="宋体" w:hAnsi="宋体" w:cs="宋体" w:eastAsia="宋体" w:hint="default"/>
                <w:spacing w:val="-52"/>
                <w:sz w:val="21"/>
                <w:szCs w:val="21"/>
              </w:rPr>
              <w:t> </w:t>
            </w:r>
            <w:r>
              <w:rPr>
                <w:rFonts w:ascii="宋体" w:hAnsi="宋体" w:cs="宋体" w:eastAsia="宋体" w:hint="default"/>
                <w:sz w:val="21"/>
                <w:szCs w:val="21"/>
              </w:rPr>
              <w:t>64</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8" w:right="0"/>
              <w:jc w:val="left"/>
              <w:rPr>
                <w:rFonts w:ascii="宋体" w:hAnsi="宋体" w:cs="宋体" w:eastAsia="宋体" w:hint="default"/>
                <w:sz w:val="21"/>
                <w:szCs w:val="21"/>
              </w:rPr>
            </w:pPr>
            <w:r>
              <w:rPr>
                <w:rFonts w:ascii="宋体"/>
                <w:sz w:val="21"/>
              </w:rPr>
              <w:t>2,997,700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3" w:right="0"/>
              <w:jc w:val="left"/>
              <w:rPr>
                <w:rFonts w:ascii="宋体" w:hAnsi="宋体" w:cs="宋体" w:eastAsia="宋体" w:hint="default"/>
                <w:sz w:val="21"/>
                <w:szCs w:val="21"/>
              </w:rPr>
            </w:pPr>
            <w:r>
              <w:rPr>
                <w:rFonts w:ascii="宋体"/>
                <w:sz w:val="21"/>
              </w:rPr>
              <w:t>2,997,700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6" w:right="0"/>
              <w:jc w:val="left"/>
              <w:rPr>
                <w:rFonts w:ascii="宋体" w:hAnsi="宋体" w:cs="宋体" w:eastAsia="宋体" w:hint="default"/>
                <w:sz w:val="21"/>
                <w:szCs w:val="21"/>
              </w:rPr>
            </w:pPr>
            <w:r>
              <w:rPr>
                <w:rFonts w:ascii="宋体"/>
                <w:sz w:val="21"/>
              </w:rPr>
              <w:t>0.36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922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3970"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02" w:type="dxa"/>
            <w:gridSpan w:val="3"/>
            <w:vMerge w:val="restart"/>
            <w:tcBorders>
              <w:top w:val="single" w:sz="4" w:space="0" w:color="000000"/>
              <w:left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持有无限售条件</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流通股的数量</w:t>
            </w:r>
          </w:p>
        </w:tc>
        <w:tc>
          <w:tcPr>
            <w:tcW w:w="35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970" w:type="dxa"/>
            <w:gridSpan w:val="3"/>
            <w:vMerge/>
            <w:tcBorders>
              <w:left w:val="single" w:sz="4" w:space="0" w:color="000000"/>
              <w:bottom w:val="single" w:sz="4" w:space="0" w:color="000000"/>
              <w:right w:val="single" w:sz="4" w:space="0" w:color="000000"/>
            </w:tcBorders>
          </w:tcPr>
          <w:p>
            <w:pPr/>
          </w:p>
        </w:tc>
        <w:tc>
          <w:tcPr>
            <w:tcW w:w="1702" w:type="dxa"/>
            <w:gridSpan w:val="3"/>
            <w:vMerge/>
            <w:tcBorders>
              <w:left w:val="single" w:sz="4" w:space="0" w:color="000000"/>
              <w:bottom w:val="single" w:sz="4" w:space="0" w:color="000000"/>
              <w:right w:val="single" w:sz="4" w:space="0" w:color="000000"/>
            </w:tcBorders>
          </w:tcPr>
          <w:p>
            <w:pP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82,054,262</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82,054,262</w:t>
            </w:r>
          </w:p>
        </w:tc>
      </w:tr>
      <w:tr>
        <w:trPr>
          <w:trHeight w:val="281"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81,863,974</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81,863,974</w:t>
            </w:r>
          </w:p>
        </w:tc>
      </w:tr>
      <w:tr>
        <w:trPr>
          <w:trHeight w:val="283"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78,203,765</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78,203,765</w:t>
            </w:r>
          </w:p>
        </w:tc>
      </w:tr>
      <w:tr>
        <w:trPr>
          <w:trHeight w:val="283"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72,765,428</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72,765,428</w:t>
            </w:r>
          </w:p>
        </w:tc>
      </w:tr>
      <w:tr>
        <w:trPr>
          <w:trHeight w:val="281"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深圳前海联礼阳投资有限责任公司</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49,830,390</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49,830,390</w:t>
            </w:r>
          </w:p>
        </w:tc>
      </w:tr>
      <w:tr>
        <w:trPr>
          <w:trHeight w:val="555"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平安证券－招商银行－平安证券金增富</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集合资产管理计划</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sz w:val="21"/>
              </w:rPr>
              <w:t>8,125,002</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sz w:val="21"/>
              </w:rPr>
              <w:t>8,125,002</w:t>
            </w:r>
          </w:p>
        </w:tc>
      </w:tr>
      <w:tr>
        <w:trPr>
          <w:trHeight w:val="283"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潘文雄</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sz w:val="21"/>
              </w:rPr>
              <w:t>6,748,811</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sz w:val="21"/>
              </w:rPr>
              <w:t>6,748,811</w:t>
            </w:r>
          </w:p>
        </w:tc>
      </w:tr>
      <w:tr>
        <w:trPr>
          <w:trHeight w:val="283"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sz w:val="21"/>
              </w:rPr>
              <w:t>6,054,101</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sz w:val="21"/>
              </w:rPr>
              <w:t>6,054,101</w:t>
            </w:r>
          </w:p>
        </w:tc>
      </w:tr>
      <w:tr>
        <w:trPr>
          <w:trHeight w:val="281"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sz w:val="21"/>
              </w:rPr>
              <w:t>3,510,985</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sz w:val="21"/>
              </w:rPr>
              <w:t>3,510,985</w:t>
            </w:r>
          </w:p>
        </w:tc>
      </w:tr>
      <w:tr>
        <w:trPr>
          <w:trHeight w:val="283"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中融国际信托有限公司－中融增强</w:t>
            </w:r>
            <w:r>
              <w:rPr>
                <w:rFonts w:ascii="宋体" w:hAnsi="宋体" w:cs="宋体" w:eastAsia="宋体" w:hint="default"/>
                <w:spacing w:val="-54"/>
                <w:sz w:val="21"/>
                <w:szCs w:val="21"/>
              </w:rPr>
              <w:t> </w:t>
            </w:r>
            <w:r>
              <w:rPr>
                <w:rFonts w:ascii="宋体" w:hAnsi="宋体" w:cs="宋体" w:eastAsia="宋体" w:hint="default"/>
                <w:sz w:val="21"/>
                <w:szCs w:val="21"/>
              </w:rPr>
              <w:t>64</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sz w:val="21"/>
              </w:rPr>
              <w:t>2,997,700</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sz w:val="21"/>
              </w:rPr>
              <w:t>2,997,700</w:t>
            </w:r>
          </w:p>
        </w:tc>
      </w:tr>
      <w:tr>
        <w:trPr>
          <w:trHeight w:val="554"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255" w:type="dxa"/>
            <w:gridSpan w:val="7"/>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公司未知上述股东之间是否存在关联关系或一致行动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人的情况。</w:t>
            </w:r>
          </w:p>
        </w:tc>
      </w:tr>
      <w:tr>
        <w:trPr>
          <w:trHeight w:val="554" w:hRule="exact"/>
        </w:trPr>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525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400" w:right="1040"/>
        </w:sectPr>
      </w:pPr>
    </w:p>
    <w:p>
      <w:pPr>
        <w:pStyle w:val="BodyText"/>
        <w:spacing w:line="273" w:lineRule="exact" w:before="36"/>
        <w:ind w:left="398" w:right="0"/>
        <w:jc w:val="left"/>
      </w:pPr>
      <w:r>
        <w:rPr>
          <w:spacing w:val="-2"/>
        </w:rPr>
        <w:t>前十名有限售条件股东持股数量及限售条件</w:t>
      </w:r>
    </w:p>
    <w:p>
      <w:pPr>
        <w:pStyle w:val="BodyText"/>
        <w:spacing w:line="273" w:lineRule="exact"/>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398" w:right="0"/>
        <w:jc w:val="left"/>
      </w:pPr>
      <w:r>
        <w:rPr/>
        <w:t>单位：股</w:t>
      </w:r>
    </w:p>
    <w:p>
      <w:pPr>
        <w:spacing w:after="0" w:line="240" w:lineRule="auto"/>
        <w:jc w:val="left"/>
        <w:sectPr>
          <w:type w:val="continuous"/>
          <w:pgSz w:w="11910" w:h="16840"/>
          <w:pgMar w:top="1120" w:bottom="1380" w:left="1400" w:right="1040"/>
          <w:cols w:num="2" w:equalWidth="0">
            <w:col w:w="4393" w:space="3601"/>
            <w:col w:w="1476"/>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828"/>
        <w:gridCol w:w="2290"/>
        <w:gridCol w:w="1702"/>
        <w:gridCol w:w="1419"/>
        <w:gridCol w:w="1565"/>
        <w:gridCol w:w="1421"/>
      </w:tblGrid>
      <w:tr>
        <w:trPr>
          <w:trHeight w:val="554" w:hRule="exact"/>
        </w:trPr>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29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19" w:right="105" w:hanging="209"/>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p>
        </w:tc>
        <w:tc>
          <w:tcPr>
            <w:tcW w:w="2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有限售条件股份可上市交易情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828" w:type="dxa"/>
            <w:vMerge/>
            <w:tcBorders>
              <w:left w:val="single" w:sz="4" w:space="0" w:color="000000"/>
              <w:bottom w:val="single" w:sz="4" w:space="0" w:color="000000"/>
              <w:right w:val="single" w:sz="4" w:space="0" w:color="000000"/>
            </w:tcBorders>
          </w:tcPr>
          <w:p>
            <w:pPr/>
          </w:p>
        </w:tc>
        <w:tc>
          <w:tcPr>
            <w:tcW w:w="229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1421" w:type="dxa"/>
            <w:vMerge/>
            <w:tcBorders>
              <w:left w:val="single" w:sz="4" w:space="0" w:color="000000"/>
              <w:bottom w:val="single" w:sz="4" w:space="0" w:color="000000"/>
              <w:right w:val="single" w:sz="4" w:space="0" w:color="000000"/>
            </w:tcBorders>
          </w:tcPr>
          <w:p>
            <w:pPr/>
          </w:p>
        </w:tc>
      </w:tr>
      <w:tr>
        <w:trPr>
          <w:trHeight w:val="355"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1</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2018-06-25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center"/>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55"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2018-06-25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55"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2018-06-25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55"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2018-06-25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555" w:hRule="exact"/>
        </w:trPr>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61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公司未知上述股东之间是否存在关联关系或一致行动人的情况。</w:t>
            </w:r>
          </w:p>
        </w:tc>
      </w:tr>
    </w:tbl>
    <w:p>
      <w:pPr>
        <w:spacing w:line="240" w:lineRule="auto" w:before="6"/>
        <w:rPr>
          <w:rFonts w:ascii="宋体" w:hAnsi="宋体" w:cs="宋体" w:eastAsia="宋体" w:hint="default"/>
          <w:sz w:val="20"/>
          <w:szCs w:val="20"/>
        </w:rPr>
      </w:pPr>
    </w:p>
    <w:p>
      <w:pPr>
        <w:pStyle w:val="Heading2"/>
        <w:spacing w:line="240" w:lineRule="auto"/>
        <w:ind w:left="398"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9"/>
        </w:rPr>
        <w:t> </w:t>
      </w:r>
      <w:r>
        <w:rPr/>
        <w:t>战略投资者或一般法人因配售新股成为前</w:t>
      </w:r>
      <w:r>
        <w:rPr>
          <w:spacing w:val="-57"/>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33"/>
        <w:ind w:left="398" w:right="0"/>
        <w:jc w:val="left"/>
      </w:pPr>
      <w:r>
        <w:rPr/>
        <w:t>□适用</w:t>
      </w:r>
      <w:r>
        <w:rPr>
          <w:spacing w:val="-1"/>
        </w:rPr>
        <w:t> </w:t>
      </w:r>
      <w:r>
        <w:rPr/>
        <w:t>√不适用</w:t>
      </w:r>
    </w:p>
    <w:p>
      <w:pPr>
        <w:pStyle w:val="Heading2"/>
        <w:tabs>
          <w:tab w:pos="1237" w:val="left" w:leader="none"/>
        </w:tabs>
        <w:spacing w:line="240" w:lineRule="auto" w:before="50"/>
        <w:ind w:left="398" w:right="0"/>
        <w:jc w:val="left"/>
        <w:rPr>
          <w:b w:val="0"/>
          <w:bCs w:val="0"/>
        </w:rPr>
      </w:pPr>
      <w:r>
        <w:rPr/>
        <w:t>四、</w:t>
        <w:tab/>
        <w:t>控股股东及实际控制人情况</w:t>
      </w:r>
      <w:r>
        <w:rPr>
          <w:b w:val="0"/>
          <w:bCs w:val="0"/>
        </w:rPr>
      </w:r>
    </w:p>
    <w:p>
      <w:pPr>
        <w:pStyle w:val="Heading2"/>
        <w:tabs>
          <w:tab w:pos="817" w:val="left" w:leader="none"/>
        </w:tabs>
        <w:spacing w:line="256" w:lineRule="auto" w:before="58"/>
        <w:ind w:left="398" w:right="720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控股股东情况</w:t>
      </w:r>
      <w:r>
        <w:rPr>
          <w:w w:val="99"/>
        </w:rPr>
        <w:t> </w:t>
      </w:r>
      <w:r>
        <w:rPr>
          <w:rFonts w:ascii="宋体" w:hAnsi="宋体" w:cs="宋体" w:eastAsia="宋体" w:hint="default"/>
          <w:w w:val="95"/>
        </w:rPr>
        <w:t>1</w:t>
        <w:tab/>
      </w:r>
      <w:r>
        <w:rPr/>
        <w:t>法人</w:t>
      </w:r>
      <w:r>
        <w:rPr>
          <w:b w:val="0"/>
          <w:bCs w:val="0"/>
        </w:rPr>
      </w:r>
    </w:p>
    <w:p>
      <w:pPr>
        <w:pStyle w:val="BodyText"/>
        <w:spacing w:line="240" w:lineRule="auto" w:before="47"/>
        <w:ind w:left="398" w:right="0"/>
        <w:jc w:val="left"/>
      </w:pPr>
      <w:r>
        <w:rPr/>
        <w:t>□适用</w:t>
      </w:r>
      <w:r>
        <w:rPr>
          <w:spacing w:val="-1"/>
        </w:rPr>
        <w:t> </w:t>
      </w:r>
      <w:r>
        <w:rPr/>
        <w:t>√不适用</w:t>
      </w:r>
    </w:p>
    <w:p>
      <w:pPr>
        <w:pStyle w:val="Heading2"/>
        <w:tabs>
          <w:tab w:pos="817" w:val="left" w:leader="none"/>
        </w:tabs>
        <w:spacing w:line="240" w:lineRule="auto" w:before="52"/>
        <w:ind w:left="398"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62"/>
        <w:ind w:left="398" w:right="0"/>
        <w:jc w:val="left"/>
      </w:pPr>
      <w:r>
        <w:rPr/>
        <w:t>□适用</w:t>
      </w:r>
      <w:r>
        <w:rPr>
          <w:spacing w:val="-1"/>
        </w:rPr>
        <w:t> </w:t>
      </w:r>
      <w:r>
        <w:rPr/>
        <w:t>√不适用</w:t>
      </w:r>
    </w:p>
    <w:p>
      <w:pPr>
        <w:spacing w:after="0" w:line="240" w:lineRule="auto"/>
        <w:jc w:val="left"/>
        <w:sectPr>
          <w:type w:val="continuous"/>
          <w:pgSz w:w="11910" w:h="16840"/>
          <w:pgMar w:top="1120" w:bottom="1380" w:left="1400" w:right="1040"/>
        </w:sectPr>
      </w:pPr>
    </w:p>
    <w:p>
      <w:pPr>
        <w:spacing w:line="240" w:lineRule="auto" w:before="8"/>
        <w:rPr>
          <w:rFonts w:ascii="宋体" w:hAnsi="宋体" w:cs="宋体" w:eastAsia="宋体" w:hint="default"/>
          <w:sz w:val="25"/>
          <w:szCs w:val="25"/>
        </w:rPr>
      </w:pPr>
    </w:p>
    <w:p>
      <w:pPr>
        <w:pStyle w:val="Heading2"/>
        <w:tabs>
          <w:tab w:pos="557" w:val="left" w:leader="none"/>
        </w:tabs>
        <w:spacing w:line="240" w:lineRule="auto"/>
        <w:ind w:left="138" w:right="105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tabs>
          <w:tab w:pos="557" w:val="left" w:leader="none"/>
        </w:tabs>
        <w:spacing w:line="240" w:lineRule="auto" w:before="52"/>
        <w:ind w:left="138" w:right="105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980" w:val="left" w:leader="none"/>
        </w:tabs>
        <w:spacing w:line="240" w:lineRule="auto" w:before="61"/>
        <w:ind w:left="138" w:right="1055"/>
        <w:jc w:val="left"/>
      </w:pPr>
      <w:r>
        <w:rPr>
          <w:spacing w:val="-1"/>
        </w:rPr>
        <w:t>□适用</w:t>
        <w:tab/>
      </w:r>
      <w:r>
        <w:rPr>
          <w:spacing w:val="-2"/>
        </w:rPr>
        <w:t>√不适用</w:t>
      </w:r>
    </w:p>
    <w:p>
      <w:pPr>
        <w:pStyle w:val="Heading2"/>
        <w:tabs>
          <w:tab w:pos="557" w:val="left" w:leader="none"/>
        </w:tabs>
        <w:spacing w:line="240" w:lineRule="auto" w:before="52"/>
        <w:ind w:left="138" w:right="105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980" w:val="left" w:leader="none"/>
        </w:tabs>
        <w:spacing w:line="240" w:lineRule="auto" w:before="61"/>
        <w:ind w:left="138" w:right="1055"/>
        <w:jc w:val="left"/>
      </w:pPr>
      <w:r>
        <w:rPr>
          <w:spacing w:val="-1"/>
        </w:rPr>
        <w:t>□适用</w:t>
        <w:tab/>
      </w:r>
      <w:r>
        <w:rPr>
          <w:spacing w:val="-2"/>
        </w:rPr>
        <w:t>√不适用</w:t>
      </w:r>
    </w:p>
    <w:p>
      <w:pPr>
        <w:pStyle w:val="Heading2"/>
        <w:tabs>
          <w:tab w:pos="562" w:val="left" w:leader="none"/>
        </w:tabs>
        <w:spacing w:line="259" w:lineRule="auto" w:before="52"/>
        <w:ind w:left="138" w:right="683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pStyle w:val="BodyText"/>
        <w:spacing w:line="240" w:lineRule="auto" w:before="42"/>
        <w:ind w:left="138" w:right="1055"/>
        <w:jc w:val="left"/>
      </w:pPr>
      <w:r>
        <w:rPr/>
        <w:t>□适用</w:t>
      </w:r>
      <w:r>
        <w:rPr>
          <w:spacing w:val="-1"/>
        </w:rPr>
        <w:t> </w:t>
      </w:r>
      <w:r>
        <w:rPr/>
        <w:t>√不适用</w:t>
      </w:r>
    </w:p>
    <w:p>
      <w:pPr>
        <w:pStyle w:val="Heading2"/>
        <w:tabs>
          <w:tab w:pos="562" w:val="left" w:leader="none"/>
        </w:tabs>
        <w:spacing w:line="240" w:lineRule="auto" w:before="53"/>
        <w:ind w:left="138" w:right="105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61"/>
        <w:ind w:left="138" w:right="1055"/>
        <w:jc w:val="left"/>
      </w:pPr>
      <w:r>
        <w:rPr/>
        <w:t>□适用</w:t>
      </w:r>
      <w:r>
        <w:rPr>
          <w:spacing w:val="-1"/>
        </w:rPr>
        <w:t> </w:t>
      </w:r>
      <w:r>
        <w:rPr/>
        <w:t>√不适用</w:t>
      </w:r>
    </w:p>
    <w:p>
      <w:pPr>
        <w:pStyle w:val="Heading2"/>
        <w:tabs>
          <w:tab w:pos="562" w:val="left" w:leader="none"/>
        </w:tabs>
        <w:spacing w:line="240" w:lineRule="auto" w:before="52"/>
        <w:ind w:left="138" w:right="105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980" w:val="left" w:leader="none"/>
        </w:tabs>
        <w:spacing w:line="272" w:lineRule="exact" w:before="92"/>
        <w:ind w:left="138" w:right="4740"/>
        <w:jc w:val="left"/>
      </w:pPr>
      <w:r>
        <w:rPr>
          <w:spacing w:val="-1"/>
        </w:rPr>
        <w:t>√适用</w:t>
        <w:tab/>
      </w:r>
      <w:r>
        <w:rPr>
          <w:spacing w:val="-2"/>
        </w:rPr>
        <w:t>□不适用</w:t>
      </w:r>
      <w:r>
        <w:rPr>
          <w:spacing w:val="-99"/>
        </w:rPr>
        <w:t> </w:t>
      </w:r>
      <w:r>
        <w:rPr>
          <w:spacing w:val="-99"/>
        </w:rPr>
      </w:r>
      <w:r>
        <w:rPr>
          <w:spacing w:val="-2"/>
        </w:rPr>
        <w:t>报告期内公司不存在控股股东和实际控制人。</w:t>
      </w:r>
    </w:p>
    <w:p>
      <w:pPr>
        <w:pStyle w:val="Heading2"/>
        <w:tabs>
          <w:tab w:pos="562" w:val="left" w:leader="none"/>
        </w:tabs>
        <w:spacing w:line="240" w:lineRule="auto" w:before="27"/>
        <w:ind w:left="138" w:right="105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980" w:val="left" w:leader="none"/>
        </w:tabs>
        <w:spacing w:line="240" w:lineRule="auto" w:before="61"/>
        <w:ind w:left="138" w:right="1055"/>
        <w:jc w:val="left"/>
      </w:pPr>
      <w:r>
        <w:rPr>
          <w:spacing w:val="-1"/>
        </w:rPr>
        <w:t>□适用</w:t>
        <w:tab/>
      </w:r>
      <w:r>
        <w:rPr>
          <w:spacing w:val="-2"/>
        </w:rPr>
        <w:t>√不适用</w:t>
      </w:r>
    </w:p>
    <w:p>
      <w:pPr>
        <w:pStyle w:val="Heading2"/>
        <w:tabs>
          <w:tab w:pos="562" w:val="left" w:leader="none"/>
        </w:tabs>
        <w:spacing w:line="240" w:lineRule="auto" w:before="52"/>
        <w:ind w:left="138" w:right="1055"/>
        <w:jc w:val="left"/>
        <w:rPr>
          <w:b w:val="0"/>
          <w:bCs w:val="0"/>
        </w:rPr>
      </w:pPr>
      <w:r>
        <w:rPr>
          <w:rFonts w:ascii="宋体" w:hAnsi="宋体" w:cs="宋体" w:eastAsia="宋体" w:hint="default"/>
          <w:w w:val="95"/>
        </w:rPr>
        <w:t>5</w:t>
        <w:tab/>
      </w:r>
      <w:r>
        <w:rPr/>
        <w:t>公司与持股</w:t>
      </w:r>
      <w:r>
        <w:rPr>
          <w:spacing w:val="-65"/>
        </w:rPr>
        <w:t> </w:t>
      </w:r>
      <w:r>
        <w:rPr>
          <w:rFonts w:ascii="Cambria" w:hAnsi="Cambria" w:cs="Cambria" w:eastAsia="Cambria" w:hint="default"/>
        </w:rPr>
        <w:t>5%</w:t>
      </w:r>
      <w:r>
        <w:rPr/>
        <w:t>以上股东之间的产权及控制关系的方框图</w:t>
      </w:r>
      <w:r>
        <w:rPr>
          <w:b w:val="0"/>
          <w:bCs w:val="0"/>
        </w:rPr>
      </w:r>
    </w:p>
    <w:p>
      <w:pPr>
        <w:pStyle w:val="BodyText"/>
        <w:tabs>
          <w:tab w:pos="980" w:val="left" w:leader="none"/>
        </w:tabs>
        <w:spacing w:line="240" w:lineRule="auto" w:before="42"/>
        <w:ind w:left="138" w:right="1055"/>
        <w:jc w:val="left"/>
      </w:pPr>
      <w:r>
        <w:rPr>
          <w:spacing w:val="-1"/>
        </w:rPr>
        <w:t>√适用</w:t>
        <w:tab/>
      </w:r>
      <w:r>
        <w:rPr>
          <w:spacing w:val="-2"/>
        </w:rPr>
        <w:t>□不适用</w:t>
      </w:r>
    </w:p>
    <w:p>
      <w:pPr>
        <w:spacing w:line="240" w:lineRule="auto" w:before="6"/>
        <w:rPr>
          <w:rFonts w:ascii="宋体" w:hAnsi="宋体" w:cs="宋体" w:eastAsia="宋体" w:hint="default"/>
          <w:sz w:val="2"/>
          <w:szCs w:val="2"/>
        </w:rPr>
      </w:pPr>
    </w:p>
    <w:p>
      <w:pPr>
        <w:spacing w:line="2477" w:lineRule="exact"/>
        <w:ind w:left="137"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5488061" cy="157324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8" cstate="print"/>
                    <a:stretch>
                      <a:fillRect/>
                    </a:stretch>
                  </pic:blipFill>
                  <pic:spPr>
                    <a:xfrm>
                      <a:off x="0" y="0"/>
                      <a:ext cx="5488061" cy="1573244"/>
                    </a:xfrm>
                    <a:prstGeom prst="rect">
                      <a:avLst/>
                    </a:prstGeom>
                  </pic:spPr>
                </pic:pic>
              </a:graphicData>
            </a:graphic>
          </wp:inline>
        </w:drawing>
      </w:r>
      <w:r>
        <w:rPr>
          <w:rFonts w:ascii="宋体" w:hAnsi="宋体" w:cs="宋体" w:eastAsia="宋体" w:hint="default"/>
          <w:position w:val="-49"/>
          <w:sz w:val="20"/>
          <w:szCs w:val="20"/>
        </w:rPr>
      </w:r>
    </w:p>
    <w:p>
      <w:pPr>
        <w:pStyle w:val="Heading2"/>
        <w:tabs>
          <w:tab w:pos="562" w:val="left" w:leader="none"/>
        </w:tabs>
        <w:spacing w:line="240" w:lineRule="auto" w:before="21"/>
        <w:ind w:left="138" w:right="105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spacing w:line="240" w:lineRule="auto" w:before="50"/>
        <w:ind w:left="138" w:right="105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34"/>
        <w:ind w:left="138" w:right="1055"/>
        <w:jc w:val="left"/>
      </w:pPr>
      <w:r>
        <w:rPr>
          <w:spacing w:val="-1"/>
        </w:rPr>
        <w:t>□适用</w:t>
        <w:tab/>
      </w:r>
      <w:r>
        <w:rPr>
          <w:spacing w:val="-2"/>
        </w:rPr>
        <w:t>√不适用</w:t>
      </w:r>
    </w:p>
    <w:p>
      <w:pPr>
        <w:pStyle w:val="Heading2"/>
        <w:tabs>
          <w:tab w:pos="977" w:val="left" w:leader="none"/>
        </w:tabs>
        <w:spacing w:line="240" w:lineRule="auto" w:before="50"/>
        <w:ind w:left="138" w:right="1055"/>
        <w:jc w:val="left"/>
        <w:rPr>
          <w:b w:val="0"/>
          <w:bCs w:val="0"/>
        </w:rPr>
      </w:pPr>
      <w:r>
        <w:rPr/>
        <w:t>五、</w:t>
        <w:tab/>
        <w:t>其他持股在百分之十以上的法人股东</w:t>
      </w:r>
      <w:r>
        <w:rPr>
          <w:b w:val="0"/>
          <w:bCs w:val="0"/>
        </w:rPr>
      </w:r>
    </w:p>
    <w:p>
      <w:pPr>
        <w:pStyle w:val="BodyText"/>
        <w:spacing w:line="240" w:lineRule="auto" w:before="64"/>
        <w:ind w:left="138" w:right="1055"/>
        <w:jc w:val="left"/>
      </w:pPr>
      <w:r>
        <w:rPr/>
        <w:t>□适用</w:t>
      </w:r>
      <w:r>
        <w:rPr>
          <w:spacing w:val="-1"/>
        </w:rPr>
        <w:t> </w:t>
      </w:r>
      <w:r>
        <w:rPr/>
        <w:t>√不适用</w:t>
      </w:r>
    </w:p>
    <w:p>
      <w:pPr>
        <w:pStyle w:val="Heading2"/>
        <w:tabs>
          <w:tab w:pos="977" w:val="left" w:leader="none"/>
        </w:tabs>
        <w:spacing w:line="240" w:lineRule="auto" w:before="52"/>
        <w:ind w:left="138" w:right="1055"/>
        <w:jc w:val="left"/>
        <w:rPr>
          <w:b w:val="0"/>
          <w:bCs w:val="0"/>
        </w:rPr>
      </w:pPr>
      <w:r>
        <w:rPr/>
        <w:t>六、</w:t>
        <w:tab/>
        <w:t>股份限制减持情况说明</w:t>
      </w:r>
      <w:r>
        <w:rPr>
          <w:b w:val="0"/>
          <w:bCs w:val="0"/>
        </w:rPr>
      </w:r>
    </w:p>
    <w:p>
      <w:pPr>
        <w:pStyle w:val="BodyText"/>
        <w:spacing w:line="240" w:lineRule="auto" w:before="61"/>
        <w:ind w:left="138" w:right="1055"/>
        <w:jc w:val="left"/>
      </w:pPr>
      <w:r>
        <w:rPr/>
        <w:t>□适用</w:t>
      </w:r>
      <w:r>
        <w:rPr>
          <w:spacing w:val="-1"/>
        </w:rPr>
        <w:t> </w:t>
      </w:r>
      <w:r>
        <w:rPr/>
        <w:t>√不适用</w:t>
      </w:r>
    </w:p>
    <w:p>
      <w:pPr>
        <w:pStyle w:val="Heading1"/>
        <w:tabs>
          <w:tab w:pos="4199" w:val="left" w:leader="none"/>
        </w:tabs>
        <w:spacing w:line="240" w:lineRule="auto" w:before="44"/>
        <w:ind w:left="2939" w:right="1055"/>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1055"/>
        <w:jc w:val="left"/>
      </w:pPr>
      <w:r>
        <w:rPr/>
        <w:t>□适用</w:t>
      </w:r>
      <w:r>
        <w:rPr>
          <w:spacing w:val="-1"/>
        </w:rPr>
        <w:t> </w:t>
      </w:r>
      <w:r>
        <w:rPr/>
        <w:t>√不适用</w:t>
      </w:r>
    </w:p>
    <w:p>
      <w:pPr>
        <w:spacing w:after="0" w:line="240" w:lineRule="auto"/>
        <w:jc w:val="left"/>
        <w:sectPr>
          <w:pgSz w:w="11910" w:h="16840"/>
          <w:pgMar w:header="880" w:footer="1195" w:top="1120" w:bottom="1380" w:left="1660" w:right="116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9"/>
          <w:footerReference w:type="default" r:id="rId20"/>
          <w:pgSz w:w="16840" w:h="11910" w:orient="landscape"/>
          <w:pgMar w:header="880" w:footer="1195" w:top="1120" w:bottom="1380" w:left="1300" w:right="1200"/>
          <w:pgNumType w:start="36"/>
        </w:sectPr>
      </w:pPr>
    </w:p>
    <w:p>
      <w:pPr>
        <w:pStyle w:val="Heading2"/>
        <w:spacing w:line="240" w:lineRule="auto"/>
        <w:ind w:left="224" w:right="-14"/>
        <w:jc w:val="left"/>
        <w:rPr>
          <w:b w:val="0"/>
          <w:bCs w:val="0"/>
        </w:rPr>
      </w:pPr>
      <w:r>
        <w:rPr/>
        <w:t>一、持股变动情况及报酬情况</w:t>
      </w:r>
      <w:r>
        <w:rPr>
          <w:b w:val="0"/>
          <w:bCs w:val="0"/>
        </w:rPr>
      </w:r>
    </w:p>
    <w:p>
      <w:pPr>
        <w:pStyle w:val="Heading2"/>
        <w:spacing w:line="240" w:lineRule="auto" w:before="55"/>
        <w:ind w:left="224" w:right="-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现任及报告期内离任董事、监事和高级管理人员持股变动及报酬情况</w:t>
      </w:r>
      <w:r>
        <w:rPr>
          <w:b w:val="0"/>
          <w:bCs w:val="0"/>
        </w:rPr>
      </w:r>
    </w:p>
    <w:p>
      <w:pPr>
        <w:pStyle w:val="BodyText"/>
        <w:spacing w:line="240" w:lineRule="auto" w:before="33"/>
        <w:ind w:left="22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7873" w:space="5161"/>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01"/>
        <w:gridCol w:w="1294"/>
        <w:gridCol w:w="634"/>
        <w:gridCol w:w="817"/>
        <w:gridCol w:w="1265"/>
        <w:gridCol w:w="1210"/>
        <w:gridCol w:w="1371"/>
        <w:gridCol w:w="1370"/>
        <w:gridCol w:w="1316"/>
        <w:gridCol w:w="1118"/>
        <w:gridCol w:w="1354"/>
        <w:gridCol w:w="1349"/>
      </w:tblGrid>
      <w:tr>
        <w:trPr>
          <w:trHeight w:val="1100"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08" w:right="203"/>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88" w:right="175"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123"/>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43" w:right="129"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146" w:right="14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72" w:lineRule="exact" w:before="27"/>
              <w:ind w:left="458" w:right="139"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89,071,474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90,263,974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大宗交易</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89,311,762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90,454,262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捐赠、</w:t>
            </w:r>
            <w:r>
              <w:rPr>
                <w:rFonts w:ascii="宋体" w:hAnsi="宋体" w:cs="宋体" w:eastAsia="宋体" w:hint="default"/>
                <w:spacing w:val="-78"/>
                <w:sz w:val="21"/>
                <w:szCs w:val="21"/>
              </w:rPr>
              <w:t> </w:t>
            </w:r>
            <w:r>
              <w:rPr>
                <w:rFonts w:ascii="宋体" w:hAnsi="宋体" w:cs="宋体" w:eastAsia="宋体" w:hint="default"/>
                <w:sz w:val="21"/>
                <w:szCs w:val="21"/>
              </w:rPr>
              <w:t>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宗交易</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85,411,265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86,603,765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大宗交易</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董事、高级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79,972,928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81,165,428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1,192,500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大宗交易</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64.96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2013-12-24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王侯</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71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2013-12-24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李应军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2013-12-24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李世聪</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刘雄任</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37.84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王清若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2013-12-24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760,937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779,314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18,377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二级市场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2013-12-24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920,369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920,369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2013-12-24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766,200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01"/>
        <w:gridCol w:w="1294"/>
        <w:gridCol w:w="634"/>
        <w:gridCol w:w="817"/>
        <w:gridCol w:w="1265"/>
        <w:gridCol w:w="1210"/>
        <w:gridCol w:w="1371"/>
        <w:gridCol w:w="1370"/>
        <w:gridCol w:w="1316"/>
        <w:gridCol w:w="1118"/>
        <w:gridCol w:w="1354"/>
        <w:gridCol w:w="1349"/>
      </w:tblGrid>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罗宇辉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2013-12-24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390,800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255,880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235,880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二级市场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姚震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2017-11-27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346,861,615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351,579,992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4,718,377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687.79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主要工作经历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32"/>
                <w:sz w:val="21"/>
                <w:szCs w:val="21"/>
              </w:rPr>
              <w:t> </w:t>
            </w:r>
            <w:r>
              <w:rPr>
                <w:rFonts w:ascii="宋体" w:hAnsi="宋体" w:cs="宋体" w:eastAsia="宋体" w:hint="default"/>
                <w:sz w:val="21"/>
                <w:szCs w:val="21"/>
              </w:rPr>
              <w:t>50</w:t>
            </w:r>
            <w:r>
              <w:rPr>
                <w:rFonts w:ascii="宋体" w:hAnsi="宋体" w:cs="宋体" w:eastAsia="宋体" w:hint="default"/>
                <w:spacing w:val="-32"/>
                <w:sz w:val="21"/>
                <w:szCs w:val="21"/>
              </w:rPr>
              <w:t> </w:t>
            </w:r>
            <w:r>
              <w:rPr>
                <w:rFonts w:ascii="宋体" w:hAnsi="宋体" w:cs="宋体" w:eastAsia="宋体" w:hint="default"/>
                <w:sz w:val="21"/>
                <w:szCs w:val="21"/>
              </w:rPr>
              <w:t>岁，硕士学位，西安交通大学应用经济学专业毕业，赵剑先生</w:t>
            </w:r>
            <w:r>
              <w:rPr>
                <w:rFonts w:ascii="宋体" w:hAnsi="宋体" w:cs="宋体" w:eastAsia="宋体" w:hint="default"/>
                <w:spacing w:val="-32"/>
                <w:sz w:val="21"/>
                <w:szCs w:val="21"/>
              </w:rPr>
              <w:t> </w:t>
            </w:r>
            <w:r>
              <w:rPr>
                <w:rFonts w:ascii="宋体" w:hAnsi="宋体" w:cs="宋体" w:eastAsia="宋体" w:hint="default"/>
                <w:sz w:val="21"/>
                <w:szCs w:val="21"/>
              </w:rPr>
              <w:t>1989</w:t>
            </w:r>
            <w:r>
              <w:rPr>
                <w:rFonts w:ascii="宋体" w:hAnsi="宋体" w:cs="宋体" w:eastAsia="宋体" w:hint="default"/>
                <w:spacing w:val="-32"/>
                <w:sz w:val="21"/>
                <w:szCs w:val="21"/>
              </w:rPr>
              <w:t> </w:t>
            </w:r>
            <w:r>
              <w:rPr>
                <w:rFonts w:ascii="宋体" w:hAnsi="宋体" w:cs="宋体" w:eastAsia="宋体" w:hint="default"/>
                <w:sz w:val="21"/>
                <w:szCs w:val="21"/>
              </w:rPr>
              <w:t>年至</w:t>
            </w:r>
            <w:r>
              <w:rPr>
                <w:rFonts w:ascii="宋体" w:hAnsi="宋体" w:cs="宋体" w:eastAsia="宋体" w:hint="default"/>
                <w:spacing w:val="-34"/>
                <w:sz w:val="21"/>
                <w:szCs w:val="21"/>
              </w:rPr>
              <w:t> </w:t>
            </w:r>
            <w:r>
              <w:rPr>
                <w:rFonts w:ascii="宋体" w:hAnsi="宋体" w:cs="宋体" w:eastAsia="宋体" w:hint="default"/>
                <w:sz w:val="21"/>
                <w:szCs w:val="21"/>
              </w:rPr>
              <w:t>1992</w:t>
            </w:r>
            <w:r>
              <w:rPr>
                <w:rFonts w:ascii="宋体" w:hAnsi="宋体" w:cs="宋体" w:eastAsia="宋体" w:hint="default"/>
                <w:spacing w:val="-32"/>
                <w:sz w:val="21"/>
                <w:szCs w:val="21"/>
              </w:rPr>
              <w:t> </w:t>
            </w:r>
            <w:r>
              <w:rPr>
                <w:rFonts w:ascii="宋体" w:hAnsi="宋体" w:cs="宋体" w:eastAsia="宋体" w:hint="default"/>
                <w:sz w:val="21"/>
                <w:szCs w:val="21"/>
              </w:rPr>
              <w:t>年任职于蛇口新欣软件产业有限公司；</w:t>
            </w:r>
            <w:r>
              <w:rPr>
                <w:rFonts w:ascii="宋体" w:hAnsi="宋体" w:cs="宋体" w:eastAsia="宋体" w:hint="default"/>
                <w:sz w:val="21"/>
                <w:szCs w:val="21"/>
              </w:rPr>
              <w:t>1992</w:t>
            </w:r>
            <w:r>
              <w:rPr>
                <w:rFonts w:ascii="宋体" w:hAnsi="宋体" w:cs="宋体" w:eastAsia="宋体" w:hint="default"/>
                <w:spacing w:val="-32"/>
                <w:sz w:val="21"/>
                <w:szCs w:val="21"/>
              </w:rPr>
              <w:t> </w:t>
            </w:r>
            <w:r>
              <w:rPr>
                <w:rFonts w:ascii="宋体" w:hAnsi="宋体" w:cs="宋体" w:eastAsia="宋体" w:hint="default"/>
                <w:spacing w:val="-3"/>
                <w:sz w:val="21"/>
                <w:szCs w:val="21"/>
              </w:rPr>
              <w:t>年至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1998 </w:t>
            </w:r>
            <w:r>
              <w:rPr>
                <w:rFonts w:ascii="宋体" w:hAnsi="宋体" w:cs="宋体" w:eastAsia="宋体" w:hint="default"/>
                <w:spacing w:val="-2"/>
                <w:sz w:val="21"/>
                <w:szCs w:val="21"/>
              </w:rPr>
              <w:t>年任职于深圳市捷意电脑有限公司，任总经理；</w:t>
            </w:r>
            <w:r>
              <w:rPr>
                <w:rFonts w:ascii="宋体" w:hAnsi="宋体" w:cs="宋体" w:eastAsia="宋体" w:hint="default"/>
                <w:spacing w:val="-2"/>
                <w:sz w:val="21"/>
                <w:szCs w:val="21"/>
              </w:rPr>
              <w:t>1998</w:t>
            </w:r>
            <w:r>
              <w:rPr>
                <w:rFonts w:ascii="宋体" w:hAnsi="宋体" w:cs="宋体" w:eastAsia="宋体" w:hint="default"/>
                <w:spacing w:val="-7"/>
                <w:sz w:val="21"/>
                <w:szCs w:val="21"/>
              </w:rPr>
              <w:t> </w:t>
            </w:r>
            <w:r>
              <w:rPr>
                <w:rFonts w:ascii="宋体" w:hAnsi="宋体" w:cs="宋体" w:eastAsia="宋体" w:hint="default"/>
                <w:spacing w:val="-2"/>
                <w:sz w:val="21"/>
                <w:szCs w:val="21"/>
              </w:rPr>
              <w:t>年创建本公司，出任公司第一届董事会董事至今，现任公司董事长。</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7"/>
                <w:sz w:val="21"/>
                <w:szCs w:val="21"/>
              </w:rPr>
              <w:t> </w:t>
            </w:r>
            <w:r>
              <w:rPr>
                <w:rFonts w:ascii="宋体" w:hAnsi="宋体" w:cs="宋体" w:eastAsia="宋体" w:hint="default"/>
                <w:sz w:val="21"/>
                <w:szCs w:val="21"/>
              </w:rPr>
              <w:t>54</w:t>
            </w:r>
            <w:r>
              <w:rPr>
                <w:rFonts w:ascii="宋体" w:hAnsi="宋体" w:cs="宋体" w:eastAsia="宋体" w:hint="default"/>
                <w:spacing w:val="-47"/>
                <w:sz w:val="21"/>
                <w:szCs w:val="21"/>
              </w:rPr>
              <w:t> </w:t>
            </w:r>
            <w:r>
              <w:rPr>
                <w:rFonts w:ascii="宋体" w:hAnsi="宋体" w:cs="宋体" w:eastAsia="宋体" w:hint="default"/>
                <w:spacing w:val="-8"/>
                <w:sz w:val="21"/>
                <w:szCs w:val="21"/>
              </w:rPr>
              <w:t>岁，学士学位，成都电子科技大学计算机专业毕业，杜宣先生</w:t>
            </w:r>
            <w:r>
              <w:rPr>
                <w:rFonts w:ascii="宋体" w:hAnsi="宋体" w:cs="宋体" w:eastAsia="宋体" w:hint="default"/>
                <w:spacing w:val="-45"/>
                <w:sz w:val="21"/>
                <w:szCs w:val="21"/>
              </w:rPr>
              <w:t> </w:t>
            </w:r>
            <w:r>
              <w:rPr>
                <w:rFonts w:ascii="宋体" w:hAnsi="宋体" w:cs="宋体" w:eastAsia="宋体" w:hint="default"/>
                <w:sz w:val="21"/>
                <w:szCs w:val="21"/>
              </w:rPr>
              <w:t>1984</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1989</w:t>
            </w:r>
            <w:r>
              <w:rPr>
                <w:rFonts w:ascii="宋体" w:hAnsi="宋体" w:cs="宋体" w:eastAsia="宋体" w:hint="default"/>
                <w:spacing w:val="-47"/>
                <w:sz w:val="21"/>
                <w:szCs w:val="21"/>
              </w:rPr>
              <w:t> </w:t>
            </w:r>
            <w:r>
              <w:rPr>
                <w:rFonts w:ascii="宋体" w:hAnsi="宋体" w:cs="宋体" w:eastAsia="宋体" w:hint="default"/>
                <w:sz w:val="21"/>
                <w:szCs w:val="21"/>
              </w:rPr>
              <w:t>年在成都电子科技大学任教并从事</w:t>
            </w:r>
            <w:r>
              <w:rPr>
                <w:rFonts w:ascii="宋体" w:hAnsi="宋体" w:cs="宋体" w:eastAsia="宋体" w:hint="default"/>
                <w:spacing w:val="-47"/>
                <w:sz w:val="21"/>
                <w:szCs w:val="21"/>
              </w:rPr>
              <w:t> </w:t>
            </w:r>
            <w:r>
              <w:rPr>
                <w:rFonts w:ascii="宋体" w:hAnsi="宋体" w:cs="宋体" w:eastAsia="宋体" w:hint="default"/>
                <w:sz w:val="21"/>
                <w:szCs w:val="21"/>
              </w:rPr>
              <w:t>MIS</w:t>
            </w:r>
            <w:r>
              <w:rPr>
                <w:rFonts w:ascii="宋体" w:hAnsi="宋体" w:cs="宋体" w:eastAsia="宋体" w:hint="default"/>
                <w:spacing w:val="-49"/>
                <w:sz w:val="21"/>
                <w:szCs w:val="21"/>
              </w:rPr>
              <w:t> </w:t>
            </w:r>
            <w:r>
              <w:rPr>
                <w:rFonts w:ascii="宋体" w:hAnsi="宋体" w:cs="宋体" w:eastAsia="宋体" w:hint="default"/>
                <w:spacing w:val="-8"/>
                <w:sz w:val="21"/>
                <w:szCs w:val="21"/>
              </w:rPr>
              <w:t>的开发；</w:t>
            </w:r>
            <w:r>
              <w:rPr>
                <w:rFonts w:ascii="宋体" w:hAnsi="宋体" w:cs="宋体" w:eastAsia="宋体" w:hint="default"/>
                <w:spacing w:val="-8"/>
                <w:sz w:val="21"/>
                <w:szCs w:val="21"/>
              </w:rPr>
              <w:t>1989</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年至</w:t>
            </w:r>
            <w:r>
              <w:rPr>
                <w:rFonts w:ascii="宋体" w:hAnsi="宋体" w:cs="宋体" w:eastAsia="宋体" w:hint="default"/>
                <w:spacing w:val="-35"/>
                <w:sz w:val="21"/>
                <w:szCs w:val="21"/>
              </w:rPr>
              <w:t> </w:t>
            </w:r>
            <w:r>
              <w:rPr>
                <w:rFonts w:ascii="宋体" w:hAnsi="宋体" w:cs="宋体" w:eastAsia="宋体" w:hint="default"/>
                <w:sz w:val="21"/>
                <w:szCs w:val="21"/>
              </w:rPr>
              <w:t>1993</w:t>
            </w:r>
            <w:r>
              <w:rPr>
                <w:rFonts w:ascii="宋体" w:hAnsi="宋体" w:cs="宋体" w:eastAsia="宋体" w:hint="default"/>
                <w:spacing w:val="-37"/>
                <w:sz w:val="21"/>
                <w:szCs w:val="21"/>
              </w:rPr>
              <w:t> </w:t>
            </w:r>
            <w:r>
              <w:rPr>
                <w:rFonts w:ascii="宋体" w:hAnsi="宋体" w:cs="宋体" w:eastAsia="宋体" w:hint="default"/>
                <w:spacing w:val="-5"/>
                <w:sz w:val="21"/>
                <w:szCs w:val="21"/>
              </w:rPr>
              <w:t>年任职于蛇口新欣软件产业有限公司，任开发二部经理；</w:t>
            </w:r>
            <w:r>
              <w:rPr>
                <w:rFonts w:ascii="宋体" w:hAnsi="宋体" w:cs="宋体" w:eastAsia="宋体" w:hint="default"/>
                <w:spacing w:val="-5"/>
                <w:sz w:val="21"/>
                <w:szCs w:val="21"/>
              </w:rPr>
              <w:t>1993</w:t>
            </w:r>
            <w:r>
              <w:rPr>
                <w:rFonts w:ascii="宋体" w:hAnsi="宋体" w:cs="宋体" w:eastAsia="宋体" w:hint="default"/>
                <w:spacing w:val="-35"/>
                <w:sz w:val="21"/>
                <w:szCs w:val="21"/>
              </w:rPr>
              <w:t> </w:t>
            </w:r>
            <w:r>
              <w:rPr>
                <w:rFonts w:ascii="宋体" w:hAnsi="宋体" w:cs="宋体" w:eastAsia="宋体" w:hint="default"/>
                <w:sz w:val="21"/>
                <w:szCs w:val="21"/>
              </w:rPr>
              <w:t>年至</w:t>
            </w:r>
            <w:r>
              <w:rPr>
                <w:rFonts w:ascii="宋体" w:hAnsi="宋体" w:cs="宋体" w:eastAsia="宋体" w:hint="default"/>
                <w:spacing w:val="-37"/>
                <w:sz w:val="21"/>
                <w:szCs w:val="21"/>
              </w:rPr>
              <w:t> </w:t>
            </w:r>
            <w:r>
              <w:rPr>
                <w:rFonts w:ascii="宋体" w:hAnsi="宋体" w:cs="宋体" w:eastAsia="宋体" w:hint="default"/>
                <w:sz w:val="21"/>
                <w:szCs w:val="21"/>
              </w:rPr>
              <w:t>1998</w:t>
            </w:r>
            <w:r>
              <w:rPr>
                <w:rFonts w:ascii="宋体" w:hAnsi="宋体" w:cs="宋体" w:eastAsia="宋体" w:hint="default"/>
                <w:spacing w:val="-37"/>
                <w:sz w:val="21"/>
                <w:szCs w:val="21"/>
              </w:rPr>
              <w:t> </w:t>
            </w:r>
            <w:r>
              <w:rPr>
                <w:rFonts w:ascii="宋体" w:hAnsi="宋体" w:cs="宋体" w:eastAsia="宋体" w:hint="default"/>
                <w:spacing w:val="-5"/>
                <w:sz w:val="21"/>
                <w:szCs w:val="21"/>
              </w:rPr>
              <w:t>年任职于深圳市新华威科技有限公司，任总经理；</w:t>
            </w:r>
            <w:r>
              <w:rPr>
                <w:rFonts w:ascii="宋体" w:hAnsi="宋体" w:cs="宋体" w:eastAsia="宋体" w:hint="default"/>
                <w:spacing w:val="-5"/>
                <w:sz w:val="21"/>
                <w:szCs w:val="21"/>
              </w:rPr>
              <w:t>1998</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年创建本公司，曾任公司第一届至第四届董事会董事长，现任公司董事。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6"/>
                <w:sz w:val="21"/>
                <w:szCs w:val="21"/>
              </w:rPr>
              <w:t> </w:t>
            </w:r>
            <w:r>
              <w:rPr>
                <w:rFonts w:ascii="宋体" w:hAnsi="宋体" w:cs="宋体" w:eastAsia="宋体" w:hint="default"/>
                <w:sz w:val="21"/>
                <w:szCs w:val="21"/>
              </w:rPr>
              <w:t>52</w:t>
            </w:r>
            <w:r>
              <w:rPr>
                <w:rFonts w:ascii="宋体" w:hAnsi="宋体" w:cs="宋体" w:eastAsia="宋体" w:hint="default"/>
                <w:spacing w:val="-56"/>
                <w:sz w:val="21"/>
                <w:szCs w:val="21"/>
              </w:rPr>
              <w:t> </w:t>
            </w:r>
            <w:r>
              <w:rPr>
                <w:rFonts w:ascii="宋体" w:hAnsi="宋体" w:cs="宋体" w:eastAsia="宋体" w:hint="default"/>
                <w:sz w:val="21"/>
                <w:szCs w:val="21"/>
              </w:rPr>
              <w:t>岁，硕士学位，成都电子科技大学计算机专业毕业，李结义先生</w:t>
            </w:r>
            <w:r>
              <w:rPr>
                <w:rFonts w:ascii="宋体" w:hAnsi="宋体" w:cs="宋体" w:eastAsia="宋体" w:hint="default"/>
                <w:spacing w:val="-55"/>
                <w:sz w:val="21"/>
                <w:szCs w:val="21"/>
              </w:rPr>
              <w:t> </w:t>
            </w:r>
            <w:r>
              <w:rPr>
                <w:rFonts w:ascii="宋体" w:hAnsi="宋体" w:cs="宋体" w:eastAsia="宋体" w:hint="default"/>
                <w:sz w:val="21"/>
                <w:szCs w:val="21"/>
              </w:rPr>
              <w:t>1989</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1993</w:t>
            </w:r>
            <w:r>
              <w:rPr>
                <w:rFonts w:ascii="宋体" w:hAnsi="宋体" w:cs="宋体" w:eastAsia="宋体" w:hint="default"/>
                <w:spacing w:val="-57"/>
                <w:sz w:val="21"/>
                <w:szCs w:val="21"/>
              </w:rPr>
              <w:t> </w:t>
            </w:r>
            <w:r>
              <w:rPr>
                <w:rFonts w:ascii="宋体" w:hAnsi="宋体" w:cs="宋体" w:eastAsia="宋体" w:hint="default"/>
                <w:sz w:val="21"/>
                <w:szCs w:val="21"/>
              </w:rPr>
              <w:t>年任职于蛇口新欣软件产业有限公司，任经营部</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1993</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8"/>
                <w:sz w:val="21"/>
                <w:szCs w:val="21"/>
              </w:rPr>
              <w:t> </w:t>
            </w:r>
            <w:r>
              <w:rPr>
                <w:rFonts w:ascii="宋体" w:hAnsi="宋体" w:cs="宋体" w:eastAsia="宋体" w:hint="default"/>
                <w:sz w:val="21"/>
                <w:szCs w:val="21"/>
              </w:rPr>
              <w:t>1998</w:t>
            </w:r>
            <w:r>
              <w:rPr>
                <w:rFonts w:ascii="宋体" w:hAnsi="宋体" w:cs="宋体" w:eastAsia="宋体" w:hint="default"/>
                <w:spacing w:val="-57"/>
                <w:sz w:val="21"/>
                <w:szCs w:val="21"/>
              </w:rPr>
              <w:t> </w:t>
            </w:r>
            <w:r>
              <w:rPr>
                <w:rFonts w:ascii="宋体" w:hAnsi="宋体" w:cs="宋体" w:eastAsia="宋体" w:hint="default"/>
                <w:sz w:val="21"/>
                <w:szCs w:val="21"/>
              </w:rPr>
              <w:t>年任职于深圳市新华威科技有限公司，任副总经理；</w:t>
            </w: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z w:val="21"/>
                <w:szCs w:val="21"/>
              </w:rPr>
              <w:t>年创建本公司，出任公司第一届董事会董事至今</w:t>
            </w:r>
            <w:r>
              <w:rPr>
                <w:rFonts w:ascii="宋体" w:hAnsi="宋体" w:cs="宋体" w:eastAsia="宋体" w:hint="default"/>
                <w:sz w:val="21"/>
                <w:szCs w:val="21"/>
              </w:rPr>
              <w:t>,</w:t>
            </w:r>
            <w:r>
              <w:rPr>
                <w:rFonts w:ascii="宋体" w:hAnsi="宋体" w:cs="宋体" w:eastAsia="宋体" w:hint="default"/>
                <w:sz w:val="21"/>
                <w:szCs w:val="21"/>
              </w:rPr>
              <w:t>现任公</w:t>
            </w:r>
            <w:r>
              <w:rPr>
                <w:rFonts w:ascii="宋体" w:hAnsi="宋体" w:cs="宋体" w:eastAsia="宋体" w:hint="default"/>
                <w:w w:val="100"/>
                <w:sz w:val="21"/>
                <w:szCs w:val="21"/>
              </w:rPr>
              <w:t> </w:t>
            </w:r>
            <w:r>
              <w:rPr>
                <w:rFonts w:ascii="宋体" w:hAnsi="宋体" w:cs="宋体" w:eastAsia="宋体" w:hint="default"/>
                <w:sz w:val="21"/>
                <w:szCs w:val="21"/>
              </w:rPr>
              <w:t>司董事、总裁。</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4"/>
                <w:sz w:val="21"/>
                <w:szCs w:val="21"/>
              </w:rPr>
              <w:t> </w:t>
            </w:r>
            <w:r>
              <w:rPr>
                <w:rFonts w:ascii="宋体" w:hAnsi="宋体" w:cs="宋体" w:eastAsia="宋体" w:hint="default"/>
                <w:sz w:val="21"/>
                <w:szCs w:val="21"/>
              </w:rPr>
              <w:t>51</w:t>
            </w:r>
            <w:r>
              <w:rPr>
                <w:rFonts w:ascii="宋体" w:hAnsi="宋体" w:cs="宋体" w:eastAsia="宋体" w:hint="default"/>
                <w:spacing w:val="-44"/>
                <w:sz w:val="21"/>
                <w:szCs w:val="21"/>
              </w:rPr>
              <w:t> </w:t>
            </w:r>
            <w:r>
              <w:rPr>
                <w:rFonts w:ascii="宋体" w:hAnsi="宋体" w:cs="宋体" w:eastAsia="宋体" w:hint="default"/>
                <w:spacing w:val="-5"/>
                <w:sz w:val="21"/>
                <w:szCs w:val="21"/>
              </w:rPr>
              <w:t>岁，学士学位，清华大学工业自动化专业毕业，徐岷波先生</w:t>
            </w:r>
            <w:r>
              <w:rPr>
                <w:rFonts w:ascii="宋体" w:hAnsi="宋体" w:cs="宋体" w:eastAsia="宋体" w:hint="default"/>
                <w:spacing w:val="-43"/>
                <w:sz w:val="21"/>
                <w:szCs w:val="21"/>
              </w:rPr>
              <w:t> </w:t>
            </w:r>
            <w:r>
              <w:rPr>
                <w:rFonts w:ascii="宋体" w:hAnsi="宋体" w:cs="宋体" w:eastAsia="宋体" w:hint="default"/>
                <w:sz w:val="21"/>
                <w:szCs w:val="21"/>
              </w:rPr>
              <w:t>1990</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1992</w:t>
            </w:r>
            <w:r>
              <w:rPr>
                <w:rFonts w:ascii="宋体" w:hAnsi="宋体" w:cs="宋体" w:eastAsia="宋体" w:hint="default"/>
                <w:spacing w:val="-47"/>
                <w:sz w:val="21"/>
                <w:szCs w:val="21"/>
              </w:rPr>
              <w:t> </w:t>
            </w:r>
            <w:r>
              <w:rPr>
                <w:rFonts w:ascii="宋体" w:hAnsi="宋体" w:cs="宋体" w:eastAsia="宋体" w:hint="default"/>
                <w:spacing w:val="-3"/>
                <w:sz w:val="21"/>
                <w:szCs w:val="21"/>
              </w:rPr>
              <w:t>年任职于蛇口新欣软件产业有限公司；</w:t>
            </w:r>
            <w:r>
              <w:rPr>
                <w:rFonts w:ascii="宋体" w:hAnsi="宋体" w:cs="宋体" w:eastAsia="宋体" w:hint="default"/>
                <w:spacing w:val="-3"/>
                <w:sz w:val="21"/>
                <w:szCs w:val="21"/>
              </w:rPr>
              <w:t>1992</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1998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年任职于深圳市捷意电脑有限公司，任副总经理；</w:t>
            </w:r>
            <w:r>
              <w:rPr>
                <w:rFonts w:ascii="宋体" w:hAnsi="宋体" w:cs="宋体" w:eastAsia="宋体" w:hint="default"/>
                <w:spacing w:val="-2"/>
                <w:sz w:val="21"/>
                <w:szCs w:val="21"/>
              </w:rPr>
              <w:t>1998</w:t>
            </w:r>
            <w:r>
              <w:rPr>
                <w:rFonts w:ascii="宋体" w:hAnsi="宋体" w:cs="宋体" w:eastAsia="宋体" w:hint="default"/>
                <w:spacing w:val="59"/>
                <w:sz w:val="21"/>
                <w:szCs w:val="21"/>
              </w:rPr>
              <w:t> </w:t>
            </w:r>
            <w:r>
              <w:rPr>
                <w:rFonts w:ascii="宋体" w:hAnsi="宋体" w:cs="宋体" w:eastAsia="宋体" w:hint="default"/>
                <w:spacing w:val="-2"/>
                <w:sz w:val="21"/>
                <w:szCs w:val="21"/>
              </w:rPr>
              <w:t>年创建本公司，出任公司第一届董事会董事至今，现任公司董事、高级副总裁。</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3"/>
                <w:sz w:val="21"/>
                <w:szCs w:val="21"/>
              </w:rPr>
              <w:t> </w:t>
            </w:r>
            <w:r>
              <w:rPr>
                <w:rFonts w:ascii="宋体" w:hAnsi="宋体" w:cs="宋体" w:eastAsia="宋体" w:hint="default"/>
                <w:sz w:val="21"/>
                <w:szCs w:val="21"/>
              </w:rPr>
              <w:t>53</w:t>
            </w:r>
            <w:r>
              <w:rPr>
                <w:rFonts w:ascii="宋体" w:hAnsi="宋体" w:cs="宋体" w:eastAsia="宋体" w:hint="default"/>
                <w:spacing w:val="-45"/>
                <w:sz w:val="21"/>
                <w:szCs w:val="21"/>
              </w:rPr>
              <w:t> </w:t>
            </w:r>
            <w:r>
              <w:rPr>
                <w:rFonts w:ascii="宋体" w:hAnsi="宋体" w:cs="宋体" w:eastAsia="宋体" w:hint="default"/>
                <w:sz w:val="21"/>
                <w:szCs w:val="21"/>
              </w:rPr>
              <w:t>岁，硕士学位，武汉理工大学信息管理系统专业毕业，黄宇翔先生</w:t>
            </w:r>
            <w:r>
              <w:rPr>
                <w:rFonts w:ascii="宋体" w:hAnsi="宋体" w:cs="宋体" w:eastAsia="宋体" w:hint="default"/>
                <w:spacing w:val="-43"/>
                <w:sz w:val="21"/>
                <w:szCs w:val="21"/>
              </w:rPr>
              <w:t> </w:t>
            </w:r>
            <w:r>
              <w:rPr>
                <w:rFonts w:ascii="宋体" w:hAnsi="宋体" w:cs="宋体" w:eastAsia="宋体" w:hint="default"/>
                <w:sz w:val="21"/>
                <w:szCs w:val="21"/>
              </w:rPr>
              <w:t>2013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月在汇丰软件开发（广东）有限公</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司环球金融与资本市场技术部门任中国区总裁；</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月任平安科技（深圳）有限公司副总经理；</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月至今任</w:t>
            </w:r>
            <w:r>
              <w:rPr>
                <w:rFonts w:ascii="宋体" w:hAnsi="宋体" w:cs="宋体" w:eastAsia="宋体" w:hint="default"/>
                <w:w w:val="100"/>
                <w:sz w:val="21"/>
                <w:szCs w:val="21"/>
              </w:rPr>
              <w:t> </w:t>
            </w:r>
            <w:r>
              <w:rPr>
                <w:rFonts w:ascii="宋体" w:hAnsi="宋体" w:cs="宋体" w:eastAsia="宋体" w:hint="default"/>
                <w:sz w:val="21"/>
                <w:szCs w:val="21"/>
              </w:rPr>
              <w:t>深圳壹账通智能科技有限公司任副总经理、首席技术官兼首席运营官，并担任上海壹账通区块链科技有限公司执行董事、总经理，平安</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付电子支付有限公司董事，平安集信（上海）投资管理有限公司董事，现任公司董事。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8"/>
                <w:sz w:val="21"/>
                <w:szCs w:val="21"/>
              </w:rPr>
              <w:t> </w:t>
            </w:r>
            <w:r>
              <w:rPr>
                <w:rFonts w:ascii="宋体" w:hAnsi="宋体" w:cs="宋体" w:eastAsia="宋体" w:hint="default"/>
                <w:sz w:val="21"/>
                <w:szCs w:val="21"/>
              </w:rPr>
              <w:t>62</w:t>
            </w:r>
            <w:r>
              <w:rPr>
                <w:rFonts w:ascii="宋体" w:hAnsi="宋体" w:cs="宋体" w:eastAsia="宋体" w:hint="default"/>
                <w:spacing w:val="-50"/>
                <w:sz w:val="21"/>
                <w:szCs w:val="21"/>
              </w:rPr>
              <w:t> </w:t>
            </w:r>
            <w:r>
              <w:rPr>
                <w:rFonts w:ascii="宋体" w:hAnsi="宋体" w:cs="宋体" w:eastAsia="宋体" w:hint="default"/>
                <w:sz w:val="21"/>
                <w:szCs w:val="21"/>
              </w:rPr>
              <w:t>岁，毕业于香港商学院，硕士。肖幼美女士</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月任职于深圳市中金财务顾问公司；</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月至今任职于深圳市中小企</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业信用融资担保集团有限公司，任项目评审顾问；并担任国信证券股份有限公司、深圳市中装建设集团股份有限公司独立董事。现任公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司独立董事。</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8"/>
                <w:sz w:val="21"/>
                <w:szCs w:val="21"/>
              </w:rPr>
              <w:t> </w:t>
            </w:r>
            <w:r>
              <w:rPr>
                <w:rFonts w:ascii="宋体" w:hAnsi="宋体" w:cs="宋体" w:eastAsia="宋体" w:hint="default"/>
                <w:sz w:val="21"/>
                <w:szCs w:val="21"/>
              </w:rPr>
              <w:t>47</w:t>
            </w:r>
            <w:r>
              <w:rPr>
                <w:rFonts w:ascii="宋体" w:hAnsi="宋体" w:cs="宋体" w:eastAsia="宋体" w:hint="default"/>
                <w:spacing w:val="-50"/>
                <w:sz w:val="21"/>
                <w:szCs w:val="21"/>
              </w:rPr>
              <w:t> </w:t>
            </w:r>
            <w:r>
              <w:rPr>
                <w:rFonts w:ascii="宋体" w:hAnsi="宋体" w:cs="宋体" w:eastAsia="宋体" w:hint="default"/>
                <w:sz w:val="21"/>
                <w:szCs w:val="21"/>
              </w:rPr>
              <w:t>岁，毕业于南开大学，经济学博士。杨健先生</w:t>
            </w:r>
            <w:r>
              <w:rPr>
                <w:rFonts w:ascii="宋体" w:hAnsi="宋体" w:cs="宋体" w:eastAsia="宋体" w:hint="default"/>
                <w:spacing w:val="-48"/>
                <w:sz w:val="21"/>
                <w:szCs w:val="21"/>
              </w:rPr>
              <w:t> </w:t>
            </w:r>
            <w:r>
              <w:rPr>
                <w:rFonts w:ascii="宋体" w:hAnsi="宋体" w:cs="宋体" w:eastAsia="宋体" w:hint="default"/>
                <w:sz w:val="21"/>
                <w:szCs w:val="21"/>
              </w:rPr>
              <w:t>1996</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2003</w:t>
            </w:r>
            <w:r>
              <w:rPr>
                <w:rFonts w:ascii="宋体" w:hAnsi="宋体" w:cs="宋体" w:eastAsia="宋体" w:hint="default"/>
                <w:spacing w:val="-50"/>
                <w:sz w:val="21"/>
                <w:szCs w:val="21"/>
              </w:rPr>
              <w:t> </w:t>
            </w:r>
            <w:r>
              <w:rPr>
                <w:rFonts w:ascii="宋体" w:hAnsi="宋体" w:cs="宋体" w:eastAsia="宋体" w:hint="default"/>
                <w:sz w:val="21"/>
                <w:szCs w:val="21"/>
              </w:rPr>
              <w:t>年任职于君安证券有限责任公司投资银行部；</w:t>
            </w:r>
            <w:r>
              <w:rPr>
                <w:rFonts w:ascii="宋体" w:hAnsi="宋体" w:cs="宋体" w:eastAsia="宋体" w:hint="default"/>
                <w:sz w:val="21"/>
                <w:szCs w:val="21"/>
              </w:rPr>
              <w:t>2004</w:t>
            </w:r>
            <w:r>
              <w:rPr>
                <w:rFonts w:ascii="宋体" w:hAnsi="宋体" w:cs="宋体" w:eastAsia="宋体"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月任职于华林证券有限责任公司，任总裁助理；</w:t>
            </w:r>
            <w:r>
              <w:rPr>
                <w:rFonts w:ascii="宋体" w:hAnsi="宋体" w:cs="宋体" w:eastAsia="宋体" w:hint="default"/>
                <w:spacing w:val="-3"/>
                <w:sz w:val="21"/>
                <w:szCs w:val="21"/>
              </w:rPr>
              <w:t>2006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pacing w:val="-3"/>
                <w:sz w:val="21"/>
                <w:szCs w:val="21"/>
              </w:rPr>
              <w:t>月任职于国信证券股份有限公司，任投资银行业务部总经理。曾</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任公司第五届董事会独立董事。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1"/>
                <w:sz w:val="21"/>
                <w:szCs w:val="21"/>
              </w:rPr>
              <w:t> </w:t>
            </w:r>
            <w:r>
              <w:rPr>
                <w:rFonts w:ascii="宋体" w:hAnsi="宋体" w:cs="宋体" w:eastAsia="宋体" w:hint="default"/>
                <w:sz w:val="21"/>
                <w:szCs w:val="21"/>
              </w:rPr>
              <w:t>40</w:t>
            </w:r>
            <w:r>
              <w:rPr>
                <w:rFonts w:ascii="宋体" w:hAnsi="宋体" w:cs="宋体" w:eastAsia="宋体" w:hint="default"/>
                <w:spacing w:val="-51"/>
                <w:sz w:val="21"/>
                <w:szCs w:val="21"/>
              </w:rPr>
              <w:t> </w:t>
            </w:r>
            <w:r>
              <w:rPr>
                <w:rFonts w:ascii="宋体" w:hAnsi="宋体" w:cs="宋体" w:eastAsia="宋体" w:hint="default"/>
                <w:sz w:val="21"/>
                <w:szCs w:val="21"/>
              </w:rPr>
              <w:t>岁，毕业于北京理工大学，工学博士，张龙飞先生</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月任职于北京理工大学软件学院，任教师；</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月任职于美国卡内基梅隆大学，任科学家；</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月至今任职于北京理工大学软件学院，任教师；担任北京梅泰</w:t>
            </w:r>
            <w:r>
              <w:rPr>
                <w:rFonts w:ascii="宋体" w:hAnsi="宋体" w:cs="宋体" w:eastAsia="宋体" w:hint="default"/>
                <w:w w:val="100"/>
                <w:sz w:val="21"/>
                <w:szCs w:val="21"/>
              </w:rPr>
              <w:t> </w:t>
            </w:r>
            <w:r>
              <w:rPr>
                <w:rFonts w:ascii="宋体" w:hAnsi="宋体" w:cs="宋体" w:eastAsia="宋体" w:hint="default"/>
                <w:sz w:val="21"/>
                <w:szCs w:val="21"/>
              </w:rPr>
              <w:t>诺通讯技术股份有限公司独立董事、北京北广科技股份有限公司董事。现任公司独立董事。</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4"/>
                <w:sz w:val="21"/>
                <w:szCs w:val="21"/>
              </w:rPr>
              <w:t> </w:t>
            </w:r>
            <w:r>
              <w:rPr>
                <w:rFonts w:ascii="宋体" w:hAnsi="宋体" w:cs="宋体" w:eastAsia="宋体" w:hint="default"/>
                <w:sz w:val="21"/>
                <w:szCs w:val="21"/>
              </w:rPr>
              <w:t>49</w:t>
            </w:r>
            <w:r>
              <w:rPr>
                <w:rFonts w:ascii="宋体" w:hAnsi="宋体" w:cs="宋体" w:eastAsia="宋体" w:hint="default"/>
                <w:spacing w:val="-54"/>
                <w:sz w:val="21"/>
                <w:szCs w:val="21"/>
              </w:rPr>
              <w:t> </w:t>
            </w:r>
            <w:r>
              <w:rPr>
                <w:rFonts w:ascii="宋体" w:hAnsi="宋体" w:cs="宋体" w:eastAsia="宋体" w:hint="default"/>
                <w:sz w:val="21"/>
                <w:szCs w:val="21"/>
              </w:rPr>
              <w:t>岁，毕业于上海交通大学，管理学博士，陈正旭先生</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月任职于齐鲁证券有限公司投资银行部，任董事总</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月任职于宏源证券股份有限公司投资银行部，任董事总经理；</w:t>
            </w:r>
            <w:r>
              <w:rPr>
                <w:rFonts w:ascii="宋体" w:hAnsi="宋体" w:cs="宋体" w:eastAsia="宋体" w:hint="default"/>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月至今任职于深圳鼎锋明道资产</w:t>
            </w:r>
            <w:r>
              <w:rPr>
                <w:rFonts w:ascii="宋体" w:hAnsi="宋体" w:cs="宋体" w:eastAsia="宋体" w:hint="default"/>
                <w:w w:val="100"/>
                <w:sz w:val="21"/>
                <w:szCs w:val="21"/>
              </w:rPr>
              <w:t> </w:t>
            </w:r>
            <w:r>
              <w:rPr>
                <w:rFonts w:ascii="宋体" w:hAnsi="宋体" w:cs="宋体" w:eastAsia="宋体" w:hint="default"/>
                <w:spacing w:val="-2"/>
                <w:sz w:val="21"/>
                <w:szCs w:val="21"/>
              </w:rPr>
              <w:t>管理有限公司，任执行董事、总经理；同时陈正旭先生还担任宁波鼎锋明道投资管理合伙企业（有限合伙）总经理</w:t>
            </w:r>
            <w:r>
              <w:rPr>
                <w:rFonts w:ascii="宋体" w:hAnsi="宋体" w:cs="宋体" w:eastAsia="宋体" w:hint="default"/>
                <w:spacing w:val="-2"/>
                <w:sz w:val="21"/>
                <w:szCs w:val="21"/>
              </w:rPr>
              <w:t>,</w:t>
            </w:r>
            <w:r>
              <w:rPr>
                <w:rFonts w:ascii="宋体" w:hAnsi="宋体" w:cs="宋体" w:eastAsia="宋体" w:hint="default"/>
                <w:spacing w:val="-2"/>
                <w:sz w:val="21"/>
                <w:szCs w:val="21"/>
              </w:rPr>
              <w:t>现任公司独立董事。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6"/>
                <w:sz w:val="21"/>
                <w:szCs w:val="21"/>
              </w:rPr>
              <w:t> </w:t>
            </w:r>
            <w:r>
              <w:rPr>
                <w:rFonts w:ascii="宋体" w:hAnsi="宋体" w:cs="宋体" w:eastAsia="宋体" w:hint="default"/>
                <w:sz w:val="21"/>
                <w:szCs w:val="21"/>
              </w:rPr>
              <w:t>41</w:t>
            </w:r>
            <w:r>
              <w:rPr>
                <w:rFonts w:ascii="宋体" w:hAnsi="宋体" w:cs="宋体" w:eastAsia="宋体" w:hint="default"/>
                <w:spacing w:val="-56"/>
                <w:sz w:val="21"/>
                <w:szCs w:val="21"/>
              </w:rPr>
              <w:t> </w:t>
            </w:r>
            <w:r>
              <w:rPr>
                <w:rFonts w:ascii="宋体" w:hAnsi="宋体" w:cs="宋体" w:eastAsia="宋体" w:hint="default"/>
                <w:sz w:val="21"/>
                <w:szCs w:val="21"/>
              </w:rPr>
              <w:t>岁，本科，毕业于中南财经政法大学金融系，刘瑛女士</w:t>
            </w:r>
            <w:r>
              <w:rPr>
                <w:rFonts w:ascii="宋体" w:hAnsi="宋体" w:cs="宋体" w:eastAsia="宋体" w:hint="default"/>
                <w:spacing w:val="-55"/>
                <w:sz w:val="21"/>
                <w:szCs w:val="21"/>
              </w:rPr>
              <w:t> </w:t>
            </w:r>
            <w:r>
              <w:rPr>
                <w:rFonts w:ascii="宋体" w:hAnsi="宋体" w:cs="宋体" w:eastAsia="宋体" w:hint="default"/>
                <w:sz w:val="21"/>
                <w:szCs w:val="21"/>
              </w:rPr>
              <w:t>2003</w:t>
            </w:r>
            <w:r>
              <w:rPr>
                <w:rFonts w:ascii="宋体" w:hAnsi="宋体" w:cs="宋体" w:eastAsia="宋体" w:hint="default"/>
                <w:spacing w:val="-57"/>
                <w:sz w:val="21"/>
                <w:szCs w:val="21"/>
              </w:rPr>
              <w:t> </w:t>
            </w:r>
            <w:r>
              <w:rPr>
                <w:rFonts w:ascii="宋体" w:hAnsi="宋体" w:cs="宋体" w:eastAsia="宋体" w:hint="default"/>
                <w:sz w:val="21"/>
                <w:szCs w:val="21"/>
              </w:rPr>
              <w:t>年任职于深圳和光现代商务股份有限公司证券部；</w:t>
            </w:r>
            <w:r>
              <w:rPr>
                <w:rFonts w:ascii="宋体" w:hAnsi="宋体" w:cs="宋体" w:eastAsia="宋体" w:hint="default"/>
                <w:sz w:val="21"/>
                <w:szCs w:val="21"/>
              </w:rPr>
              <w:t>2005</w:t>
            </w:r>
            <w:r>
              <w:rPr>
                <w:rFonts w:ascii="宋体" w:hAnsi="宋体" w:cs="宋体" w:eastAsia="宋体" w:hint="default"/>
                <w:spacing w:val="-7"/>
                <w:sz w:val="21"/>
                <w:szCs w:val="21"/>
              </w:rPr>
              <w:t> </w:t>
            </w:r>
            <w:r>
              <w:rPr>
                <w:rFonts w:ascii="宋体" w:hAnsi="宋体" w:cs="宋体" w:eastAsia="宋体" w:hint="default"/>
                <w:sz w:val="21"/>
                <w:szCs w:val="21"/>
              </w:rPr>
              <w:t>年至今任职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于金证股份，曾任公司证券事务代表、现任公司监事会主席。</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3"/>
                <w:sz w:val="21"/>
                <w:szCs w:val="21"/>
              </w:rPr>
              <w:t> </w:t>
            </w:r>
            <w:r>
              <w:rPr>
                <w:rFonts w:ascii="宋体" w:hAnsi="宋体" w:cs="宋体" w:eastAsia="宋体" w:hint="default"/>
                <w:sz w:val="21"/>
                <w:szCs w:val="21"/>
              </w:rPr>
              <w:t>71</w:t>
            </w:r>
            <w:r>
              <w:rPr>
                <w:rFonts w:ascii="宋体" w:hAnsi="宋体" w:cs="宋体" w:eastAsia="宋体" w:hint="default"/>
                <w:spacing w:val="-43"/>
                <w:sz w:val="21"/>
                <w:szCs w:val="21"/>
              </w:rPr>
              <w:t> </w:t>
            </w:r>
            <w:r>
              <w:rPr>
                <w:rFonts w:ascii="宋体" w:hAnsi="宋体" w:cs="宋体" w:eastAsia="宋体" w:hint="default"/>
                <w:spacing w:val="-4"/>
                <w:sz w:val="21"/>
                <w:szCs w:val="21"/>
              </w:rPr>
              <w:t>岁，本科学历，毕业于北京大学数学力学系；计算机科学副研究员；王侯先生</w:t>
            </w:r>
            <w:r>
              <w:rPr>
                <w:rFonts w:ascii="宋体" w:hAnsi="宋体" w:cs="宋体" w:eastAsia="宋体" w:hint="default"/>
                <w:spacing w:val="-43"/>
                <w:sz w:val="21"/>
                <w:szCs w:val="21"/>
              </w:rPr>
              <w:t> </w:t>
            </w:r>
            <w:r>
              <w:rPr>
                <w:rFonts w:ascii="宋体" w:hAnsi="宋体" w:cs="宋体" w:eastAsia="宋体" w:hint="default"/>
                <w:sz w:val="21"/>
                <w:szCs w:val="21"/>
              </w:rPr>
              <w:t>2003</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2004</w:t>
            </w:r>
            <w:r>
              <w:rPr>
                <w:rFonts w:ascii="宋体" w:hAnsi="宋体" w:cs="宋体" w:eastAsia="宋体" w:hint="default"/>
                <w:spacing w:val="15"/>
                <w:sz w:val="21"/>
                <w:szCs w:val="21"/>
              </w:rPr>
              <w:t> </w:t>
            </w:r>
            <w:r>
              <w:rPr>
                <w:rFonts w:ascii="宋体" w:hAnsi="宋体" w:cs="宋体" w:eastAsia="宋体" w:hint="default"/>
                <w:sz w:val="21"/>
                <w:szCs w:val="21"/>
              </w:rPr>
              <w:t>年曾任深圳证券通信有限公司董事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年任深圳证券通信有限公司监事长。曾任公司第五届监事会监事。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李应军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31"/>
                <w:sz w:val="21"/>
                <w:szCs w:val="21"/>
              </w:rPr>
              <w:t> </w:t>
            </w:r>
            <w:r>
              <w:rPr>
                <w:rFonts w:ascii="宋体" w:hAnsi="宋体" w:cs="宋体" w:eastAsia="宋体" w:hint="default"/>
                <w:sz w:val="21"/>
                <w:szCs w:val="21"/>
              </w:rPr>
              <w:t>44</w:t>
            </w:r>
            <w:r>
              <w:rPr>
                <w:rFonts w:ascii="宋体" w:hAnsi="宋体" w:cs="宋体" w:eastAsia="宋体" w:hint="default"/>
                <w:spacing w:val="-33"/>
                <w:sz w:val="21"/>
                <w:szCs w:val="21"/>
              </w:rPr>
              <w:t> </w:t>
            </w:r>
            <w:r>
              <w:rPr>
                <w:rFonts w:ascii="宋体" w:hAnsi="宋体" w:cs="宋体" w:eastAsia="宋体" w:hint="default"/>
                <w:sz w:val="21"/>
                <w:szCs w:val="21"/>
              </w:rPr>
              <w:t>岁，本科，毕业于武汉大学电子信息学院。李应军先生</w:t>
            </w:r>
            <w:r>
              <w:rPr>
                <w:rFonts w:ascii="宋体" w:hAnsi="宋体" w:cs="宋体" w:eastAsia="宋体" w:hint="default"/>
                <w:spacing w:val="-31"/>
                <w:sz w:val="21"/>
                <w:szCs w:val="21"/>
              </w:rPr>
              <w:t> </w:t>
            </w:r>
            <w:r>
              <w:rPr>
                <w:rFonts w:ascii="宋体" w:hAnsi="宋体" w:cs="宋体" w:eastAsia="宋体" w:hint="default"/>
                <w:sz w:val="21"/>
                <w:szCs w:val="21"/>
              </w:rPr>
              <w:t>1998</w:t>
            </w:r>
            <w:r>
              <w:rPr>
                <w:rFonts w:ascii="宋体" w:hAnsi="宋体" w:cs="宋体" w:eastAsia="宋体" w:hint="default"/>
                <w:spacing w:val="-31"/>
                <w:sz w:val="21"/>
                <w:szCs w:val="21"/>
              </w:rPr>
              <w:t> </w:t>
            </w:r>
            <w:r>
              <w:rPr>
                <w:rFonts w:ascii="宋体" w:hAnsi="宋体" w:cs="宋体" w:eastAsia="宋体" w:hint="default"/>
                <w:sz w:val="21"/>
                <w:szCs w:val="21"/>
              </w:rPr>
              <w:t>年至今任职深圳市金证科技股份有限公司，曾任证券软件中心副总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经理、金融软件中心副总经理等职，现任金证股份证券软件总部副总经理。曾任第五届监事会职工监事。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李世聪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4"/>
                <w:sz w:val="21"/>
                <w:szCs w:val="21"/>
              </w:rPr>
              <w:t> </w:t>
            </w:r>
            <w:r>
              <w:rPr>
                <w:rFonts w:ascii="宋体" w:hAnsi="宋体" w:cs="宋体" w:eastAsia="宋体" w:hint="default"/>
                <w:sz w:val="21"/>
                <w:szCs w:val="21"/>
              </w:rPr>
              <w:t>50</w:t>
            </w:r>
            <w:r>
              <w:rPr>
                <w:rFonts w:ascii="宋体" w:hAnsi="宋体" w:cs="宋体" w:eastAsia="宋体" w:hint="default"/>
                <w:spacing w:val="-44"/>
                <w:sz w:val="21"/>
                <w:szCs w:val="21"/>
              </w:rPr>
              <w:t> </w:t>
            </w:r>
            <w:r>
              <w:rPr>
                <w:rFonts w:ascii="宋体" w:hAnsi="宋体" w:cs="宋体" w:eastAsia="宋体" w:hint="default"/>
                <w:spacing w:val="-4"/>
                <w:sz w:val="21"/>
                <w:szCs w:val="21"/>
              </w:rPr>
              <w:t>岁，本科，毕业于太原机械学院，李世聪先生</w:t>
            </w:r>
            <w:r>
              <w:rPr>
                <w:rFonts w:ascii="宋体" w:hAnsi="宋体" w:cs="宋体" w:eastAsia="宋体" w:hint="default"/>
                <w:spacing w:val="-44"/>
                <w:sz w:val="21"/>
                <w:szCs w:val="21"/>
              </w:rPr>
              <w:t> </w:t>
            </w:r>
            <w:r>
              <w:rPr>
                <w:rFonts w:ascii="宋体" w:hAnsi="宋体" w:cs="宋体" w:eastAsia="宋体" w:hint="default"/>
                <w:sz w:val="21"/>
                <w:szCs w:val="21"/>
              </w:rPr>
              <w:t>1998</w:t>
            </w:r>
            <w:r>
              <w:rPr>
                <w:rFonts w:ascii="宋体" w:hAnsi="宋体" w:cs="宋体" w:eastAsia="宋体" w:hint="default"/>
                <w:spacing w:val="-43"/>
                <w:sz w:val="21"/>
                <w:szCs w:val="21"/>
              </w:rPr>
              <w:t> </w:t>
            </w:r>
            <w:r>
              <w:rPr>
                <w:rFonts w:ascii="宋体" w:hAnsi="宋体" w:cs="宋体" w:eastAsia="宋体" w:hint="default"/>
                <w:spacing w:val="-3"/>
                <w:sz w:val="21"/>
                <w:szCs w:val="21"/>
              </w:rPr>
              <w:t>年加入金证股份，</w:t>
            </w:r>
            <w:r>
              <w:rPr>
                <w:rFonts w:ascii="宋体" w:hAnsi="宋体" w:cs="宋体" w:eastAsia="宋体" w:hint="default"/>
                <w:spacing w:val="-3"/>
                <w:sz w:val="21"/>
                <w:szCs w:val="21"/>
              </w:rPr>
              <w:t>2006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pacing w:val="-3"/>
                <w:sz w:val="21"/>
                <w:szCs w:val="21"/>
              </w:rPr>
              <w:t>年任稽核部总经理，</w:t>
            </w:r>
            <w:r>
              <w:rPr>
                <w:rFonts w:ascii="宋体" w:hAnsi="宋体" w:cs="宋体" w:eastAsia="宋体" w:hint="default"/>
                <w:spacing w:val="-3"/>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年任稽核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部总经理兼华南金证总经理，</w:t>
            </w:r>
            <w:r>
              <w:rPr>
                <w:rFonts w:ascii="宋体" w:hAnsi="宋体" w:cs="宋体" w:eastAsia="宋体" w:hint="default"/>
                <w:spacing w:val="-2"/>
                <w:sz w:val="21"/>
                <w:szCs w:val="21"/>
              </w:rPr>
              <w:t>2016</w:t>
            </w:r>
            <w:r>
              <w:rPr>
                <w:rFonts w:ascii="宋体" w:hAnsi="宋体" w:cs="宋体" w:eastAsia="宋体" w:hint="default"/>
                <w:spacing w:val="36"/>
                <w:sz w:val="21"/>
                <w:szCs w:val="21"/>
              </w:rPr>
              <w:t> </w:t>
            </w:r>
            <w:r>
              <w:rPr>
                <w:rFonts w:ascii="宋体" w:hAnsi="宋体" w:cs="宋体" w:eastAsia="宋体" w:hint="default"/>
                <w:spacing w:val="-2"/>
                <w:sz w:val="21"/>
                <w:szCs w:val="21"/>
              </w:rPr>
              <w:t>年至今任总裁助理兼稽核部总经理、研发中心总经理。现任公司监事。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刘雄任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38"/>
                <w:sz w:val="21"/>
                <w:szCs w:val="21"/>
              </w:rPr>
              <w:t> </w:t>
            </w:r>
            <w:r>
              <w:rPr>
                <w:rFonts w:ascii="宋体" w:hAnsi="宋体" w:cs="宋体" w:eastAsia="宋体" w:hint="default"/>
                <w:sz w:val="21"/>
                <w:szCs w:val="21"/>
              </w:rPr>
              <w:t>43</w:t>
            </w:r>
            <w:r>
              <w:rPr>
                <w:rFonts w:ascii="宋体" w:hAnsi="宋体" w:cs="宋体" w:eastAsia="宋体" w:hint="default"/>
                <w:spacing w:val="-38"/>
                <w:sz w:val="21"/>
                <w:szCs w:val="21"/>
              </w:rPr>
              <w:t> </w:t>
            </w:r>
            <w:r>
              <w:rPr>
                <w:rFonts w:ascii="宋体" w:hAnsi="宋体" w:cs="宋体" w:eastAsia="宋体" w:hint="default"/>
                <w:sz w:val="21"/>
                <w:szCs w:val="21"/>
              </w:rPr>
              <w:t>岁，本科，毕业于北京信息工程学院。刘雄任先生</w:t>
            </w:r>
            <w:r>
              <w:rPr>
                <w:rFonts w:ascii="宋体" w:hAnsi="宋体" w:cs="宋体" w:eastAsia="宋体" w:hint="default"/>
                <w:spacing w:val="-38"/>
                <w:sz w:val="21"/>
                <w:szCs w:val="21"/>
              </w:rPr>
              <w:t> </w:t>
            </w:r>
            <w:r>
              <w:rPr>
                <w:rFonts w:ascii="宋体" w:hAnsi="宋体" w:cs="宋体" w:eastAsia="宋体" w:hint="default"/>
                <w:sz w:val="21"/>
                <w:szCs w:val="21"/>
              </w:rPr>
              <w:t>2000</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z w:val="21"/>
                <w:szCs w:val="21"/>
              </w:rPr>
              <w:t>月加入金证，先后担任证券软件中心研发部经理、证券软件中心服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务总监、副总经理，</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年起任公司大客户服务部总经理，</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月至今任公司总裁助理。现任公司职工监事。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王清若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5"/>
                <w:sz w:val="21"/>
                <w:szCs w:val="21"/>
              </w:rPr>
              <w:t> </w:t>
            </w:r>
            <w:r>
              <w:rPr>
                <w:rFonts w:ascii="宋体" w:hAnsi="宋体" w:cs="宋体" w:eastAsia="宋体" w:hint="default"/>
                <w:sz w:val="21"/>
                <w:szCs w:val="21"/>
              </w:rPr>
              <w:t>43</w:t>
            </w:r>
            <w:r>
              <w:rPr>
                <w:rFonts w:ascii="宋体" w:hAnsi="宋体" w:cs="宋体" w:eastAsia="宋体" w:hint="default"/>
                <w:spacing w:val="-55"/>
                <w:sz w:val="21"/>
                <w:szCs w:val="21"/>
              </w:rPr>
              <w:t> </w:t>
            </w:r>
            <w:r>
              <w:rPr>
                <w:rFonts w:ascii="宋体" w:hAnsi="宋体" w:cs="宋体" w:eastAsia="宋体" w:hint="default"/>
                <w:sz w:val="21"/>
                <w:szCs w:val="21"/>
              </w:rPr>
              <w:t>岁，本科，毕业于厦门大学信息工程专业，王清若先生</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年任证券软件中心项目总监、</w:t>
            </w:r>
            <w:r>
              <w:rPr>
                <w:rFonts w:ascii="宋体" w:hAnsi="宋体" w:cs="宋体" w:eastAsia="宋体" w:hint="default"/>
                <w:sz w:val="21"/>
                <w:szCs w:val="21"/>
              </w:rPr>
              <w:t>2009</w:t>
            </w:r>
            <w:r>
              <w:rPr>
                <w:rFonts w:ascii="宋体" w:hAnsi="宋体" w:cs="宋体" w:eastAsia="宋体"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年任证券软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件中心总经理、</w:t>
            </w:r>
            <w:r>
              <w:rPr>
                <w:rFonts w:ascii="宋体" w:hAnsi="宋体" w:cs="宋体" w:eastAsia="宋体" w:hint="default"/>
                <w:spacing w:val="-2"/>
                <w:sz w:val="21"/>
                <w:szCs w:val="21"/>
              </w:rPr>
              <w:t>2011</w:t>
            </w:r>
            <w:r>
              <w:rPr>
                <w:rFonts w:ascii="宋体" w:hAnsi="宋体" w:cs="宋体" w:eastAsia="宋体" w:hint="default"/>
                <w:spacing w:val="1"/>
                <w:sz w:val="21"/>
                <w:szCs w:val="21"/>
              </w:rPr>
              <w:t> </w:t>
            </w:r>
            <w:r>
              <w:rPr>
                <w:rFonts w:ascii="宋体" w:hAnsi="宋体" w:cs="宋体" w:eastAsia="宋体" w:hint="default"/>
                <w:spacing w:val="-2"/>
                <w:sz w:val="21"/>
                <w:szCs w:val="21"/>
              </w:rPr>
              <w:t>年起任总裁助理兼证券软件总部总经理。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5"/>
                <w:sz w:val="21"/>
                <w:szCs w:val="21"/>
              </w:rPr>
              <w:t> </w:t>
            </w:r>
            <w:r>
              <w:rPr>
                <w:rFonts w:ascii="宋体" w:hAnsi="宋体" w:cs="宋体" w:eastAsia="宋体" w:hint="default"/>
                <w:sz w:val="21"/>
                <w:szCs w:val="21"/>
              </w:rPr>
              <w:t>44</w:t>
            </w:r>
            <w:r>
              <w:rPr>
                <w:rFonts w:ascii="宋体" w:hAnsi="宋体" w:cs="宋体" w:eastAsia="宋体" w:hint="default"/>
                <w:spacing w:val="-55"/>
                <w:sz w:val="21"/>
                <w:szCs w:val="21"/>
              </w:rPr>
              <w:t> </w:t>
            </w:r>
            <w:r>
              <w:rPr>
                <w:rFonts w:ascii="宋体" w:hAnsi="宋体" w:cs="宋体" w:eastAsia="宋体" w:hint="default"/>
                <w:sz w:val="21"/>
                <w:szCs w:val="21"/>
              </w:rPr>
              <w:t>岁，硕士学位，王凯先生</w:t>
            </w:r>
            <w:r>
              <w:rPr>
                <w:rFonts w:ascii="宋体" w:hAnsi="宋体" w:cs="宋体" w:eastAsia="宋体" w:hint="default"/>
                <w:spacing w:val="-55"/>
                <w:sz w:val="21"/>
                <w:szCs w:val="21"/>
              </w:rPr>
              <w:t> </w:t>
            </w:r>
            <w:r>
              <w:rPr>
                <w:rFonts w:ascii="宋体" w:hAnsi="宋体" w:cs="宋体" w:eastAsia="宋体" w:hint="default"/>
                <w:sz w:val="21"/>
                <w:szCs w:val="21"/>
              </w:rPr>
              <w:t>1998</w:t>
            </w:r>
            <w:r>
              <w:rPr>
                <w:rFonts w:ascii="宋体" w:hAnsi="宋体" w:cs="宋体" w:eastAsia="宋体" w:hint="default"/>
                <w:spacing w:val="-55"/>
                <w:sz w:val="21"/>
                <w:szCs w:val="21"/>
              </w:rPr>
              <w:t> </w:t>
            </w:r>
            <w:r>
              <w:rPr>
                <w:rFonts w:ascii="宋体" w:hAnsi="宋体" w:cs="宋体" w:eastAsia="宋体" w:hint="default"/>
                <w:sz w:val="21"/>
                <w:szCs w:val="21"/>
              </w:rPr>
              <w:t>年至今任职于本公司，曾任公司董事会秘书。</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25"/>
                <w:sz w:val="21"/>
                <w:szCs w:val="21"/>
              </w:rPr>
              <w:t> </w:t>
            </w:r>
            <w:r>
              <w:rPr>
                <w:rFonts w:ascii="宋体" w:hAnsi="宋体" w:cs="宋体" w:eastAsia="宋体" w:hint="default"/>
                <w:sz w:val="21"/>
                <w:szCs w:val="21"/>
              </w:rPr>
              <w:t>49</w:t>
            </w:r>
            <w:r>
              <w:rPr>
                <w:rFonts w:ascii="宋体" w:hAnsi="宋体" w:cs="宋体" w:eastAsia="宋体" w:hint="default"/>
                <w:spacing w:val="-25"/>
                <w:sz w:val="21"/>
                <w:szCs w:val="21"/>
              </w:rPr>
              <w:t> </w:t>
            </w:r>
            <w:r>
              <w:rPr>
                <w:rFonts w:ascii="宋体" w:hAnsi="宋体" w:cs="宋体" w:eastAsia="宋体" w:hint="default"/>
                <w:sz w:val="21"/>
                <w:szCs w:val="21"/>
              </w:rPr>
              <w:t>岁，大专，毕业于西南财经大学商业经济专业，王桂菊女士</w:t>
            </w:r>
            <w:r>
              <w:rPr>
                <w:rFonts w:ascii="宋体" w:hAnsi="宋体" w:cs="宋体" w:eastAsia="宋体" w:hint="default"/>
                <w:spacing w:val="-25"/>
                <w:sz w:val="21"/>
                <w:szCs w:val="21"/>
              </w:rPr>
              <w:t> </w:t>
            </w:r>
            <w:r>
              <w:rPr>
                <w:rFonts w:ascii="宋体" w:hAnsi="宋体" w:cs="宋体" w:eastAsia="宋体" w:hint="default"/>
                <w:sz w:val="21"/>
                <w:szCs w:val="21"/>
              </w:rPr>
              <w:t>2008</w:t>
            </w:r>
            <w:r>
              <w:rPr>
                <w:rFonts w:ascii="宋体" w:hAnsi="宋体" w:cs="宋体" w:eastAsia="宋体" w:hint="default"/>
                <w:spacing w:val="-25"/>
                <w:sz w:val="21"/>
                <w:szCs w:val="21"/>
              </w:rPr>
              <w:t> </w:t>
            </w:r>
            <w:r>
              <w:rPr>
                <w:rFonts w:ascii="宋体" w:hAnsi="宋体" w:cs="宋体" w:eastAsia="宋体" w:hint="default"/>
                <w:sz w:val="21"/>
                <w:szCs w:val="21"/>
              </w:rPr>
              <w:t>年至</w:t>
            </w:r>
            <w:r>
              <w:rPr>
                <w:rFonts w:ascii="宋体" w:hAnsi="宋体" w:cs="宋体" w:eastAsia="宋体" w:hint="default"/>
                <w:spacing w:val="-25"/>
                <w:sz w:val="21"/>
                <w:szCs w:val="21"/>
              </w:rPr>
              <w:t> </w:t>
            </w:r>
            <w:r>
              <w:rPr>
                <w:rFonts w:ascii="宋体" w:hAnsi="宋体" w:cs="宋体" w:eastAsia="宋体" w:hint="default"/>
                <w:sz w:val="21"/>
                <w:szCs w:val="21"/>
              </w:rPr>
              <w:t>2010</w:t>
            </w:r>
            <w:r>
              <w:rPr>
                <w:rFonts w:ascii="宋体" w:hAnsi="宋体" w:cs="宋体" w:eastAsia="宋体" w:hint="default"/>
                <w:spacing w:val="-3"/>
                <w:sz w:val="21"/>
                <w:szCs w:val="21"/>
              </w:rPr>
              <w:t> </w:t>
            </w:r>
            <w:r>
              <w:rPr>
                <w:rFonts w:ascii="宋体" w:hAnsi="宋体" w:cs="宋体" w:eastAsia="宋体" w:hint="default"/>
                <w:sz w:val="21"/>
                <w:szCs w:val="21"/>
              </w:rPr>
              <w:t>年任华南金证总经理兼管理软件中心总经理、</w:t>
            </w:r>
            <w:r>
              <w:rPr>
                <w:rFonts w:ascii="宋体" w:hAnsi="宋体" w:cs="宋体" w:eastAsia="宋体" w:hint="default"/>
                <w:sz w:val="21"/>
                <w:szCs w:val="21"/>
              </w:rPr>
              <w:t>2011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年起任总裁助理兼管理软件中心总经理、曾任公司营销总监。</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罗宇辉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3"/>
                <w:sz w:val="21"/>
                <w:szCs w:val="21"/>
              </w:rPr>
              <w:t> </w:t>
            </w:r>
            <w:r>
              <w:rPr>
                <w:rFonts w:ascii="宋体" w:hAnsi="宋体" w:cs="宋体" w:eastAsia="宋体" w:hint="default"/>
                <w:sz w:val="21"/>
                <w:szCs w:val="21"/>
              </w:rPr>
              <w:t>53</w:t>
            </w:r>
            <w:r>
              <w:rPr>
                <w:rFonts w:ascii="宋体" w:hAnsi="宋体" w:cs="宋体" w:eastAsia="宋体" w:hint="default"/>
                <w:spacing w:val="-45"/>
                <w:sz w:val="21"/>
                <w:szCs w:val="21"/>
              </w:rPr>
              <w:t> </w:t>
            </w:r>
            <w:r>
              <w:rPr>
                <w:rFonts w:ascii="宋体" w:hAnsi="宋体" w:cs="宋体" w:eastAsia="宋体" w:hint="default"/>
                <w:sz w:val="21"/>
                <w:szCs w:val="21"/>
              </w:rPr>
              <w:t>岁，本科，毕业于重庆大学计算机工程专业，罗宇辉先生</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月在深圳市金证科技股份有限公司担任管理</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软件中心副总经理</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z w:val="21"/>
                <w:szCs w:val="21"/>
              </w:rPr>
              <w:t>月在深圳市金证科技股份有限公司担任产品管理委员会主任</w:t>
            </w:r>
            <w:r>
              <w:rPr>
                <w:rFonts w:ascii="宋体" w:hAnsi="宋体" w:cs="宋体" w:eastAsia="宋体" w:hint="default"/>
                <w:sz w:val="21"/>
                <w:szCs w:val="21"/>
              </w:rPr>
              <w:t>,</w:t>
            </w:r>
            <w:r>
              <w:rPr>
                <w:rFonts w:ascii="宋体" w:hAnsi="宋体" w:cs="宋体" w:eastAsia="宋体" w:hint="default"/>
                <w:sz w:val="21"/>
                <w:szCs w:val="21"/>
              </w:rPr>
              <w:t>首席科学家</w:t>
            </w:r>
            <w:r>
              <w:rPr>
                <w:rFonts w:ascii="宋体" w:hAnsi="宋体" w:cs="宋体" w:eastAsia="宋体" w:hint="default"/>
                <w:sz w:val="21"/>
                <w:szCs w:val="21"/>
              </w:rPr>
              <w:t>,</w:t>
            </w:r>
            <w:r>
              <w:rPr>
                <w:rFonts w:ascii="宋体" w:hAnsi="宋体" w:cs="宋体" w:eastAsia="宋体" w:hint="default"/>
                <w:sz w:val="21"/>
                <w:szCs w:val="21"/>
              </w:rPr>
              <w:t>证券软件总部副总</w:t>
            </w:r>
            <w:r>
              <w:rPr>
                <w:rFonts w:ascii="宋体" w:hAnsi="宋体" w:cs="宋体" w:eastAsia="宋体" w:hint="default"/>
                <w:w w:val="100"/>
                <w:sz w:val="21"/>
                <w:szCs w:val="21"/>
              </w:rPr>
              <w:t> </w:t>
            </w:r>
            <w:r>
              <w:rPr>
                <w:rFonts w:ascii="宋体" w:hAnsi="宋体" w:cs="宋体" w:eastAsia="宋体" w:hint="default"/>
                <w:sz w:val="21"/>
                <w:szCs w:val="21"/>
              </w:rPr>
              <w:t>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z w:val="21"/>
                <w:szCs w:val="21"/>
              </w:rPr>
              <w:t>岁，本科学历，毕业于四川大学。周永洪先生自</w:t>
            </w:r>
            <w:r>
              <w:rPr>
                <w:rFonts w:ascii="宋体" w:hAnsi="宋体" w:cs="宋体" w:eastAsia="宋体" w:hint="default"/>
                <w:spacing w:val="-56"/>
                <w:sz w:val="21"/>
                <w:szCs w:val="21"/>
              </w:rPr>
              <w:t> </w:t>
            </w:r>
            <w:r>
              <w:rPr>
                <w:rFonts w:ascii="宋体" w:hAnsi="宋体" w:cs="宋体" w:eastAsia="宋体" w:hint="default"/>
                <w:sz w:val="21"/>
                <w:szCs w:val="21"/>
              </w:rPr>
              <w:t>1998</w:t>
            </w:r>
            <w:r>
              <w:rPr>
                <w:rFonts w:ascii="宋体" w:hAnsi="宋体" w:cs="宋体" w:eastAsia="宋体" w:hint="default"/>
                <w:spacing w:val="-58"/>
                <w:sz w:val="21"/>
                <w:szCs w:val="21"/>
              </w:rPr>
              <w:t> </w:t>
            </w:r>
            <w:r>
              <w:rPr>
                <w:rFonts w:ascii="宋体" w:hAnsi="宋体" w:cs="宋体" w:eastAsia="宋体" w:hint="default"/>
                <w:sz w:val="21"/>
                <w:szCs w:val="21"/>
              </w:rPr>
              <w:t>年任职于本公司，现任本公司财务负责人。</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5"/>
                <w:sz w:val="21"/>
                <w:szCs w:val="21"/>
              </w:rPr>
              <w:t> </w:t>
            </w:r>
            <w:r>
              <w:rPr>
                <w:rFonts w:ascii="宋体" w:hAnsi="宋体" w:cs="宋体" w:eastAsia="宋体" w:hint="default"/>
                <w:sz w:val="21"/>
                <w:szCs w:val="21"/>
              </w:rPr>
              <w:t>33</w:t>
            </w:r>
            <w:r>
              <w:rPr>
                <w:rFonts w:ascii="宋体" w:hAnsi="宋体" w:cs="宋体" w:eastAsia="宋体" w:hint="default"/>
                <w:spacing w:val="-55"/>
                <w:sz w:val="21"/>
                <w:szCs w:val="21"/>
              </w:rPr>
              <w:t> </w:t>
            </w:r>
            <w:r>
              <w:rPr>
                <w:rFonts w:ascii="宋体" w:hAnsi="宋体" w:cs="宋体" w:eastAsia="宋体" w:hint="default"/>
                <w:sz w:val="21"/>
                <w:szCs w:val="21"/>
              </w:rPr>
              <w:t>岁，硕士学位，毕业于中欧国际商学院，姚震先生</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月就职于中国建设银行股份有限公司深圳市分行，任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客户经理；</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月就职于深圳市博叡投资有限公司，任投资经理；</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月就职于上海复星高科技</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（集团）有限公司，任高级经理；</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月就职于深圳市捷顺科技实业股份有限公司，任投资总监</w:t>
            </w:r>
            <w:r>
              <w:rPr>
                <w:rFonts w:ascii="宋体" w:hAnsi="宋体" w:cs="宋体" w:eastAsia="宋体" w:hint="default"/>
                <w:sz w:val="21"/>
                <w:szCs w:val="21"/>
              </w:rPr>
              <w:t>,</w:t>
            </w:r>
            <w:r>
              <w:rPr>
                <w:rFonts w:ascii="宋体" w:hAnsi="宋体" w:cs="宋体" w:eastAsia="宋体" w:hint="default"/>
                <w:sz w:val="21"/>
                <w:szCs w:val="21"/>
              </w:rPr>
              <w:t>现任公司董事会秘</w:t>
            </w:r>
            <w:r>
              <w:rPr>
                <w:rFonts w:ascii="宋体" w:hAnsi="宋体" w:cs="宋体" w:eastAsia="宋体" w:hint="default"/>
                <w:w w:val="100"/>
                <w:sz w:val="21"/>
                <w:szCs w:val="21"/>
              </w:rPr>
              <w:t> </w:t>
            </w:r>
            <w:r>
              <w:rPr>
                <w:rFonts w:ascii="宋体" w:hAnsi="宋体" w:cs="宋体" w:eastAsia="宋体" w:hint="default"/>
                <w:sz w:val="21"/>
                <w:szCs w:val="21"/>
              </w:rPr>
              <w:t>书。</w:t>
            </w:r>
          </w:p>
        </w:tc>
      </w:tr>
    </w:tbl>
    <w:p>
      <w:pPr>
        <w:pStyle w:val="BodyText"/>
        <w:spacing w:line="240" w:lineRule="exact"/>
        <w:ind w:left="224" w:right="0"/>
        <w:jc w:val="left"/>
      </w:pPr>
      <w:r>
        <w:rPr/>
        <w:t>其它情况说明</w:t>
      </w:r>
    </w:p>
    <w:p>
      <w:pPr>
        <w:pStyle w:val="BodyText"/>
        <w:spacing w:line="275" w:lineRule="exact"/>
        <w:ind w:left="224" w:right="0"/>
        <w:jc w:val="left"/>
      </w:pPr>
      <w:r>
        <w:rPr/>
        <w:t>□适用 √不适用</w:t>
      </w:r>
    </w:p>
    <w:p>
      <w:pPr>
        <w:pStyle w:val="Heading2"/>
        <w:spacing w:line="240" w:lineRule="auto" w:before="5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董事、高级管理人员报告期内被授予的股权激励情况</w:t>
      </w:r>
      <w:r>
        <w:rPr>
          <w:b w:val="0"/>
          <w:bCs w:val="0"/>
        </w:rPr>
      </w:r>
    </w:p>
    <w:p>
      <w:pPr>
        <w:pStyle w:val="BodyText"/>
        <w:spacing w:line="240" w:lineRule="auto" w:before="33"/>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pStyle w:val="Heading2"/>
        <w:spacing w:line="240" w:lineRule="auto" w:before="113"/>
        <w:ind w:left="224" w:right="0"/>
        <w:jc w:val="left"/>
        <w:rPr>
          <w:b w:val="0"/>
          <w:bCs w:val="0"/>
        </w:rPr>
      </w:pPr>
      <w:r>
        <w:rPr/>
        <w:t>二、现任及报告期内离任董事、监事和高级管理人员的任职情况</w:t>
      </w:r>
      <w:r>
        <w:rPr>
          <w:b w:val="0"/>
          <w:bCs w:val="0"/>
        </w:rPr>
      </w:r>
    </w:p>
    <w:p>
      <w:pPr>
        <w:pStyle w:val="Heading2"/>
        <w:spacing w:line="240" w:lineRule="auto" w:before="55"/>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在股东单位任职情况</w:t>
      </w:r>
      <w:r>
        <w:rPr>
          <w:b w:val="0"/>
          <w:bCs w:val="0"/>
        </w:rPr>
      </w:r>
    </w:p>
    <w:p>
      <w:pPr>
        <w:pStyle w:val="BodyText"/>
        <w:spacing w:line="240" w:lineRule="auto" w:before="33"/>
        <w:ind w:left="224" w:right="0"/>
        <w:jc w:val="left"/>
      </w:pPr>
      <w:r>
        <w:rPr/>
        <w:t>□适用 √不适用</w:t>
      </w:r>
    </w:p>
    <w:p>
      <w:pPr>
        <w:pStyle w:val="Heading2"/>
        <w:spacing w:line="240" w:lineRule="auto" w:before="52"/>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在其他单位任职情况</w:t>
      </w:r>
      <w:r>
        <w:rPr>
          <w:b w:val="0"/>
          <w:bCs w:val="0"/>
        </w:rPr>
      </w:r>
    </w:p>
    <w:p>
      <w:pPr>
        <w:pStyle w:val="BodyText"/>
        <w:spacing w:line="240" w:lineRule="auto" w:before="31"/>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成都融智金融数据服务有限公司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深圳市永兴元科技股份有限公司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成都金证同洲科技有限公司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深圳市丽海弘金通用软件有限公司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贵州中融信应收账款交易中心有限公司</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深圳市合生创利投资管理中心（有限合伙）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深圳市金赢通投资企业（有限合伙）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深圳市图晟科技有限公司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兴业数字金融服务（上海）股份有限公司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上海壹账通金融科技有限公司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副总经理，首席技术官兼首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
        </w:tc>
        <w:tc>
          <w:tcPr>
            <w:tcW w:w="496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席运营官</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上海壹账通区块链科技有限公司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平安付电子支付有限公司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平安集信（上海）投资管理有限公司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深圳市中小企业信用融资担保集团有限公司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项目评审顾问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深圳市中装建设集团股份有限公司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北京梅泰诺通信技术股份有限公司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北京北广科技股份有限公司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北京理工大学软件学院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深圳鼎锋明道资产管理有限公司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宁波鼎锋明道投资管理合伙企业（有限合伙）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李世聪</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刘雄任</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深圳市金锐联投资企业（有限合伙）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刘雄任</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在其他单位任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12564"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2"/>
        <w:spacing w:line="240" w:lineRule="auto"/>
        <w:ind w:left="224" w:right="0"/>
        <w:jc w:val="left"/>
        <w:rPr>
          <w:b w:val="0"/>
          <w:bCs w:val="0"/>
        </w:rPr>
      </w:pPr>
      <w:r>
        <w:rPr/>
        <w:t>三、董事、监事、高级管理人员报酬情况</w:t>
      </w:r>
      <w:r>
        <w:rPr>
          <w:b w:val="0"/>
          <w:bCs w:val="0"/>
        </w:rPr>
      </w:r>
    </w:p>
    <w:p>
      <w:pPr>
        <w:pStyle w:val="BodyText"/>
        <w:spacing w:line="240" w:lineRule="auto" w:before="61"/>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经公司薪酬与考核委员会审议并经公司董事会以及股东大会审议后确定。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董事津贴及董事、监事、高级管理人员的薪酬经公司薪酬与考核委员会审议并经公司董事会以及股东大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会审议后确定。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年公司董事领取报酬总额为</w:t>
            </w:r>
            <w:r>
              <w:rPr>
                <w:rFonts w:ascii="宋体" w:hAnsi="宋体" w:cs="宋体" w:eastAsia="宋体" w:hint="default"/>
                <w:spacing w:val="-51"/>
                <w:sz w:val="21"/>
                <w:szCs w:val="21"/>
              </w:rPr>
              <w:t> </w:t>
            </w:r>
            <w:r>
              <w:rPr>
                <w:rFonts w:ascii="宋体" w:hAnsi="宋体" w:cs="宋体" w:eastAsia="宋体" w:hint="default"/>
                <w:sz w:val="21"/>
                <w:szCs w:val="21"/>
              </w:rPr>
              <w:t>290.78</w:t>
            </w:r>
            <w:r>
              <w:rPr>
                <w:rFonts w:ascii="宋体" w:hAnsi="宋体" w:cs="宋体" w:eastAsia="宋体" w:hint="default"/>
                <w:spacing w:val="-51"/>
                <w:sz w:val="21"/>
                <w:szCs w:val="21"/>
              </w:rPr>
              <w:t> </w:t>
            </w:r>
            <w:r>
              <w:rPr>
                <w:rFonts w:ascii="宋体" w:hAnsi="宋体" w:cs="宋体" w:eastAsia="宋体" w:hint="default"/>
                <w:sz w:val="21"/>
                <w:szCs w:val="21"/>
              </w:rPr>
              <w:t>万元；监事领取的报酬总额为</w:t>
            </w:r>
            <w:r>
              <w:rPr>
                <w:rFonts w:ascii="宋体" w:hAnsi="宋体" w:cs="宋体" w:eastAsia="宋体" w:hint="default"/>
                <w:spacing w:val="-54"/>
                <w:sz w:val="21"/>
                <w:szCs w:val="21"/>
              </w:rPr>
              <w:t> </w:t>
            </w:r>
            <w:r>
              <w:rPr>
                <w:rFonts w:ascii="宋体" w:hAnsi="宋体" w:cs="宋体" w:eastAsia="宋体" w:hint="default"/>
                <w:sz w:val="21"/>
                <w:szCs w:val="21"/>
              </w:rPr>
              <w:t>168.26</w:t>
            </w:r>
            <w:r>
              <w:rPr>
                <w:rFonts w:ascii="宋体" w:hAnsi="宋体" w:cs="宋体" w:eastAsia="宋体" w:hint="default"/>
                <w:spacing w:val="-54"/>
                <w:sz w:val="21"/>
                <w:szCs w:val="21"/>
              </w:rPr>
              <w:t> </w:t>
            </w:r>
            <w:r>
              <w:rPr>
                <w:rFonts w:ascii="宋体" w:hAnsi="宋体" w:cs="宋体" w:eastAsia="宋体" w:hint="default"/>
                <w:sz w:val="21"/>
                <w:szCs w:val="21"/>
              </w:rPr>
              <w:t>万元；高级管理人员领取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的报酬总额为</w:t>
            </w:r>
            <w:r>
              <w:rPr>
                <w:rFonts w:ascii="宋体" w:hAnsi="宋体" w:cs="宋体" w:eastAsia="宋体" w:hint="default"/>
                <w:spacing w:val="-52"/>
                <w:sz w:val="21"/>
                <w:szCs w:val="21"/>
              </w:rPr>
              <w:t> </w:t>
            </w:r>
            <w:r>
              <w:rPr>
                <w:rFonts w:ascii="宋体" w:hAnsi="宋体" w:cs="宋体" w:eastAsia="宋体" w:hint="default"/>
                <w:sz w:val="21"/>
                <w:szCs w:val="21"/>
              </w:rPr>
              <w:t>228.75</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年公司董事、监事、高级管理人员领取报酬总额为</w:t>
            </w:r>
            <w:r>
              <w:rPr>
                <w:rFonts w:ascii="宋体" w:hAnsi="宋体" w:cs="宋体" w:eastAsia="宋体" w:hint="default"/>
                <w:spacing w:val="-54"/>
                <w:sz w:val="21"/>
                <w:szCs w:val="21"/>
              </w:rPr>
              <w:t> </w:t>
            </w:r>
            <w:r>
              <w:rPr>
                <w:rFonts w:ascii="宋体" w:hAnsi="宋体" w:cs="宋体" w:eastAsia="宋体" w:hint="default"/>
                <w:sz w:val="21"/>
                <w:szCs w:val="21"/>
              </w:rPr>
              <w:t>687.79</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after="0" w:line="241" w:lineRule="exact"/>
        <w:jc w:val="left"/>
        <w:rPr>
          <w:rFonts w:ascii="宋体" w:hAnsi="宋体" w:cs="宋体" w:eastAsia="宋体" w:hint="default"/>
          <w:sz w:val="21"/>
          <w:szCs w:val="21"/>
        </w:rPr>
        <w:sectPr>
          <w:footerReference w:type="default" r:id="rId21"/>
          <w:pgSz w:w="16840" w:h="11910" w:orient="landscape"/>
          <w:pgMar w:footer="1195" w:header="880" w:top="1120" w:bottom="1380" w:left="1300" w:right="1220"/>
        </w:sectPr>
      </w:pPr>
    </w:p>
    <w:p>
      <w:pPr>
        <w:pStyle w:val="BodyText"/>
        <w:spacing w:line="355" w:lineRule="auto" w:before="120"/>
        <w:ind w:left="224" w:right="212" w:firstLine="420"/>
        <w:jc w:val="both"/>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6"/>
        </w:rPr>
        <w:t> </w:t>
      </w:r>
      <w:r>
        <w:rPr/>
        <w:t>日公司</w:t>
      </w:r>
      <w:r>
        <w:rPr>
          <w:spacing w:val="-54"/>
        </w:rPr>
        <w:t> </w:t>
      </w:r>
      <w:r>
        <w:rPr>
          <w:rFonts w:ascii="宋体" w:hAnsi="宋体" w:cs="宋体" w:eastAsia="宋体" w:hint="default"/>
        </w:rPr>
        <w:t>2017</w:t>
      </w:r>
      <w:r>
        <w:rPr>
          <w:rFonts w:ascii="宋体" w:hAnsi="宋体" w:cs="宋体" w:eastAsia="宋体" w:hint="default"/>
          <w:spacing w:val="-54"/>
        </w:rPr>
        <w:t> </w:t>
      </w:r>
      <w:r>
        <w:rPr/>
        <w:t>年第一次临时股东大会审议并通过了《关于董事会换届选举的议案》和《关于监事会换届选举的议案》，公司独立董事</w:t>
      </w:r>
      <w:r>
        <w:rPr>
          <w:w w:val="100"/>
        </w:rPr>
        <w:t> </w:t>
      </w:r>
      <w:r>
        <w:rPr>
          <w:spacing w:val="-5"/>
        </w:rPr>
        <w:t>杨健先生任期届满，选举陈正旭先生为第六届董事会独立董事。监事王侯先生任期届满，选举李世聪先生为第六届监事；职工监事李应军任期届满，</w:t>
      </w:r>
      <w:r>
        <w:rPr>
          <w:rFonts w:ascii="宋体" w:hAnsi="宋体" w:cs="宋体" w:eastAsia="宋体" w:hint="default"/>
          <w:spacing w:val="-5"/>
        </w:rPr>
        <w:t>2017</w:t>
      </w:r>
      <w:r>
        <w:rPr>
          <w:rFonts w:ascii="宋体" w:hAnsi="宋体" w:cs="宋体" w:eastAsia="宋体" w:hint="default"/>
          <w:spacing w:val="23"/>
        </w:rPr>
        <w:t> </w:t>
      </w:r>
      <w:r>
        <w:rPr>
          <w:rFonts w:ascii="宋体" w:hAnsi="宋体" w:cs="宋体" w:eastAsia="宋体" w:hint="default"/>
          <w:spacing w:val="23"/>
        </w:rPr>
      </w:r>
      <w:r>
        <w:rPr/>
        <w:t>年</w:t>
      </w:r>
      <w:r>
        <w:rPr>
          <w:spacing w:val="-35"/>
        </w:rPr>
        <w:t> </w:t>
      </w:r>
      <w:r>
        <w:rPr>
          <w:rFonts w:ascii="宋体" w:hAnsi="宋体" w:cs="宋体" w:eastAsia="宋体" w:hint="default"/>
        </w:rPr>
        <w:t>1</w:t>
      </w:r>
      <w:r>
        <w:rPr>
          <w:rFonts w:ascii="宋体" w:hAnsi="宋体" w:cs="宋体" w:eastAsia="宋体" w:hint="default"/>
          <w:spacing w:val="-39"/>
        </w:rPr>
        <w:t> </w:t>
      </w:r>
      <w:r>
        <w:rPr/>
        <w:t>月</w:t>
      </w:r>
      <w:r>
        <w:rPr>
          <w:spacing w:val="-36"/>
        </w:rPr>
        <w:t> </w:t>
      </w:r>
      <w:r>
        <w:rPr>
          <w:rFonts w:ascii="宋体" w:hAnsi="宋体" w:cs="宋体" w:eastAsia="宋体" w:hint="default"/>
        </w:rPr>
        <w:t>16</w:t>
      </w:r>
      <w:r>
        <w:rPr>
          <w:rFonts w:ascii="宋体" w:hAnsi="宋体" w:cs="宋体" w:eastAsia="宋体" w:hint="default"/>
          <w:spacing w:val="-39"/>
        </w:rPr>
        <w:t> </w:t>
      </w:r>
      <w:r>
        <w:rPr>
          <w:spacing w:val="-3"/>
        </w:rPr>
        <w:t>日公司召开职工代表大会选举刘雄任先生为第六届监事会职工监事。公司第六届董事会成员为：赵剑、杜宣、李结义、徐岷波、黄宇翔、肖幼</w:t>
      </w:r>
      <w:r>
        <w:rPr>
          <w:spacing w:val="-95"/>
        </w:rPr>
        <w:t> </w:t>
      </w:r>
      <w:r>
        <w:rPr>
          <w:spacing w:val="-95"/>
        </w:rPr>
      </w:r>
      <w:r>
        <w:rPr/>
        <w:t>美、张龙飞、陈正旭；公司第六届监事会成员为：刘瑛、李世聪、刘雄任。</w:t>
      </w:r>
    </w:p>
    <w:p>
      <w:pPr>
        <w:pStyle w:val="Heading2"/>
        <w:spacing w:line="240" w:lineRule="auto" w:before="88"/>
        <w:ind w:left="224" w:right="0"/>
        <w:jc w:val="left"/>
        <w:rPr>
          <w:b w:val="0"/>
          <w:bCs w:val="0"/>
        </w:rPr>
      </w:pPr>
      <w:r>
        <w:rPr/>
        <w:t>四、公司董事、监事、高级管理人员变动情况</w:t>
      </w:r>
      <w:r>
        <w:rPr>
          <w:b w:val="0"/>
          <w:bCs w:val="0"/>
        </w:rPr>
      </w:r>
    </w:p>
    <w:p>
      <w:pPr>
        <w:pStyle w:val="BodyText"/>
        <w:spacing w:line="240" w:lineRule="auto" w:before="61"/>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0"/>
        <w:gridCol w:w="1416"/>
        <w:gridCol w:w="1136"/>
        <w:gridCol w:w="10578"/>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年第一次临时股东大会审议并通过了《关于董事会换届选举的议案》，选举赵剑先生为</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z w:val="21"/>
                <w:szCs w:val="21"/>
              </w:rPr>
              <w:t>第六届董事会董事；公司第六届董事会</w:t>
            </w:r>
            <w:r>
              <w:rPr>
                <w:rFonts w:ascii="宋体" w:hAnsi="宋体" w:cs="宋体" w:eastAsia="宋体" w:hint="default"/>
                <w:spacing w:val="-35"/>
                <w:sz w:val="21"/>
                <w:szCs w:val="21"/>
              </w:rPr>
              <w:t> </w:t>
            </w:r>
            <w:r>
              <w:rPr>
                <w:rFonts w:ascii="宋体" w:hAnsi="宋体" w:cs="宋体" w:eastAsia="宋体" w:hint="default"/>
                <w:sz w:val="21"/>
                <w:szCs w:val="21"/>
              </w:rPr>
              <w:t>2017</w:t>
            </w:r>
            <w:r>
              <w:rPr>
                <w:rFonts w:ascii="宋体" w:hAnsi="宋体" w:cs="宋体" w:eastAsia="宋体" w:hint="default"/>
                <w:spacing w:val="-38"/>
                <w:sz w:val="21"/>
                <w:szCs w:val="21"/>
              </w:rPr>
              <w:t> </w:t>
            </w:r>
            <w:r>
              <w:rPr>
                <w:rFonts w:ascii="宋体" w:hAnsi="宋体" w:cs="宋体" w:eastAsia="宋体" w:hint="default"/>
                <w:spacing w:val="-3"/>
                <w:sz w:val="21"/>
                <w:szCs w:val="21"/>
              </w:rPr>
              <w:t>年第一次会议审议《关于选举公司第六届董事会董事长的议案》，选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举赵剑先生为第六届董事会董事长。</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年第一次临时股东大会审议并通过了《关于董事会换届选举的议案》，选举杜宣先生为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第六届董事会董事。</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年第一次临时股东大会审议并通过了《关于董事会换届选举的议案》，选举李结义先生</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为第六届董事会董事；公司第六届董事会</w:t>
            </w:r>
            <w:r>
              <w:rPr>
                <w:rFonts w:ascii="宋体" w:hAnsi="宋体" w:cs="宋体" w:eastAsia="宋体" w:hint="default"/>
                <w:spacing w:val="-37"/>
                <w:sz w:val="21"/>
                <w:szCs w:val="21"/>
              </w:rPr>
              <w:t> </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pacing w:val="-3"/>
                <w:sz w:val="21"/>
                <w:szCs w:val="21"/>
              </w:rPr>
              <w:t>年第一次会议审议《关于关于聘任总裁的议案》，聘任李结义先生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先生为公司总裁。</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董事、高级副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年第一次临时股东大会审议并通过了《关于董事会换届选举的议案》，选举徐岷波先生</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为第六届董事会董事；公司第六届董事会</w:t>
            </w:r>
            <w:r>
              <w:rPr>
                <w:rFonts w:ascii="宋体" w:hAnsi="宋体" w:cs="宋体" w:eastAsia="宋体" w:hint="default"/>
                <w:spacing w:val="-37"/>
                <w:sz w:val="21"/>
                <w:szCs w:val="21"/>
              </w:rPr>
              <w:t> </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pacing w:val="-3"/>
                <w:sz w:val="21"/>
                <w:szCs w:val="21"/>
              </w:rPr>
              <w:t>年第一次会议审议《关于关于聘任高级管理人员的议案》，聘任徐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岷波先生先生为公司高级副总裁。</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26</w:t>
            </w:r>
            <w:r>
              <w:rPr>
                <w:rFonts w:ascii="宋体" w:hAnsi="宋体" w:cs="宋体" w:eastAsia="宋体" w:hint="default"/>
                <w:spacing w:val="-43"/>
                <w:sz w:val="21"/>
                <w:szCs w:val="21"/>
              </w:rPr>
              <w:t> </w:t>
            </w:r>
            <w:r>
              <w:rPr>
                <w:rFonts w:ascii="宋体" w:hAnsi="宋体" w:cs="宋体" w:eastAsia="宋体" w:hint="default"/>
                <w:sz w:val="21"/>
                <w:szCs w:val="21"/>
              </w:rPr>
              <w:t>日公司</w:t>
            </w:r>
            <w:r>
              <w:rPr>
                <w:rFonts w:ascii="宋体" w:hAnsi="宋体" w:cs="宋体" w:eastAsia="宋体" w:hint="default"/>
                <w:spacing w:val="-41"/>
                <w:sz w:val="21"/>
                <w:szCs w:val="21"/>
              </w:rPr>
              <w:t> </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pacing w:val="-4"/>
                <w:sz w:val="21"/>
                <w:szCs w:val="21"/>
              </w:rPr>
              <w:t>年第四次临时股东大会审议并通过了《关于选举黄宇翔（</w:t>
            </w:r>
            <w:r>
              <w:rPr>
                <w:rFonts w:ascii="宋体" w:hAnsi="宋体" w:cs="宋体" w:eastAsia="宋体" w:hint="default"/>
                <w:spacing w:val="-4"/>
                <w:sz w:val="21"/>
                <w:szCs w:val="21"/>
              </w:rPr>
              <w:t>Huang/Yuxiang</w:t>
            </w:r>
            <w:r>
              <w:rPr>
                <w:rFonts w:ascii="宋体" w:hAnsi="宋体" w:cs="宋体" w:eastAsia="宋体" w:hint="default"/>
                <w:spacing w:val="-4"/>
                <w:sz w:val="21"/>
                <w:szCs w:val="21"/>
              </w:rPr>
              <w:t>）先生为公司</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pacing w:val="-4"/>
                <w:sz w:val="21"/>
                <w:szCs w:val="21"/>
              </w:rPr>
              <w:t>第五届董事会董事的议案》，选举黄宇翔先生为第五届董事会董事；</w:t>
            </w:r>
            <w:r>
              <w:rPr>
                <w:rFonts w:ascii="宋体" w:hAnsi="宋体" w:cs="宋体" w:eastAsia="宋体" w:hint="default"/>
                <w:spacing w:val="-4"/>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日公司</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年第一次临时股东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大会审议并通过了《关于董事会换届选举的议案》，选举黄宇翔先生为第六届董事会董事。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年第一次临时股东大会审议并通过了《关于董事会换届选举的议案》，第六届董事会成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立，杨健先生的任期届满，不再担任公司独立董事。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年第一次临时股东大会审议并通过了《关于董事会换届选举的议案》，选举肖幼美女士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为第六届董事会独立董事。</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年第一次临时股东大会审议并通过了《关于董事会换届选举的议案》，选举张龙飞先生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为第六届董事会独立董事。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年第一次临时股东大会审议并通过了《关于董事会换届选举的议案》，选举陈正旭先生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为第六届董事会独立董事。</w:t>
            </w:r>
          </w:p>
        </w:tc>
      </w:tr>
    </w:tbl>
    <w:p>
      <w:pPr>
        <w:spacing w:after="0" w:line="274" w:lineRule="exact"/>
        <w:jc w:val="left"/>
        <w:rPr>
          <w:rFonts w:ascii="宋体" w:hAnsi="宋体" w:cs="宋体" w:eastAsia="宋体" w:hint="default"/>
          <w:sz w:val="21"/>
          <w:szCs w:val="21"/>
        </w:rPr>
        <w:sectPr>
          <w:footerReference w:type="default" r:id="rId22"/>
          <w:pgSz w:w="16840" w:h="11910" w:orient="landscape"/>
          <w:pgMar w:footer="1195" w:header="880" w:top="1120" w:bottom="1380" w:left="1300" w:right="1220"/>
          <w:pgNumType w:start="41"/>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60"/>
        <w:gridCol w:w="1416"/>
        <w:gridCol w:w="1136"/>
        <w:gridCol w:w="10578"/>
      </w:tblGrid>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年第一次临时股东大会审议并通过了《关于监事会换届选举的议案》，选举刘瑛女士为</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第六届监事会监事；公司监事会</w:t>
            </w:r>
            <w:r>
              <w:rPr>
                <w:rFonts w:ascii="宋体" w:hAnsi="宋体" w:cs="宋体" w:eastAsia="宋体" w:hint="default"/>
                <w:spacing w:val="-17"/>
                <w:sz w:val="21"/>
                <w:szCs w:val="21"/>
              </w:rPr>
              <w:t> </w:t>
            </w:r>
            <w:r>
              <w:rPr>
                <w:rFonts w:ascii="宋体" w:hAnsi="宋体" w:cs="宋体" w:eastAsia="宋体" w:hint="default"/>
                <w:sz w:val="21"/>
                <w:szCs w:val="21"/>
              </w:rPr>
              <w:t>2017</w:t>
            </w:r>
            <w:r>
              <w:rPr>
                <w:rFonts w:ascii="宋体" w:hAnsi="宋体" w:cs="宋体" w:eastAsia="宋体" w:hint="default"/>
                <w:spacing w:val="-15"/>
                <w:sz w:val="21"/>
                <w:szCs w:val="21"/>
              </w:rPr>
              <w:t> </w:t>
            </w:r>
            <w:r>
              <w:rPr>
                <w:rFonts w:ascii="宋体" w:hAnsi="宋体" w:cs="宋体" w:eastAsia="宋体" w:hint="default"/>
                <w:spacing w:val="-3"/>
                <w:sz w:val="21"/>
                <w:szCs w:val="21"/>
              </w:rPr>
              <w:t>年第一次会议审议通过了《关于选举第六届监事会召集人的议案》，选举刘</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瑛女士为监事会主席。</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年第一次临时股东大会审议并通过了《关于监事会换届选举的议案》，第六届监事会成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立，王侯先生任期届满，不再担任公司监事。</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李应军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年第一次临时股东大会审议并通过了《关于监事会换届选举的议案》，第六届监事会成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立，李应军先生任期届满，不再担任公司监事。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李世聪</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年第一次临时股东大会审议并通过了《关于监事会换届选举的议案》，选举李世聪先生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为第六届监事会监事。</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刘雄任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日公司召开职工代表大会，选举刘雄任先生为公司第六届监事会职工监事。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王清若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年第一次临时股东大会审议并通过了《关于董事会换届选举的议案》，第六届董事会成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立，王清若先生的任期届满。</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年第一次临时股东大会审议并通过了《关于董事会换届选举的议案》，第六届董事会成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立，王凯先生的任期届满。</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年第一次临时股东大会审议并通过了《关于董事会换届选举的议案》，第六届董事会成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立，王桂菊女士的任期届满。</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罗宇辉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4"/>
                <w:sz w:val="21"/>
                <w:szCs w:val="21"/>
              </w:rPr>
              <w:t>年第一次临时股东大会审议并通过了《关于董事会换届选举的议案》，第六届董事会成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立，罗宇辉先生的任期届满。</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日公司第六届董事会</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pacing w:val="-5"/>
                <w:sz w:val="21"/>
                <w:szCs w:val="21"/>
              </w:rPr>
              <w:t>年第一次会议审议《关于关于聘任高级管理人员的议案》，聘任周永洪先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生先生为公司财务负责人。</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0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27</w:t>
            </w:r>
            <w:r>
              <w:rPr>
                <w:rFonts w:ascii="宋体" w:hAnsi="宋体" w:cs="宋体" w:eastAsia="宋体" w:hint="default"/>
                <w:spacing w:val="-44"/>
                <w:sz w:val="21"/>
                <w:szCs w:val="21"/>
              </w:rPr>
              <w:t> </w:t>
            </w:r>
            <w:r>
              <w:rPr>
                <w:rFonts w:ascii="宋体" w:hAnsi="宋体" w:cs="宋体" w:eastAsia="宋体" w:hint="default"/>
                <w:sz w:val="21"/>
                <w:szCs w:val="21"/>
              </w:rPr>
              <w:t>日公司第六届董事会</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pacing w:val="-5"/>
                <w:sz w:val="21"/>
                <w:szCs w:val="21"/>
              </w:rPr>
              <w:t>年第十三次会议审议《关于公司聘任董事会秘书的议案》，聘任姚震先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生为公司董事会秘书。</w:t>
            </w:r>
          </w:p>
        </w:tc>
      </w:tr>
    </w:tbl>
    <w:p>
      <w:pPr>
        <w:spacing w:line="240" w:lineRule="auto" w:before="6"/>
        <w:rPr>
          <w:rFonts w:ascii="宋体" w:hAnsi="宋体" w:cs="宋体" w:eastAsia="宋体" w:hint="default"/>
          <w:sz w:val="20"/>
          <w:szCs w:val="20"/>
        </w:rPr>
      </w:pP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61"/>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6"/>
        <w:ind w:right="215"/>
        <w:jc w:val="left"/>
        <w:rPr>
          <w:b w:val="0"/>
          <w:bCs w:val="0"/>
        </w:rPr>
      </w:pPr>
      <w:r>
        <w:rPr/>
        <w:t>六、母公司和主要子公司的员工情况</w:t>
      </w:r>
      <w:r>
        <w:rPr>
          <w:b w:val="0"/>
          <w:bCs w:val="0"/>
        </w:rPr>
      </w:r>
    </w:p>
    <w:p>
      <w:pPr>
        <w:pStyle w:val="Heading2"/>
        <w:spacing w:line="240" w:lineRule="auto" w:before="58"/>
        <w:ind w:right="2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员工情况</w:t>
      </w:r>
      <w:r>
        <w:rPr>
          <w:b w:val="0"/>
          <w:bCs w:val="0"/>
        </w:rPr>
      </w:r>
    </w:p>
    <w:p>
      <w:pPr>
        <w:spacing w:line="240" w:lineRule="auto" w:before="13"/>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4,628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6,019</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商务人员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6,019</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3,577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6,019</w:t>
            </w:r>
          </w:p>
        </w:tc>
      </w:tr>
    </w:tbl>
    <w:p>
      <w:pPr>
        <w:spacing w:line="240" w:lineRule="auto" w:before="3"/>
        <w:rPr>
          <w:rFonts w:ascii="宋体" w:hAnsi="宋体" w:cs="宋体" w:eastAsia="宋体" w:hint="default"/>
          <w:b/>
          <w:bCs/>
          <w:sz w:val="20"/>
          <w:szCs w:val="20"/>
        </w:rPr>
      </w:pPr>
    </w:p>
    <w:p>
      <w:pPr>
        <w:pStyle w:val="Heading2"/>
        <w:spacing w:line="240" w:lineRule="auto"/>
        <w:ind w:right="2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2"/>
        </w:rPr>
        <w:t> </w:t>
      </w:r>
      <w:r>
        <w:rPr/>
        <w:t>薪酬政策</w:t>
      </w:r>
      <w:r>
        <w:rPr>
          <w:b w:val="0"/>
          <w:bCs w:val="0"/>
        </w:rPr>
      </w:r>
    </w:p>
    <w:p>
      <w:pPr>
        <w:pStyle w:val="BodyText"/>
        <w:tabs>
          <w:tab w:pos="1060" w:val="left" w:leader="none"/>
        </w:tabs>
        <w:spacing w:line="272" w:lineRule="exact" w:before="61"/>
        <w:ind w:left="638" w:right="239" w:hanging="420"/>
        <w:jc w:val="left"/>
      </w:pPr>
      <w:r>
        <w:rPr>
          <w:spacing w:val="-1"/>
        </w:rPr>
        <w:t>√适用</w:t>
        <w:tab/>
      </w:r>
      <w:r>
        <w:rPr>
          <w:spacing w:val="-2"/>
        </w:rPr>
        <w:t>□不适用</w:t>
      </w:r>
      <w:r>
        <w:rPr>
          <w:spacing w:val="-99"/>
        </w:rPr>
        <w:t> </w:t>
      </w:r>
      <w:r>
        <w:rPr>
          <w:spacing w:val="-99"/>
        </w:rPr>
      </w:r>
      <w:r>
        <w:rPr>
          <w:spacing w:val="-2"/>
        </w:rPr>
        <w:t>报告期内，公司薪酬管理实行基于人员编制控制的预算管理，公司员工工资按年薪制、月薪</w:t>
      </w:r>
    </w:p>
    <w:p>
      <w:pPr>
        <w:pStyle w:val="BodyText"/>
        <w:spacing w:line="355" w:lineRule="auto" w:before="110"/>
        <w:ind w:right="215"/>
        <w:jc w:val="left"/>
      </w:pPr>
      <w:r>
        <w:rPr>
          <w:spacing w:val="-2"/>
        </w:rPr>
        <w:t>制两大类进行支付。为了吸引和保留优秀人才，公司按调薪性质的不同进行年度调薪、转正调薪</w:t>
      </w:r>
      <w:r>
        <w:rPr>
          <w:spacing w:val="-25"/>
        </w:rPr>
        <w:t> </w:t>
      </w:r>
      <w:r>
        <w:rPr>
          <w:spacing w:val="-25"/>
        </w:rPr>
      </w:r>
      <w:r>
        <w:rPr/>
        <w:t>和其它情况调薪以保证薪酬的外部竞争力和内部公平性。</w:t>
      </w:r>
    </w:p>
    <w:p>
      <w:pPr>
        <w:pStyle w:val="Heading2"/>
        <w:spacing w:line="240" w:lineRule="auto" w:before="86"/>
        <w:ind w:right="21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培训计划</w:t>
      </w:r>
      <w:r>
        <w:rPr>
          <w:b w:val="0"/>
          <w:bCs w:val="0"/>
        </w:rPr>
      </w:r>
    </w:p>
    <w:p>
      <w:pPr>
        <w:pStyle w:val="BodyText"/>
        <w:tabs>
          <w:tab w:pos="1060" w:val="left" w:leader="none"/>
        </w:tabs>
        <w:spacing w:line="273" w:lineRule="exact" w:before="33"/>
        <w:ind w:right="215"/>
        <w:jc w:val="left"/>
      </w:pPr>
      <w:r>
        <w:rPr>
          <w:spacing w:val="-1"/>
        </w:rPr>
        <w:t>√适用</w:t>
        <w:tab/>
      </w:r>
      <w:r>
        <w:rPr>
          <w:spacing w:val="-2"/>
        </w:rPr>
        <w:t>□不适用</w:t>
      </w:r>
    </w:p>
    <w:p>
      <w:pPr>
        <w:pStyle w:val="BodyText"/>
        <w:spacing w:line="357" w:lineRule="auto"/>
        <w:ind w:right="230" w:firstLine="419"/>
        <w:jc w:val="both"/>
      </w:pPr>
      <w:r>
        <w:rPr>
          <w:rFonts w:ascii="宋体" w:hAnsi="宋体" w:cs="宋体" w:eastAsia="宋体" w:hint="default"/>
        </w:rPr>
        <w:t>2017</w:t>
      </w:r>
      <w:r>
        <w:rPr>
          <w:rFonts w:ascii="宋体" w:hAnsi="宋体" w:cs="宋体" w:eastAsia="宋体" w:hint="default"/>
          <w:spacing w:val="-10"/>
        </w:rPr>
        <w:t> </w:t>
      </w:r>
      <w:r>
        <w:rPr>
          <w:spacing w:val="-3"/>
        </w:rPr>
        <w:t>年公司围绕对人才培养的要求，积极构建符合公司发展的人才培训体系。针对公司不同</w:t>
      </w:r>
      <w:r>
        <w:rPr>
          <w:w w:val="100"/>
        </w:rPr>
        <w:t> </w:t>
      </w:r>
      <w:r>
        <w:rPr>
          <w:spacing w:val="-2"/>
        </w:rPr>
        <w:t>层级员工，开展相对应的培养项目，分别为“人才汇”员工成长项目、”未来之星”骨干人才培</w:t>
      </w:r>
      <w:r>
        <w:rPr>
          <w:spacing w:val="-25"/>
        </w:rPr>
        <w:t> </w:t>
      </w:r>
      <w:r>
        <w:rPr>
          <w:spacing w:val="-25"/>
        </w:rPr>
      </w:r>
      <w:r>
        <w:rPr>
          <w:spacing w:val="-2"/>
        </w:rPr>
        <w:t>养项目、“将军论剑”战略实施管理高级经理培养项目，“领军者论道”战略制定核心高管培养</w:t>
      </w:r>
      <w:r>
        <w:rPr>
          <w:spacing w:val="-26"/>
        </w:rPr>
        <w:t> </w:t>
      </w:r>
      <w:r>
        <w:rPr>
          <w:spacing w:val="-26"/>
        </w:rPr>
      </w:r>
      <w:r>
        <w:rPr>
          <w:spacing w:val="-4"/>
        </w:rPr>
        <w:t>项目，联合办学开展“青年商业菁英”培养项目，以及开展“金帆号”技术类经验萃取</w:t>
      </w:r>
      <w:r>
        <w:rPr>
          <w:rFonts w:ascii="宋体" w:hAnsi="宋体" w:cs="宋体" w:eastAsia="宋体" w:hint="default"/>
          <w:spacing w:val="-4"/>
        </w:rPr>
        <w:t>&amp;</w:t>
      </w:r>
      <w:r>
        <w:rPr>
          <w:spacing w:val="-4"/>
        </w:rPr>
        <w:t>讲师培养</w:t>
      </w:r>
      <w:r>
        <w:rPr>
          <w:spacing w:val="-36"/>
        </w:rPr>
        <w:t> </w:t>
      </w:r>
      <w:r>
        <w:rPr>
          <w:spacing w:val="-36"/>
        </w:rPr>
      </w:r>
      <w:r>
        <w:rPr/>
        <w:t>专项培训等。</w:t>
      </w:r>
    </w:p>
    <w:p>
      <w:pPr>
        <w:pStyle w:val="Heading2"/>
        <w:spacing w:line="240" w:lineRule="auto" w:before="84"/>
        <w:ind w:right="21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4"/>
        </w:rPr>
        <w:t> </w:t>
      </w:r>
      <w:r>
        <w:rPr/>
        <w:t>劳务外包情况</w:t>
      </w:r>
      <w:r>
        <w:rPr>
          <w:b w:val="0"/>
          <w:bCs w:val="0"/>
        </w:rPr>
      </w:r>
    </w:p>
    <w:p>
      <w:pPr>
        <w:pStyle w:val="BodyText"/>
        <w:spacing w:line="240" w:lineRule="auto" w:before="34"/>
        <w:ind w:right="215"/>
        <w:jc w:val="left"/>
      </w:pPr>
      <w:r>
        <w:rPr/>
        <w:t>□适用</w:t>
      </w:r>
      <w:r>
        <w:rPr>
          <w:spacing w:val="-1"/>
        </w:rPr>
        <w:t> </w:t>
      </w:r>
      <w:r>
        <w:rPr/>
        <w:t>√不适用</w:t>
      </w:r>
    </w:p>
    <w:p>
      <w:pPr>
        <w:spacing w:after="0" w:line="240" w:lineRule="auto"/>
        <w:jc w:val="left"/>
        <w:sectPr>
          <w:headerReference w:type="default" r:id="rId23"/>
          <w:footerReference w:type="default" r:id="rId24"/>
          <w:pgSz w:w="11910" w:h="16840"/>
          <w:pgMar w:header="877" w:footer="1195" w:top="1100" w:bottom="1380" w:left="1580" w:right="1040"/>
          <w:pgNumType w:start="43"/>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800"/>
        </w:sectPr>
      </w:pPr>
    </w:p>
    <w:p>
      <w:pPr>
        <w:pStyle w:val="Heading2"/>
        <w:spacing w:line="240" w:lineRule="auto"/>
        <w:ind w:right="-12"/>
        <w:jc w:val="left"/>
        <w:rPr>
          <w:b w:val="0"/>
          <w:bCs w:val="0"/>
        </w:rPr>
      </w:pPr>
      <w:r>
        <w:rPr/>
        <w:t>七、其他</w:t>
      </w:r>
      <w:r>
        <w:rPr>
          <w:b w:val="0"/>
          <w:bCs w:val="0"/>
        </w:rPr>
      </w:r>
    </w:p>
    <w:p>
      <w:pPr>
        <w:pStyle w:val="BodyText"/>
        <w:tabs>
          <w:tab w:pos="1060" w:val="left" w:leader="none"/>
        </w:tabs>
        <w:spacing w:line="240" w:lineRule="auto" w:before="64"/>
        <w:ind w:right="-12"/>
        <w:jc w:val="left"/>
      </w:pPr>
      <w:r>
        <w:rPr>
          <w:spacing w:val="-1"/>
        </w:rPr>
        <w:t>□适用</w:t>
        <w:tab/>
      </w:r>
      <w:r>
        <w:rPr>
          <w:spacing w:val="-2"/>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9"/>
        <w:rPr>
          <w:rFonts w:ascii="宋体" w:hAnsi="宋体" w:cs="宋体" w:eastAsia="宋体" w:hint="default"/>
          <w:sz w:val="22"/>
          <w:szCs w:val="22"/>
        </w:rPr>
      </w:pPr>
    </w:p>
    <w:p>
      <w:pPr>
        <w:pStyle w:val="Heading1"/>
        <w:tabs>
          <w:tab w:pos="1477" w:val="left" w:leader="none"/>
        </w:tabs>
        <w:spacing w:line="240" w:lineRule="auto" w:before="0"/>
        <w:ind w:right="0"/>
        <w:jc w:val="left"/>
        <w:rPr>
          <w:b w:val="0"/>
          <w:bCs w:val="0"/>
        </w:rPr>
      </w:pPr>
      <w:bookmarkStart w:name="_TOC_250003" w:id="9"/>
      <w:r>
        <w:rPr>
          <w:w w:val="95"/>
        </w:rPr>
        <w:t>第九节</w:t>
        <w:tab/>
      </w:r>
      <w:r>
        <w:rPr/>
        <w:t>公司治理</w:t>
      </w:r>
      <w:bookmarkEnd w:id="9"/>
      <w:r>
        <w:rPr>
          <w:b w:val="0"/>
          <w:bCs w:val="0"/>
        </w:rPr>
      </w:r>
    </w:p>
    <w:p>
      <w:pPr>
        <w:spacing w:after="0" w:line="240" w:lineRule="auto"/>
        <w:jc w:val="left"/>
        <w:sectPr>
          <w:type w:val="continuous"/>
          <w:pgSz w:w="11910" w:h="16840"/>
          <w:pgMar w:top="1120" w:bottom="1380" w:left="1580" w:right="800"/>
          <w:cols w:num="2" w:equalWidth="0">
            <w:col w:w="1901" w:space="1323"/>
            <w:col w:w="6306"/>
          </w:cols>
        </w:sectPr>
      </w:pPr>
    </w:p>
    <w:p>
      <w:pPr>
        <w:spacing w:line="240" w:lineRule="auto" w:before="11"/>
        <w:rPr>
          <w:rFonts w:ascii="黑体" w:hAnsi="黑体" w:cs="黑体" w:eastAsia="黑体" w:hint="default"/>
          <w:b/>
          <w:bCs/>
          <w:sz w:val="16"/>
          <w:szCs w:val="16"/>
        </w:rPr>
      </w:pPr>
    </w:p>
    <w:p>
      <w:pPr>
        <w:pStyle w:val="Heading2"/>
        <w:spacing w:line="240" w:lineRule="auto"/>
        <w:ind w:right="0"/>
        <w:jc w:val="both"/>
        <w:rPr>
          <w:b w:val="0"/>
          <w:bCs w:val="0"/>
        </w:rPr>
      </w:pPr>
      <w:r>
        <w:rPr/>
        <w:t>一、 </w:t>
      </w:r>
      <w:r>
        <w:rPr>
          <w:spacing w:val="113"/>
        </w:rPr>
        <w:t> </w:t>
      </w:r>
      <w:r>
        <w:rPr/>
        <w:t>公司治理相关情况说明</w:t>
      </w:r>
      <w:r>
        <w:rPr>
          <w:b w:val="0"/>
          <w:bCs w:val="0"/>
        </w:rPr>
      </w:r>
    </w:p>
    <w:p>
      <w:pPr>
        <w:pStyle w:val="BodyText"/>
        <w:tabs>
          <w:tab w:pos="1060" w:val="left" w:leader="none"/>
        </w:tabs>
        <w:spacing w:line="240" w:lineRule="auto" w:before="61"/>
        <w:ind w:left="638" w:right="477" w:hanging="420"/>
        <w:jc w:val="left"/>
      </w:pPr>
      <w:r>
        <w:rPr>
          <w:spacing w:val="-1"/>
        </w:rPr>
        <w:t>√适用</w:t>
        <w:tab/>
      </w:r>
      <w:r>
        <w:rPr>
          <w:spacing w:val="-2"/>
        </w:rPr>
        <w:t>□不适用</w:t>
      </w:r>
      <w:r>
        <w:rPr>
          <w:spacing w:val="-99"/>
        </w:rPr>
        <w:t> </w:t>
      </w:r>
      <w:r>
        <w:rPr>
          <w:spacing w:val="-99"/>
        </w:rPr>
      </w:r>
      <w:r>
        <w:rPr>
          <w:spacing w:val="-2"/>
        </w:rPr>
        <w:t>报告期内，公司严格按照《公司法》、《证券法》，中国证监会制定的法规和有关上市公司</w:t>
      </w:r>
    </w:p>
    <w:p>
      <w:pPr>
        <w:pStyle w:val="BodyText"/>
        <w:spacing w:line="357" w:lineRule="auto" w:before="133"/>
        <w:ind w:right="477"/>
        <w:jc w:val="both"/>
      </w:pPr>
      <w:r>
        <w:rPr>
          <w:spacing w:val="-2"/>
        </w:rPr>
        <w:t>治理的规范性文件，以及《上海证券交易所股票上市规则》的要求，持续完善法人治理结构，不</w:t>
      </w:r>
      <w:r>
        <w:rPr>
          <w:spacing w:val="-25"/>
        </w:rPr>
        <w:t> </w:t>
      </w:r>
      <w:r>
        <w:rPr>
          <w:spacing w:val="-25"/>
        </w:rPr>
      </w:r>
      <w:r>
        <w:rPr>
          <w:spacing w:val="-2"/>
        </w:rPr>
        <w:t>断提升公司治理水平和管理质量。公司管理层严格按照董事会授权忠实履行职务，维护公司利益</w:t>
      </w:r>
      <w:r>
        <w:rPr>
          <w:spacing w:val="-25"/>
        </w:rPr>
        <w:t> </w:t>
      </w:r>
      <w:r>
        <w:rPr>
          <w:spacing w:val="-25"/>
        </w:rPr>
      </w:r>
      <w:r>
        <w:rPr>
          <w:spacing w:val="-2"/>
        </w:rPr>
        <w:t>和广大股东合法权益。公司法人治理结构实际情况符合《上市公司治理准则的相关要求》，公司</w:t>
      </w:r>
      <w:r>
        <w:rPr>
          <w:spacing w:val="-25"/>
        </w:rPr>
        <w:t> </w:t>
      </w:r>
      <w:r>
        <w:rPr>
          <w:spacing w:val="-25"/>
        </w:rPr>
      </w:r>
      <w:r>
        <w:rPr/>
        <w:t>治理与《公司法》及中国证监会相关规定的要求不存在差异。</w:t>
      </w:r>
    </w:p>
    <w:p>
      <w:pPr>
        <w:spacing w:line="240" w:lineRule="auto" w:before="1"/>
        <w:rPr>
          <w:rFonts w:ascii="宋体" w:hAnsi="宋体" w:cs="宋体" w:eastAsia="宋体" w:hint="default"/>
          <w:sz w:val="23"/>
          <w:szCs w:val="23"/>
        </w:rPr>
      </w:pPr>
    </w:p>
    <w:p>
      <w:pPr>
        <w:pStyle w:val="BodyText"/>
        <w:spacing w:line="274" w:lineRule="exact"/>
        <w:ind w:right="0"/>
        <w:jc w:val="both"/>
      </w:pPr>
      <w:r>
        <w:rPr/>
        <w:t>公司治理与中国证监会相关规定的要求是否存在重大差异；如有重大差异，应当说明原因</w:t>
      </w:r>
    </w:p>
    <w:p>
      <w:pPr>
        <w:pStyle w:val="BodyText"/>
        <w:spacing w:line="274" w:lineRule="exact"/>
        <w:ind w:right="0"/>
        <w:jc w:val="both"/>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right="0"/>
        <w:jc w:val="both"/>
        <w:rPr>
          <w:b w:val="0"/>
          <w:bCs w:val="0"/>
        </w:rPr>
      </w:pPr>
      <w:r>
        <w:rPr/>
        <w:t>二、 </w:t>
      </w:r>
      <w:r>
        <w:rPr>
          <w:spacing w:val="113"/>
        </w:rPr>
        <w:t> </w:t>
      </w:r>
      <w:r>
        <w:rPr/>
        <w:t>股东大会情况简介</w:t>
      </w:r>
      <w:r>
        <w:rPr>
          <w:b w:val="0"/>
          <w:bCs w:val="0"/>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87"/>
        <w:gridCol w:w="1985"/>
        <w:gridCol w:w="1812"/>
        <w:gridCol w:w="2165"/>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3" w:lineRule="exact"/>
              <w:ind w:left="165"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年第四次临时股东大会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年第五次临时股东大会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年第六次临时股东大会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年第七次临时股东大会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年第八次临时股东大会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年第九次临时股东大会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年第十次临时股东大会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b/>
          <w:bCs/>
          <w:sz w:val="15"/>
          <w:szCs w:val="15"/>
        </w:rPr>
      </w:pPr>
    </w:p>
    <w:p>
      <w:pPr>
        <w:pStyle w:val="BodyText"/>
        <w:spacing w:line="275" w:lineRule="exact" w:before="36"/>
        <w:ind w:right="477"/>
        <w:jc w:val="left"/>
      </w:pPr>
      <w:r>
        <w:rPr/>
        <w:t>股东大会情况说明</w:t>
      </w:r>
    </w:p>
    <w:p>
      <w:pPr>
        <w:pStyle w:val="BodyText"/>
        <w:spacing w:line="275" w:lineRule="exact"/>
        <w:ind w:right="477"/>
        <w:jc w:val="left"/>
      </w:pPr>
      <w:r>
        <w:rPr/>
        <w:t>□适用</w:t>
      </w:r>
      <w:r>
        <w:rPr>
          <w:spacing w:val="-1"/>
        </w:rPr>
        <w:t> </w:t>
      </w:r>
      <w:r>
        <w:rPr/>
        <w:t>√不适用</w:t>
      </w:r>
    </w:p>
    <w:p>
      <w:pPr>
        <w:pStyle w:val="Heading2"/>
        <w:tabs>
          <w:tab w:pos="1057" w:val="left" w:leader="none"/>
        </w:tabs>
        <w:spacing w:line="240" w:lineRule="auto" w:before="50"/>
        <w:ind w:right="477"/>
        <w:jc w:val="left"/>
        <w:rPr>
          <w:b w:val="0"/>
          <w:bCs w:val="0"/>
        </w:rPr>
      </w:pPr>
      <w:r>
        <w:rPr/>
        <w:t>三、</w:t>
        <w:tab/>
        <w:t>董事履行职责情况</w:t>
      </w:r>
      <w:r>
        <w:rPr>
          <w:b w:val="0"/>
          <w:bCs w:val="0"/>
        </w:rPr>
      </w:r>
    </w:p>
    <w:p>
      <w:pPr>
        <w:pStyle w:val="Heading2"/>
        <w:spacing w:line="240" w:lineRule="auto" w:before="58"/>
        <w:ind w:right="47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董事参加董事会和股东大会的情况</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5"/>
        <w:gridCol w:w="1337"/>
        <w:gridCol w:w="852"/>
        <w:gridCol w:w="968"/>
        <w:gridCol w:w="907"/>
        <w:gridCol w:w="845"/>
        <w:gridCol w:w="1292"/>
        <w:gridCol w:w="1262"/>
      </w:tblGrid>
      <w:tr>
        <w:trPr>
          <w:trHeight w:val="569"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6201" w:type="dxa"/>
            <w:gridSpan w:val="6"/>
            <w:tcBorders>
              <w:top w:val="single" w:sz="4" w:space="0" w:color="000000"/>
              <w:left w:val="single" w:sz="4" w:space="0" w:color="000000"/>
              <w:bottom w:val="single" w:sz="4" w:space="0" w:color="000000"/>
              <w:right w:val="single" w:sz="5" w:space="0" w:color="000000"/>
            </w:tcBorders>
          </w:tcPr>
          <w:p>
            <w:pPr>
              <w:pStyle w:val="TableParagraph"/>
              <w:spacing w:line="240" w:lineRule="auto" w:before="110"/>
              <w:ind w:left="8"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2" w:type="dxa"/>
            <w:tcBorders>
              <w:top w:val="single" w:sz="4" w:space="0" w:color="000000"/>
              <w:left w:val="single" w:sz="5" w:space="0" w:color="000000"/>
              <w:bottom w:val="single" w:sz="4" w:space="0" w:color="000000"/>
              <w:right w:val="single" w:sz="4" w:space="0" w:color="000000"/>
            </w:tcBorders>
          </w:tcPr>
          <w:p>
            <w:pPr>
              <w:pStyle w:val="TableParagraph"/>
              <w:spacing w:line="247" w:lineRule="exact"/>
              <w:ind w:left="212"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12"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135"/>
              <w:jc w:val="left"/>
              <w:rPr>
                <w:rFonts w:ascii="宋体" w:hAnsi="宋体" w:cs="宋体" w:eastAsia="宋体" w:hint="default"/>
                <w:sz w:val="21"/>
                <w:szCs w:val="21"/>
              </w:rPr>
            </w:pPr>
            <w:r>
              <w:rPr>
                <w:rFonts w:ascii="宋体" w:hAnsi="宋体" w:cs="宋体" w:eastAsia="宋体" w:hint="default"/>
                <w:sz w:val="21"/>
                <w:szCs w:val="21"/>
              </w:rPr>
              <w:t>本年应参加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20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4" w:right="111"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20"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80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5"/>
        <w:gridCol w:w="1337"/>
        <w:gridCol w:w="852"/>
        <w:gridCol w:w="968"/>
        <w:gridCol w:w="907"/>
        <w:gridCol w:w="845"/>
        <w:gridCol w:w="1292"/>
        <w:gridCol w:w="1262"/>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z w:val="21"/>
              </w:rPr>
              <w:t>16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b/>
          <w:bCs/>
          <w:sz w:val="15"/>
          <w:szCs w:val="15"/>
        </w:rPr>
      </w:pPr>
    </w:p>
    <w:p>
      <w:pPr>
        <w:pStyle w:val="BodyText"/>
        <w:spacing w:line="273" w:lineRule="exact" w:before="36"/>
        <w:ind w:right="494"/>
        <w:jc w:val="left"/>
      </w:pPr>
      <w:r>
        <w:rPr/>
        <w:t>连续两次未亲自出席董事会会议的说明</w:t>
      </w:r>
    </w:p>
    <w:p>
      <w:pPr>
        <w:pStyle w:val="BodyText"/>
        <w:spacing w:line="273" w:lineRule="exact"/>
        <w:ind w:right="494"/>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799"/>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6"/>
        <w:rPr>
          <w:rFonts w:ascii="宋体" w:hAnsi="宋体" w:cs="宋体" w:eastAsia="宋体" w:hint="default"/>
          <w:sz w:val="20"/>
          <w:szCs w:val="20"/>
        </w:rPr>
      </w:pPr>
    </w:p>
    <w:p>
      <w:pPr>
        <w:pStyle w:val="Heading2"/>
        <w:spacing w:line="240" w:lineRule="auto"/>
        <w:ind w:right="49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独立董事对公司有关事项提出异议的情况</w:t>
      </w:r>
      <w:r>
        <w:rPr>
          <w:b w:val="0"/>
          <w:bCs w:val="0"/>
        </w:rPr>
      </w:r>
    </w:p>
    <w:p>
      <w:pPr>
        <w:pStyle w:val="BodyText"/>
        <w:spacing w:line="240" w:lineRule="auto" w:before="31"/>
        <w:ind w:right="494"/>
        <w:jc w:val="left"/>
      </w:pPr>
      <w:r>
        <w:rPr/>
        <w:t>□适用</w:t>
      </w:r>
      <w:r>
        <w:rPr>
          <w:spacing w:val="-1"/>
        </w:rPr>
        <w:t> </w:t>
      </w:r>
      <w:r>
        <w:rPr/>
        <w:t>√不适用</w:t>
      </w:r>
    </w:p>
    <w:p>
      <w:pPr>
        <w:pStyle w:val="Heading2"/>
        <w:spacing w:line="240" w:lineRule="auto" w:before="52"/>
        <w:ind w:right="49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0"/>
        </w:rPr>
        <w:t> </w:t>
      </w:r>
      <w:r>
        <w:rPr/>
        <w:t>其他</w:t>
      </w:r>
      <w:r>
        <w:rPr>
          <w:b w:val="0"/>
          <w:bCs w:val="0"/>
        </w:rPr>
      </w:r>
    </w:p>
    <w:p>
      <w:pPr>
        <w:pStyle w:val="BodyText"/>
        <w:tabs>
          <w:tab w:pos="1060" w:val="left" w:leader="none"/>
        </w:tabs>
        <w:spacing w:line="240" w:lineRule="auto" w:before="31"/>
        <w:ind w:right="494"/>
        <w:jc w:val="left"/>
      </w:pPr>
      <w:r>
        <w:rPr>
          <w:spacing w:val="-1"/>
        </w:rPr>
        <w:t>□适用</w:t>
        <w:tab/>
      </w:r>
      <w:r>
        <w:rPr>
          <w:spacing w:val="-2"/>
        </w:rPr>
        <w:t>√不适用</w:t>
      </w:r>
    </w:p>
    <w:p>
      <w:pPr>
        <w:spacing w:line="240" w:lineRule="auto" w:before="1"/>
        <w:rPr>
          <w:rFonts w:ascii="宋体" w:hAnsi="宋体" w:cs="宋体" w:eastAsia="宋体" w:hint="default"/>
          <w:sz w:val="27"/>
          <w:szCs w:val="27"/>
        </w:rPr>
      </w:pPr>
    </w:p>
    <w:p>
      <w:pPr>
        <w:pStyle w:val="Heading2"/>
        <w:tabs>
          <w:tab w:pos="1057" w:val="left" w:leader="none"/>
        </w:tabs>
        <w:spacing w:line="312" w:lineRule="exact" w:before="0"/>
        <w:ind w:left="642" w:right="494" w:hanging="425"/>
        <w:jc w:val="left"/>
        <w:rPr>
          <w:b w:val="0"/>
          <w:bCs w:val="0"/>
        </w:rPr>
      </w:pPr>
      <w:r>
        <w:rPr/>
        <w:t>四、</w:t>
        <w:tab/>
        <w:t>董事会下设专门委员会在报告期内履行职责时所提出的重要意见和建议，存</w:t>
      </w:r>
      <w:r>
        <w:rPr>
          <w:spacing w:val="-93"/>
        </w:rPr>
        <w:t> </w:t>
      </w:r>
      <w:r>
        <w:rPr>
          <w:spacing w:val="-93"/>
        </w:rPr>
      </w:r>
      <w:r>
        <w:rPr/>
        <w:t>在异议事项的，应当披露具体情况</w:t>
      </w:r>
      <w:r>
        <w:rPr>
          <w:b w:val="0"/>
          <w:bCs w:val="0"/>
        </w:rPr>
      </w:r>
    </w:p>
    <w:p>
      <w:pPr>
        <w:pStyle w:val="BodyText"/>
        <w:tabs>
          <w:tab w:pos="1060" w:val="left" w:leader="none"/>
        </w:tabs>
        <w:spacing w:line="272" w:lineRule="exact" w:before="63"/>
        <w:ind w:left="638" w:right="4492"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董事会下设的审计委员会的履职情况汇总报告</w:t>
      </w:r>
    </w:p>
    <w:p>
      <w:pPr>
        <w:pStyle w:val="BodyText"/>
        <w:spacing w:line="355" w:lineRule="auto" w:before="111"/>
        <w:ind w:right="497" w:firstLine="419"/>
        <w:jc w:val="both"/>
      </w:pPr>
      <w:r>
        <w:rPr>
          <w:spacing w:val="-2"/>
        </w:rPr>
        <w:t>报告期内，根据监管部门有关文件的要求，审计委员会对年度报告财务会计报告发表了两次</w:t>
      </w:r>
      <w:r>
        <w:rPr>
          <w:w w:val="100"/>
        </w:rPr>
        <w:t> </w:t>
      </w:r>
      <w:r>
        <w:rPr>
          <w:spacing w:val="-2"/>
        </w:rPr>
        <w:t>审阅意见，并就会计事务所年报审计工作的进行总结，同时就对下年度续聘会计师事务所的形成</w:t>
      </w:r>
      <w:r>
        <w:rPr>
          <w:spacing w:val="-25"/>
        </w:rPr>
        <w:t> </w:t>
      </w:r>
      <w:r>
        <w:rPr>
          <w:spacing w:val="-25"/>
        </w:rPr>
      </w:r>
      <w:r>
        <w:rPr/>
        <w:t>决议。</w:t>
      </w:r>
    </w:p>
    <w:p>
      <w:pPr>
        <w:pStyle w:val="BodyText"/>
        <w:spacing w:line="357" w:lineRule="auto" w:before="32"/>
        <w:ind w:right="384" w:firstLine="419"/>
        <w:jc w:val="left"/>
      </w:pPr>
      <w:r>
        <w:rPr>
          <w:spacing w:val="-4"/>
        </w:rPr>
        <w:t>（</w:t>
      </w:r>
      <w:r>
        <w:rPr>
          <w:rFonts w:ascii="宋体" w:hAnsi="宋体" w:cs="宋体" w:eastAsia="宋体" w:hint="default"/>
          <w:spacing w:val="-4"/>
        </w:rPr>
        <w:t>1</w:t>
      </w:r>
      <w:r>
        <w:rPr>
          <w:spacing w:val="-4"/>
        </w:rPr>
        <w:t>）在年审注册会计师进场前，对未经审计的财务报告发表首次书面意见，审计委员会意见</w:t>
      </w:r>
      <w:r>
        <w:rPr>
          <w:w w:val="100"/>
        </w:rPr>
        <w:t> </w:t>
      </w:r>
      <w:r>
        <w:rPr/>
        <w:t>如下：我们认真审阅了公司计划财务部提交的</w:t>
      </w:r>
      <w:r>
        <w:rPr>
          <w:spacing w:val="-53"/>
        </w:rPr>
        <w:t> </w:t>
      </w:r>
      <w:r>
        <w:rPr>
          <w:rFonts w:ascii="宋体" w:hAnsi="宋体" w:cs="宋体" w:eastAsia="宋体" w:hint="default"/>
        </w:rPr>
        <w:t>2017</w:t>
      </w:r>
      <w:r>
        <w:rPr>
          <w:rFonts w:ascii="宋体" w:hAnsi="宋体" w:cs="宋体" w:eastAsia="宋体" w:hint="default"/>
          <w:spacing w:val="-55"/>
        </w:rPr>
        <w:t> </w:t>
      </w:r>
      <w:r>
        <w:rPr/>
        <w:t>年度财务会计报表，包括</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w:t>
      </w:r>
      <w:r>
        <w:rPr>
          <w:w w:val="100"/>
        </w:rPr>
        <w:t> </w:t>
      </w:r>
      <w:r>
        <w:rPr/>
        <w:t>的资产负债表、</w:t>
      </w:r>
      <w:r>
        <w:rPr>
          <w:rFonts w:ascii="宋体" w:hAnsi="宋体" w:cs="宋体" w:eastAsia="宋体" w:hint="default"/>
        </w:rPr>
        <w:t>2017</w:t>
      </w:r>
      <w:r>
        <w:rPr>
          <w:rFonts w:ascii="宋体" w:hAnsi="宋体" w:cs="宋体" w:eastAsia="宋体" w:hint="default"/>
          <w:spacing w:val="-40"/>
        </w:rPr>
        <w:t> </w:t>
      </w:r>
      <w:r>
        <w:rPr>
          <w:spacing w:val="-3"/>
        </w:rPr>
        <w:t>年度的利润表、所有者权益变动表和现金流量表。我们认为：公司根据《企</w:t>
      </w:r>
      <w:r>
        <w:rPr>
          <w:spacing w:val="-74"/>
        </w:rPr>
        <w:t> </w:t>
      </w:r>
      <w:r>
        <w:rPr>
          <w:spacing w:val="-74"/>
        </w:rPr>
      </w:r>
      <w:r>
        <w:rPr/>
        <w:t>业会计准则》的有关要求，结合公司实际情况，制定了合理的会计政策和恰当的会计估计，公司</w:t>
      </w:r>
      <w:r>
        <w:rPr>
          <w:w w:val="100"/>
        </w:rPr>
        <w:t> </w:t>
      </w:r>
      <w:r>
        <w:rPr/>
        <w:t>编制的财务会计报表真实反映了公司截至</w:t>
      </w:r>
      <w:r>
        <w:rPr>
          <w:spacing w:val="6"/>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日的财务状况和</w:t>
      </w:r>
      <w:r>
        <w:rPr>
          <w:spacing w:val="-45"/>
        </w:rPr>
        <w:t> </w:t>
      </w:r>
      <w:r>
        <w:rPr>
          <w:rFonts w:ascii="宋体" w:hAnsi="宋体" w:cs="宋体" w:eastAsia="宋体" w:hint="default"/>
        </w:rPr>
        <w:t>2017</w:t>
      </w:r>
      <w:r>
        <w:rPr>
          <w:rFonts w:ascii="宋体" w:hAnsi="宋体" w:cs="宋体" w:eastAsia="宋体" w:hint="default"/>
          <w:spacing w:val="-45"/>
        </w:rPr>
        <w:t> </w:t>
      </w:r>
      <w:r>
        <w:rPr/>
        <w:t>年的经营成果，</w:t>
      </w:r>
      <w:r>
        <w:rPr>
          <w:w w:val="100"/>
        </w:rPr>
        <w:t> </w:t>
      </w:r>
      <w:r>
        <w:rPr/>
        <w:t>未发现有重大错报、漏报情况；未发现有大股东占用公司资金情况；未发现公司有对外违规担保</w:t>
      </w:r>
      <w:r>
        <w:rPr>
          <w:w w:val="100"/>
        </w:rPr>
        <w:t> </w:t>
      </w:r>
      <w:r>
        <w:rPr/>
        <w:t>情况及异常关联交易情况。同意以此财务报表为基础开展</w:t>
      </w:r>
      <w:r>
        <w:rPr>
          <w:spacing w:val="-57"/>
        </w:rPr>
        <w:t> </w:t>
      </w:r>
      <w:r>
        <w:rPr>
          <w:rFonts w:ascii="宋体" w:hAnsi="宋体" w:cs="宋体" w:eastAsia="宋体" w:hint="default"/>
        </w:rPr>
        <w:t>2017</w:t>
      </w:r>
      <w:r>
        <w:rPr>
          <w:rFonts w:ascii="宋体" w:hAnsi="宋体" w:cs="宋体" w:eastAsia="宋体" w:hint="default"/>
          <w:spacing w:val="-57"/>
        </w:rPr>
        <w:t> </w:t>
      </w:r>
      <w:r>
        <w:rPr/>
        <w:t>年度的财务审计工作。</w:t>
      </w:r>
    </w:p>
    <w:p>
      <w:pPr>
        <w:pStyle w:val="BodyText"/>
        <w:spacing w:line="357" w:lineRule="auto" w:before="32"/>
        <w:ind w:right="48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）在年审注册会计师出具初步审计意见后，审计委员会再次审阅财务报告并发表第二次书</w:t>
      </w:r>
      <w:r>
        <w:rPr>
          <w:w w:val="100"/>
        </w:rPr>
        <w:t> </w:t>
      </w:r>
      <w:r>
        <w:rPr>
          <w:spacing w:val="-2"/>
        </w:rPr>
        <w:t>面意见：我们审阅了公司计划财务部提交的经年审注册会计师出具初步审计意见的财务报表，包</w:t>
      </w:r>
      <w:r>
        <w:rPr>
          <w:spacing w:val="-25"/>
        </w:rPr>
        <w:t> </w:t>
      </w:r>
      <w:r>
        <w:rPr>
          <w:spacing w:val="-25"/>
        </w:rPr>
      </w:r>
      <w:r>
        <w:rPr/>
        <w:t>括截止</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t>日的资产负债表、</w:t>
      </w:r>
      <w:r>
        <w:rPr>
          <w:rFonts w:ascii="宋体" w:hAnsi="宋体" w:cs="宋体" w:eastAsia="宋体" w:hint="default"/>
        </w:rPr>
        <w:t>2017</w:t>
      </w:r>
      <w:r>
        <w:rPr>
          <w:rFonts w:ascii="宋体" w:hAnsi="宋体" w:cs="宋体" w:eastAsia="宋体" w:hint="default"/>
          <w:spacing w:val="-54"/>
        </w:rPr>
        <w:t> </w:t>
      </w:r>
      <w:r>
        <w:rPr/>
        <w:t>年度利润表、股东权益变动表和现金流量表以及</w:t>
      </w:r>
      <w:r>
        <w:rPr>
          <w:w w:val="100"/>
        </w:rPr>
        <w:t> </w:t>
      </w:r>
      <w:r>
        <w:rPr>
          <w:spacing w:val="-2"/>
        </w:rPr>
        <w:t>财务报表附注。我们按照《企业会计准则》以及公司有关财务制度规定，对会计资料的真实性、</w:t>
      </w:r>
      <w:r>
        <w:rPr>
          <w:spacing w:val="-25"/>
        </w:rPr>
        <w:t> </w:t>
      </w:r>
      <w:r>
        <w:rPr>
          <w:spacing w:val="-25"/>
        </w:rPr>
      </w:r>
      <w:r>
        <w:rPr>
          <w:spacing w:val="-2"/>
        </w:rPr>
        <w:t>完整性，财务报表是否严格按照企业会计准则及公司有关财务制度规定编制予以了重点关注。通</w:t>
      </w:r>
      <w:r>
        <w:rPr>
          <w:spacing w:val="-25"/>
        </w:rPr>
        <w:t> </w:t>
      </w:r>
      <w:r>
        <w:rPr>
          <w:spacing w:val="-25"/>
        </w:rPr>
      </w:r>
      <w:r>
        <w:rPr>
          <w:spacing w:val="-2"/>
        </w:rPr>
        <w:t>过与年审注册会计师充分沟通，结合公司经营情况，在会计师出具初步审计意见后，我们认为：</w:t>
      </w:r>
      <w:r>
        <w:rPr>
          <w:spacing w:val="-25"/>
        </w:rPr>
        <w:t> </w:t>
      </w:r>
      <w:r>
        <w:rPr>
          <w:spacing w:val="-25"/>
        </w:rPr>
      </w:r>
      <w:r>
        <w:rPr>
          <w:spacing w:val="-2"/>
        </w:rPr>
        <w:t>年审会计师已严格按照中国注册会计师独立审计准则的规定执行了审计工作，审计时间充分，审</w:t>
      </w:r>
      <w:r>
        <w:rPr>
          <w:spacing w:val="-26"/>
        </w:rPr>
        <w:t> </w:t>
      </w:r>
      <w:r>
        <w:rPr>
          <w:spacing w:val="-26"/>
        </w:rPr>
      </w:r>
      <w:r>
        <w:rPr>
          <w:spacing w:val="-7"/>
        </w:rPr>
        <w:t>计人员配置合理、执业能力胜任，出具的审计报表能够充分反映公司</w:t>
      </w:r>
      <w:r>
        <w:rPr>
          <w:spacing w:val="-34"/>
        </w:rPr>
        <w:t> </w:t>
      </w:r>
      <w:r>
        <w:rPr>
          <w:rFonts w:ascii="宋体" w:hAnsi="宋体" w:cs="宋体" w:eastAsia="宋体" w:hint="default"/>
        </w:rPr>
        <w:t>2017</w:t>
      </w:r>
      <w:r>
        <w:rPr>
          <w:rFonts w:ascii="宋体" w:hAnsi="宋体" w:cs="宋体" w:eastAsia="宋体" w:hint="default"/>
          <w:spacing w:val="-37"/>
        </w:rPr>
        <w:t> </w:t>
      </w:r>
      <w:r>
        <w:rPr/>
        <w:t>年的财务状况以及</w:t>
      </w:r>
      <w:r>
        <w:rPr>
          <w:spacing w:val="-33"/>
        </w:rPr>
        <w:t> </w:t>
      </w:r>
      <w:r>
        <w:rPr>
          <w:rFonts w:ascii="宋体" w:hAnsi="宋体" w:cs="宋体" w:eastAsia="宋体" w:hint="default"/>
        </w:rPr>
        <w:t>2017</w:t>
      </w:r>
    </w:p>
    <w:p>
      <w:pPr>
        <w:spacing w:after="0" w:line="357" w:lineRule="auto"/>
        <w:jc w:val="both"/>
        <w:rPr>
          <w:rFonts w:ascii="宋体" w:hAnsi="宋体" w:cs="宋体" w:eastAsia="宋体" w:hint="default"/>
        </w:rPr>
        <w:sectPr>
          <w:pgSz w:w="11910" w:h="16840"/>
          <w:pgMar w:header="877" w:footer="1195" w:top="1100" w:bottom="1380" w:left="1580" w:right="780"/>
        </w:sectPr>
      </w:pPr>
    </w:p>
    <w:p>
      <w:pPr>
        <w:spacing w:line="240" w:lineRule="auto" w:before="9"/>
        <w:rPr>
          <w:rFonts w:ascii="宋体" w:hAnsi="宋体" w:cs="宋体" w:eastAsia="宋体" w:hint="default"/>
          <w:sz w:val="25"/>
          <w:szCs w:val="25"/>
        </w:rPr>
      </w:pPr>
    </w:p>
    <w:p>
      <w:pPr>
        <w:pStyle w:val="BodyText"/>
        <w:spacing w:line="357" w:lineRule="auto" w:before="36"/>
        <w:ind w:left="138" w:right="101"/>
        <w:jc w:val="left"/>
      </w:pPr>
      <w:r>
        <w:rPr>
          <w:spacing w:val="-2"/>
        </w:rPr>
        <w:t>年度的经营成果，出具的审计结论符合公司的实际情况，同意将大华会计师事务所（特殊普通合</w:t>
      </w:r>
      <w:r>
        <w:rPr>
          <w:spacing w:val="-25"/>
        </w:rPr>
        <w:t> </w:t>
      </w:r>
      <w:r>
        <w:rPr>
          <w:spacing w:val="-25"/>
        </w:rPr>
      </w:r>
      <w:r>
        <w:rPr/>
        <w:t>伙）审定的公司</w:t>
      </w:r>
      <w:r>
        <w:rPr>
          <w:spacing w:val="-56"/>
        </w:rPr>
        <w:t> </w:t>
      </w:r>
      <w:r>
        <w:rPr>
          <w:rFonts w:ascii="宋体" w:hAnsi="宋体" w:cs="宋体" w:eastAsia="宋体" w:hint="default"/>
        </w:rPr>
        <w:t>2017</w:t>
      </w:r>
      <w:r>
        <w:rPr>
          <w:rFonts w:ascii="宋体" w:hAnsi="宋体" w:cs="宋体" w:eastAsia="宋体" w:hint="default"/>
          <w:spacing w:val="-56"/>
        </w:rPr>
        <w:t> </w:t>
      </w:r>
      <w:r>
        <w:rPr/>
        <w:t>年财务报告提交公司董事会审议。</w:t>
      </w:r>
    </w:p>
    <w:p>
      <w:pPr>
        <w:pStyle w:val="BodyText"/>
        <w:spacing w:line="357" w:lineRule="auto" w:before="30"/>
        <w:ind w:left="138" w:right="101" w:firstLine="419"/>
        <w:jc w:val="left"/>
      </w:pPr>
      <w:r>
        <w:rPr>
          <w:spacing w:val="-2"/>
        </w:rPr>
        <w:t>（</w:t>
      </w:r>
      <w:r>
        <w:rPr>
          <w:rFonts w:ascii="宋体" w:hAnsi="宋体" w:cs="宋体" w:eastAsia="宋体" w:hint="default"/>
          <w:spacing w:val="-2"/>
        </w:rPr>
        <w:t>3</w:t>
      </w:r>
      <w:r>
        <w:rPr>
          <w:spacing w:val="-2"/>
        </w:rPr>
        <w:t>）审计委员会关于大华会计师事务所（特殊普通合伙）从事本年度审计工作的总结报告：</w:t>
      </w:r>
      <w:r>
        <w:rPr>
          <w:w w:val="100"/>
        </w:rPr>
        <w:t> </w:t>
      </w:r>
      <w:r>
        <w:rPr/>
        <w:t>我们收到了公司计划财务部提交的公司</w:t>
      </w:r>
      <w:r>
        <w:rPr>
          <w:spacing w:val="-44"/>
        </w:rPr>
        <w:t> </w:t>
      </w:r>
      <w:r>
        <w:rPr>
          <w:rFonts w:ascii="宋体" w:hAnsi="宋体" w:cs="宋体" w:eastAsia="宋体" w:hint="default"/>
        </w:rPr>
        <w:t>2017</w:t>
      </w:r>
      <w:r>
        <w:rPr>
          <w:rFonts w:ascii="宋体" w:hAnsi="宋体" w:cs="宋体" w:eastAsia="宋体" w:hint="default"/>
          <w:spacing w:val="-46"/>
        </w:rPr>
        <w:t> </w:t>
      </w:r>
      <w:r>
        <w:rPr>
          <w:spacing w:val="-6"/>
        </w:rPr>
        <w:t>年财务报表，按照《企业会计准则》以及公司有关财</w:t>
      </w:r>
      <w:r>
        <w:rPr>
          <w:spacing w:val="-84"/>
        </w:rPr>
        <w:t> </w:t>
      </w:r>
      <w:r>
        <w:rPr>
          <w:spacing w:val="-84"/>
        </w:rPr>
      </w:r>
      <w:r>
        <w:rPr/>
        <w:t>务制度规定，我们对会计资料的真实性、完整性、财务报表是否严格按照会计准则及公司有关财</w:t>
      </w:r>
      <w:r>
        <w:rPr>
          <w:w w:val="100"/>
        </w:rPr>
        <w:t> </w:t>
      </w:r>
      <w:r>
        <w:rPr>
          <w:spacing w:val="-4"/>
        </w:rPr>
        <w:t>务制度规定编制予以了重点关注。</w:t>
      </w:r>
      <w:r>
        <w:rPr>
          <w:rFonts w:ascii="宋体" w:hAnsi="宋体" w:cs="宋体" w:eastAsia="宋体" w:hint="default"/>
          <w:spacing w:val="-4"/>
        </w:rPr>
        <w:t>2018</w:t>
      </w:r>
      <w:r>
        <w:rPr>
          <w:rFonts w:ascii="宋体" w:hAnsi="宋体" w:cs="宋体" w:eastAsia="宋体" w:hint="default"/>
          <w:spacing w:val="-49"/>
        </w:rPr>
        <w:t> </w:t>
      </w:r>
      <w:r>
        <w:rPr/>
        <w:t>年</w:t>
      </w:r>
      <w:r>
        <w:rPr>
          <w:spacing w:val="-51"/>
        </w:rPr>
        <w:t> </w:t>
      </w:r>
      <w:r>
        <w:rPr>
          <w:rFonts w:ascii="宋体" w:hAnsi="宋体" w:cs="宋体" w:eastAsia="宋体" w:hint="default"/>
        </w:rPr>
        <w:t>4</w:t>
      </w:r>
      <w:r>
        <w:rPr>
          <w:rFonts w:ascii="宋体" w:hAnsi="宋体" w:cs="宋体" w:eastAsia="宋体" w:hint="default"/>
          <w:spacing w:val="-49"/>
        </w:rPr>
        <w:t> </w:t>
      </w:r>
      <w:r>
        <w:rPr/>
        <w:t>月</w:t>
      </w:r>
      <w:r>
        <w:rPr>
          <w:spacing w:val="-51"/>
        </w:rPr>
        <w:t> </w:t>
      </w:r>
      <w:r>
        <w:rPr>
          <w:rFonts w:ascii="宋体" w:hAnsi="宋体" w:cs="宋体" w:eastAsia="宋体" w:hint="default"/>
        </w:rPr>
        <w:t>4</w:t>
      </w:r>
      <w:r>
        <w:rPr>
          <w:rFonts w:ascii="宋体" w:hAnsi="宋体" w:cs="宋体" w:eastAsia="宋体" w:hint="default"/>
          <w:spacing w:val="-49"/>
        </w:rPr>
        <w:t> </w:t>
      </w:r>
      <w:r>
        <w:rPr/>
        <w:t>日我们约见了公司年报审计的主审人员及会计师</w:t>
      </w:r>
      <w:r>
        <w:rPr>
          <w:spacing w:val="-95"/>
        </w:rPr>
        <w:t> </w:t>
      </w:r>
      <w:r>
        <w:rPr>
          <w:spacing w:val="-95"/>
        </w:rPr>
      </w:r>
      <w:r>
        <w:rPr/>
        <w:t>就年报审计中的有关问题进行了充分的沟通。</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spacing w:val="-3"/>
        </w:rPr>
        <w:t>月大华会计师事务所（特殊普通合伙）为</w:t>
      </w:r>
      <w:r>
        <w:rPr>
          <w:spacing w:val="-102"/>
        </w:rPr>
        <w:t> </w:t>
      </w:r>
      <w:r>
        <w:rPr>
          <w:spacing w:val="-102"/>
        </w:rPr>
      </w:r>
      <w:r>
        <w:rPr/>
        <w:t>公司</w:t>
      </w:r>
      <w:r>
        <w:rPr>
          <w:spacing w:val="-41"/>
        </w:rPr>
        <w:t> </w:t>
      </w:r>
      <w:r>
        <w:rPr>
          <w:rFonts w:ascii="宋体" w:hAnsi="宋体" w:cs="宋体" w:eastAsia="宋体" w:hint="default"/>
        </w:rPr>
        <w:t>2017</w:t>
      </w:r>
      <w:r>
        <w:rPr>
          <w:rFonts w:ascii="宋体" w:hAnsi="宋体" w:cs="宋体" w:eastAsia="宋体" w:hint="default"/>
          <w:spacing w:val="-43"/>
        </w:rPr>
        <w:t> </w:t>
      </w:r>
      <w:r>
        <w:rPr>
          <w:spacing w:val="-4"/>
        </w:rPr>
        <w:t>年度报告出具了标准无保留意见的审计报告。我们认为：大华会计师事务所（特殊普通</w:t>
      </w:r>
      <w:r>
        <w:rPr>
          <w:spacing w:val="-76"/>
        </w:rPr>
        <w:t> </w:t>
      </w:r>
      <w:r>
        <w:rPr>
          <w:spacing w:val="-76"/>
        </w:rPr>
      </w:r>
      <w:r>
        <w:rPr/>
        <w:t>合伙）在担任公司审计机构期间，坚持以公允、客观的态度进行独立审计，并按照中国注册会计</w:t>
      </w:r>
      <w:r>
        <w:rPr>
          <w:w w:val="100"/>
        </w:rPr>
        <w:t> </w:t>
      </w:r>
      <w:r>
        <w:rPr/>
        <w:t>师审计准则的要求执行了审计工作，审计时间充分，审计人员配置合理、执业能力胜任，出具的</w:t>
      </w:r>
      <w:r>
        <w:rPr>
          <w:w w:val="100"/>
        </w:rPr>
        <w:t> </w:t>
      </w:r>
      <w:r>
        <w:rPr/>
        <w:t>审计报告充分反映了公司的</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日的财务状况以及</w:t>
      </w:r>
      <w:r>
        <w:rPr>
          <w:spacing w:val="-54"/>
        </w:rPr>
        <w:t> </w:t>
      </w:r>
      <w:r>
        <w:rPr>
          <w:rFonts w:ascii="宋体" w:hAnsi="宋体" w:cs="宋体" w:eastAsia="宋体" w:hint="default"/>
        </w:rPr>
        <w:t>2017</w:t>
      </w:r>
      <w:r>
        <w:rPr>
          <w:rFonts w:ascii="宋体" w:hAnsi="宋体" w:cs="宋体" w:eastAsia="宋体" w:hint="default"/>
          <w:spacing w:val="-54"/>
        </w:rPr>
        <w:t> </w:t>
      </w:r>
      <w:r>
        <w:rPr/>
        <w:t>年度的经营成果，出具的审</w:t>
      </w:r>
      <w:r>
        <w:rPr>
          <w:w w:val="100"/>
        </w:rPr>
        <w:t> </w:t>
      </w:r>
      <w:r>
        <w:rPr/>
        <w:t>计结论符合公司的实际情况。</w:t>
      </w:r>
    </w:p>
    <w:p>
      <w:pPr>
        <w:pStyle w:val="BodyText"/>
        <w:spacing w:line="355" w:lineRule="auto" w:before="30"/>
        <w:ind w:left="558" w:right="206"/>
        <w:jc w:val="left"/>
      </w:pPr>
      <w:r>
        <w:rPr>
          <w:rFonts w:ascii="宋体" w:hAnsi="宋体" w:cs="宋体" w:eastAsia="宋体" w:hint="default"/>
        </w:rPr>
        <w:t>2</w:t>
      </w:r>
      <w:r>
        <w:rPr/>
        <w:t>、董事会下设的薪酬委员会的履职情况汇总报告</w:t>
      </w:r>
      <w:r>
        <w:rPr>
          <w:w w:val="100"/>
        </w:rPr>
        <w:t> </w:t>
      </w:r>
      <w:r>
        <w:rPr/>
        <w:t>董事会薪酬委员会对公司董事和高级管理人员的</w:t>
      </w:r>
      <w:r>
        <w:rPr>
          <w:spacing w:val="-44"/>
        </w:rPr>
        <w:t> </w:t>
      </w:r>
      <w:r>
        <w:rPr>
          <w:rFonts w:ascii="宋体" w:hAnsi="宋体" w:cs="宋体" w:eastAsia="宋体" w:hint="default"/>
        </w:rPr>
        <w:t>2017</w:t>
      </w:r>
      <w:r>
        <w:rPr>
          <w:rFonts w:ascii="宋体" w:hAnsi="宋体" w:cs="宋体" w:eastAsia="宋体" w:hint="default"/>
          <w:spacing w:val="-45"/>
        </w:rPr>
        <w:t> </w:t>
      </w:r>
      <w:r>
        <w:rPr>
          <w:spacing w:val="-7"/>
        </w:rPr>
        <w:t>年薪酬情况进行了审核，认为：公司根</w:t>
      </w:r>
    </w:p>
    <w:p>
      <w:pPr>
        <w:pStyle w:val="BodyText"/>
        <w:spacing w:line="357" w:lineRule="auto" w:before="32"/>
        <w:ind w:left="138" w:right="107"/>
        <w:jc w:val="left"/>
      </w:pPr>
      <w:r>
        <w:rPr/>
        <w:t>据公司总体发展战略和年度经营目标确定董事和高级管理人员的年度经营业绩考核综合指标或管</w:t>
      </w:r>
      <w:r>
        <w:rPr>
          <w:w w:val="100"/>
        </w:rPr>
        <w:t> </w:t>
      </w:r>
      <w:r>
        <w:rPr/>
        <w:t>理职责，并根据董事和高级管理人员的经营业绩综合指标进行考核，公司董事和高级管理人员的</w:t>
      </w:r>
      <w:r>
        <w:rPr>
          <w:w w:val="100"/>
        </w:rPr>
        <w:t> </w:t>
      </w:r>
      <w:r>
        <w:rPr/>
        <w:t>薪酬决策程序符合规定。</w:t>
      </w:r>
      <w:r>
        <w:rPr>
          <w:rFonts w:ascii="宋体" w:hAnsi="宋体" w:cs="宋体" w:eastAsia="宋体" w:hint="default"/>
        </w:rPr>
        <w:t>2017</w:t>
      </w:r>
      <w:r>
        <w:rPr>
          <w:rFonts w:ascii="宋体" w:hAnsi="宋体" w:cs="宋体" w:eastAsia="宋体" w:hint="default"/>
          <w:spacing w:val="-55"/>
        </w:rPr>
        <w:t> </w:t>
      </w:r>
      <w:r>
        <w:rPr/>
        <w:t>年公司董事领取报酬总额为</w:t>
      </w:r>
      <w:r>
        <w:rPr>
          <w:spacing w:val="-55"/>
        </w:rPr>
        <w:t> </w:t>
      </w:r>
      <w:r>
        <w:rPr>
          <w:rFonts w:ascii="宋体" w:hAnsi="宋体" w:cs="宋体" w:eastAsia="宋体" w:hint="default"/>
        </w:rPr>
        <w:t>290.78</w:t>
      </w:r>
      <w:r>
        <w:rPr>
          <w:rFonts w:ascii="宋体" w:hAnsi="宋体" w:cs="宋体" w:eastAsia="宋体" w:hint="default"/>
          <w:spacing w:val="-57"/>
        </w:rPr>
        <w:t> </w:t>
      </w:r>
      <w:r>
        <w:rPr/>
        <w:t>万元；监事领取的报酬总额为</w:t>
      </w:r>
      <w:r>
        <w:rPr>
          <w:w w:val="100"/>
        </w:rPr>
        <w:t> </w:t>
      </w:r>
      <w:r>
        <w:rPr>
          <w:rFonts w:ascii="宋体" w:hAnsi="宋体" w:cs="宋体" w:eastAsia="宋体" w:hint="default"/>
        </w:rPr>
        <w:t>168.26</w:t>
      </w:r>
      <w:r>
        <w:rPr>
          <w:rFonts w:ascii="宋体" w:hAnsi="宋体" w:cs="宋体" w:eastAsia="宋体" w:hint="default"/>
          <w:spacing w:val="-45"/>
        </w:rPr>
        <w:t> </w:t>
      </w:r>
      <w:r>
        <w:rPr/>
        <w:t>万元；高级管理人员领取的报酬总额为</w:t>
      </w:r>
      <w:r>
        <w:rPr>
          <w:spacing w:val="-42"/>
        </w:rPr>
        <w:t> </w:t>
      </w:r>
      <w:r>
        <w:rPr>
          <w:rFonts w:ascii="宋体" w:hAnsi="宋体" w:cs="宋体" w:eastAsia="宋体" w:hint="default"/>
        </w:rPr>
        <w:t>228.75</w:t>
      </w:r>
      <w:r>
        <w:rPr>
          <w:rFonts w:ascii="宋体" w:hAnsi="宋体" w:cs="宋体" w:eastAsia="宋体" w:hint="default"/>
          <w:spacing w:val="-41"/>
        </w:rPr>
        <w:t> </w:t>
      </w:r>
      <w:r>
        <w:rPr/>
        <w:t>万元。公司</w:t>
      </w:r>
      <w:r>
        <w:rPr>
          <w:spacing w:val="-42"/>
        </w:rPr>
        <w:t> </w:t>
      </w:r>
      <w:r>
        <w:rPr>
          <w:rFonts w:ascii="宋体" w:hAnsi="宋体" w:cs="宋体" w:eastAsia="宋体" w:hint="default"/>
        </w:rPr>
        <w:t>2017</w:t>
      </w:r>
      <w:r>
        <w:rPr>
          <w:rFonts w:ascii="宋体" w:hAnsi="宋体" w:cs="宋体" w:eastAsia="宋体" w:hint="default"/>
          <w:spacing w:val="-44"/>
        </w:rPr>
        <w:t> </w:t>
      </w:r>
      <w:r>
        <w:rPr/>
        <w:t>年度报告中披露的董事、</w:t>
      </w:r>
      <w:r>
        <w:rPr>
          <w:spacing w:val="-103"/>
        </w:rPr>
        <w:t> </w:t>
      </w:r>
      <w:r>
        <w:rPr>
          <w:spacing w:val="-103"/>
        </w:rPr>
      </w:r>
      <w:r>
        <w:rPr/>
        <w:t>监事和高级管理人员的薪酬真实、准确。</w:t>
      </w:r>
    </w:p>
    <w:p>
      <w:pPr>
        <w:pStyle w:val="BodyText"/>
        <w:spacing w:line="240" w:lineRule="auto" w:before="30"/>
        <w:ind w:left="558" w:right="101"/>
        <w:jc w:val="left"/>
      </w:pPr>
      <w:r>
        <w:rPr>
          <w:rFonts w:ascii="宋体" w:hAnsi="宋体" w:cs="宋体" w:eastAsia="宋体" w:hint="default"/>
        </w:rPr>
        <w:t>3</w:t>
      </w:r>
      <w:r>
        <w:rPr/>
        <w:t>、董事会下设的提名委员会履职情况汇总报告</w:t>
      </w:r>
    </w:p>
    <w:p>
      <w:pPr>
        <w:pStyle w:val="BodyText"/>
        <w:spacing w:line="357" w:lineRule="auto" w:before="135"/>
        <w:ind w:left="138" w:right="208" w:firstLine="419"/>
        <w:jc w:val="both"/>
      </w:pPr>
      <w:r>
        <w:rPr>
          <w:spacing w:val="-4"/>
        </w:rPr>
        <w:t>（</w:t>
      </w:r>
      <w:r>
        <w:rPr>
          <w:rFonts w:ascii="宋体" w:hAnsi="宋体" w:cs="宋体" w:eastAsia="宋体" w:hint="default"/>
          <w:spacing w:val="-4"/>
        </w:rPr>
        <w:t>1</w:t>
      </w:r>
      <w:r>
        <w:rPr>
          <w:spacing w:val="-4"/>
        </w:rPr>
        <w:t>）根据中国证监会《在上市公司建立独立董事制度的指导意见》、《董事会提名委员会工</w:t>
      </w:r>
      <w:r>
        <w:rPr>
          <w:w w:val="100"/>
        </w:rPr>
        <w:t> </w:t>
      </w:r>
      <w:r>
        <w:rPr>
          <w:spacing w:val="-2"/>
        </w:rPr>
        <w:t>作细则》和《公司章程》的有关规定，就公司董事会换届提名第六届董事会候选董事（其中董事</w:t>
      </w:r>
      <w:r>
        <w:rPr>
          <w:spacing w:val="-25"/>
        </w:rPr>
        <w:t> </w:t>
      </w:r>
      <w:r>
        <w:rPr>
          <w:spacing w:val="-25"/>
        </w:rPr>
      </w:r>
      <w:r>
        <w:rPr>
          <w:spacing w:val="-2"/>
        </w:rPr>
        <w:t>候选人五人，独立董事候选人三人）事项发表如下意见，我们认为：本次提名是在充分了解被提</w:t>
      </w:r>
      <w:r>
        <w:rPr>
          <w:spacing w:val="-25"/>
        </w:rPr>
        <w:t> </w:t>
      </w:r>
      <w:r>
        <w:rPr>
          <w:spacing w:val="-25"/>
        </w:rPr>
      </w:r>
      <w:r>
        <w:rPr>
          <w:spacing w:val="-2"/>
        </w:rPr>
        <w:t>名人的身份、学历职业、专业素养等情况的基础上进行的，被提名人具备担任相应职务的资格和</w:t>
      </w:r>
      <w:r>
        <w:rPr>
          <w:spacing w:val="-25"/>
        </w:rPr>
        <w:t> </w:t>
      </w:r>
      <w:r>
        <w:rPr>
          <w:spacing w:val="-25"/>
        </w:rPr>
      </w:r>
      <w:r>
        <w:rPr>
          <w:spacing w:val="-2"/>
        </w:rPr>
        <w:t>能力。未发现其中有《公司法》规定不得担任公司董事的情形，亦未有被中国证监会确定为市场</w:t>
      </w:r>
      <w:r>
        <w:rPr>
          <w:spacing w:val="-25"/>
        </w:rPr>
        <w:t> </w:t>
      </w:r>
      <w:r>
        <w:rPr>
          <w:spacing w:val="-25"/>
        </w:rPr>
      </w:r>
      <w:r>
        <w:rPr>
          <w:spacing w:val="-6"/>
        </w:rPr>
        <w:t>禁入者且禁入尚未解除的现象，董事会候选人的任职资格符合担任上市公司董事的条件，符合《公</w:t>
      </w:r>
      <w:r>
        <w:rPr>
          <w:spacing w:val="-54"/>
        </w:rPr>
        <w:t> </w:t>
      </w:r>
      <w:r>
        <w:rPr>
          <w:spacing w:val="-54"/>
        </w:rPr>
      </w:r>
      <w:r>
        <w:rPr>
          <w:spacing w:val="-2"/>
        </w:rPr>
        <w:t>司法》、《公司章程》的有关规定，我们一致同意第六届董事会候选人的提名，并同意将上述人</w:t>
      </w:r>
      <w:r>
        <w:rPr>
          <w:spacing w:val="-26"/>
        </w:rPr>
        <w:t> </w:t>
      </w:r>
      <w:r>
        <w:rPr>
          <w:spacing w:val="-26"/>
        </w:rPr>
      </w:r>
      <w:r>
        <w:rPr/>
        <w:t>员及其任职提交董事会审议。</w:t>
      </w:r>
    </w:p>
    <w:p>
      <w:pPr>
        <w:pStyle w:val="BodyText"/>
        <w:spacing w:line="357" w:lineRule="auto" w:before="30"/>
        <w:ind w:left="138" w:right="207" w:firstLine="419"/>
        <w:jc w:val="both"/>
      </w:pPr>
      <w:r>
        <w:rPr>
          <w:spacing w:val="-4"/>
        </w:rPr>
        <w:t>（</w:t>
      </w:r>
      <w:r>
        <w:rPr>
          <w:rFonts w:ascii="宋体" w:hAnsi="宋体" w:cs="宋体" w:eastAsia="宋体" w:hint="default"/>
          <w:spacing w:val="-4"/>
        </w:rPr>
        <w:t>2</w:t>
      </w:r>
      <w:r>
        <w:rPr>
          <w:spacing w:val="-4"/>
        </w:rPr>
        <w:t>）根据中国证监会《在上市公司建立独立董事制度的指导意见》、《董事会提名委员会工</w:t>
      </w:r>
      <w:r>
        <w:rPr>
          <w:w w:val="100"/>
        </w:rPr>
        <w:t> </w:t>
      </w:r>
      <w:r>
        <w:rPr>
          <w:spacing w:val="-2"/>
        </w:rPr>
        <w:t>作细则》和《公司章程》的有关规定，就公司提名李结义先生为公司总裁；徐岷波先生为公司高</w:t>
      </w:r>
      <w:r>
        <w:rPr>
          <w:spacing w:val="-25"/>
        </w:rPr>
        <w:t> </w:t>
      </w:r>
      <w:r>
        <w:rPr>
          <w:spacing w:val="-25"/>
        </w:rPr>
      </w:r>
      <w:r>
        <w:rPr>
          <w:spacing w:val="-4"/>
        </w:rPr>
        <w:t>级副总裁；周永洪为公司财务负责人（以下简称为被提名人）事项发表如下意见</w:t>
      </w:r>
      <w:r>
        <w:rPr>
          <w:rFonts w:ascii="宋体" w:hAnsi="宋体" w:cs="宋体" w:eastAsia="宋体" w:hint="default"/>
          <w:spacing w:val="-4"/>
        </w:rPr>
        <w:t>,</w:t>
      </w:r>
      <w:r>
        <w:rPr>
          <w:spacing w:val="-4"/>
        </w:rPr>
        <w:t>我们认为：本次</w:t>
      </w:r>
      <w:r>
        <w:rPr>
          <w:spacing w:val="-32"/>
        </w:rPr>
        <w:t> </w:t>
      </w:r>
      <w:r>
        <w:rPr>
          <w:spacing w:val="-32"/>
        </w:rPr>
      </w:r>
      <w:r>
        <w:rPr>
          <w:spacing w:val="-2"/>
        </w:rPr>
        <w:t>提名是在充分了解被提名人的身份、学历职业、专业素养等情况的基础上进行的，被提名人具备</w:t>
      </w:r>
      <w:r>
        <w:rPr>
          <w:spacing w:val="-25"/>
        </w:rPr>
        <w:t> </w:t>
      </w:r>
      <w:r>
        <w:rPr>
          <w:spacing w:val="-25"/>
        </w:rPr>
      </w:r>
      <w:r>
        <w:rPr>
          <w:spacing w:val="-2"/>
        </w:rPr>
        <w:t>担任相应职务的资格和能力。我们一致同意第六届董事会提名委员会关于上述提名的审核意见，</w:t>
      </w:r>
      <w:r>
        <w:rPr>
          <w:spacing w:val="-25"/>
        </w:rPr>
        <w:t> </w:t>
      </w:r>
      <w:r>
        <w:rPr>
          <w:spacing w:val="-25"/>
        </w:rPr>
      </w:r>
      <w:r>
        <w:rPr/>
        <w:t>并同意将上述人员及其任职提交董事会审议。</w:t>
      </w:r>
    </w:p>
    <w:p>
      <w:pPr>
        <w:spacing w:after="0" w:line="357" w:lineRule="auto"/>
        <w:jc w:val="both"/>
        <w:sectPr>
          <w:footerReference w:type="default" r:id="rId25"/>
          <w:pgSz w:w="11910" w:h="16840"/>
          <w:pgMar w:footer="1195" w:header="877" w:top="1100" w:bottom="1380" w:left="1660" w:right="1060"/>
          <w:pgNumType w:start="46"/>
        </w:sectPr>
      </w:pPr>
    </w:p>
    <w:p>
      <w:pPr>
        <w:spacing w:line="240" w:lineRule="auto" w:before="9"/>
        <w:rPr>
          <w:rFonts w:ascii="宋体" w:hAnsi="宋体" w:cs="宋体" w:eastAsia="宋体" w:hint="default"/>
          <w:sz w:val="25"/>
          <w:szCs w:val="25"/>
        </w:rPr>
      </w:pPr>
    </w:p>
    <w:p>
      <w:pPr>
        <w:pStyle w:val="BodyText"/>
        <w:spacing w:line="357" w:lineRule="auto" w:before="36"/>
        <w:ind w:left="138" w:right="108" w:firstLine="419"/>
        <w:jc w:val="both"/>
      </w:pPr>
      <w:r>
        <w:rPr>
          <w:spacing w:val="-4"/>
        </w:rPr>
        <w:t>（</w:t>
      </w:r>
      <w:r>
        <w:rPr>
          <w:rFonts w:ascii="宋体" w:hAnsi="宋体" w:cs="宋体" w:eastAsia="宋体" w:hint="default"/>
          <w:spacing w:val="-4"/>
        </w:rPr>
        <w:t>3</w:t>
      </w:r>
      <w:r>
        <w:rPr>
          <w:spacing w:val="-4"/>
        </w:rPr>
        <w:t>）根据中国证监会《在上市公司建立独立董事制度的指导意见》、《董事会提名委员会工</w:t>
      </w:r>
      <w:r>
        <w:rPr>
          <w:w w:val="100"/>
        </w:rPr>
        <w:t> </w:t>
      </w:r>
      <w:r>
        <w:rPr>
          <w:spacing w:val="-2"/>
        </w:rPr>
        <w:t>作细则》和《公司章程》的有关规定，就公司董事长赵剑提名董事会秘书候选人姚震的事项发表</w:t>
      </w:r>
      <w:r>
        <w:rPr>
          <w:spacing w:val="-25"/>
        </w:rPr>
        <w:t> </w:t>
      </w:r>
      <w:r>
        <w:rPr>
          <w:spacing w:val="-25"/>
        </w:rPr>
      </w:r>
      <w:r>
        <w:rPr>
          <w:spacing w:val="-2"/>
        </w:rPr>
        <w:t>如下意见，我们认为：本次提名是在充分了解被提名人的身份、学历职业、专业素养等情况的基</w:t>
      </w:r>
      <w:r>
        <w:rPr>
          <w:spacing w:val="-25"/>
        </w:rPr>
        <w:t> </w:t>
      </w:r>
      <w:r>
        <w:rPr>
          <w:spacing w:val="-25"/>
        </w:rPr>
      </w:r>
      <w:r>
        <w:rPr>
          <w:spacing w:val="-2"/>
        </w:rPr>
        <w:t>础上进行的，被提名人具备担任相应职务的资格和能力。未发现有《公司法》、《上海证券交易</w:t>
      </w:r>
      <w:r>
        <w:rPr>
          <w:spacing w:val="-25"/>
        </w:rPr>
        <w:t> </w:t>
      </w:r>
      <w:r>
        <w:rPr>
          <w:spacing w:val="-25"/>
        </w:rPr>
      </w:r>
      <w:r>
        <w:rPr>
          <w:spacing w:val="-6"/>
        </w:rPr>
        <w:t>所股票上市规则》、《上海证券交易所上市公司董事会秘书管理办法》等法律法规和《公司章程》</w:t>
      </w:r>
      <w:r>
        <w:rPr>
          <w:spacing w:val="-53"/>
        </w:rPr>
        <w:t> </w:t>
      </w:r>
      <w:r>
        <w:rPr>
          <w:spacing w:val="-53"/>
        </w:rPr>
      </w:r>
      <w:r>
        <w:rPr>
          <w:spacing w:val="-2"/>
        </w:rPr>
        <w:t>规定的不得担任公司董事会秘书的情形；不存在被中国证监会确定为市场禁入者且尚未解除的情</w:t>
      </w:r>
      <w:r>
        <w:rPr>
          <w:spacing w:val="-25"/>
        </w:rPr>
        <w:t> </w:t>
      </w:r>
      <w:r>
        <w:rPr>
          <w:spacing w:val="-25"/>
        </w:rPr>
      </w:r>
      <w:r>
        <w:rPr>
          <w:spacing w:val="-2"/>
        </w:rPr>
        <w:t>形，亦不存在被上海证券交易所公开认定为不适合担任上市公司董事会秘书的情形。我们一致同</w:t>
      </w:r>
      <w:r>
        <w:rPr>
          <w:spacing w:val="-26"/>
        </w:rPr>
        <w:t> </w:t>
      </w:r>
      <w:r>
        <w:rPr>
          <w:spacing w:val="-26"/>
        </w:rPr>
      </w:r>
      <w:r>
        <w:rPr/>
        <w:t>意董事会秘书候选人的提名，并同意将其任职提交董事会审议。</w:t>
      </w:r>
    </w:p>
    <w:p>
      <w:pPr>
        <w:pStyle w:val="Heading2"/>
        <w:tabs>
          <w:tab w:pos="977" w:val="left" w:leader="none"/>
        </w:tabs>
        <w:spacing w:line="240" w:lineRule="auto" w:before="84"/>
        <w:ind w:left="138" w:right="1055"/>
        <w:jc w:val="left"/>
        <w:rPr>
          <w:b w:val="0"/>
          <w:bCs w:val="0"/>
        </w:rPr>
      </w:pPr>
      <w:r>
        <w:rPr/>
        <w:t>五、</w:t>
        <w:tab/>
        <w:t>监事会发现公司存在风险的说明</w:t>
      </w:r>
      <w:r>
        <w:rPr>
          <w:b w:val="0"/>
          <w:bCs w:val="0"/>
        </w:rPr>
      </w:r>
    </w:p>
    <w:p>
      <w:pPr>
        <w:pStyle w:val="BodyText"/>
        <w:spacing w:line="240" w:lineRule="auto" w:before="64"/>
        <w:ind w:left="138" w:right="1055"/>
        <w:jc w:val="left"/>
      </w:pPr>
      <w:r>
        <w:rPr/>
        <w:t>□适用</w:t>
      </w:r>
      <w:r>
        <w:rPr>
          <w:spacing w:val="-1"/>
        </w:rPr>
        <w:t> </w:t>
      </w:r>
      <w:r>
        <w:rPr/>
        <w:t>√不适用</w:t>
      </w:r>
    </w:p>
    <w:p>
      <w:pPr>
        <w:pStyle w:val="Heading2"/>
        <w:tabs>
          <w:tab w:pos="977" w:val="left" w:leader="none"/>
        </w:tabs>
        <w:spacing w:line="312" w:lineRule="exact" w:before="81"/>
        <w:ind w:left="562" w:right="114" w:hanging="425"/>
        <w:jc w:val="left"/>
        <w:rPr>
          <w:b w:val="0"/>
          <w:bCs w:val="0"/>
        </w:rPr>
      </w:pPr>
      <w:r>
        <w:rPr/>
        <w:t>六、</w:t>
        <w:tab/>
        <w:t>公司就其与控股股东在业务、人员、资产、机构、财务等方面存在的不能保</w:t>
      </w:r>
      <w:r>
        <w:rPr>
          <w:spacing w:val="-93"/>
        </w:rPr>
        <w:t> </w:t>
      </w:r>
      <w:r>
        <w:rPr>
          <w:spacing w:val="-93"/>
        </w:rPr>
      </w:r>
      <w:r>
        <w:rPr/>
        <w:t>证独立性、不能保持自主经营能力的情况说明</w:t>
      </w:r>
      <w:r>
        <w:rPr>
          <w:b w:val="0"/>
          <w:bCs w:val="0"/>
        </w:rPr>
      </w:r>
    </w:p>
    <w:p>
      <w:pPr>
        <w:pStyle w:val="BodyText"/>
        <w:tabs>
          <w:tab w:pos="980" w:val="left" w:leader="none"/>
        </w:tabs>
        <w:spacing w:line="272" w:lineRule="exact" w:before="63"/>
        <w:ind w:left="138" w:right="2849"/>
        <w:jc w:val="left"/>
      </w:pPr>
      <w:r>
        <w:rPr>
          <w:spacing w:val="-1"/>
        </w:rPr>
        <w:t>□适用</w:t>
        <w:tab/>
      </w:r>
      <w:r>
        <w:rPr>
          <w:spacing w:val="-2"/>
        </w:rPr>
        <w:t>√不适用</w:t>
      </w:r>
      <w:r>
        <w:rPr>
          <w:spacing w:val="-99"/>
        </w:rPr>
        <w:t> </w:t>
      </w:r>
      <w:r>
        <w:rPr>
          <w:spacing w:val="-99"/>
        </w:rPr>
      </w:r>
      <w:r>
        <w:rPr>
          <w:spacing w:val="-2"/>
        </w:rPr>
        <w:t>存在同业竞争的，公司相应的解决措施、工作进度及后续工作计划</w:t>
      </w:r>
    </w:p>
    <w:p>
      <w:pPr>
        <w:pStyle w:val="BodyText"/>
        <w:tabs>
          <w:tab w:pos="980" w:val="left" w:leader="none"/>
        </w:tabs>
        <w:spacing w:line="249" w:lineRule="exact"/>
        <w:ind w:left="138" w:right="1055"/>
        <w:jc w:val="left"/>
      </w:pPr>
      <w:r>
        <w:rPr>
          <w:spacing w:val="-1"/>
        </w:rPr>
        <w:t>□适用</w:t>
        <w:tab/>
      </w:r>
      <w:r>
        <w:rPr>
          <w:spacing w:val="-2"/>
        </w:rPr>
        <w:t>√不适用</w:t>
      </w:r>
    </w:p>
    <w:p>
      <w:pPr>
        <w:pStyle w:val="Heading2"/>
        <w:tabs>
          <w:tab w:pos="977" w:val="left" w:leader="none"/>
        </w:tabs>
        <w:spacing w:line="240" w:lineRule="auto" w:before="50"/>
        <w:ind w:left="138" w:right="0"/>
        <w:jc w:val="left"/>
        <w:rPr>
          <w:b w:val="0"/>
          <w:bCs w:val="0"/>
        </w:rPr>
      </w:pPr>
      <w:r>
        <w:rPr/>
        <w:t>七、</w:t>
        <w:tab/>
        <w:t>报告期内对高级管理人员的考评机制，以及激励机制的建立、实施情况</w:t>
      </w:r>
      <w:r>
        <w:rPr>
          <w:b w:val="0"/>
          <w:bCs w:val="0"/>
        </w:rPr>
      </w:r>
    </w:p>
    <w:p>
      <w:pPr>
        <w:pStyle w:val="BodyText"/>
        <w:tabs>
          <w:tab w:pos="980" w:val="left" w:leader="none"/>
        </w:tabs>
        <w:spacing w:line="272" w:lineRule="exact" w:before="92"/>
        <w:ind w:left="558" w:right="163" w:hanging="420"/>
        <w:jc w:val="left"/>
      </w:pPr>
      <w:r>
        <w:rPr>
          <w:spacing w:val="-1"/>
        </w:rPr>
        <w:t>√适用</w:t>
        <w:tab/>
      </w:r>
      <w:r>
        <w:rPr>
          <w:spacing w:val="-2"/>
        </w:rPr>
        <w:t>□不适用</w:t>
      </w:r>
      <w:r>
        <w:rPr>
          <w:spacing w:val="-99"/>
        </w:rPr>
        <w:t> </w:t>
      </w:r>
      <w:r>
        <w:rPr>
          <w:spacing w:val="-99"/>
        </w:rPr>
      </w:r>
      <w:r>
        <w:rPr>
          <w:spacing w:val="-2"/>
        </w:rPr>
        <w:t>公司制定了《深圳市金证科技股份有限公司董事、监事及高级管理人员薪酬管理制度》，年</w:t>
      </w:r>
    </w:p>
    <w:p>
      <w:pPr>
        <w:pStyle w:val="BodyText"/>
        <w:spacing w:line="357" w:lineRule="auto" w:before="108"/>
        <w:ind w:left="138" w:right="0"/>
        <w:jc w:val="left"/>
      </w:pPr>
      <w:r>
        <w:rPr>
          <w:spacing w:val="-2"/>
        </w:rPr>
        <w:t>初时根据公司总体发展战略和年度经营目标确定各位高管人员的年度经营业绩考核综合指标或管</w:t>
      </w:r>
      <w:r>
        <w:rPr>
          <w:spacing w:val="-26"/>
        </w:rPr>
        <w:t> </w:t>
      </w:r>
      <w:r>
        <w:rPr>
          <w:spacing w:val="-26"/>
        </w:rPr>
      </w:r>
      <w:r>
        <w:rPr/>
        <w:t>理职责，年末根据各高管人员的经营业绩综合指标进行考核。</w:t>
      </w:r>
    </w:p>
    <w:p>
      <w:pPr>
        <w:pStyle w:val="Heading2"/>
        <w:tabs>
          <w:tab w:pos="977" w:val="left" w:leader="none"/>
        </w:tabs>
        <w:spacing w:line="240" w:lineRule="auto" w:before="84"/>
        <w:ind w:left="138" w:right="1055"/>
        <w:jc w:val="left"/>
        <w:rPr>
          <w:b w:val="0"/>
          <w:bCs w:val="0"/>
        </w:rPr>
      </w:pPr>
      <w:r>
        <w:rPr/>
        <w:t>八、</w:t>
        <w:tab/>
        <w:t>是否披露内部控制自我评价报告</w:t>
      </w:r>
      <w:r>
        <w:rPr>
          <w:b w:val="0"/>
          <w:bCs w:val="0"/>
        </w:rPr>
      </w:r>
    </w:p>
    <w:p>
      <w:pPr>
        <w:pStyle w:val="BodyText"/>
        <w:spacing w:line="273" w:lineRule="exact" w:before="64"/>
        <w:ind w:left="138" w:right="1055"/>
        <w:jc w:val="left"/>
      </w:pPr>
      <w:r>
        <w:rPr/>
        <w:t>√适用</w:t>
      </w:r>
      <w:r>
        <w:rPr>
          <w:spacing w:val="-1"/>
        </w:rPr>
        <w:t> </w:t>
      </w:r>
      <w:r>
        <w:rPr/>
        <w:t>□不适用</w:t>
      </w:r>
    </w:p>
    <w:p>
      <w:pPr>
        <w:pStyle w:val="BodyText"/>
        <w:spacing w:line="357" w:lineRule="auto"/>
        <w:ind w:left="138" w:right="0" w:firstLine="419"/>
        <w:jc w:val="left"/>
      </w:pPr>
      <w:r>
        <w:rPr/>
        <w:t>《深圳市金证科技股份有限公司</w:t>
      </w:r>
      <w:r>
        <w:rPr>
          <w:spacing w:val="-54"/>
        </w:rPr>
        <w:t> </w:t>
      </w:r>
      <w:r>
        <w:rPr>
          <w:rFonts w:ascii="宋体" w:hAnsi="宋体" w:cs="宋体" w:eastAsia="宋体" w:hint="default"/>
        </w:rPr>
        <w:t>2017</w:t>
      </w:r>
      <w:r>
        <w:rPr>
          <w:rFonts w:ascii="宋体" w:hAnsi="宋体" w:cs="宋体" w:eastAsia="宋体" w:hint="default"/>
          <w:spacing w:val="-54"/>
        </w:rPr>
        <w:t> </w:t>
      </w:r>
      <w:r>
        <w:rPr/>
        <w:t>年度内部控制评价报告》全文请查阅</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spacing w:val="-3"/>
        </w:rPr>
        <w:t>20</w:t>
      </w:r>
      <w:r>
        <w:rPr>
          <w:rFonts w:ascii="宋体" w:hAnsi="宋体" w:cs="宋体" w:eastAsia="宋体" w:hint="default"/>
          <w:spacing w:val="-3"/>
          <w:w w:val="100"/>
        </w:rPr>
        <w:t> </w:t>
      </w:r>
      <w:r>
        <w:rPr>
          <w:spacing w:val="-5"/>
        </w:rPr>
        <w:t>日《中国证券报》、《上海证券报》、《证券时报》和上海证券交易所网站</w:t>
      </w:r>
      <w:r>
        <w:rPr>
          <w:spacing w:val="-30"/>
        </w:rPr>
        <w:t> </w:t>
      </w:r>
      <w:hyperlink r:id="rId10">
        <w:r>
          <w:rPr>
            <w:rFonts w:ascii="宋体" w:hAnsi="宋体" w:cs="宋体" w:eastAsia="宋体" w:hint="default"/>
          </w:rPr>
          <w:t>www.sse.com.cn</w:t>
        </w:r>
      </w:hyperlink>
      <w:r>
        <w:rPr>
          <w:rFonts w:ascii="宋体" w:hAnsi="宋体" w:cs="宋体" w:eastAsia="宋体" w:hint="default"/>
          <w:spacing w:val="-30"/>
        </w:rPr>
        <w:t> </w:t>
      </w:r>
      <w:r>
        <w:rPr/>
        <w:t>刊登</w:t>
      </w:r>
      <w:r>
        <w:rPr>
          <w:spacing w:val="-93"/>
        </w:rPr>
        <w:t> </w:t>
      </w:r>
      <w:r>
        <w:rPr/>
        <w:t>的相关公告。</w:t>
      </w:r>
    </w:p>
    <w:p>
      <w:pPr>
        <w:pStyle w:val="BodyText"/>
        <w:spacing w:line="273" w:lineRule="exact" w:before="30"/>
        <w:ind w:left="138" w:right="1055"/>
        <w:jc w:val="left"/>
      </w:pPr>
      <w:r>
        <w:rPr/>
        <w:t>报告期内部控制存在重大缺陷情况的说明</w:t>
      </w:r>
    </w:p>
    <w:p>
      <w:pPr>
        <w:pStyle w:val="BodyText"/>
        <w:spacing w:line="273" w:lineRule="exact"/>
        <w:ind w:left="138" w:right="1055"/>
        <w:jc w:val="left"/>
      </w:pPr>
      <w:r>
        <w:rPr/>
        <w:t>□适用</w:t>
      </w:r>
      <w:r>
        <w:rPr>
          <w:spacing w:val="-1"/>
        </w:rPr>
        <w:t> </w:t>
      </w:r>
      <w:r>
        <w:rPr/>
        <w:t>√不适用</w:t>
      </w:r>
    </w:p>
    <w:p>
      <w:pPr>
        <w:pStyle w:val="Heading2"/>
        <w:tabs>
          <w:tab w:pos="977" w:val="left" w:leader="none"/>
        </w:tabs>
        <w:spacing w:line="240" w:lineRule="auto" w:before="52"/>
        <w:ind w:left="138" w:right="1055"/>
        <w:jc w:val="left"/>
        <w:rPr>
          <w:b w:val="0"/>
          <w:bCs w:val="0"/>
        </w:rPr>
      </w:pPr>
      <w:r>
        <w:rPr/>
        <w:t>九、</w:t>
        <w:tab/>
        <w:t>内部控制审计报告的相关情况说明</w:t>
      </w:r>
      <w:r>
        <w:rPr>
          <w:b w:val="0"/>
          <w:bCs w:val="0"/>
        </w:rPr>
      </w:r>
    </w:p>
    <w:p>
      <w:pPr>
        <w:pStyle w:val="BodyText"/>
        <w:tabs>
          <w:tab w:pos="980" w:val="left" w:leader="none"/>
        </w:tabs>
        <w:spacing w:line="240" w:lineRule="auto" w:before="61"/>
        <w:ind w:left="558" w:right="114" w:hanging="420"/>
        <w:jc w:val="left"/>
      </w:pPr>
      <w:r>
        <w:rPr>
          <w:spacing w:val="-1"/>
        </w:rPr>
        <w:t>√适用</w:t>
        <w:tab/>
      </w:r>
      <w:r>
        <w:rPr>
          <w:spacing w:val="-2"/>
        </w:rPr>
        <w:t>□不适用</w:t>
      </w:r>
      <w:r>
        <w:rPr>
          <w:spacing w:val="-99"/>
        </w:rPr>
        <w:t> </w:t>
      </w:r>
      <w:r>
        <w:rPr>
          <w:spacing w:val="-99"/>
        </w:rPr>
      </w:r>
      <w:r>
        <w:rPr>
          <w:spacing w:val="-7"/>
          <w:w w:val="100"/>
        </w:rPr>
        <w:t>公司聘请大华会计师事务所（特殊普通合伙）对公司财务报告相关内部控制有效性进行审计，</w:t>
      </w:r>
    </w:p>
    <w:p>
      <w:pPr>
        <w:pStyle w:val="BodyText"/>
        <w:spacing w:line="240" w:lineRule="auto" w:before="133"/>
        <w:ind w:left="138" w:right="0"/>
        <w:jc w:val="left"/>
      </w:pPr>
      <w:r>
        <w:rPr/>
        <w:t>并出具审计报告。内部控制审计报告请查阅</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日《中国证券报》、《上海证券报》</w:t>
      </w:r>
    </w:p>
    <w:p>
      <w:pPr>
        <w:pStyle w:val="BodyText"/>
        <w:spacing w:line="355" w:lineRule="auto" w:before="133"/>
        <w:ind w:left="138" w:right="2322"/>
        <w:jc w:val="left"/>
      </w:pPr>
      <w:r>
        <w:rPr/>
        <w:t>《证券时报》和上海证券交易所网站</w:t>
      </w:r>
      <w:r>
        <w:rPr>
          <w:spacing w:val="-57"/>
        </w:rPr>
        <w:t> </w:t>
      </w:r>
      <w:hyperlink r:id="rId10">
        <w:r>
          <w:rPr>
            <w:rFonts w:ascii="宋体" w:hAnsi="宋体" w:cs="宋体" w:eastAsia="宋体" w:hint="default"/>
          </w:rPr>
          <w:t>www.sse.com.cn</w:t>
        </w:r>
      </w:hyperlink>
      <w:r>
        <w:rPr>
          <w:rFonts w:ascii="宋体" w:hAnsi="宋体" w:cs="宋体" w:eastAsia="宋体" w:hint="default"/>
          <w:spacing w:val="-57"/>
        </w:rPr>
        <w:t> </w:t>
      </w:r>
      <w:r>
        <w:rPr/>
        <w:t>刊登的相关公告。</w:t>
      </w:r>
      <w:r>
        <w:rPr>
          <w:w w:val="100"/>
        </w:rPr>
        <w:t> </w:t>
      </w:r>
      <w:r>
        <w:rPr/>
        <w:t>是否披露内部控制审计报告：是</w:t>
      </w:r>
    </w:p>
    <w:p>
      <w:pPr>
        <w:pStyle w:val="Heading2"/>
        <w:tabs>
          <w:tab w:pos="977" w:val="left" w:leader="none"/>
        </w:tabs>
        <w:spacing w:line="266" w:lineRule="exact" w:before="0"/>
        <w:ind w:left="138" w:right="1055"/>
        <w:jc w:val="left"/>
        <w:rPr>
          <w:b w:val="0"/>
          <w:bCs w:val="0"/>
        </w:rPr>
      </w:pPr>
      <w:r>
        <w:rPr/>
        <w:t>十、</w:t>
        <w:tab/>
        <w:t>其他</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spacing w:after="0" w:line="240" w:lineRule="auto"/>
        <w:jc w:val="left"/>
        <w:sectPr>
          <w:pgSz w:w="11910" w:h="16840"/>
          <w:pgMar w:header="877" w:footer="1195" w:top="1100" w:bottom="1380" w:left="1660" w:right="1160"/>
        </w:sectPr>
      </w:pPr>
    </w:p>
    <w:p>
      <w:pPr>
        <w:spacing w:line="240" w:lineRule="auto" w:before="3"/>
        <w:rPr>
          <w:rFonts w:ascii="宋体" w:hAnsi="宋体" w:cs="宋体" w:eastAsia="宋体" w:hint="default"/>
          <w:sz w:val="26"/>
          <w:szCs w:val="26"/>
        </w:rPr>
      </w:pPr>
    </w:p>
    <w:p>
      <w:pPr>
        <w:pStyle w:val="Heading1"/>
        <w:tabs>
          <w:tab w:pos="4140" w:val="left" w:leader="none"/>
        </w:tabs>
        <w:spacing w:line="240" w:lineRule="auto"/>
        <w:ind w:left="288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860"/>
        </w:sectPr>
      </w:pPr>
    </w:p>
    <w:p>
      <w:pPr>
        <w:pStyle w:val="BodyText"/>
        <w:spacing w:line="240" w:lineRule="auto" w:before="36"/>
        <w:ind w:right="0"/>
        <w:jc w:val="left"/>
      </w:pPr>
      <w:r>
        <w:rPr/>
        <w:t>√适用</w:t>
      </w:r>
      <w:r>
        <w:rPr>
          <w:spacing w:val="-1"/>
        </w:rPr>
        <w:t> </w:t>
      </w:r>
      <w:r>
        <w:rPr/>
        <w:t>□不适用</w:t>
      </w:r>
    </w:p>
    <w:p>
      <w:pPr>
        <w:pStyle w:val="Heading2"/>
        <w:spacing w:line="240" w:lineRule="auto" w:before="52"/>
        <w:ind w:right="0"/>
        <w:jc w:val="left"/>
        <w:rPr>
          <w:b w:val="0"/>
          <w:bCs w:val="0"/>
        </w:rPr>
      </w:pPr>
      <w:r>
        <w:rPr>
          <w:w w:val="95"/>
        </w:rPr>
        <w:t>一、公司债券基本情况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860"/>
          <w:cols w:num="2" w:equalWidth="0">
            <w:col w:w="2627" w:space="4106"/>
            <w:col w:w="273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708"/>
        <w:gridCol w:w="852"/>
        <w:gridCol w:w="850"/>
        <w:gridCol w:w="852"/>
        <w:gridCol w:w="850"/>
        <w:gridCol w:w="709"/>
        <w:gridCol w:w="1135"/>
        <w:gridCol w:w="898"/>
      </w:tblGrid>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3"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债券余</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还本付息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方式</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交易场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所</w:t>
            </w:r>
          </w:p>
        </w:tc>
      </w:tr>
      <w:tr>
        <w:trPr>
          <w:trHeight w:val="1099"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深圳市金证科技股份有</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74"/>
                <w:sz w:val="21"/>
                <w:szCs w:val="21"/>
              </w:rPr>
              <w:t> </w:t>
            </w:r>
            <w:r>
              <w:rPr>
                <w:rFonts w:ascii="宋体" w:hAnsi="宋体" w:cs="宋体" w:eastAsia="宋体" w:hint="default"/>
                <w:sz w:val="21"/>
                <w:szCs w:val="21"/>
              </w:rPr>
              <w:t>2017</w:t>
            </w:r>
            <w:r>
              <w:rPr>
                <w:rFonts w:ascii="宋体" w:hAnsi="宋体" w:cs="宋体" w:eastAsia="宋体" w:hint="default"/>
                <w:spacing w:val="-77"/>
                <w:sz w:val="21"/>
                <w:szCs w:val="21"/>
              </w:rPr>
              <w:t> </w:t>
            </w:r>
            <w:r>
              <w:rPr>
                <w:rFonts w:ascii="宋体" w:hAnsi="宋体" w:cs="宋体" w:eastAsia="宋体" w:hint="default"/>
                <w:sz w:val="21"/>
                <w:szCs w:val="21"/>
              </w:rPr>
              <w:t>年公开发行</w:t>
            </w:r>
            <w:r>
              <w:rPr>
                <w:rFonts w:ascii="宋体" w:hAnsi="宋体" w:cs="宋体" w:eastAsia="宋体" w:hint="default"/>
                <w:w w:val="100"/>
                <w:sz w:val="21"/>
                <w:szCs w:val="21"/>
              </w:rPr>
              <w:t> </w:t>
            </w:r>
            <w:r>
              <w:rPr>
                <w:rFonts w:ascii="宋体" w:hAnsi="宋体" w:cs="宋体" w:eastAsia="宋体" w:hint="default"/>
                <w:sz w:val="21"/>
                <w:szCs w:val="21"/>
              </w:rPr>
              <w:t>公司债券（面向合格投</w:t>
            </w:r>
            <w:r>
              <w:rPr>
                <w:rFonts w:ascii="宋体" w:hAnsi="宋体" w:cs="宋体" w:eastAsia="宋体" w:hint="default"/>
                <w:w w:val="100"/>
                <w:sz w:val="21"/>
                <w:szCs w:val="21"/>
              </w:rPr>
              <w:t> </w:t>
            </w:r>
            <w:r>
              <w:rPr>
                <w:rFonts w:ascii="宋体" w:hAnsi="宋体" w:cs="宋体" w:eastAsia="宋体" w:hint="default"/>
                <w:sz w:val="21"/>
                <w:szCs w:val="21"/>
              </w:rPr>
              <w:t>资者）（第一期）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51"/>
                <w:sz w:val="21"/>
                <w:szCs w:val="21"/>
              </w:rPr>
              <w:t> </w:t>
            </w:r>
            <w:r>
              <w:rPr>
                <w:rFonts w:ascii="宋体" w:hAnsi="宋体" w:cs="宋体" w:eastAsia="宋体" w:hint="default"/>
                <w:sz w:val="21"/>
                <w:szCs w:val="21"/>
              </w:rPr>
              <w:t>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143367</w:t>
            </w:r>
          </w:p>
          <w:p>
            <w:pPr>
              <w:pStyle w:val="TableParagraph"/>
              <w:spacing w:line="274" w:lineRule="exact"/>
              <w:ind w:left="103" w:right="0"/>
              <w:jc w:val="left"/>
              <w:rPr>
                <w:rFonts w:ascii="宋体" w:hAnsi="宋体" w:cs="宋体" w:eastAsia="宋体" w:hint="default"/>
                <w:sz w:val="21"/>
                <w:szCs w:val="21"/>
              </w:rPr>
            </w:pPr>
            <w:r>
              <w:rPr>
                <w:rFonts w:ascii="宋体"/>
                <w:sz w:val="21"/>
              </w:rPr>
              <w:t>.SH</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2017/1</w:t>
            </w:r>
          </w:p>
          <w:p>
            <w:pPr>
              <w:pStyle w:val="TableParagraph"/>
              <w:spacing w:line="274" w:lineRule="exact"/>
              <w:ind w:left="103" w:right="0"/>
              <w:jc w:val="left"/>
              <w:rPr>
                <w:rFonts w:ascii="宋体" w:hAnsi="宋体" w:cs="宋体" w:eastAsia="宋体" w:hint="default"/>
                <w:sz w:val="21"/>
                <w:szCs w:val="21"/>
              </w:rPr>
            </w:pPr>
            <w:r>
              <w:rPr>
                <w:rFonts w:ascii="宋体"/>
                <w:sz w:val="21"/>
              </w:rPr>
              <w:t>1/13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2022/1</w:t>
            </w:r>
          </w:p>
          <w:p>
            <w:pPr>
              <w:pStyle w:val="TableParagraph"/>
              <w:spacing w:line="274" w:lineRule="exact"/>
              <w:ind w:left="103" w:right="0"/>
              <w:jc w:val="left"/>
              <w:rPr>
                <w:rFonts w:ascii="宋体" w:hAnsi="宋体" w:cs="宋体" w:eastAsia="宋体" w:hint="default"/>
                <w:sz w:val="21"/>
                <w:szCs w:val="21"/>
              </w:rPr>
            </w:pPr>
            <w:r>
              <w:rPr>
                <w:rFonts w:ascii="宋体"/>
                <w:sz w:val="21"/>
              </w:rPr>
              <w:t>1/13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350,00</w:t>
            </w:r>
          </w:p>
          <w:p>
            <w:pPr>
              <w:pStyle w:val="TableParagraph"/>
              <w:spacing w:line="274" w:lineRule="exact"/>
              <w:ind w:left="100" w:right="0"/>
              <w:jc w:val="left"/>
              <w:rPr>
                <w:rFonts w:ascii="宋体" w:hAnsi="宋体" w:cs="宋体" w:eastAsia="宋体" w:hint="default"/>
                <w:sz w:val="21"/>
                <w:szCs w:val="21"/>
              </w:rPr>
            </w:pPr>
            <w:r>
              <w:rPr>
                <w:rFonts w:ascii="宋体"/>
                <w:sz w:val="21"/>
              </w:rPr>
              <w:t>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每年付息</w:t>
            </w:r>
          </w:p>
          <w:p>
            <w:pPr>
              <w:pStyle w:val="TableParagraph"/>
              <w:spacing w:line="237" w:lineRule="auto" w:before="2"/>
              <w:ind w:left="103" w:right="177"/>
              <w:jc w:val="both"/>
              <w:rPr>
                <w:rFonts w:ascii="宋体" w:hAnsi="宋体" w:cs="宋体" w:eastAsia="宋体" w:hint="default"/>
                <w:sz w:val="21"/>
                <w:szCs w:val="21"/>
              </w:rPr>
            </w:pPr>
            <w:r>
              <w:rPr>
                <w:rFonts w:ascii="宋体" w:hAnsi="宋体" w:cs="宋体" w:eastAsia="宋体" w:hint="default"/>
                <w:sz w:val="21"/>
                <w:szCs w:val="21"/>
              </w:rPr>
              <w:t>一次，到</w:t>
            </w:r>
            <w:r>
              <w:rPr>
                <w:rFonts w:ascii="宋体" w:hAnsi="宋体" w:cs="宋体" w:eastAsia="宋体" w:hint="default"/>
                <w:w w:val="100"/>
                <w:sz w:val="21"/>
                <w:szCs w:val="21"/>
              </w:rPr>
              <w:t> </w:t>
            </w:r>
            <w:r>
              <w:rPr>
                <w:rFonts w:ascii="宋体" w:hAnsi="宋体" w:cs="宋体" w:eastAsia="宋体" w:hint="default"/>
                <w:sz w:val="21"/>
                <w:szCs w:val="21"/>
              </w:rPr>
              <w:t>期一次性</w:t>
            </w:r>
            <w:r>
              <w:rPr>
                <w:rFonts w:ascii="宋体" w:hAnsi="宋体" w:cs="宋体" w:eastAsia="宋体" w:hint="default"/>
                <w:w w:val="100"/>
                <w:sz w:val="21"/>
                <w:szCs w:val="21"/>
              </w:rPr>
              <w:t> </w:t>
            </w:r>
            <w:r>
              <w:rPr>
                <w:rFonts w:ascii="宋体" w:hAnsi="宋体" w:cs="宋体" w:eastAsia="宋体" w:hint="default"/>
                <w:sz w:val="21"/>
                <w:szCs w:val="21"/>
              </w:rPr>
              <w:t>还本</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72" w:lineRule="exact" w:before="27"/>
              <w:ind w:left="103" w:right="149"/>
              <w:jc w:val="left"/>
              <w:rPr>
                <w:rFonts w:ascii="宋体" w:hAnsi="宋体" w:cs="宋体" w:eastAsia="宋体" w:hint="default"/>
                <w:sz w:val="21"/>
                <w:szCs w:val="21"/>
              </w:rPr>
            </w:pPr>
            <w:r>
              <w:rPr>
                <w:rFonts w:ascii="宋体" w:hAnsi="宋体" w:cs="宋体" w:eastAsia="宋体" w:hint="default"/>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w:t>
            </w:r>
          </w:p>
        </w:tc>
      </w:tr>
    </w:tbl>
    <w:p>
      <w:pPr>
        <w:spacing w:line="240" w:lineRule="auto" w:before="8"/>
        <w:rPr>
          <w:rFonts w:ascii="宋体" w:hAnsi="宋体" w:cs="宋体" w:eastAsia="宋体" w:hint="default"/>
          <w:sz w:val="15"/>
          <w:szCs w:val="15"/>
        </w:rPr>
      </w:pPr>
    </w:p>
    <w:p>
      <w:pPr>
        <w:pStyle w:val="BodyText"/>
        <w:spacing w:line="273" w:lineRule="exact" w:before="36"/>
        <w:ind w:right="0"/>
        <w:jc w:val="left"/>
      </w:pPr>
      <w:r>
        <w:rPr/>
        <w:t>公司债券付息兑付情况</w:t>
      </w:r>
    </w:p>
    <w:p>
      <w:pPr>
        <w:pStyle w:val="BodyText"/>
        <w:tabs>
          <w:tab w:pos="1060" w:val="left" w:leader="none"/>
        </w:tabs>
        <w:spacing w:line="272" w:lineRule="exact"/>
        <w:ind w:right="0"/>
        <w:jc w:val="left"/>
      </w:pPr>
      <w:r>
        <w:rPr>
          <w:spacing w:val="-1"/>
        </w:rPr>
        <w:t>√适用</w:t>
        <w:tab/>
      </w:r>
      <w:r>
        <w:rPr>
          <w:spacing w:val="-2"/>
        </w:rPr>
        <w:t>□不适用</w:t>
      </w:r>
    </w:p>
    <w:p>
      <w:pPr>
        <w:pStyle w:val="BodyText"/>
        <w:spacing w:line="274" w:lineRule="exact"/>
        <w:ind w:right="0"/>
        <w:jc w:val="left"/>
      </w:pPr>
      <w:r>
        <w:rPr/>
        <w:t>报告期内，公司债券“</w:t>
      </w:r>
      <w:r>
        <w:rPr>
          <w:rFonts w:ascii="宋体" w:hAnsi="宋体" w:cs="宋体" w:eastAsia="宋体" w:hint="default"/>
        </w:rPr>
        <w:t>17</w:t>
      </w:r>
      <w:r>
        <w:rPr>
          <w:rFonts w:ascii="宋体" w:hAnsi="宋体" w:cs="宋体" w:eastAsia="宋体" w:hint="default"/>
          <w:spacing w:val="-59"/>
        </w:rPr>
        <w:t> </w:t>
      </w:r>
      <w:r>
        <w:rPr/>
        <w:t>金证</w:t>
      </w:r>
      <w:r>
        <w:rPr>
          <w:spacing w:val="-57"/>
        </w:rPr>
        <w:t> </w:t>
      </w:r>
      <w:r>
        <w:rPr/>
        <w:t>01”未到付息兑付日期，无付息兑付情况发生。</w:t>
      </w:r>
    </w:p>
    <w:p>
      <w:pPr>
        <w:spacing w:line="240" w:lineRule="auto" w:before="3"/>
        <w:rPr>
          <w:rFonts w:ascii="宋体" w:hAnsi="宋体" w:cs="宋体" w:eastAsia="宋体" w:hint="default"/>
          <w:sz w:val="18"/>
          <w:szCs w:val="18"/>
        </w:rPr>
      </w:pPr>
    </w:p>
    <w:p>
      <w:pPr>
        <w:pStyle w:val="BodyText"/>
        <w:spacing w:line="273" w:lineRule="exact"/>
        <w:ind w:right="0"/>
        <w:jc w:val="left"/>
      </w:pPr>
      <w:r>
        <w:rPr/>
        <w:t>公司债券其他情况的说明</w:t>
      </w:r>
    </w:p>
    <w:p>
      <w:pPr>
        <w:pStyle w:val="BodyText"/>
        <w:spacing w:line="272" w:lineRule="exact"/>
        <w:ind w:right="0"/>
        <w:jc w:val="left"/>
      </w:pPr>
      <w:r>
        <w:rPr/>
        <w:t>√适用</w:t>
      </w:r>
      <w:r>
        <w:rPr>
          <w:spacing w:val="-1"/>
        </w:rPr>
        <w:t> </w:t>
      </w:r>
      <w:r>
        <w:rPr/>
        <w:t>□不适用</w:t>
      </w:r>
    </w:p>
    <w:p>
      <w:pPr>
        <w:pStyle w:val="BodyText"/>
        <w:spacing w:line="355" w:lineRule="auto"/>
        <w:ind w:right="0"/>
        <w:jc w:val="left"/>
      </w:pPr>
      <w:r>
        <w:rPr/>
        <w:t>“</w:t>
      </w:r>
      <w:r>
        <w:rPr>
          <w:rFonts w:ascii="宋体" w:hAnsi="宋体" w:cs="宋体" w:eastAsia="宋体" w:hint="default"/>
        </w:rPr>
        <w:t>17</w:t>
      </w:r>
      <w:r>
        <w:rPr>
          <w:rFonts w:ascii="宋体" w:hAnsi="宋体" w:cs="宋体" w:eastAsia="宋体" w:hint="default"/>
          <w:spacing w:val="-44"/>
        </w:rPr>
        <w:t> </w:t>
      </w:r>
      <w:r>
        <w:rPr/>
        <w:t>金证</w:t>
      </w:r>
      <w:r>
        <w:rPr>
          <w:spacing w:val="-42"/>
        </w:rPr>
        <w:t> </w:t>
      </w:r>
      <w:r>
        <w:rPr/>
        <w:t>01”为</w:t>
      </w:r>
      <w:r>
        <w:rPr>
          <w:spacing w:val="-42"/>
        </w:rPr>
        <w:t> </w:t>
      </w:r>
      <w:r>
        <w:rPr>
          <w:rFonts w:ascii="宋体" w:hAnsi="宋体" w:cs="宋体" w:eastAsia="宋体" w:hint="default"/>
        </w:rPr>
        <w:t>5</w:t>
      </w:r>
      <w:r>
        <w:rPr>
          <w:rFonts w:ascii="宋体" w:hAnsi="宋体" w:cs="宋体" w:eastAsia="宋体" w:hint="default"/>
          <w:spacing w:val="-44"/>
        </w:rPr>
        <w:t> </w:t>
      </w:r>
      <w:r>
        <w:rPr>
          <w:spacing w:val="-11"/>
        </w:rPr>
        <w:t>年期，附第</w:t>
      </w:r>
      <w:r>
        <w:rPr>
          <w:spacing w:val="-41"/>
        </w:rPr>
        <w:t> </w:t>
      </w:r>
      <w:r>
        <w:rPr>
          <w:rFonts w:ascii="宋体" w:hAnsi="宋体" w:cs="宋体" w:eastAsia="宋体" w:hint="default"/>
        </w:rPr>
        <w:t>3</w:t>
      </w:r>
      <w:r>
        <w:rPr>
          <w:rFonts w:ascii="宋体" w:hAnsi="宋体" w:cs="宋体" w:eastAsia="宋体" w:hint="default"/>
          <w:spacing w:val="-44"/>
        </w:rPr>
        <w:t> </w:t>
      </w:r>
      <w:r>
        <w:rPr>
          <w:spacing w:val="-4"/>
        </w:rPr>
        <w:t>年末发行人向上调整票面利率选择权和投资者回售选择权。报告</w:t>
      </w:r>
      <w:r>
        <w:rPr>
          <w:spacing w:val="-101"/>
        </w:rPr>
        <w:t> </w:t>
      </w:r>
      <w:r>
        <w:rPr>
          <w:spacing w:val="-101"/>
        </w:rPr>
      </w:r>
      <w:r>
        <w:rPr/>
        <w:t>期内，上述公司债券均未到债券含权条款行权期，未发生行权。</w:t>
      </w:r>
    </w:p>
    <w:p>
      <w:pPr>
        <w:spacing w:line="240" w:lineRule="auto" w:before="6"/>
        <w:rPr>
          <w:rFonts w:ascii="宋体" w:hAnsi="宋体" w:cs="宋体" w:eastAsia="宋体" w:hint="default"/>
          <w:sz w:val="27"/>
          <w:szCs w:val="27"/>
        </w:rPr>
      </w:pPr>
    </w:p>
    <w:p>
      <w:pPr>
        <w:pStyle w:val="Heading2"/>
        <w:spacing w:line="240" w:lineRule="auto" w:before="0"/>
        <w:ind w:right="0"/>
        <w:jc w:val="left"/>
        <w:rPr>
          <w:b w:val="0"/>
          <w:bCs w:val="0"/>
        </w:rPr>
      </w:pPr>
      <w:r>
        <w:rPr/>
        <w:t>二、公司债券受托管理联系人、联系方式及资信评级机构联系方式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华龙证券股份有限公司</w:t>
            </w:r>
          </w:p>
        </w:tc>
      </w:tr>
      <w:tr>
        <w:trPr>
          <w:trHeight w:val="554"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深圳市福田区民田路</w:t>
            </w:r>
            <w:r>
              <w:rPr>
                <w:rFonts w:ascii="宋体" w:hAnsi="宋体" w:cs="宋体" w:eastAsia="宋体" w:hint="default"/>
                <w:spacing w:val="-69"/>
                <w:sz w:val="21"/>
                <w:szCs w:val="21"/>
              </w:rPr>
              <w:t> </w:t>
            </w:r>
            <w:r>
              <w:rPr>
                <w:rFonts w:ascii="宋体" w:hAnsi="宋体" w:cs="宋体" w:eastAsia="宋体" w:hint="default"/>
                <w:sz w:val="21"/>
                <w:szCs w:val="21"/>
              </w:rPr>
              <w:t>178</w:t>
            </w:r>
            <w:r>
              <w:rPr>
                <w:rFonts w:ascii="宋体" w:hAnsi="宋体" w:cs="宋体" w:eastAsia="宋体" w:hint="default"/>
                <w:spacing w:val="-72"/>
                <w:sz w:val="21"/>
                <w:szCs w:val="21"/>
              </w:rPr>
              <w:t> </w:t>
            </w:r>
            <w:r>
              <w:rPr>
                <w:rFonts w:ascii="宋体" w:hAnsi="宋体" w:cs="宋体" w:eastAsia="宋体" w:hint="default"/>
                <w:sz w:val="21"/>
                <w:szCs w:val="21"/>
              </w:rPr>
              <w:t>号</w:t>
            </w:r>
            <w:r>
              <w:rPr>
                <w:rFonts w:ascii="宋体" w:hAnsi="宋体" w:cs="宋体" w:eastAsia="宋体" w:hint="default"/>
                <w:spacing w:val="-69"/>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楼华龙证券股份有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r>
      <w:tr>
        <w:trPr>
          <w:trHeight w:val="281"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吕刚、贺姜萍</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0755-83936771</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鹏元资信评估有限公司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深圳市深南大道 </w:t>
            </w:r>
            <w:r>
              <w:rPr>
                <w:rFonts w:ascii="宋体" w:hAnsi="宋体" w:cs="宋体" w:eastAsia="宋体" w:hint="default"/>
                <w:sz w:val="21"/>
                <w:szCs w:val="21"/>
              </w:rPr>
              <w:t>7008 </w:t>
            </w:r>
            <w:r>
              <w:rPr>
                <w:rFonts w:ascii="宋体" w:hAnsi="宋体" w:cs="宋体" w:eastAsia="宋体" w:hint="default"/>
                <w:sz w:val="21"/>
                <w:szCs w:val="21"/>
              </w:rPr>
              <w:t>号阳光高尔夫大厦 </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楼</w:t>
            </w:r>
          </w:p>
        </w:tc>
      </w:tr>
    </w:tbl>
    <w:p>
      <w:pPr>
        <w:spacing w:line="240" w:lineRule="auto" w:before="5"/>
        <w:rPr>
          <w:rFonts w:ascii="宋体" w:hAnsi="宋体" w:cs="宋体" w:eastAsia="宋体" w:hint="default"/>
          <w:b/>
          <w:bCs/>
          <w:sz w:val="15"/>
          <w:szCs w:val="15"/>
        </w:rPr>
      </w:pPr>
    </w:p>
    <w:p>
      <w:pPr>
        <w:pStyle w:val="BodyText"/>
        <w:spacing w:line="274" w:lineRule="exact" w:before="36"/>
        <w:ind w:right="0"/>
        <w:jc w:val="left"/>
      </w:pPr>
      <w:r>
        <w:rPr/>
        <w:t>其他说明：</w:t>
      </w:r>
    </w:p>
    <w:p>
      <w:pPr>
        <w:pStyle w:val="BodyText"/>
        <w:tabs>
          <w:tab w:pos="1060" w:val="left" w:leader="none"/>
        </w:tabs>
        <w:spacing w:line="274" w:lineRule="exact"/>
        <w:ind w:right="0"/>
        <w:jc w:val="left"/>
      </w:pPr>
      <w:r>
        <w:rPr>
          <w:spacing w:val="-1"/>
        </w:rPr>
        <w:t>□适用</w:t>
        <w:tab/>
      </w:r>
      <w:r>
        <w:rPr>
          <w:spacing w:val="-2"/>
        </w:rPr>
        <w:t>√不适用</w:t>
      </w:r>
    </w:p>
    <w:p>
      <w:pPr>
        <w:spacing w:line="240" w:lineRule="auto" w:before="8"/>
        <w:rPr>
          <w:rFonts w:ascii="宋体" w:hAnsi="宋体" w:cs="宋体" w:eastAsia="宋体" w:hint="default"/>
          <w:sz w:val="24"/>
          <w:szCs w:val="24"/>
        </w:rPr>
      </w:pPr>
    </w:p>
    <w:p>
      <w:pPr>
        <w:pStyle w:val="Heading2"/>
        <w:spacing w:line="240" w:lineRule="auto" w:before="0"/>
        <w:ind w:right="0"/>
        <w:jc w:val="left"/>
        <w:rPr>
          <w:b w:val="0"/>
          <w:bCs w:val="0"/>
        </w:rPr>
      </w:pPr>
      <w:r>
        <w:rPr/>
        <w:t>三、公司债券募集资金使用情况</w:t>
      </w:r>
      <w:r>
        <w:rPr>
          <w:b w:val="0"/>
          <w:bCs w:val="0"/>
        </w:rPr>
      </w:r>
    </w:p>
    <w:p>
      <w:pPr>
        <w:pStyle w:val="BodyText"/>
        <w:tabs>
          <w:tab w:pos="1060" w:val="left" w:leader="none"/>
        </w:tabs>
        <w:spacing w:line="274" w:lineRule="exact" w:before="64"/>
        <w:ind w:right="0"/>
        <w:jc w:val="left"/>
      </w:pPr>
      <w:r>
        <w:rPr>
          <w:spacing w:val="-1"/>
        </w:rPr>
        <w:t>√适用</w:t>
        <w:tab/>
      </w:r>
      <w:r>
        <w:rPr>
          <w:spacing w:val="-2"/>
        </w:rPr>
        <w:t>□不适用</w:t>
      </w:r>
    </w:p>
    <w:p>
      <w:pPr>
        <w:pStyle w:val="BodyText"/>
        <w:spacing w:line="355" w:lineRule="auto"/>
        <w:ind w:right="409" w:firstLine="419"/>
        <w:jc w:val="both"/>
      </w:pPr>
      <w:r>
        <w:rPr>
          <w:spacing w:val="-6"/>
          <w:w w:val="100"/>
        </w:rPr>
        <w:t>根据《深圳市金证科技股份有限公司</w:t>
      </w:r>
      <w:r>
        <w:rPr>
          <w:spacing w:val="-46"/>
          <w:w w:val="100"/>
        </w:rPr>
        <w:t> </w:t>
      </w:r>
      <w:r>
        <w:rPr>
          <w:rFonts w:ascii="宋体" w:hAnsi="宋体" w:cs="宋体" w:eastAsia="宋体" w:hint="default"/>
          <w:spacing w:val="-1"/>
          <w:w w:val="100"/>
        </w:rPr>
        <w:t>2017</w:t>
      </w:r>
      <w:r>
        <w:rPr>
          <w:rFonts w:ascii="宋体" w:hAnsi="宋体" w:cs="宋体" w:eastAsia="宋体" w:hint="default"/>
          <w:spacing w:val="-49"/>
          <w:w w:val="100"/>
        </w:rPr>
        <w:t> </w:t>
      </w:r>
      <w:r>
        <w:rPr>
          <w:spacing w:val="-12"/>
          <w:w w:val="100"/>
        </w:rPr>
        <w:t>年公开发行公司债券（面向合格投资者）（第一期）</w:t>
      </w:r>
      <w:r>
        <w:rPr>
          <w:w w:val="100"/>
        </w:rPr>
        <w:t> </w:t>
      </w:r>
      <w:r>
        <w:rPr>
          <w:spacing w:val="-6"/>
        </w:rPr>
        <w:t>募集说明书》的相关内容，公司发行的“17</w:t>
      </w:r>
      <w:r>
        <w:rPr>
          <w:spacing w:val="-45"/>
        </w:rPr>
        <w:t> </w:t>
      </w:r>
      <w:r>
        <w:rPr/>
        <w:t>金证</w:t>
      </w:r>
      <w:r>
        <w:rPr>
          <w:spacing w:val="-45"/>
        </w:rPr>
        <w:t> </w:t>
      </w:r>
      <w:r>
        <w:rPr/>
        <w:t>01”公司债券的募集资金扣除发行费用后全部用</w:t>
      </w:r>
      <w:r>
        <w:rPr>
          <w:spacing w:val="-102"/>
        </w:rPr>
        <w:t> </w:t>
      </w:r>
      <w:r>
        <w:rPr>
          <w:spacing w:val="-102"/>
        </w:rPr>
      </w:r>
      <w:r>
        <w:rPr/>
        <w:t>于补充公司流动资金。</w:t>
      </w:r>
    </w:p>
    <w:p>
      <w:pPr>
        <w:pStyle w:val="BodyText"/>
        <w:spacing w:line="240" w:lineRule="auto" w:before="32"/>
        <w:ind w:left="638" w:right="0"/>
        <w:jc w:val="left"/>
      </w:pPr>
      <w:r>
        <w:rPr/>
        <w:t>“</w:t>
      </w:r>
      <w:r>
        <w:rPr>
          <w:rFonts w:ascii="宋体" w:hAnsi="宋体" w:cs="宋体" w:eastAsia="宋体" w:hint="default"/>
        </w:rPr>
        <w:t>17</w:t>
      </w:r>
      <w:r>
        <w:rPr>
          <w:rFonts w:ascii="宋体" w:hAnsi="宋体" w:cs="宋体" w:eastAsia="宋体" w:hint="default"/>
          <w:spacing w:val="-51"/>
        </w:rPr>
        <w:t> </w:t>
      </w:r>
      <w:r>
        <w:rPr/>
        <w:t>金证</w:t>
      </w:r>
      <w:r>
        <w:rPr>
          <w:spacing w:val="-49"/>
        </w:rPr>
        <w:t> </w:t>
      </w:r>
      <w:r>
        <w:rPr/>
        <w:t>01”发行募集资金为</w:t>
      </w:r>
      <w:r>
        <w:rPr>
          <w:spacing w:val="-48"/>
        </w:rPr>
        <w:t> </w:t>
      </w:r>
      <w:r>
        <w:rPr>
          <w:rFonts w:ascii="宋体" w:hAnsi="宋体" w:cs="宋体" w:eastAsia="宋体" w:hint="default"/>
        </w:rPr>
        <w:t>35,000</w:t>
      </w:r>
      <w:r>
        <w:rPr>
          <w:rFonts w:ascii="宋体" w:hAnsi="宋体" w:cs="宋体" w:eastAsia="宋体" w:hint="default"/>
          <w:spacing w:val="-49"/>
        </w:rPr>
        <w:t> </w:t>
      </w:r>
      <w:r>
        <w:rPr>
          <w:spacing w:val="-5"/>
        </w:rPr>
        <w:t>万元，扣除发行费用后实际到账</w:t>
      </w:r>
      <w:r>
        <w:rPr>
          <w:spacing w:val="-49"/>
        </w:rPr>
        <w:t> </w:t>
      </w:r>
      <w:r>
        <w:rPr>
          <w:rFonts w:ascii="宋体" w:hAnsi="宋体" w:cs="宋体" w:eastAsia="宋体" w:hint="default"/>
        </w:rPr>
        <w:t>34,790</w:t>
      </w:r>
      <w:r>
        <w:rPr>
          <w:rFonts w:ascii="宋体" w:hAnsi="宋体" w:cs="宋体" w:eastAsia="宋体" w:hint="default"/>
          <w:spacing w:val="-51"/>
        </w:rPr>
        <w:t> </w:t>
      </w:r>
      <w:r>
        <w:rPr>
          <w:spacing w:val="-9"/>
        </w:rPr>
        <w:t>万元，截止报</w:t>
      </w:r>
    </w:p>
    <w:p>
      <w:pPr>
        <w:pStyle w:val="BodyText"/>
        <w:spacing w:line="357" w:lineRule="auto" w:before="133"/>
        <w:ind w:right="422"/>
        <w:jc w:val="left"/>
      </w:pPr>
      <w:r>
        <w:rPr/>
        <w:t>告期末累计使用</w:t>
      </w:r>
      <w:r>
        <w:rPr>
          <w:spacing w:val="-56"/>
        </w:rPr>
        <w:t> </w:t>
      </w:r>
      <w:r>
        <w:rPr>
          <w:rFonts w:ascii="宋体" w:hAnsi="宋体" w:cs="宋体" w:eastAsia="宋体" w:hint="default"/>
        </w:rPr>
        <w:t>12,748.90</w:t>
      </w:r>
      <w:r>
        <w:rPr>
          <w:rFonts w:ascii="宋体" w:hAnsi="宋体" w:cs="宋体" w:eastAsia="宋体" w:hint="default"/>
          <w:spacing w:val="-56"/>
        </w:rPr>
        <w:t> </w:t>
      </w:r>
      <w:r>
        <w:rPr/>
        <w:t>万元，剩余资金</w:t>
      </w:r>
      <w:r>
        <w:rPr>
          <w:spacing w:val="-56"/>
        </w:rPr>
        <w:t> </w:t>
      </w:r>
      <w:r>
        <w:rPr>
          <w:rFonts w:ascii="宋体" w:hAnsi="宋体" w:cs="宋体" w:eastAsia="宋体" w:hint="default"/>
        </w:rPr>
        <w:t>22,041.10</w:t>
      </w:r>
      <w:r>
        <w:rPr>
          <w:rFonts w:ascii="宋体" w:hAnsi="宋体" w:cs="宋体" w:eastAsia="宋体" w:hint="default"/>
          <w:spacing w:val="-56"/>
        </w:rPr>
        <w:t> </w:t>
      </w:r>
      <w:r>
        <w:rPr/>
        <w:t>万元。以上资金完全通过募集资金专项账</w:t>
      </w:r>
      <w:r>
        <w:rPr>
          <w:w w:val="100"/>
        </w:rPr>
        <w:t> </w:t>
      </w:r>
      <w:r>
        <w:rPr/>
        <w:t>户存储和使用，与募集说明书承诺用途、使用计划及其他约定一致。</w:t>
      </w:r>
    </w:p>
    <w:p>
      <w:pPr>
        <w:spacing w:after="0" w:line="357" w:lineRule="auto"/>
        <w:jc w:val="left"/>
        <w:sectPr>
          <w:type w:val="continuous"/>
          <w:pgSz w:w="11910" w:h="16840"/>
          <w:pgMar w:top="1120" w:bottom="1380" w:left="1580" w:right="860"/>
        </w:sectPr>
      </w:pPr>
    </w:p>
    <w:p>
      <w:pPr>
        <w:spacing w:line="240" w:lineRule="auto" w:before="13"/>
        <w:rPr>
          <w:rFonts w:ascii="宋体" w:hAnsi="宋体" w:cs="宋体" w:eastAsia="宋体" w:hint="default"/>
          <w:sz w:val="25"/>
          <w:szCs w:val="25"/>
        </w:rPr>
      </w:pPr>
    </w:p>
    <w:p>
      <w:pPr>
        <w:pStyle w:val="Heading2"/>
        <w:spacing w:line="240" w:lineRule="auto"/>
        <w:ind w:left="238" w:right="246"/>
        <w:jc w:val="left"/>
        <w:rPr>
          <w:b w:val="0"/>
          <w:bCs w:val="0"/>
        </w:rPr>
      </w:pPr>
      <w:r>
        <w:rPr/>
        <w:t>四、公司债券评级情况</w:t>
      </w:r>
      <w:r>
        <w:rPr>
          <w:b w:val="0"/>
          <w:bCs w:val="0"/>
        </w:rPr>
      </w:r>
    </w:p>
    <w:p>
      <w:pPr>
        <w:pStyle w:val="BodyText"/>
        <w:tabs>
          <w:tab w:pos="1080" w:val="left" w:leader="none"/>
        </w:tabs>
        <w:spacing w:line="274" w:lineRule="exact" w:before="64"/>
        <w:ind w:left="238" w:right="246"/>
        <w:jc w:val="left"/>
      </w:pPr>
      <w:r>
        <w:rPr>
          <w:spacing w:val="-1"/>
        </w:rPr>
        <w:t>√适用</w:t>
        <w:tab/>
      </w:r>
      <w:r>
        <w:rPr>
          <w:spacing w:val="-2"/>
        </w:rPr>
        <w:t>□不适用</w:t>
      </w:r>
    </w:p>
    <w:p>
      <w:pPr>
        <w:pStyle w:val="BodyText"/>
        <w:spacing w:line="355" w:lineRule="auto"/>
        <w:ind w:left="238" w:right="246" w:firstLine="419"/>
        <w:jc w:val="left"/>
      </w:pPr>
      <w:r>
        <w:rPr>
          <w:spacing w:val="-12"/>
          <w:w w:val="100"/>
        </w:rPr>
        <w:t>经鹏元资信评估有限公司（以下简称“鹏元资信”）</w:t>
      </w:r>
      <w:r>
        <w:rPr>
          <w:rFonts w:ascii="宋体" w:hAnsi="宋体" w:cs="宋体" w:eastAsia="宋体" w:hint="default"/>
          <w:spacing w:val="-12"/>
          <w:w w:val="100"/>
        </w:rPr>
        <w:t>2017</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5</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spacing w:val="-2"/>
          <w:w w:val="100"/>
        </w:rPr>
        <w:t>25</w:t>
      </w:r>
      <w:r>
        <w:rPr>
          <w:rFonts w:ascii="宋体" w:hAnsi="宋体" w:cs="宋体" w:eastAsia="宋体" w:hint="default"/>
          <w:spacing w:val="-53"/>
          <w:w w:val="100"/>
        </w:rPr>
        <w:t> </w:t>
      </w:r>
      <w:r>
        <w:rPr>
          <w:spacing w:val="-7"/>
          <w:w w:val="100"/>
        </w:rPr>
        <w:t>日出具的信用等级公告（鹏</w:t>
      </w:r>
      <w:r>
        <w:rPr>
          <w:w w:val="100"/>
        </w:rPr>
        <w:t> </w:t>
      </w:r>
      <w:r>
        <w:rPr/>
        <w:t>信评【</w:t>
      </w:r>
      <w:r>
        <w:rPr>
          <w:rFonts w:ascii="宋体" w:hAnsi="宋体" w:cs="宋体" w:eastAsia="宋体" w:hint="default"/>
        </w:rPr>
        <w:t>2017</w:t>
      </w:r>
      <w:r>
        <w:rPr/>
        <w:t>】第</w:t>
      </w:r>
      <w:r>
        <w:rPr>
          <w:spacing w:val="-55"/>
        </w:rPr>
        <w:t> </w:t>
      </w:r>
      <w:r>
        <w:rPr>
          <w:rFonts w:ascii="宋体" w:hAnsi="宋体" w:cs="宋体" w:eastAsia="宋体" w:hint="default"/>
        </w:rPr>
        <w:t>Z</w:t>
      </w:r>
      <w:r>
        <w:rPr/>
        <w:t>【</w:t>
      </w:r>
      <w:r>
        <w:rPr>
          <w:rFonts w:ascii="宋体" w:hAnsi="宋体" w:cs="宋体" w:eastAsia="宋体" w:hint="default"/>
        </w:rPr>
        <w:t>205</w:t>
      </w:r>
      <w:r>
        <w:rPr/>
        <w:t>】号）评定，公司的主体信用等级为</w:t>
      </w:r>
      <w:r>
        <w:rPr>
          <w:spacing w:val="-55"/>
        </w:rPr>
        <w:t> </w:t>
      </w:r>
      <w:r>
        <w:rPr>
          <w:rFonts w:ascii="宋体" w:hAnsi="宋体" w:cs="宋体" w:eastAsia="宋体" w:hint="default"/>
        </w:rPr>
        <w:t>AA</w:t>
      </w:r>
      <w:r>
        <w:rPr>
          <w:rFonts w:ascii="宋体" w:hAnsi="宋体" w:cs="宋体" w:eastAsia="宋体" w:hint="default"/>
          <w:spacing w:val="-55"/>
        </w:rPr>
        <w:t> </w:t>
      </w:r>
      <w:r>
        <w:rPr/>
        <w:t>级，本次债券的信用等级为</w:t>
      </w:r>
      <w:r>
        <w:rPr>
          <w:spacing w:val="-55"/>
        </w:rPr>
        <w:t> </w:t>
      </w:r>
      <w:r>
        <w:rPr>
          <w:rFonts w:ascii="宋体" w:hAnsi="宋体" w:cs="宋体" w:eastAsia="宋体" w:hint="default"/>
        </w:rPr>
        <w:t>AAA</w:t>
      </w:r>
      <w:r>
        <w:rPr>
          <w:rFonts w:ascii="宋体" w:hAnsi="宋体" w:cs="宋体" w:eastAsia="宋体" w:hint="default"/>
          <w:w w:val="100"/>
        </w:rPr>
        <w:t> </w:t>
      </w:r>
      <w:r>
        <w:rPr/>
        <w:t>级。</w:t>
      </w:r>
    </w:p>
    <w:p>
      <w:pPr>
        <w:pStyle w:val="BodyText"/>
        <w:spacing w:line="357" w:lineRule="auto" w:before="32"/>
        <w:ind w:left="238" w:right="247" w:firstLine="419"/>
        <w:jc w:val="both"/>
      </w:pPr>
      <w:r>
        <w:rPr>
          <w:spacing w:val="-2"/>
        </w:rPr>
        <w:t>同时，根据监管部门的要求，公司已委托鹏元资信评估有限公司担任跟踪评级机构，鹏元资</w:t>
      </w:r>
      <w:r>
        <w:rPr>
          <w:w w:val="100"/>
        </w:rPr>
        <w:t> </w:t>
      </w:r>
      <w:r>
        <w:rPr>
          <w:spacing w:val="-2"/>
        </w:rPr>
        <w:t>信将在债券存续期内，在每年本公司审计报告出具后的两个月内进行一次定期跟踪评级，并在本</w:t>
      </w:r>
      <w:r>
        <w:rPr>
          <w:spacing w:val="-25"/>
        </w:rPr>
        <w:t> </w:t>
      </w:r>
      <w:r>
        <w:rPr>
          <w:spacing w:val="-25"/>
        </w:rPr>
      </w:r>
      <w:r>
        <w:rPr>
          <w:spacing w:val="-4"/>
          <w:w w:val="100"/>
        </w:rPr>
        <w:t>次债券存续期内根据有关情况进行不定期跟踪评级。最新跟踪评级报告将于公司</w:t>
      </w:r>
      <w:r>
        <w:rPr>
          <w:spacing w:val="-52"/>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spacing w:val="-2"/>
          <w:w w:val="100"/>
        </w:rPr>
        <w:t>年年度报告</w:t>
      </w:r>
      <w:r>
        <w:rPr>
          <w:w w:val="100"/>
        </w:rPr>
        <w:t> </w:t>
      </w:r>
      <w:r>
        <w:rPr/>
        <w:t>披露后两个月内，在鹏元资信网站和上海证券交易所网站公布，请投资者关注。</w:t>
      </w:r>
    </w:p>
    <w:p>
      <w:pPr>
        <w:pStyle w:val="Heading2"/>
        <w:spacing w:line="240" w:lineRule="auto" w:before="84"/>
        <w:ind w:left="238" w:right="246"/>
        <w:jc w:val="left"/>
        <w:rPr>
          <w:b w:val="0"/>
          <w:bCs w:val="0"/>
        </w:rPr>
      </w:pPr>
      <w:r>
        <w:rPr/>
        <w:t>五、报告期内公司债券增信机制、偿债计划及其他相关情况</w:t>
      </w:r>
      <w:r>
        <w:rPr>
          <w:b w:val="0"/>
          <w:bCs w:val="0"/>
        </w:rPr>
      </w:r>
    </w:p>
    <w:p>
      <w:pPr>
        <w:pStyle w:val="BodyText"/>
        <w:tabs>
          <w:tab w:pos="1080" w:val="left" w:leader="none"/>
        </w:tabs>
        <w:spacing w:line="272" w:lineRule="exact" w:before="92"/>
        <w:ind w:left="658" w:right="1729" w:hanging="420"/>
        <w:jc w:val="left"/>
      </w:pPr>
      <w:r>
        <w:rPr>
          <w:spacing w:val="-1"/>
        </w:rPr>
        <w:t>√适用</w:t>
        <w:tab/>
      </w:r>
      <w:r>
        <w:rPr>
          <w:spacing w:val="-2"/>
        </w:rPr>
        <w:t>□不适用</w:t>
      </w:r>
      <w:r>
        <w:rPr>
          <w:spacing w:val="-99"/>
        </w:rPr>
        <w:t> </w:t>
      </w:r>
      <w:r>
        <w:rPr>
          <w:spacing w:val="-99"/>
        </w:rPr>
      </w:r>
      <w:r>
        <w:rPr>
          <w:spacing w:val="-2"/>
        </w:rPr>
        <w:t>报告期内，公司债券增信机制、偿债计划及其他偿债保障措施未发生变更。</w:t>
      </w:r>
    </w:p>
    <w:p>
      <w:pPr>
        <w:pStyle w:val="BodyText"/>
        <w:spacing w:line="240" w:lineRule="auto" w:before="108"/>
        <w:ind w:left="658" w:right="246"/>
        <w:jc w:val="left"/>
      </w:pPr>
      <w:r>
        <w:rPr>
          <w:rFonts w:ascii="宋体" w:hAnsi="宋体" w:cs="宋体" w:eastAsia="宋体" w:hint="default"/>
        </w:rPr>
        <w:t>(</w:t>
      </w:r>
      <w:r>
        <w:rPr/>
        <w:t>一</w:t>
      </w:r>
      <w:r>
        <w:rPr>
          <w:rFonts w:ascii="宋体" w:hAnsi="宋体" w:cs="宋体" w:eastAsia="宋体" w:hint="default"/>
        </w:rPr>
        <w:t>)</w:t>
      </w:r>
      <w:r>
        <w:rPr/>
        <w:t>增信机制</w:t>
      </w:r>
    </w:p>
    <w:p>
      <w:pPr>
        <w:pStyle w:val="BodyText"/>
        <w:spacing w:line="355" w:lineRule="auto" w:before="135"/>
        <w:ind w:left="238" w:right="257" w:firstLine="419"/>
        <w:jc w:val="both"/>
      </w:pPr>
      <w:r>
        <w:rPr>
          <w:spacing w:val="-14"/>
          <w:w w:val="100"/>
        </w:rPr>
        <w:t>本次债券（“</w:t>
      </w:r>
      <w:r>
        <w:rPr>
          <w:rFonts w:ascii="宋体" w:hAnsi="宋体" w:cs="宋体" w:eastAsia="宋体" w:hint="default"/>
          <w:spacing w:val="-14"/>
          <w:w w:val="100"/>
        </w:rPr>
        <w:t>17</w:t>
      </w:r>
      <w:r>
        <w:rPr>
          <w:rFonts w:ascii="宋体" w:hAnsi="宋体" w:cs="宋体" w:eastAsia="宋体" w:hint="default"/>
          <w:spacing w:val="-45"/>
          <w:w w:val="100"/>
        </w:rPr>
        <w:t> </w:t>
      </w:r>
      <w:r>
        <w:rPr>
          <w:w w:val="100"/>
        </w:rPr>
        <w:t>金证</w:t>
      </w:r>
      <w:r>
        <w:rPr>
          <w:spacing w:val="-44"/>
          <w:w w:val="100"/>
        </w:rPr>
        <w:t> </w:t>
      </w:r>
      <w:r>
        <w:rPr>
          <w:spacing w:val="-2"/>
          <w:w w:val="100"/>
        </w:rPr>
        <w:t>01”）由深圳市中小企业信用融资担保集团有限公司提供不可撤销的连</w:t>
      </w:r>
      <w:r>
        <w:rPr>
          <w:w w:val="100"/>
        </w:rPr>
        <w:t> </w:t>
      </w:r>
      <w:r>
        <w:rPr>
          <w:spacing w:val="-2"/>
        </w:rPr>
        <w:t>带责任保证担保，由广东省融资再担保有限公司对深圳市中小企业信用融资担保集团有限公司在</w:t>
      </w:r>
      <w:r>
        <w:rPr>
          <w:spacing w:val="-25"/>
        </w:rPr>
        <w:t> </w:t>
      </w:r>
      <w:r>
        <w:rPr>
          <w:spacing w:val="-25"/>
        </w:rPr>
      </w:r>
      <w:r>
        <w:rPr/>
        <w:t>本次债券下承担的担保责任提供不可撤销的连带责任保证再担保。</w:t>
      </w:r>
    </w:p>
    <w:p>
      <w:pPr>
        <w:pStyle w:val="BodyText"/>
        <w:spacing w:line="240" w:lineRule="auto" w:before="32"/>
        <w:ind w:left="658" w:right="246"/>
        <w:jc w:val="left"/>
      </w:pPr>
      <w:r>
        <w:rPr>
          <w:rFonts w:ascii="宋体" w:hAnsi="宋体" w:cs="宋体" w:eastAsia="宋体" w:hint="default"/>
        </w:rPr>
        <w:t>1.</w:t>
      </w:r>
      <w:r>
        <w:rPr/>
        <w:t>担保人基本情况</w:t>
      </w:r>
    </w:p>
    <w:p>
      <w:pPr>
        <w:pStyle w:val="BodyText"/>
        <w:spacing w:line="355" w:lineRule="auto" w:before="136"/>
        <w:ind w:left="658" w:right="246"/>
        <w:jc w:val="left"/>
      </w:pPr>
      <w:r>
        <w:rPr/>
        <w:t>（</w:t>
      </w:r>
      <w:r>
        <w:rPr>
          <w:rFonts w:ascii="宋体" w:hAnsi="宋体" w:cs="宋体" w:eastAsia="宋体" w:hint="default"/>
        </w:rPr>
        <w:t>1</w:t>
      </w:r>
      <w:r>
        <w:rPr/>
        <w:t>）担保人最近一年主要财务数据及财务指标</w:t>
      </w:r>
      <w:r>
        <w:rPr>
          <w:w w:val="100"/>
        </w:rPr>
        <w:t> </w:t>
      </w:r>
      <w:r>
        <w:rPr>
          <w:spacing w:val="-2"/>
        </w:rPr>
        <w:t>深圳中小担最近一年合并报表（经审计）主要财务数据和指标如下表：</w:t>
      </w:r>
    </w:p>
    <w:p>
      <w:pPr>
        <w:pStyle w:val="BodyText"/>
        <w:spacing w:line="240" w:lineRule="auto" w:before="32"/>
        <w:ind w:left="0" w:right="250"/>
        <w:jc w:val="right"/>
      </w:pPr>
      <w:r>
        <w:rPr>
          <w:spacing w:val="-1"/>
        </w:rPr>
        <w:t>单位：万元</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525"/>
        <w:gridCol w:w="4525"/>
      </w:tblGrid>
      <w:tr>
        <w:trPr>
          <w:trHeight w:val="302" w:hRule="exact"/>
        </w:trPr>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2017-12-31</w:t>
            </w:r>
          </w:p>
        </w:tc>
      </w:tr>
      <w:tr>
        <w:trPr>
          <w:trHeight w:val="302" w:hRule="exact"/>
        </w:trPr>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1"/>
                <w:sz w:val="21"/>
              </w:rPr>
              <w:t>1,131,732.77</w:t>
            </w:r>
          </w:p>
        </w:tc>
      </w:tr>
      <w:tr>
        <w:trPr>
          <w:trHeight w:val="302" w:hRule="exact"/>
        </w:trPr>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1"/>
                <w:sz w:val="21"/>
              </w:rPr>
              <w:t>974,413.39</w:t>
            </w:r>
          </w:p>
        </w:tc>
      </w:tr>
      <w:tr>
        <w:trPr>
          <w:trHeight w:val="302" w:hRule="exact"/>
        </w:trPr>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13.90%</w:t>
            </w:r>
          </w:p>
        </w:tc>
      </w:tr>
      <w:tr>
        <w:trPr>
          <w:trHeight w:val="302" w:hRule="exact"/>
        </w:trPr>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6.48%</w:t>
            </w:r>
          </w:p>
        </w:tc>
      </w:tr>
      <w:tr>
        <w:trPr>
          <w:trHeight w:val="302" w:hRule="exact"/>
        </w:trPr>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12.80</w:t>
            </w:r>
          </w:p>
        </w:tc>
      </w:tr>
      <w:tr>
        <w:trPr>
          <w:trHeight w:val="303" w:hRule="exact"/>
        </w:trPr>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4525" w:type="dxa"/>
            <w:tcBorders>
              <w:top w:val="single" w:sz="12" w:space="0" w:color="000000"/>
              <w:left w:val="single" w:sz="12" w:space="0" w:color="000000"/>
              <w:bottom w:val="single" w:sz="12" w:space="0" w:color="000000"/>
              <w:right w:val="single" w:sz="12" w:space="0" w:color="000000"/>
            </w:tcBorders>
          </w:tcPr>
          <w:p>
            <w:pPr>
              <w:pStyle w:val="TableParagraph"/>
              <w:spacing w:line="244" w:lineRule="exact"/>
              <w:ind w:right="89"/>
              <w:jc w:val="right"/>
              <w:rPr>
                <w:rFonts w:ascii="宋体" w:hAnsi="宋体" w:cs="宋体" w:eastAsia="宋体" w:hint="default"/>
                <w:sz w:val="21"/>
                <w:szCs w:val="21"/>
              </w:rPr>
            </w:pPr>
            <w:r>
              <w:rPr>
                <w:rFonts w:ascii="宋体"/>
                <w:sz w:val="21"/>
              </w:rPr>
              <w:t>12.80</w:t>
            </w:r>
          </w:p>
        </w:tc>
      </w:tr>
    </w:tbl>
    <w:p>
      <w:pPr>
        <w:pStyle w:val="BodyText"/>
        <w:spacing w:line="243" w:lineRule="exact"/>
        <w:ind w:left="658" w:right="246"/>
        <w:jc w:val="left"/>
      </w:pPr>
      <w:r>
        <w:rPr/>
        <w:t>（</w:t>
      </w:r>
      <w:r>
        <w:rPr>
          <w:rFonts w:ascii="宋体" w:hAnsi="宋体" w:cs="宋体" w:eastAsia="宋体" w:hint="default"/>
        </w:rPr>
        <w:t>2</w:t>
      </w:r>
      <w:r>
        <w:rPr/>
        <w:t>）担保人资信情况</w:t>
      </w:r>
    </w:p>
    <w:p>
      <w:pPr>
        <w:pStyle w:val="BodyText"/>
        <w:spacing w:line="355" w:lineRule="auto" w:before="133"/>
        <w:ind w:left="238" w:right="246" w:firstLine="419"/>
        <w:jc w:val="left"/>
      </w:pPr>
      <w:r>
        <w:rPr>
          <w:spacing w:val="-2"/>
        </w:rPr>
        <w:t>经大公国际资信评估有限公司、鹏元资信评估有限公司、中诚信国际信用评级有限责任公司</w:t>
      </w:r>
      <w:r>
        <w:rPr>
          <w:w w:val="100"/>
        </w:rPr>
        <w:t> </w:t>
      </w:r>
      <w:r>
        <w:rPr>
          <w:spacing w:val="-2"/>
        </w:rPr>
        <w:t>综合评定，深圳中小担主体信用级别为</w:t>
      </w:r>
      <w:r>
        <w:rPr>
          <w:spacing w:val="2"/>
        </w:rPr>
        <w:t> </w:t>
      </w:r>
      <w:r>
        <w:rPr>
          <w:rFonts w:ascii="宋体" w:hAnsi="宋体" w:cs="宋体" w:eastAsia="宋体" w:hint="default"/>
          <w:spacing w:val="-2"/>
        </w:rPr>
        <w:t>AAA</w:t>
      </w:r>
      <w:r>
        <w:rPr>
          <w:spacing w:val="-2"/>
        </w:rPr>
        <w:t>，评级展望为稳定。</w:t>
      </w:r>
    </w:p>
    <w:p>
      <w:pPr>
        <w:pStyle w:val="BodyText"/>
        <w:spacing w:line="240" w:lineRule="auto" w:before="32"/>
        <w:ind w:left="658" w:right="246"/>
        <w:jc w:val="left"/>
      </w:pPr>
      <w:r>
        <w:rPr/>
        <w:t>（</w:t>
      </w:r>
      <w:r>
        <w:rPr>
          <w:rFonts w:ascii="宋体" w:hAnsi="宋体" w:cs="宋体" w:eastAsia="宋体" w:hint="default"/>
        </w:rPr>
        <w:t>3</w:t>
      </w:r>
      <w:r>
        <w:rPr/>
        <w:t>）累计担保余额占净资产比例情况</w:t>
      </w:r>
    </w:p>
    <w:p>
      <w:pPr>
        <w:pStyle w:val="BodyText"/>
        <w:spacing w:line="357" w:lineRule="auto" w:before="133"/>
        <w:ind w:left="238" w:right="246" w:firstLine="419"/>
        <w:jc w:val="left"/>
      </w:pPr>
      <w:r>
        <w:rPr/>
        <w:t>截至</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spacing w:val="-6"/>
        </w:rPr>
        <w:t>日，深圳中小担在保余额为</w:t>
      </w:r>
      <w:r>
        <w:rPr>
          <w:spacing w:val="-51"/>
        </w:rPr>
        <w:t> </w:t>
      </w:r>
      <w:r>
        <w:rPr>
          <w:rFonts w:ascii="宋体" w:hAnsi="宋体" w:cs="宋体" w:eastAsia="宋体" w:hint="default"/>
        </w:rPr>
        <w:t>237.42</w:t>
      </w:r>
      <w:r>
        <w:rPr>
          <w:rFonts w:ascii="宋体" w:hAnsi="宋体" w:cs="宋体" w:eastAsia="宋体" w:hint="default"/>
          <w:spacing w:val="-53"/>
        </w:rPr>
        <w:t> </w:t>
      </w:r>
      <w:r>
        <w:rPr>
          <w:spacing w:val="-11"/>
        </w:rPr>
        <w:t>亿元，占其</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日净资</w:t>
      </w:r>
      <w:r>
        <w:rPr>
          <w:w w:val="100"/>
        </w:rPr>
        <w:t> </w:t>
      </w:r>
      <w:r>
        <w:rPr/>
        <w:t>产比例为</w:t>
      </w:r>
      <w:r>
        <w:rPr>
          <w:spacing w:val="-53"/>
        </w:rPr>
        <w:t> </w:t>
      </w:r>
      <w:r>
        <w:rPr>
          <w:rFonts w:ascii="宋体" w:hAnsi="宋体" w:cs="宋体" w:eastAsia="宋体" w:hint="default"/>
        </w:rPr>
        <w:t>243.66%</w:t>
      </w:r>
      <w:r>
        <w:rPr/>
        <w:t>。</w:t>
      </w:r>
    </w:p>
    <w:p>
      <w:pPr>
        <w:pStyle w:val="BodyText"/>
        <w:spacing w:line="240" w:lineRule="auto" w:before="30"/>
        <w:ind w:left="658" w:right="246"/>
        <w:jc w:val="left"/>
      </w:pPr>
      <w:r>
        <w:rPr>
          <w:rFonts w:ascii="宋体" w:hAnsi="宋体" w:cs="宋体" w:eastAsia="宋体" w:hint="default"/>
        </w:rPr>
        <w:t>2.</w:t>
      </w:r>
      <w:r>
        <w:rPr/>
        <w:t>再担保人基本情况</w:t>
      </w:r>
    </w:p>
    <w:p>
      <w:pPr>
        <w:pStyle w:val="BodyText"/>
        <w:spacing w:line="357" w:lineRule="auto" w:before="133"/>
        <w:ind w:left="658" w:right="246"/>
        <w:jc w:val="left"/>
      </w:pPr>
      <w:r>
        <w:rPr/>
        <w:t>（</w:t>
      </w:r>
      <w:r>
        <w:rPr>
          <w:rFonts w:ascii="宋体" w:hAnsi="宋体" w:cs="宋体" w:eastAsia="宋体" w:hint="default"/>
        </w:rPr>
        <w:t>1</w:t>
      </w:r>
      <w:r>
        <w:rPr/>
        <w:t>）再担保人最近一年主要财务数据及财务指标</w:t>
      </w:r>
      <w:r>
        <w:rPr>
          <w:w w:val="100"/>
        </w:rPr>
        <w:t> </w:t>
      </w:r>
      <w:r>
        <w:rPr>
          <w:spacing w:val="-2"/>
        </w:rPr>
        <w:t>广东省融资再担保有限公司最近一年合并报表（经审计）主要财务数据和指标如下表：</w:t>
      </w:r>
    </w:p>
    <w:p>
      <w:pPr>
        <w:spacing w:after="0" w:line="357" w:lineRule="auto"/>
        <w:jc w:val="left"/>
        <w:sectPr>
          <w:pgSz w:w="11910" w:h="16840"/>
          <w:pgMar w:header="877" w:footer="1195" w:top="1100" w:bottom="1380" w:left="1560" w:right="1020"/>
        </w:sectPr>
      </w:pPr>
    </w:p>
    <w:p>
      <w:pPr>
        <w:spacing w:line="240" w:lineRule="auto" w:before="2"/>
        <w:rPr>
          <w:rFonts w:ascii="宋体" w:hAnsi="宋体" w:cs="宋体" w:eastAsia="宋体" w:hint="default"/>
          <w:sz w:val="25"/>
          <w:szCs w:val="25"/>
        </w:rPr>
      </w:pPr>
    </w:p>
    <w:p>
      <w:pPr>
        <w:spacing w:before="44"/>
        <w:ind w:left="0" w:right="2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482" w:type="dxa"/>
        <w:tblLayout w:type="fixed"/>
        <w:tblCellMar>
          <w:top w:w="0" w:type="dxa"/>
          <w:left w:w="0" w:type="dxa"/>
          <w:bottom w:w="0" w:type="dxa"/>
          <w:right w:w="0" w:type="dxa"/>
        </w:tblCellMar>
        <w:tblLook w:val="01E0"/>
      </w:tblPr>
      <w:tblGrid>
        <w:gridCol w:w="4138"/>
        <w:gridCol w:w="4139"/>
      </w:tblGrid>
      <w:tr>
        <w:trPr>
          <w:trHeight w:val="302" w:hRule="exact"/>
        </w:trPr>
        <w:tc>
          <w:tcPr>
            <w:tcW w:w="4138"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39"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0"/>
              <w:jc w:val="center"/>
              <w:rPr>
                <w:rFonts w:ascii="宋体" w:hAnsi="宋体" w:cs="宋体" w:eastAsia="宋体" w:hint="default"/>
                <w:sz w:val="21"/>
                <w:szCs w:val="21"/>
              </w:rPr>
            </w:pPr>
            <w:r>
              <w:rPr>
                <w:rFonts w:ascii="宋体"/>
                <w:b/>
                <w:sz w:val="21"/>
              </w:rPr>
              <w:t>2017-12-31</w:t>
            </w:r>
            <w:r>
              <w:rPr>
                <w:rFonts w:ascii="宋体"/>
                <w:sz w:val="21"/>
              </w:rPr>
            </w:r>
          </w:p>
        </w:tc>
      </w:tr>
      <w:tr>
        <w:trPr>
          <w:trHeight w:val="302" w:hRule="exact"/>
        </w:trPr>
        <w:tc>
          <w:tcPr>
            <w:tcW w:w="4138"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4139"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1"/>
                <w:sz w:val="21"/>
              </w:rPr>
              <w:t>845,692.79</w:t>
            </w:r>
          </w:p>
        </w:tc>
      </w:tr>
      <w:tr>
        <w:trPr>
          <w:trHeight w:val="302" w:hRule="exact"/>
        </w:trPr>
        <w:tc>
          <w:tcPr>
            <w:tcW w:w="4138"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4139"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1"/>
                <w:sz w:val="21"/>
              </w:rPr>
              <w:t>731,007.77</w:t>
            </w:r>
          </w:p>
        </w:tc>
      </w:tr>
      <w:tr>
        <w:trPr>
          <w:trHeight w:val="302" w:hRule="exact"/>
        </w:trPr>
        <w:tc>
          <w:tcPr>
            <w:tcW w:w="4138"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4139"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13.56%</w:t>
            </w:r>
          </w:p>
        </w:tc>
      </w:tr>
      <w:tr>
        <w:trPr>
          <w:trHeight w:val="302" w:hRule="exact"/>
        </w:trPr>
        <w:tc>
          <w:tcPr>
            <w:tcW w:w="4138"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4139"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5.23%</w:t>
            </w:r>
          </w:p>
        </w:tc>
      </w:tr>
      <w:tr>
        <w:trPr>
          <w:trHeight w:val="302" w:hRule="exact"/>
        </w:trPr>
        <w:tc>
          <w:tcPr>
            <w:tcW w:w="4138"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4139"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6.44</w:t>
            </w:r>
          </w:p>
        </w:tc>
      </w:tr>
      <w:tr>
        <w:trPr>
          <w:trHeight w:val="302" w:hRule="exact"/>
        </w:trPr>
        <w:tc>
          <w:tcPr>
            <w:tcW w:w="4138"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4139"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6.44</w:t>
            </w:r>
          </w:p>
        </w:tc>
      </w:tr>
    </w:tbl>
    <w:p>
      <w:pPr>
        <w:pStyle w:val="BodyText"/>
        <w:spacing w:line="243" w:lineRule="exact"/>
        <w:ind w:left="638" w:right="215"/>
        <w:jc w:val="left"/>
      </w:pPr>
      <w:r>
        <w:rPr/>
        <w:t>（</w:t>
      </w:r>
      <w:r>
        <w:rPr>
          <w:rFonts w:ascii="宋体" w:hAnsi="宋体" w:cs="宋体" w:eastAsia="宋体" w:hint="default"/>
        </w:rPr>
        <w:t>2</w:t>
      </w:r>
      <w:r>
        <w:rPr/>
        <w:t>）再担保人资信情况</w:t>
      </w:r>
    </w:p>
    <w:p>
      <w:pPr>
        <w:pStyle w:val="BodyText"/>
        <w:spacing w:line="357" w:lineRule="auto" w:before="133"/>
        <w:ind w:right="0" w:firstLine="419"/>
        <w:jc w:val="left"/>
      </w:pPr>
      <w:r>
        <w:rPr>
          <w:spacing w:val="-3"/>
        </w:rPr>
        <w:t>经中诚信国际信用评级有限责任公司综合评定，广东省融资再担保有限公司信用等级为 </w:t>
      </w:r>
      <w:r>
        <w:rPr>
          <w:rFonts w:ascii="宋体" w:hAnsi="宋体" w:cs="宋体" w:eastAsia="宋体" w:hint="default"/>
        </w:rPr>
        <w:t>AAA</w:t>
      </w:r>
      <w:r>
        <w:rPr/>
        <w:t>，</w:t>
      </w:r>
      <w:r>
        <w:rPr>
          <w:w w:val="100"/>
        </w:rPr>
        <w:t> </w:t>
      </w:r>
      <w:r>
        <w:rPr/>
        <w:t>评级展望为稳定。</w:t>
      </w:r>
    </w:p>
    <w:p>
      <w:pPr>
        <w:pStyle w:val="BodyText"/>
        <w:spacing w:line="240" w:lineRule="auto" w:before="30"/>
        <w:ind w:left="638" w:right="215"/>
        <w:jc w:val="left"/>
      </w:pPr>
      <w:r>
        <w:rPr/>
        <w:t>（</w:t>
      </w:r>
      <w:r>
        <w:rPr>
          <w:rFonts w:ascii="宋体" w:hAnsi="宋体" w:cs="宋体" w:eastAsia="宋体" w:hint="default"/>
        </w:rPr>
        <w:t>3</w:t>
      </w:r>
      <w:r>
        <w:rPr/>
        <w:t>）累计担保余额占净资产比例情况</w:t>
      </w:r>
    </w:p>
    <w:p>
      <w:pPr>
        <w:pStyle w:val="BodyText"/>
        <w:spacing w:line="240" w:lineRule="auto" w:before="135"/>
        <w:ind w:left="638" w:right="215"/>
        <w:jc w:val="left"/>
        <w:rPr>
          <w:rFonts w:ascii="宋体" w:hAnsi="宋体" w:cs="宋体" w:eastAsia="宋体" w:hint="default"/>
        </w:rPr>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日，广东省融资再担保有限公司在保余额为</w:t>
      </w:r>
      <w:r>
        <w:rPr>
          <w:spacing w:val="-54"/>
        </w:rPr>
        <w:t> </w:t>
      </w:r>
      <w:r>
        <w:rPr>
          <w:rFonts w:ascii="宋体" w:hAnsi="宋体" w:cs="宋体" w:eastAsia="宋体" w:hint="default"/>
        </w:rPr>
        <w:t>530.16</w:t>
      </w:r>
      <w:r>
        <w:rPr>
          <w:rFonts w:ascii="宋体" w:hAnsi="宋体" w:cs="宋体" w:eastAsia="宋体" w:hint="default"/>
          <w:spacing w:val="-53"/>
        </w:rPr>
        <w:t> </w:t>
      </w:r>
      <w:r>
        <w:rPr/>
        <w:t>亿元，占其</w:t>
      </w:r>
      <w:r>
        <w:rPr>
          <w:spacing w:val="-54"/>
        </w:rPr>
        <w:t> </w:t>
      </w:r>
      <w:r>
        <w:rPr>
          <w:rFonts w:ascii="宋体" w:hAnsi="宋体" w:cs="宋体" w:eastAsia="宋体" w:hint="default"/>
        </w:rPr>
        <w:t>2017</w:t>
      </w:r>
    </w:p>
    <w:p>
      <w:pPr>
        <w:pStyle w:val="BodyText"/>
        <w:spacing w:line="240" w:lineRule="auto" w:before="133"/>
        <w:ind w:right="0"/>
        <w:jc w:val="both"/>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日净资产的比例为</w:t>
      </w:r>
      <w:r>
        <w:rPr>
          <w:spacing w:val="-52"/>
        </w:rPr>
        <w:t> </w:t>
      </w:r>
      <w:r>
        <w:rPr>
          <w:rFonts w:ascii="宋体" w:hAnsi="宋体" w:cs="宋体" w:eastAsia="宋体" w:hint="default"/>
        </w:rPr>
        <w:t>725.24%</w:t>
      </w:r>
      <w:r>
        <w:rPr/>
        <w:t>。</w:t>
      </w:r>
    </w:p>
    <w:p>
      <w:pPr>
        <w:pStyle w:val="BodyText"/>
        <w:spacing w:line="355" w:lineRule="auto" w:before="133"/>
        <w:ind w:left="638" w:right="215"/>
        <w:jc w:val="left"/>
      </w:pPr>
      <w:r>
        <w:rPr/>
        <w:t>（二）偿债计划或其他偿债保障措施</w:t>
      </w:r>
      <w:r>
        <w:rPr>
          <w:w w:val="100"/>
        </w:rPr>
        <w:t> </w:t>
      </w:r>
      <w:r>
        <w:rPr>
          <w:spacing w:val="-2"/>
        </w:rPr>
        <w:t>本次债券存续期内，发行人将以良好的经营业绩、多元化融资渠道为本次债券的到期偿付提</w:t>
      </w:r>
    </w:p>
    <w:p>
      <w:pPr>
        <w:pStyle w:val="BodyText"/>
        <w:spacing w:line="357" w:lineRule="auto" w:before="32"/>
        <w:ind w:right="215"/>
        <w:jc w:val="left"/>
      </w:pPr>
      <w:r>
        <w:rPr>
          <w:spacing w:val="-2"/>
        </w:rPr>
        <w:t>供保障。为了有效地维护债券持有人的利益，保证本次债券本息按约定偿付，发行人建立了一系</w:t>
      </w:r>
      <w:r>
        <w:rPr>
          <w:spacing w:val="-25"/>
        </w:rPr>
        <w:t> </w:t>
      </w:r>
      <w:r>
        <w:rPr>
          <w:spacing w:val="-25"/>
        </w:rPr>
      </w:r>
      <w:r>
        <w:rPr/>
        <w:t>列工作机制，包括建立自身与债券受托管理人的长效沟通机制及加强信息披露等。</w:t>
      </w:r>
    </w:p>
    <w:p>
      <w:pPr>
        <w:pStyle w:val="BodyText"/>
        <w:spacing w:line="240" w:lineRule="auto" w:before="30"/>
        <w:ind w:left="638" w:right="215"/>
        <w:jc w:val="left"/>
      </w:pPr>
      <w:r>
        <w:rPr/>
        <w:t>报告期内，偿债计划与其他偿债保障措施均与募集说明书约定内容一致，执行情况良好。</w:t>
      </w:r>
    </w:p>
    <w:p>
      <w:pPr>
        <w:spacing w:line="240" w:lineRule="auto" w:before="4"/>
        <w:rPr>
          <w:rFonts w:ascii="宋体" w:hAnsi="宋体" w:cs="宋体" w:eastAsia="宋体" w:hint="default"/>
          <w:sz w:val="14"/>
          <w:szCs w:val="14"/>
        </w:rPr>
      </w:pPr>
    </w:p>
    <w:p>
      <w:pPr>
        <w:pStyle w:val="Heading2"/>
        <w:spacing w:line="240" w:lineRule="auto" w:before="0"/>
        <w:ind w:right="0"/>
        <w:jc w:val="both"/>
        <w:rPr>
          <w:b w:val="0"/>
          <w:bCs w:val="0"/>
        </w:rPr>
      </w:pPr>
      <w:r>
        <w:rPr/>
        <w:t>六、公司债券持有人会议召开情况</w:t>
      </w:r>
      <w:r>
        <w:rPr>
          <w:b w:val="0"/>
          <w:bCs w:val="0"/>
        </w:rPr>
      </w:r>
    </w:p>
    <w:p>
      <w:pPr>
        <w:pStyle w:val="BodyText"/>
        <w:spacing w:line="240" w:lineRule="auto" w:before="64"/>
        <w:ind w:right="0"/>
        <w:jc w:val="both"/>
      </w:pPr>
      <w:r>
        <w:rPr/>
        <w:t>□适用</w:t>
      </w:r>
      <w:r>
        <w:rPr>
          <w:spacing w:val="104"/>
        </w:rPr>
        <w:t> </w:t>
      </w:r>
      <w:r>
        <w:rPr/>
        <w:t>√不适用</w:t>
      </w:r>
    </w:p>
    <w:p>
      <w:pPr>
        <w:pStyle w:val="Heading2"/>
        <w:spacing w:line="240" w:lineRule="auto" w:before="50"/>
        <w:ind w:right="0"/>
        <w:jc w:val="both"/>
        <w:rPr>
          <w:b w:val="0"/>
          <w:bCs w:val="0"/>
        </w:rPr>
      </w:pPr>
      <w:r>
        <w:rPr/>
        <w:t>七、公司债券受托管理人履职情况</w:t>
      </w:r>
      <w:r>
        <w:rPr>
          <w:b w:val="0"/>
          <w:bCs w:val="0"/>
        </w:rPr>
      </w:r>
    </w:p>
    <w:p>
      <w:pPr>
        <w:pStyle w:val="BodyText"/>
        <w:tabs>
          <w:tab w:pos="1060" w:val="left" w:leader="none"/>
        </w:tabs>
        <w:spacing w:line="272" w:lineRule="exact" w:before="92"/>
        <w:ind w:left="638" w:right="239" w:hanging="420"/>
        <w:jc w:val="left"/>
        <w:rPr>
          <w:rFonts w:ascii="宋体" w:hAnsi="宋体" w:cs="宋体" w:eastAsia="宋体" w:hint="default"/>
        </w:rPr>
      </w:pPr>
      <w:r>
        <w:rPr>
          <w:spacing w:val="-1"/>
        </w:rPr>
        <w:t>√适用</w:t>
        <w:tab/>
      </w:r>
      <w:r>
        <w:rPr>
          <w:spacing w:val="-2"/>
        </w:rPr>
        <w:t>□不适用</w:t>
      </w:r>
      <w:r>
        <w:rPr>
          <w:spacing w:val="-99"/>
        </w:rPr>
        <w:t> </w:t>
      </w:r>
      <w:r>
        <w:rPr>
          <w:spacing w:val="-99"/>
        </w:rPr>
      </w:r>
      <w:r>
        <w:rPr>
          <w:spacing w:val="-2"/>
        </w:rPr>
        <w:t>公司已按照《公司债券发行与交易管理办法》的规定聘请了华龙证券股份有限公司作为“</w:t>
      </w:r>
      <w:r>
        <w:rPr>
          <w:rFonts w:ascii="宋体" w:hAnsi="宋体" w:cs="宋体" w:eastAsia="宋体" w:hint="default"/>
          <w:spacing w:val="-2"/>
        </w:rPr>
        <w:t>17</w:t>
      </w:r>
    </w:p>
    <w:p>
      <w:pPr>
        <w:pStyle w:val="BodyText"/>
        <w:spacing w:line="348" w:lineRule="auto" w:before="110"/>
        <w:ind w:right="228"/>
        <w:jc w:val="both"/>
      </w:pPr>
      <w:r>
        <w:rPr>
          <w:w w:val="100"/>
        </w:rPr>
        <w:t>金证</w:t>
      </w:r>
      <w:r>
        <w:rPr>
          <w:spacing w:val="-54"/>
          <w:w w:val="100"/>
        </w:rPr>
        <w:t> </w:t>
      </w:r>
      <w:r>
        <w:rPr>
          <w:rFonts w:ascii="宋体" w:hAnsi="宋体" w:cs="宋体" w:eastAsia="宋体" w:hint="default"/>
          <w:spacing w:val="-4"/>
          <w:w w:val="100"/>
        </w:rPr>
        <w:t>01</w:t>
      </w:r>
      <w:r>
        <w:rPr>
          <w:rFonts w:ascii="Arial" w:hAnsi="Arial" w:cs="Arial" w:eastAsia="Arial" w:hint="default"/>
          <w:spacing w:val="-4"/>
          <w:w w:val="100"/>
        </w:rPr>
        <w:t>”</w:t>
      </w:r>
      <w:r>
        <w:rPr>
          <w:spacing w:val="-4"/>
          <w:w w:val="100"/>
        </w:rPr>
        <w:t>债券受托管理人，并与其签订了《债券受托管理协议》，由债券受托管理人代表债券持有</w:t>
      </w:r>
      <w:r>
        <w:rPr>
          <w:w w:val="100"/>
        </w:rPr>
        <w:t> </w:t>
      </w:r>
      <w:r>
        <w:rPr>
          <w:spacing w:val="-2"/>
        </w:rPr>
        <w:t>人对本公司的相关情况进行监督，并在债券本息无法按时偿付时，代表债券持有人采取一切必要</w:t>
      </w:r>
      <w:r>
        <w:rPr>
          <w:spacing w:val="-25"/>
        </w:rPr>
        <w:t> </w:t>
      </w:r>
      <w:r>
        <w:rPr>
          <w:spacing w:val="-25"/>
        </w:rPr>
      </w:r>
      <w:r>
        <w:rPr/>
        <w:t>及可行的措施，保护债券持有人的正当利益。</w:t>
      </w:r>
    </w:p>
    <w:p>
      <w:pPr>
        <w:pStyle w:val="BodyText"/>
        <w:spacing w:line="355" w:lineRule="auto" w:before="39"/>
        <w:ind w:right="237" w:firstLine="419"/>
        <w:jc w:val="left"/>
      </w:pPr>
      <w:r>
        <w:rPr/>
        <w:t>华龙证券于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日在上海证券交易所网站披露了《深圳市金证科技股份有限公司</w:t>
      </w:r>
      <w:r>
        <w:rPr>
          <w:w w:val="100"/>
        </w:rPr>
        <w:t> </w:t>
      </w:r>
      <w:r>
        <w:rPr>
          <w:spacing w:val="-10"/>
          <w:w w:val="100"/>
        </w:rPr>
        <w:t>临时受托管理事务报告》。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6"/>
          <w:pgSz w:w="11910" w:h="16840"/>
          <w:pgMar w:footer="1195" w:header="877" w:top="1100" w:bottom="1380" w:left="1580" w:right="1040"/>
        </w:sectPr>
      </w:pPr>
    </w:p>
    <w:p>
      <w:pPr>
        <w:pStyle w:val="Heading2"/>
        <w:spacing w:line="240" w:lineRule="auto" w:before="189"/>
        <w:ind w:right="-14"/>
        <w:jc w:val="left"/>
        <w:rPr>
          <w:b w:val="0"/>
          <w:bCs w:val="0"/>
        </w:rPr>
      </w:pPr>
      <w:r>
        <w:rPr/>
        <w:t>八、截至报告期末公司近</w:t>
      </w:r>
      <w:r>
        <w:rPr>
          <w:spacing w:val="-63"/>
        </w:rPr>
        <w:t> </w:t>
      </w:r>
      <w:r>
        <w:rPr>
          <w:rFonts w:ascii="Arial" w:hAnsi="Arial" w:cs="Arial" w:eastAsia="Arial" w:hint="default"/>
        </w:rPr>
        <w:t>2</w:t>
      </w:r>
      <w:r>
        <w:rPr>
          <w:rFonts w:ascii="Arial" w:hAnsi="Arial" w:cs="Arial" w:eastAsia="Arial" w:hint="default"/>
          <w:spacing w:val="-11"/>
        </w:rPr>
        <w:t> </w:t>
      </w:r>
      <w:r>
        <w:rPr/>
        <w:t>年的会计数据和财务指标</w:t>
      </w:r>
      <w:r>
        <w:rPr>
          <w:b w:val="0"/>
          <w:bCs w:val="0"/>
        </w:rPr>
      </w:r>
    </w:p>
    <w:p>
      <w:pPr>
        <w:pStyle w:val="BodyText"/>
        <w:spacing w:line="240" w:lineRule="auto" w:before="4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tabs>
          <w:tab w:pos="1375" w:val="left" w:leader="none"/>
        </w:tabs>
        <w:spacing w:line="240" w:lineRule="auto"/>
        <w:ind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773" w:space="7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3"/>
        <w:gridCol w:w="1421"/>
        <w:gridCol w:w="1419"/>
        <w:gridCol w:w="1699"/>
        <w:gridCol w:w="2278"/>
      </w:tblGrid>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28,493.20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36,085.49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主因为利润总额减少</w:t>
            </w:r>
          </w:p>
        </w:tc>
      </w:tr>
      <w:tr>
        <w:trPr>
          <w:trHeight w:val="28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主因为货币资金增加</w:t>
            </w:r>
          </w:p>
        </w:tc>
      </w:tr>
      <w:tr>
        <w:trPr>
          <w:trHeight w:val="281"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39.69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主因为货币资金增加</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3"/>
        <w:gridCol w:w="1421"/>
        <w:gridCol w:w="1419"/>
        <w:gridCol w:w="1699"/>
        <w:gridCol w:w="2278"/>
      </w:tblGrid>
      <w:tr>
        <w:trPr>
          <w:trHeight w:val="28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49.93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46.22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8.04</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-86.37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主因为利润总额减少</w:t>
            </w:r>
          </w:p>
        </w:tc>
      </w:tr>
      <w:tr>
        <w:trPr>
          <w:trHeight w:val="281"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-37.91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主因为利润总额减少</w:t>
            </w: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3.46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94.10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主因为经营活动产生</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的现金流量净额增加</w:t>
            </w:r>
          </w:p>
        </w:tc>
      </w:tr>
      <w:tr>
        <w:trPr>
          <w:trHeight w:val="286"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利息保障倍数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16.54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-37.79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主因为利润总额减少</w:t>
            </w:r>
          </w:p>
        </w:tc>
      </w:tr>
      <w:tr>
        <w:trPr>
          <w:trHeight w:val="283"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ind w:right="215"/>
        <w:jc w:val="left"/>
        <w:rPr>
          <w:b w:val="0"/>
          <w:bCs w:val="0"/>
        </w:rPr>
      </w:pPr>
      <w:r>
        <w:rPr/>
        <w:t>九、公司其他债券和债务融资工具的付息兑付情况</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spacing w:line="240" w:lineRule="auto" w:before="7"/>
        <w:rPr>
          <w:rFonts w:ascii="宋体" w:hAnsi="宋体" w:cs="宋体" w:eastAsia="宋体" w:hint="default"/>
          <w:sz w:val="24"/>
          <w:szCs w:val="24"/>
        </w:rPr>
      </w:pPr>
    </w:p>
    <w:p>
      <w:pPr>
        <w:pStyle w:val="Heading2"/>
        <w:spacing w:line="240" w:lineRule="auto" w:before="0"/>
        <w:ind w:right="215"/>
        <w:jc w:val="left"/>
        <w:rPr>
          <w:b w:val="0"/>
          <w:bCs w:val="0"/>
        </w:rPr>
      </w:pPr>
      <w:r>
        <w:rPr/>
        <w:t>十、公司报告期内的银行授信情况</w:t>
      </w:r>
      <w:r>
        <w:rPr>
          <w:b w:val="0"/>
          <w:bCs w:val="0"/>
        </w:rPr>
      </w:r>
    </w:p>
    <w:p>
      <w:pPr>
        <w:pStyle w:val="BodyText"/>
        <w:tabs>
          <w:tab w:pos="1060" w:val="left" w:leader="none"/>
        </w:tabs>
        <w:spacing w:line="240" w:lineRule="auto" w:before="64"/>
        <w:ind w:left="638" w:right="239" w:hanging="420"/>
        <w:jc w:val="left"/>
      </w:pPr>
      <w:r>
        <w:rPr>
          <w:spacing w:val="-1"/>
        </w:rPr>
        <w:t>√适用</w:t>
        <w:tab/>
      </w:r>
      <w:r>
        <w:rPr>
          <w:spacing w:val="-2"/>
        </w:rPr>
        <w:t>□不适用</w:t>
      </w:r>
      <w:r>
        <w:rPr>
          <w:spacing w:val="-99"/>
        </w:rPr>
        <w:t> </w:t>
      </w:r>
      <w:r>
        <w:rPr>
          <w:spacing w:val="-99"/>
        </w:rPr>
      </w:r>
      <w:r>
        <w:rPr>
          <w:spacing w:val="-2"/>
        </w:rPr>
        <w:t>公司与银行等金融机构保持良好的长期合作关系，并获得较高的授信额度，间接债务融资能</w:t>
      </w:r>
    </w:p>
    <w:p>
      <w:pPr>
        <w:pStyle w:val="BodyText"/>
        <w:spacing w:line="240" w:lineRule="auto" w:before="133"/>
        <w:ind w:right="123"/>
        <w:jc w:val="left"/>
      </w:pPr>
      <w:r>
        <w:rPr>
          <w:w w:val="100"/>
        </w:rPr>
        <w:t>力较</w:t>
      </w:r>
      <w:r>
        <w:rPr>
          <w:spacing w:val="-3"/>
          <w:w w:val="100"/>
        </w:rPr>
        <w:t>强</w:t>
      </w:r>
      <w:r>
        <w:rPr>
          <w:spacing w:val="-101"/>
          <w:w w:val="100"/>
        </w:rPr>
        <w:t>。</w:t>
      </w:r>
      <w:r>
        <w:rPr>
          <w:spacing w:val="-3"/>
          <w:w w:val="100"/>
        </w:rPr>
        <w:t>截</w:t>
      </w:r>
      <w:r>
        <w:rPr>
          <w:w w:val="100"/>
        </w:rPr>
        <w:t>至</w:t>
      </w:r>
      <w:r>
        <w:rPr>
          <w:spacing w:val="-3"/>
          <w:w w:val="100"/>
        </w:rPr>
        <w:t>本</w:t>
      </w:r>
      <w:r>
        <w:rPr>
          <w:w w:val="100"/>
        </w:rPr>
        <w:t>报</w:t>
      </w:r>
      <w:r>
        <w:rPr>
          <w:spacing w:val="-3"/>
          <w:w w:val="100"/>
        </w:rPr>
        <w:t>告</w:t>
      </w:r>
      <w:r>
        <w:rPr>
          <w:w w:val="100"/>
        </w:rPr>
        <w:t>期</w:t>
      </w:r>
      <w:r>
        <w:rPr>
          <w:spacing w:val="-3"/>
          <w:w w:val="100"/>
        </w:rPr>
        <w:t>末</w:t>
      </w:r>
      <w:r>
        <w:rPr>
          <w:spacing w:val="-104"/>
          <w:w w:val="100"/>
        </w:rPr>
        <w:t>，</w:t>
      </w:r>
      <w:r>
        <w:rPr>
          <w:w w:val="100"/>
        </w:rPr>
        <w:t>公司</w:t>
      </w:r>
      <w:r>
        <w:rPr>
          <w:spacing w:val="-3"/>
          <w:w w:val="100"/>
        </w:rPr>
        <w:t>共</w:t>
      </w:r>
      <w:r>
        <w:rPr>
          <w:w w:val="100"/>
        </w:rPr>
        <w:t>获</w:t>
      </w:r>
      <w:r>
        <w:rPr>
          <w:spacing w:val="-3"/>
          <w:w w:val="100"/>
        </w:rPr>
        <w:t>得</w:t>
      </w:r>
      <w:r>
        <w:rPr>
          <w:w w:val="100"/>
        </w:rPr>
        <w:t>银</w:t>
      </w:r>
      <w:r>
        <w:rPr>
          <w:spacing w:val="-3"/>
          <w:w w:val="100"/>
        </w:rPr>
        <w:t>行</w:t>
      </w:r>
      <w:r>
        <w:rPr>
          <w:w w:val="100"/>
        </w:rPr>
        <w:t>授</w:t>
      </w:r>
      <w:r>
        <w:rPr>
          <w:spacing w:val="-3"/>
          <w:w w:val="100"/>
        </w:rPr>
        <w:t>信</w:t>
      </w:r>
      <w:r>
        <w:rPr>
          <w:w w:val="100"/>
        </w:rPr>
        <w:t>总</w:t>
      </w:r>
      <w:r>
        <w:rPr>
          <w:spacing w:val="-3"/>
          <w:w w:val="100"/>
        </w:rPr>
        <w:t>额</w:t>
      </w:r>
      <w:r>
        <w:rPr>
          <w:w w:val="100"/>
        </w:rPr>
        <w:t>度</w:t>
      </w:r>
      <w:r>
        <w:rPr>
          <w:spacing w:val="-53"/>
        </w:rPr>
        <w:t> </w:t>
      </w:r>
      <w:r>
        <w:rPr>
          <w:rFonts w:ascii="宋体" w:hAnsi="宋体" w:cs="宋体" w:eastAsia="宋体" w:hint="default"/>
          <w:w w:val="100"/>
        </w:rPr>
        <w:t>20</w:t>
      </w:r>
      <w:r>
        <w:rPr>
          <w:rFonts w:ascii="宋体" w:hAnsi="宋体" w:cs="宋体" w:eastAsia="宋体" w:hint="default"/>
          <w:spacing w:val="-3"/>
          <w:w w:val="100"/>
        </w:rPr>
        <w:t>9</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万</w:t>
      </w:r>
      <w:r>
        <w:rPr>
          <w:spacing w:val="-3"/>
          <w:w w:val="100"/>
        </w:rPr>
        <w:t>元</w:t>
      </w:r>
      <w:r>
        <w:rPr>
          <w:spacing w:val="-101"/>
          <w:w w:val="100"/>
        </w:rPr>
        <w:t>，</w:t>
      </w:r>
      <w:r>
        <w:rPr>
          <w:spacing w:val="-3"/>
          <w:w w:val="100"/>
        </w:rPr>
        <w:t>已使</w:t>
      </w:r>
      <w:r>
        <w:rPr>
          <w:w w:val="100"/>
        </w:rPr>
        <w:t>用</w:t>
      </w:r>
      <w:r>
        <w:rPr>
          <w:spacing w:val="-52"/>
        </w:rPr>
        <w:t> </w:t>
      </w:r>
      <w:r>
        <w:rPr>
          <w:rFonts w:ascii="宋体" w:hAnsi="宋体" w:cs="宋体" w:eastAsia="宋体" w:hint="default"/>
          <w:w w:val="100"/>
        </w:rPr>
        <w:t>69</w:t>
      </w:r>
      <w:r>
        <w:rPr>
          <w:rFonts w:ascii="宋体" w:hAnsi="宋体" w:cs="宋体" w:eastAsia="宋体" w:hint="default"/>
          <w:spacing w:val="-3"/>
          <w:w w:val="100"/>
        </w:rPr>
        <w:t>,</w:t>
      </w:r>
      <w:r>
        <w:rPr>
          <w:rFonts w:ascii="宋体" w:hAnsi="宋体" w:cs="宋体" w:eastAsia="宋体" w:hint="default"/>
          <w:w w:val="100"/>
        </w:rPr>
        <w:t>719</w:t>
      </w:r>
      <w:r>
        <w:rPr>
          <w:rFonts w:ascii="宋体" w:hAnsi="宋体" w:cs="宋体" w:eastAsia="宋体" w:hint="default"/>
          <w:spacing w:val="-3"/>
          <w:w w:val="100"/>
        </w:rPr>
        <w:t>.</w:t>
      </w:r>
      <w:r>
        <w:rPr>
          <w:rFonts w:ascii="宋体" w:hAnsi="宋体" w:cs="宋体" w:eastAsia="宋体" w:hint="default"/>
          <w:w w:val="100"/>
        </w:rPr>
        <w:t>21</w:t>
      </w:r>
      <w:r>
        <w:rPr>
          <w:rFonts w:ascii="宋体" w:hAnsi="宋体" w:cs="宋体" w:eastAsia="宋体" w:hint="default"/>
          <w:spacing w:val="-53"/>
        </w:rPr>
        <w:t> </w:t>
      </w:r>
      <w:r>
        <w:rPr>
          <w:spacing w:val="-3"/>
          <w:w w:val="100"/>
        </w:rPr>
        <w:t>万</w:t>
      </w:r>
      <w:r>
        <w:rPr>
          <w:w w:val="100"/>
        </w:rPr>
        <w:t>元，</w:t>
      </w:r>
    </w:p>
    <w:p>
      <w:pPr>
        <w:pStyle w:val="BodyText"/>
        <w:spacing w:line="355" w:lineRule="auto" w:before="133"/>
        <w:ind w:left="638" w:right="222" w:hanging="420"/>
        <w:jc w:val="left"/>
      </w:pPr>
      <w:r>
        <w:rPr/>
        <w:t>剩余授信额度</w:t>
      </w:r>
      <w:r>
        <w:rPr>
          <w:spacing w:val="-53"/>
        </w:rPr>
        <w:t> </w:t>
      </w:r>
      <w:r>
        <w:rPr>
          <w:rFonts w:ascii="宋体" w:hAnsi="宋体" w:cs="宋体" w:eastAsia="宋体" w:hint="default"/>
        </w:rPr>
        <w:t>139,280.79</w:t>
      </w:r>
      <w:r>
        <w:rPr>
          <w:rFonts w:ascii="宋体" w:hAnsi="宋体" w:cs="宋体" w:eastAsia="宋体" w:hint="default"/>
          <w:spacing w:val="-55"/>
        </w:rPr>
        <w:t> </w:t>
      </w:r>
      <w:r>
        <w:rPr/>
        <w:t>万元。</w:t>
      </w:r>
      <w:r>
        <w:rPr>
          <w:w w:val="100"/>
        </w:rPr>
        <w:t> </w:t>
      </w:r>
      <w:r>
        <w:rPr>
          <w:spacing w:val="-2"/>
        </w:rPr>
        <w:t>报告期内，公司按时偿还银行贷款，不存在展期及减免情况等。</w:t>
      </w:r>
    </w:p>
    <w:p>
      <w:pPr>
        <w:pStyle w:val="Heading2"/>
        <w:spacing w:line="240" w:lineRule="auto" w:before="86"/>
        <w:ind w:right="215"/>
        <w:jc w:val="left"/>
        <w:rPr>
          <w:b w:val="0"/>
          <w:bCs w:val="0"/>
        </w:rPr>
      </w:pPr>
      <w:r>
        <w:rPr/>
        <w:t>十一、公司报告期内执行公司债券募集说明书相关约定或承诺的情况</w:t>
      </w:r>
      <w:r>
        <w:rPr>
          <w:b w:val="0"/>
          <w:bCs w:val="0"/>
        </w:rPr>
      </w:r>
    </w:p>
    <w:p>
      <w:pPr>
        <w:pStyle w:val="BodyText"/>
        <w:tabs>
          <w:tab w:pos="1060" w:val="left" w:leader="none"/>
        </w:tabs>
        <w:spacing w:line="240" w:lineRule="auto" w:before="64"/>
        <w:ind w:left="638" w:right="239" w:hanging="420"/>
        <w:jc w:val="left"/>
      </w:pPr>
      <w:r>
        <w:rPr>
          <w:spacing w:val="-1"/>
        </w:rPr>
        <w:t>√适用</w:t>
        <w:tab/>
      </w:r>
      <w:r>
        <w:rPr>
          <w:spacing w:val="-2"/>
        </w:rPr>
        <w:t>□不适用</w:t>
      </w:r>
      <w:r>
        <w:rPr>
          <w:spacing w:val="-99"/>
        </w:rPr>
        <w:t> </w:t>
      </w:r>
      <w:r>
        <w:rPr>
          <w:spacing w:val="-99"/>
        </w:rPr>
      </w:r>
      <w:r>
        <w:rPr>
          <w:color w:val="333333"/>
          <w:spacing w:val="-2"/>
        </w:rPr>
        <w:t>报告期内，公司均严格履行公司债券募集说明书相关内容，合规使用募集资金，未有损害债</w:t>
      </w:r>
      <w:r>
        <w:rPr>
          <w:spacing w:val="-2"/>
        </w:rPr>
      </w:r>
    </w:p>
    <w:p>
      <w:pPr>
        <w:pStyle w:val="BodyText"/>
        <w:spacing w:line="240" w:lineRule="auto" w:before="133"/>
        <w:ind w:right="215"/>
        <w:jc w:val="left"/>
      </w:pPr>
      <w:r>
        <w:rPr>
          <w:color w:val="333333"/>
        </w:rPr>
        <w:t>券投资者利益的情况发生。</w:t>
      </w:r>
      <w:r>
        <w:rPr/>
      </w:r>
    </w:p>
    <w:p>
      <w:pPr>
        <w:spacing w:line="240" w:lineRule="auto" w:before="4"/>
        <w:rPr>
          <w:rFonts w:ascii="宋体" w:hAnsi="宋体" w:cs="宋体" w:eastAsia="宋体" w:hint="default"/>
          <w:sz w:val="14"/>
          <w:szCs w:val="14"/>
        </w:rPr>
      </w:pPr>
    </w:p>
    <w:p>
      <w:pPr>
        <w:pStyle w:val="Heading2"/>
        <w:spacing w:line="240" w:lineRule="auto" w:before="0"/>
        <w:ind w:right="215"/>
        <w:jc w:val="left"/>
        <w:rPr>
          <w:b w:val="0"/>
          <w:bCs w:val="0"/>
        </w:rPr>
      </w:pPr>
      <w:r>
        <w:rPr/>
        <w:t>十二、公司发生的重大事项及对公司经营情况和偿债能力的影响</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spacing w:after="0" w:line="240" w:lineRule="auto"/>
        <w:jc w:val="left"/>
        <w:sectPr>
          <w:footerReference w:type="default" r:id="rId27"/>
          <w:pgSz w:w="11910" w:h="16840"/>
          <w:pgMar w:footer="1195" w:header="877" w:top="1100" w:bottom="1380" w:left="1580" w:right="1040"/>
          <w:pgNumType w:start="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1"/>
        <w:spacing w:line="240" w:lineRule="auto"/>
        <w:ind w:left="3343" w:right="343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9"/>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77" w:footer="1195" w:top="1100" w:bottom="1380" w:left="1660" w:right="1040"/>
        </w:sectPr>
      </w:pPr>
    </w:p>
    <w:p>
      <w:pPr>
        <w:pStyle w:val="Heading2"/>
        <w:tabs>
          <w:tab w:pos="977" w:val="left" w:leader="none"/>
        </w:tabs>
        <w:spacing w:line="240" w:lineRule="auto"/>
        <w:ind w:left="138" w:right="-16"/>
        <w:jc w:val="left"/>
        <w:rPr>
          <w:b w:val="0"/>
          <w:bCs w:val="0"/>
        </w:rPr>
      </w:pPr>
      <w:r>
        <w:rPr/>
        <w:t>一、</w:t>
        <w:tab/>
        <w:t>审计报告</w:t>
      </w:r>
      <w:r>
        <w:rPr>
          <w:b w:val="0"/>
          <w:bCs w:val="0"/>
        </w:rPr>
      </w:r>
    </w:p>
    <w:p>
      <w:pPr>
        <w:pStyle w:val="BodyText"/>
        <w:spacing w:line="240" w:lineRule="auto" w:before="85"/>
        <w:ind w:left="13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Heading3"/>
        <w:spacing w:line="240" w:lineRule="auto"/>
        <w:ind w:left="138" w:right="0"/>
        <w:jc w:val="left"/>
      </w:pPr>
      <w:r>
        <w:rPr/>
        <w:t>审计报告</w:t>
      </w:r>
    </w:p>
    <w:p>
      <w:pPr>
        <w:spacing w:after="0" w:line="240" w:lineRule="auto"/>
        <w:jc w:val="left"/>
        <w:sectPr>
          <w:type w:val="continuous"/>
          <w:pgSz w:w="11910" w:h="16840"/>
          <w:pgMar w:top="1120" w:bottom="1380" w:left="1660" w:right="1040"/>
          <w:cols w:num="2" w:equalWidth="0">
            <w:col w:w="1946" w:space="1991"/>
            <w:col w:w="5273"/>
          </w:cols>
        </w:sectPr>
      </w:pPr>
    </w:p>
    <w:p>
      <w:pPr>
        <w:spacing w:line="240" w:lineRule="auto" w:before="9"/>
        <w:rPr>
          <w:rFonts w:ascii="宋体" w:hAnsi="宋体" w:cs="宋体" w:eastAsia="宋体" w:hint="default"/>
          <w:sz w:val="21"/>
          <w:szCs w:val="21"/>
        </w:rPr>
      </w:pPr>
    </w:p>
    <w:p>
      <w:pPr>
        <w:spacing w:before="26"/>
        <w:ind w:left="0" w:right="232" w:firstLine="0"/>
        <w:jc w:val="right"/>
        <w:rPr>
          <w:rFonts w:ascii="宋体" w:hAnsi="宋体" w:cs="宋体" w:eastAsia="宋体" w:hint="default"/>
          <w:sz w:val="21"/>
          <w:szCs w:val="21"/>
        </w:rPr>
      </w:pPr>
      <w:r>
        <w:rPr>
          <w:rFonts w:ascii="宋体" w:hAnsi="宋体" w:cs="宋体" w:eastAsia="宋体" w:hint="default"/>
          <w:b/>
          <w:bCs/>
          <w:w w:val="95"/>
          <w:sz w:val="21"/>
          <w:szCs w:val="21"/>
        </w:rPr>
        <w:t>大华审字</w:t>
      </w:r>
      <w:r>
        <w:rPr>
          <w:rFonts w:ascii="宋体" w:hAnsi="宋体" w:cs="宋体" w:eastAsia="宋体" w:hint="default"/>
          <w:b/>
          <w:bCs/>
          <w:w w:val="95"/>
          <w:sz w:val="21"/>
          <w:szCs w:val="21"/>
        </w:rPr>
        <w:t>[2018]</w:t>
      </w:r>
      <w:r>
        <w:rPr>
          <w:rFonts w:ascii="宋体" w:hAnsi="宋体" w:cs="宋体" w:eastAsia="宋体" w:hint="default"/>
          <w:b/>
          <w:bCs/>
          <w:w w:val="95"/>
          <w:sz w:val="24"/>
          <w:szCs w:val="24"/>
        </w:rPr>
        <w:t>006811</w:t>
      </w:r>
      <w:r>
        <w:rPr>
          <w:rFonts w:ascii="宋体" w:hAnsi="宋体" w:cs="宋体" w:eastAsia="宋体" w:hint="default"/>
          <w:b/>
          <w:bCs/>
          <w:w w:val="95"/>
          <w:sz w:val="21"/>
          <w:szCs w:val="21"/>
        </w:rPr>
        <w:t>号</w:t>
      </w:r>
      <w:r>
        <w:rPr>
          <w:rFonts w:ascii="宋体" w:hAnsi="宋体" w:cs="宋体" w:eastAsia="宋体" w:hint="default"/>
          <w:w w:val="95"/>
          <w:sz w:val="21"/>
          <w:szCs w:val="21"/>
        </w:rPr>
      </w:r>
    </w:p>
    <w:p>
      <w:pPr>
        <w:spacing w:line="240" w:lineRule="auto" w:before="0"/>
        <w:rPr>
          <w:rFonts w:ascii="宋体" w:hAnsi="宋体" w:cs="宋体" w:eastAsia="宋体" w:hint="default"/>
          <w:b/>
          <w:bCs/>
          <w:sz w:val="24"/>
          <w:szCs w:val="24"/>
        </w:rPr>
      </w:pPr>
    </w:p>
    <w:p>
      <w:pPr>
        <w:pStyle w:val="Heading4"/>
        <w:spacing w:line="355" w:lineRule="auto" w:before="158"/>
        <w:ind w:left="560" w:right="4047" w:hanging="423"/>
        <w:jc w:val="left"/>
        <w:rPr>
          <w:b w:val="0"/>
          <w:bCs w:val="0"/>
        </w:rPr>
      </w:pPr>
      <w:r>
        <w:rPr>
          <w:spacing w:val="-1"/>
        </w:rPr>
        <w:t>深圳市金证科技股份有限公司全体股东：</w:t>
      </w:r>
      <w:r>
        <w:rPr>
          <w:spacing w:val="-87"/>
        </w:rPr>
        <w:t> </w:t>
      </w:r>
      <w:r>
        <w:rPr>
          <w:spacing w:val="-87"/>
        </w:rPr>
      </w:r>
      <w:r>
        <w:rPr/>
        <w:t>一、审计意见</w:t>
      </w:r>
      <w:r>
        <w:rPr>
          <w:b w:val="0"/>
          <w:bCs w:val="0"/>
        </w:rPr>
      </w:r>
    </w:p>
    <w:p>
      <w:pPr>
        <w:pStyle w:val="BodyText"/>
        <w:spacing w:line="360" w:lineRule="auto" w:before="26"/>
        <w:ind w:left="138" w:right="0" w:firstLine="419"/>
        <w:jc w:val="left"/>
      </w:pPr>
      <w:r>
        <w:rPr>
          <w:spacing w:val="-6"/>
          <w:w w:val="100"/>
        </w:rPr>
        <w:t>我们审计了深圳市金证科技股份有限公司</w:t>
      </w:r>
      <w:r>
        <w:rPr>
          <w:rFonts w:ascii="宋体" w:hAnsi="宋体" w:cs="宋体" w:eastAsia="宋体" w:hint="default"/>
          <w:spacing w:val="-6"/>
          <w:w w:val="100"/>
        </w:rPr>
        <w:t>(</w:t>
      </w:r>
      <w:r>
        <w:rPr>
          <w:spacing w:val="-6"/>
          <w:w w:val="100"/>
        </w:rPr>
        <w:t>以下简称</w:t>
      </w:r>
      <w:r>
        <w:rPr>
          <w:rFonts w:ascii="宋体" w:hAnsi="宋体" w:cs="宋体" w:eastAsia="宋体" w:hint="default"/>
          <w:b/>
          <w:bCs/>
          <w:spacing w:val="-6"/>
          <w:w w:val="100"/>
          <w:sz w:val="24"/>
          <w:szCs w:val="24"/>
        </w:rPr>
        <w:t>错误！未找到引用源。</w:t>
      </w:r>
      <w:r>
        <w:rPr>
          <w:spacing w:val="-6"/>
          <w:w w:val="100"/>
        </w:rPr>
        <w:t>公司</w:t>
      </w:r>
      <w:r>
        <w:rPr>
          <w:rFonts w:ascii="宋体" w:hAnsi="宋体" w:cs="宋体" w:eastAsia="宋体" w:hint="default"/>
          <w:spacing w:val="-6"/>
          <w:w w:val="100"/>
        </w:rPr>
        <w:t>)</w:t>
      </w:r>
      <w:r>
        <w:rPr>
          <w:spacing w:val="-6"/>
          <w:w w:val="100"/>
        </w:rPr>
        <w:t>财务报表，</w:t>
      </w:r>
      <w:r>
        <w:rPr>
          <w:w w:val="100"/>
        </w:rPr>
        <w:t> </w:t>
      </w:r>
      <w:r>
        <w:rPr/>
        <w:t>包括</w:t>
      </w:r>
      <w:r>
        <w:rPr>
          <w:spacing w:val="-44"/>
        </w:rPr>
        <w:t> </w:t>
      </w: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t>日的合并及母公司资产负债表，</w:t>
      </w:r>
      <w:r>
        <w:rPr>
          <w:rFonts w:ascii="宋体" w:hAnsi="宋体" w:cs="宋体" w:eastAsia="宋体" w:hint="default"/>
        </w:rPr>
        <w:t>2017</w:t>
      </w:r>
      <w:r>
        <w:rPr>
          <w:rFonts w:ascii="宋体" w:hAnsi="宋体" w:cs="宋体" w:eastAsia="宋体" w:hint="default"/>
          <w:spacing w:val="-47"/>
        </w:rPr>
        <w:t> </w:t>
      </w:r>
      <w:r>
        <w:rPr/>
        <w:t>年度的合并及母公司利润表、合并及</w:t>
      </w:r>
      <w:r>
        <w:rPr>
          <w:w w:val="100"/>
        </w:rPr>
        <w:t> </w:t>
      </w:r>
      <w:r>
        <w:rPr/>
        <w:t>母公司现金流量表、合并及母公司股东权益变动表以及相关财务报表附注。</w:t>
      </w:r>
    </w:p>
    <w:p>
      <w:pPr>
        <w:pStyle w:val="BodyText"/>
        <w:spacing w:line="360" w:lineRule="auto" w:before="22"/>
        <w:ind w:left="138" w:right="0" w:firstLine="419"/>
        <w:jc w:val="left"/>
      </w:pPr>
      <w:r>
        <w:rPr>
          <w:spacing w:val="-6"/>
          <w:w w:val="100"/>
        </w:rPr>
        <w:t>我们认为，后附的财务报表在所有重大方面按照企业会计准则的规定编制，公允反映了</w:t>
      </w:r>
      <w:r>
        <w:rPr>
          <w:rFonts w:ascii="宋体" w:hAnsi="宋体" w:cs="宋体" w:eastAsia="宋体" w:hint="default"/>
          <w:b/>
          <w:bCs/>
          <w:spacing w:val="-6"/>
          <w:w w:val="100"/>
          <w:sz w:val="24"/>
          <w:szCs w:val="24"/>
        </w:rPr>
        <w:t>错误！</w:t>
      </w:r>
      <w:r>
        <w:rPr>
          <w:rFonts w:ascii="宋体" w:hAnsi="宋体" w:cs="宋体" w:eastAsia="宋体" w:hint="default"/>
          <w:b/>
          <w:bCs/>
          <w:w w:val="99"/>
          <w:sz w:val="24"/>
          <w:szCs w:val="24"/>
        </w:rPr>
        <w:t> </w:t>
      </w:r>
      <w:r>
        <w:rPr>
          <w:rFonts w:ascii="宋体" w:hAnsi="宋体" w:cs="宋体" w:eastAsia="宋体" w:hint="default"/>
          <w:b/>
          <w:bCs/>
          <w:sz w:val="24"/>
          <w:szCs w:val="24"/>
        </w:rPr>
        <w:t>未找到引用源。</w:t>
      </w:r>
      <w:r>
        <w:rPr/>
        <w:t>公司</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4"/>
        </w:rPr>
        <w:t> </w:t>
      </w:r>
      <w:r>
        <w:rPr>
          <w:rFonts w:ascii="宋体" w:hAnsi="宋体" w:cs="宋体" w:eastAsia="宋体" w:hint="default"/>
        </w:rPr>
        <w:t>2017</w:t>
      </w:r>
      <w:r>
        <w:rPr>
          <w:rFonts w:ascii="宋体" w:hAnsi="宋体" w:cs="宋体" w:eastAsia="宋体" w:hint="default"/>
          <w:spacing w:val="-55"/>
        </w:rPr>
        <w:t> </w:t>
      </w:r>
      <w:r>
        <w:rPr/>
        <w:t>年度的合并及母公</w:t>
      </w:r>
      <w:r>
        <w:rPr>
          <w:w w:val="100"/>
        </w:rPr>
        <w:t> </w:t>
      </w:r>
      <w:r>
        <w:rPr/>
        <w:t>司经营成果和现金流量。</w:t>
      </w:r>
    </w:p>
    <w:p>
      <w:pPr>
        <w:spacing w:line="355" w:lineRule="auto" w:before="3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7" w:lineRule="auto" w:before="32"/>
        <w:ind w:left="138" w:right="0"/>
        <w:jc w:val="left"/>
      </w:pPr>
      <w:r>
        <w:rPr/>
        <w:t>报表审计的责任”部分进一步阐述了我们在这些准则下的责任。按照中国注册会计师职业道德守</w:t>
      </w:r>
      <w:r>
        <w:rPr>
          <w:spacing w:val="-98"/>
        </w:rPr>
        <w:t> </w:t>
      </w:r>
      <w:r>
        <w:rPr>
          <w:spacing w:val="-98"/>
        </w:rPr>
      </w:r>
      <w:r>
        <w:rPr>
          <w:spacing w:val="-1"/>
        </w:rPr>
        <w:t>则，我们独立于</w:t>
      </w:r>
      <w:r>
        <w:rPr>
          <w:rFonts w:ascii="宋体" w:hAnsi="宋体" w:cs="宋体" w:eastAsia="宋体" w:hint="default"/>
          <w:b/>
          <w:bCs/>
          <w:spacing w:val="-1"/>
          <w:sz w:val="24"/>
          <w:szCs w:val="24"/>
        </w:rPr>
        <w:t>错误！未找到引用源。</w:t>
      </w:r>
      <w:r>
        <w:rPr>
          <w:spacing w:val="-1"/>
        </w:rPr>
        <w:t>公司，并履行了职业道德方面的其他责任。我们相信，</w:t>
      </w:r>
      <w:r>
        <w:rPr>
          <w:spacing w:val="-51"/>
        </w:rPr>
        <w:t> </w:t>
      </w:r>
      <w:r>
        <w:rPr>
          <w:spacing w:val="-51"/>
        </w:rPr>
      </w:r>
      <w:r>
        <w:rPr/>
        <w:t>我们获取的审计证据是充分、适当的，为发表审计意见提供了基础。</w:t>
      </w:r>
    </w:p>
    <w:p>
      <w:pPr>
        <w:pStyle w:val="BodyText"/>
        <w:spacing w:line="355" w:lineRule="auto" w:before="30"/>
        <w:ind w:left="558"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360" w:lineRule="auto" w:before="32"/>
        <w:ind w:left="558" w:right="0" w:hanging="420"/>
        <w:jc w:val="left"/>
      </w:pPr>
      <w:r>
        <w:rPr>
          <w:spacing w:val="-2"/>
        </w:rPr>
        <w:t>应对以对财务报表整体进行审计并形成审计意见为背景，我们不对这些事项单独发表意见。</w:t>
      </w:r>
      <w:r>
        <w:rPr>
          <w:spacing w:val="-28"/>
        </w:rPr>
        <w:t> </w:t>
      </w:r>
      <w:r>
        <w:rPr>
          <w:spacing w:val="-28"/>
        </w:rPr>
      </w:r>
      <w:r>
        <w:rPr/>
        <w:t>我们确定下列事项是需要在审计报告中沟通的关键审计事项。</w:t>
      </w:r>
    </w:p>
    <w:p>
      <w:pPr>
        <w:pStyle w:val="BodyText"/>
        <w:tabs>
          <w:tab w:pos="977" w:val="left" w:leader="none"/>
        </w:tabs>
        <w:spacing w:line="240" w:lineRule="auto" w:before="28"/>
        <w:ind w:left="558" w:right="0"/>
        <w:jc w:val="left"/>
      </w:pPr>
      <w:r>
        <w:rPr>
          <w:rFonts w:ascii="宋体" w:hAnsi="宋体" w:cs="宋体" w:eastAsia="宋体" w:hint="default"/>
        </w:rPr>
        <w:t>1.</w:t>
        <w:tab/>
      </w:r>
      <w:r>
        <w:rPr/>
        <w:t>应收账款的减值；</w:t>
      </w:r>
    </w:p>
    <w:p>
      <w:pPr>
        <w:pStyle w:val="BodyText"/>
        <w:tabs>
          <w:tab w:pos="977" w:val="left" w:leader="none"/>
        </w:tabs>
        <w:spacing w:line="240" w:lineRule="auto" w:before="133"/>
        <w:ind w:left="558" w:right="0"/>
        <w:jc w:val="left"/>
      </w:pPr>
      <w:r>
        <w:rPr>
          <w:rFonts w:ascii="宋体" w:hAnsi="宋体" w:cs="宋体" w:eastAsia="宋体" w:hint="default"/>
        </w:rPr>
        <w:t>2.</w:t>
        <w:tab/>
      </w:r>
      <w:r>
        <w:rPr/>
        <w:t>商誉减值。</w:t>
      </w:r>
    </w:p>
    <w:p>
      <w:pPr>
        <w:pStyle w:val="BodyText"/>
        <w:spacing w:line="357" w:lineRule="auto" w:before="133"/>
        <w:ind w:left="558" w:right="5538"/>
        <w:jc w:val="left"/>
      </w:pPr>
      <w:r>
        <w:rPr>
          <w:spacing w:val="-2"/>
        </w:rPr>
        <w:t>（一）应收账款的减值</w:t>
      </w:r>
      <w:r>
        <w:rPr>
          <w:spacing w:val="-85"/>
        </w:rPr>
        <w:t> </w:t>
      </w:r>
      <w:r>
        <w:rPr>
          <w:spacing w:val="-85"/>
        </w:rPr>
      </w:r>
      <w:r>
        <w:rPr>
          <w:rFonts w:ascii="宋体" w:hAnsi="宋体" w:cs="宋体" w:eastAsia="宋体" w:hint="default"/>
        </w:rPr>
        <w:t>1.</w:t>
      </w:r>
      <w:r>
        <w:rPr/>
        <w:t>事项描述</w:t>
      </w:r>
    </w:p>
    <w:p>
      <w:pPr>
        <w:pStyle w:val="BodyText"/>
        <w:spacing w:line="240" w:lineRule="auto" w:before="30"/>
        <w:ind w:left="558" w:right="0"/>
        <w:jc w:val="left"/>
      </w:pPr>
      <w:r>
        <w:rPr/>
        <w:t>请参阅合并财务报表附注六</w:t>
      </w:r>
      <w:r>
        <w:rPr>
          <w:rFonts w:ascii="宋体" w:hAnsi="宋体" w:cs="宋体" w:eastAsia="宋体" w:hint="default"/>
        </w:rPr>
        <w:t>-</w:t>
      </w:r>
      <w:r>
        <w:rPr/>
        <w:t>注释</w:t>
      </w:r>
      <w:r>
        <w:rPr>
          <w:spacing w:val="-55"/>
        </w:rPr>
        <w:t> </w:t>
      </w:r>
      <w:r>
        <w:rPr>
          <w:rFonts w:ascii="宋体" w:hAnsi="宋体" w:cs="宋体" w:eastAsia="宋体" w:hint="default"/>
        </w:rPr>
        <w:t>3</w:t>
      </w:r>
      <w:r>
        <w:rPr/>
        <w:t>。截至</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日，金证股份公司应收账款账面</w:t>
      </w:r>
    </w:p>
    <w:p>
      <w:pPr>
        <w:pStyle w:val="BodyText"/>
        <w:spacing w:line="355" w:lineRule="auto" w:before="133"/>
        <w:ind w:left="558" w:right="0" w:hanging="420"/>
        <w:jc w:val="left"/>
      </w:pPr>
      <w:r>
        <w:rPr/>
        <w:t>余额为人民币</w:t>
      </w:r>
      <w:r>
        <w:rPr>
          <w:spacing w:val="-54"/>
        </w:rPr>
        <w:t> </w:t>
      </w:r>
      <w:r>
        <w:rPr>
          <w:rFonts w:ascii="宋体" w:hAnsi="宋体" w:cs="宋体" w:eastAsia="宋体" w:hint="default"/>
        </w:rPr>
        <w:t>625,962,959.22</w:t>
      </w:r>
      <w:r>
        <w:rPr>
          <w:rFonts w:ascii="宋体" w:hAnsi="宋体" w:cs="宋体" w:eastAsia="宋体" w:hint="default"/>
          <w:spacing w:val="-56"/>
        </w:rPr>
        <w:t> </w:t>
      </w:r>
      <w:r>
        <w:rPr/>
        <w:t>元，占资产总额的</w:t>
      </w:r>
      <w:r>
        <w:rPr>
          <w:spacing w:val="-54"/>
        </w:rPr>
        <w:t> </w:t>
      </w:r>
      <w:r>
        <w:rPr>
          <w:rFonts w:ascii="宋体" w:hAnsi="宋体" w:cs="宋体" w:eastAsia="宋体" w:hint="default"/>
        </w:rPr>
        <w:t>13.77%</w:t>
      </w:r>
      <w:r>
        <w:rPr>
          <w:rFonts w:ascii="宋体" w:hAnsi="宋体" w:cs="宋体" w:eastAsia="宋体" w:hint="default"/>
          <w:w w:val="100"/>
        </w:rPr>
        <w:t> </w:t>
      </w:r>
      <w:r>
        <w:rPr>
          <w:spacing w:val="-2"/>
        </w:rPr>
        <w:t>管理层定期对重大客户进行单独的信用风险评估。对该等评估重点关注客户的历史结算记录</w:t>
      </w:r>
    </w:p>
    <w:p>
      <w:pPr>
        <w:pStyle w:val="BodyText"/>
        <w:spacing w:line="240" w:lineRule="auto" w:before="32"/>
        <w:ind w:left="138" w:right="0"/>
        <w:jc w:val="left"/>
      </w:pPr>
      <w:r>
        <w:rPr/>
        <w:t>及当前支付能力，并考虑客户自身及其所处行业的经济环境的特定信息。对于无须进行单独评估</w:t>
      </w:r>
    </w:p>
    <w:p>
      <w:pPr>
        <w:spacing w:after="0" w:line="240" w:lineRule="auto"/>
        <w:jc w:val="left"/>
        <w:sectPr>
          <w:type w:val="continuous"/>
          <w:pgSz w:w="11910" w:h="16840"/>
          <w:pgMar w:top="1120" w:bottom="1380" w:left="1660" w:right="1040"/>
        </w:sectPr>
      </w:pPr>
    </w:p>
    <w:p>
      <w:pPr>
        <w:spacing w:line="240" w:lineRule="auto" w:before="9"/>
        <w:rPr>
          <w:rFonts w:ascii="宋体" w:hAnsi="宋体" w:cs="宋体" w:eastAsia="宋体" w:hint="default"/>
          <w:sz w:val="25"/>
          <w:szCs w:val="25"/>
        </w:rPr>
      </w:pPr>
    </w:p>
    <w:p>
      <w:pPr>
        <w:pStyle w:val="BodyText"/>
        <w:spacing w:line="357" w:lineRule="auto" w:before="36"/>
        <w:ind w:left="138" w:right="101"/>
        <w:jc w:val="left"/>
      </w:pPr>
      <w:r>
        <w:rPr>
          <w:spacing w:val="-2"/>
        </w:rPr>
        <w:t>或单独评估未发生减值的应收款项，管理层在考虑该等客户组账龄分析及发生减值损失的历史记</w:t>
      </w:r>
      <w:r>
        <w:rPr>
          <w:spacing w:val="-25"/>
        </w:rPr>
        <w:t> </w:t>
      </w:r>
      <w:r>
        <w:rPr>
          <w:spacing w:val="-25"/>
        </w:rPr>
      </w:r>
      <w:r>
        <w:rPr/>
        <w:t>录基础上实施了组合减值评估。</w:t>
      </w:r>
    </w:p>
    <w:p>
      <w:pPr>
        <w:pStyle w:val="BodyText"/>
        <w:spacing w:line="355" w:lineRule="auto" w:before="30"/>
        <w:ind w:left="138" w:right="217" w:firstLine="419"/>
        <w:jc w:val="both"/>
      </w:pPr>
      <w:r>
        <w:rPr>
          <w:spacing w:val="-2"/>
        </w:rPr>
        <w:t>由于应收账款可收回性的确定需要管理层识别已发生减值的项目和客观证据、评估预期未来</w:t>
      </w:r>
      <w:r>
        <w:rPr>
          <w:w w:val="100"/>
        </w:rPr>
        <w:t> </w:t>
      </w:r>
      <w:r>
        <w:rPr>
          <w:spacing w:val="-2"/>
        </w:rPr>
        <w:t>可获取的现金流量并确定其现值，涉及管理层运用重大会计估计和判断，且应收账款的可收回性</w:t>
      </w:r>
      <w:r>
        <w:rPr>
          <w:spacing w:val="-25"/>
        </w:rPr>
        <w:t> </w:t>
      </w:r>
      <w:r>
        <w:rPr>
          <w:spacing w:val="-25"/>
        </w:rPr>
      </w:r>
      <w:r>
        <w:rPr/>
        <w:t>对于财务报表具有重要性，因此，我们将应收账款的可收回性认定为关键审计事项。</w:t>
      </w:r>
    </w:p>
    <w:p>
      <w:pPr>
        <w:pStyle w:val="BodyText"/>
        <w:spacing w:line="357" w:lineRule="auto" w:before="32"/>
        <w:ind w:left="558" w:right="3424" w:firstLine="7"/>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10"/>
        </w:rPr>
        <w:t> </w:t>
      </w:r>
      <w:r>
        <w:rPr/>
        <w:t>审计应对</w:t>
      </w:r>
      <w:r>
        <w:rPr>
          <w:w w:val="100"/>
        </w:rPr>
        <w:t> </w:t>
      </w:r>
      <w:r>
        <w:rPr>
          <w:spacing w:val="-2"/>
        </w:rPr>
        <w:t>我们针对应收账款的减值实施的主要审计程序包括：</w:t>
      </w:r>
    </w:p>
    <w:p>
      <w:pPr>
        <w:pStyle w:val="BodyText"/>
        <w:spacing w:line="357" w:lineRule="auto" w:before="30"/>
        <w:ind w:left="138" w:right="101" w:firstLine="419"/>
        <w:jc w:val="left"/>
      </w:pPr>
      <w:r>
        <w:rPr>
          <w:spacing w:val="-2"/>
        </w:rPr>
        <w:t>（</w:t>
      </w:r>
      <w:r>
        <w:rPr>
          <w:rFonts w:ascii="宋体" w:hAnsi="宋体" w:cs="宋体" w:eastAsia="宋体" w:hint="default"/>
          <w:spacing w:val="-2"/>
        </w:rPr>
        <w:t>1</w:t>
      </w:r>
      <w:r>
        <w:rPr>
          <w:spacing w:val="-2"/>
        </w:rPr>
        <w:t>）对与应收账款日常管理及可收回性评估相关的内部控制的设计及运行有效性进行了解、</w:t>
      </w:r>
      <w:r>
        <w:rPr>
          <w:w w:val="100"/>
        </w:rPr>
        <w:t> </w:t>
      </w:r>
      <w:r>
        <w:rPr/>
        <w:t>评估及测试；</w:t>
      </w:r>
    </w:p>
    <w:p>
      <w:pPr>
        <w:pStyle w:val="BodyText"/>
        <w:spacing w:line="357" w:lineRule="auto" w:before="30"/>
        <w:ind w:left="138" w:right="96" w:firstLine="419"/>
        <w:jc w:val="left"/>
      </w:pPr>
      <w:r>
        <w:rPr>
          <w:spacing w:val="-6"/>
          <w:w w:val="100"/>
        </w:rPr>
        <w:t>（</w:t>
      </w:r>
      <w:r>
        <w:rPr>
          <w:rFonts w:ascii="宋体" w:hAnsi="宋体" w:cs="宋体" w:eastAsia="宋体" w:hint="default"/>
          <w:spacing w:val="-6"/>
          <w:w w:val="100"/>
        </w:rPr>
        <w:t>2</w:t>
      </w:r>
      <w:r>
        <w:rPr>
          <w:spacing w:val="-6"/>
          <w:w w:val="100"/>
        </w:rPr>
        <w:t>）分析主要客户应收账款账龄和客户信誉情况，并执行应收账款函证及期后回款检查程序，</w:t>
      </w:r>
      <w:r>
        <w:rPr>
          <w:w w:val="100"/>
        </w:rPr>
        <w:t> </w:t>
      </w:r>
      <w:r>
        <w:rPr/>
        <w:t>评价应收账款坏账准备计提的合理性；</w:t>
      </w:r>
    </w:p>
    <w:p>
      <w:pPr>
        <w:pStyle w:val="BodyText"/>
        <w:spacing w:line="355" w:lineRule="auto" w:before="30"/>
        <w:ind w:left="138" w:right="208" w:firstLine="419"/>
        <w:jc w:val="both"/>
      </w:pPr>
      <w:r>
        <w:rPr>
          <w:spacing w:val="-4"/>
        </w:rPr>
        <w:t>（</w:t>
      </w:r>
      <w:r>
        <w:rPr>
          <w:rFonts w:ascii="宋体" w:hAnsi="宋体" w:cs="宋体" w:eastAsia="宋体" w:hint="default"/>
          <w:spacing w:val="-4"/>
        </w:rPr>
        <w:t>3</w:t>
      </w:r>
      <w:r>
        <w:rPr>
          <w:spacing w:val="-4"/>
        </w:rPr>
        <w:t>）我们将前期坏账准备的会计估计与本期实际发生的坏账损失及坏账准备转回情况、坏账</w:t>
      </w:r>
      <w:r>
        <w:rPr>
          <w:w w:val="100"/>
        </w:rPr>
        <w:t> </w:t>
      </w:r>
      <w:r>
        <w:rPr/>
        <w:t>准备计提情况进行对比，以评估所使用的方法以及减值准备计提比例的恰当性；</w:t>
      </w:r>
    </w:p>
    <w:p>
      <w:pPr>
        <w:pStyle w:val="BodyText"/>
        <w:spacing w:line="355" w:lineRule="auto" w:before="32"/>
        <w:ind w:left="138" w:right="208" w:firstLine="419"/>
        <w:jc w:val="both"/>
      </w:pPr>
      <w:r>
        <w:rPr>
          <w:spacing w:val="-4"/>
        </w:rPr>
        <w:t>（</w:t>
      </w:r>
      <w:r>
        <w:rPr>
          <w:rFonts w:ascii="宋体" w:hAnsi="宋体" w:cs="宋体" w:eastAsia="宋体" w:hint="default"/>
          <w:spacing w:val="-4"/>
        </w:rPr>
        <w:t>4</w:t>
      </w:r>
      <w:r>
        <w:rPr>
          <w:spacing w:val="-4"/>
        </w:rPr>
        <w:t>）根据抽样原则，检查与应收账款余额相关的销售发票、销售合同、销售台账以及验收报</w:t>
      </w:r>
      <w:r>
        <w:rPr>
          <w:w w:val="100"/>
        </w:rPr>
        <w:t> </w:t>
      </w:r>
      <w:r>
        <w:rPr/>
        <w:t>告等原始资料，以确认应收账款余额记录的准确性；</w:t>
      </w:r>
    </w:p>
    <w:p>
      <w:pPr>
        <w:pStyle w:val="BodyText"/>
        <w:spacing w:line="357" w:lineRule="auto" w:before="34"/>
        <w:ind w:left="138" w:right="208" w:firstLine="419"/>
        <w:jc w:val="both"/>
      </w:pPr>
      <w:r>
        <w:rPr>
          <w:spacing w:val="-4"/>
        </w:rPr>
        <w:t>（</w:t>
      </w:r>
      <w:r>
        <w:rPr>
          <w:rFonts w:ascii="宋体" w:hAnsi="宋体" w:cs="宋体" w:eastAsia="宋体" w:hint="default"/>
          <w:spacing w:val="-4"/>
        </w:rPr>
        <w:t>5</w:t>
      </w:r>
      <w:r>
        <w:rPr>
          <w:spacing w:val="-4"/>
        </w:rPr>
        <w:t>）获取公司坏账准备计提表，检查计提方法是否按照坏账政策执行，重新计算坏账准备计</w:t>
      </w:r>
      <w:r>
        <w:rPr>
          <w:w w:val="100"/>
        </w:rPr>
        <w:t> </w:t>
      </w:r>
      <w:r>
        <w:rPr/>
        <w:t>提是否准确；</w:t>
      </w:r>
    </w:p>
    <w:p>
      <w:pPr>
        <w:pStyle w:val="BodyText"/>
        <w:spacing w:line="355" w:lineRule="auto" w:before="30"/>
        <w:ind w:left="558" w:right="101"/>
        <w:jc w:val="left"/>
      </w:pPr>
      <w:r>
        <w:rPr/>
        <w:t>（</w:t>
      </w:r>
      <w:r>
        <w:rPr>
          <w:rFonts w:ascii="宋体" w:hAnsi="宋体" w:cs="宋体" w:eastAsia="宋体" w:hint="default"/>
        </w:rPr>
        <w:t>6</w:t>
      </w:r>
      <w:r>
        <w:rPr/>
        <w:t>）评估管理层于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日对应收账款坏账准备的会计处理及披露。</w:t>
      </w:r>
      <w:r>
        <w:rPr>
          <w:spacing w:val="-100"/>
        </w:rPr>
        <w:t> </w:t>
      </w:r>
      <w:r>
        <w:rPr>
          <w:spacing w:val="-100"/>
        </w:rPr>
      </w:r>
      <w:r>
        <w:rPr>
          <w:spacing w:val="-2"/>
        </w:rPr>
        <w:t>基于已执行的审计工作，我们得出审计结论，管理层对应收账款的可收回性的相关判断及估</w:t>
      </w:r>
    </w:p>
    <w:p>
      <w:pPr>
        <w:pStyle w:val="BodyText"/>
        <w:spacing w:line="240" w:lineRule="auto" w:before="32"/>
        <w:ind w:left="138" w:right="101"/>
        <w:jc w:val="left"/>
      </w:pPr>
      <w:r>
        <w:rPr/>
        <w:t>计是合理的。</w:t>
      </w:r>
    </w:p>
    <w:p>
      <w:pPr>
        <w:pStyle w:val="BodyText"/>
        <w:spacing w:line="355" w:lineRule="auto" w:before="135"/>
        <w:ind w:left="558" w:right="7145"/>
        <w:jc w:val="left"/>
      </w:pPr>
      <w:r>
        <w:rPr>
          <w:spacing w:val="-1"/>
        </w:rPr>
        <w:t>（二）商誉减值</w:t>
      </w:r>
      <w:r>
        <w:rPr>
          <w:spacing w:val="-96"/>
        </w:rPr>
        <w:t> </w:t>
      </w:r>
      <w:r>
        <w:rPr>
          <w:spacing w:val="-96"/>
        </w:rPr>
      </w:r>
      <w:r>
        <w:rPr>
          <w:rFonts w:ascii="宋体" w:hAnsi="宋体" w:cs="宋体" w:eastAsia="宋体" w:hint="default"/>
        </w:rPr>
        <w:t>1.</w:t>
      </w:r>
      <w:r>
        <w:rPr/>
        <w:t>事项描述</w:t>
      </w:r>
    </w:p>
    <w:p>
      <w:pPr>
        <w:pStyle w:val="BodyText"/>
        <w:spacing w:line="357" w:lineRule="auto" w:before="32"/>
        <w:ind w:left="138" w:right="207" w:firstLine="419"/>
        <w:jc w:val="both"/>
      </w:pPr>
      <w:r>
        <w:rPr/>
        <w:t>请参阅合并财务报表附注六</w:t>
      </w:r>
      <w:r>
        <w:rPr>
          <w:rFonts w:ascii="宋体" w:hAnsi="宋体" w:cs="宋体" w:eastAsia="宋体" w:hint="default"/>
        </w:rPr>
        <w:t>-</w:t>
      </w:r>
      <w:r>
        <w:rPr/>
        <w:t>注释</w:t>
      </w:r>
      <w:r>
        <w:rPr>
          <w:spacing w:val="5"/>
        </w:rPr>
        <w:t> </w:t>
      </w:r>
      <w:r>
        <w:rPr>
          <w:rFonts w:ascii="宋体" w:hAnsi="宋体" w:cs="宋体" w:eastAsia="宋体" w:hint="default"/>
        </w:rPr>
        <w:t>14</w:t>
      </w:r>
      <w:r>
        <w:rPr/>
        <w:t>，金证股份公司形成的商誉为非同一控制下合并产生，</w:t>
      </w:r>
      <w:r>
        <w:rPr>
          <w:w w:val="100"/>
        </w:rPr>
        <w:t> </w:t>
      </w:r>
      <w:r>
        <w:rPr/>
        <w:t>截止</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日，金证股份公司合并报表中商誉的账面价值为</w:t>
      </w:r>
      <w:r>
        <w:rPr>
          <w:spacing w:val="-53"/>
        </w:rPr>
        <w:t> </w:t>
      </w:r>
      <w:r>
        <w:rPr>
          <w:rFonts w:ascii="宋体" w:hAnsi="宋体" w:cs="宋体" w:eastAsia="宋体" w:hint="default"/>
        </w:rPr>
        <w:t>291,566,151.16</w:t>
      </w:r>
      <w:r>
        <w:rPr>
          <w:rFonts w:ascii="宋体" w:hAnsi="宋体" w:cs="宋体" w:eastAsia="宋体" w:hint="default"/>
          <w:spacing w:val="-54"/>
        </w:rPr>
        <w:t> </w:t>
      </w:r>
      <w:r>
        <w:rPr/>
        <w:t>元，商誉</w:t>
      </w:r>
      <w:r>
        <w:rPr>
          <w:w w:val="100"/>
        </w:rPr>
        <w:t> </w:t>
      </w:r>
      <w:r>
        <w:rPr/>
        <w:t>减值准备为</w:t>
      </w:r>
      <w:r>
        <w:rPr>
          <w:spacing w:val="-58"/>
        </w:rPr>
        <w:t> </w:t>
      </w:r>
      <w:r>
        <w:rPr>
          <w:rFonts w:ascii="宋体" w:hAnsi="宋体" w:cs="宋体" w:eastAsia="宋体" w:hint="default"/>
        </w:rPr>
        <w:t>0.00</w:t>
      </w:r>
      <w:r>
        <w:rPr>
          <w:rFonts w:ascii="宋体" w:hAnsi="宋体" w:cs="宋体" w:eastAsia="宋体" w:hint="default"/>
          <w:spacing w:val="-58"/>
        </w:rPr>
        <w:t> </w:t>
      </w:r>
      <w:r>
        <w:rPr>
          <w:spacing w:val="-5"/>
        </w:rPr>
        <w:t>元，占资产总额</w:t>
      </w:r>
      <w:r>
        <w:rPr>
          <w:spacing w:val="-57"/>
        </w:rPr>
        <w:t> </w:t>
      </w:r>
      <w:r>
        <w:rPr>
          <w:rFonts w:ascii="宋体" w:hAnsi="宋体" w:cs="宋体" w:eastAsia="宋体" w:hint="default"/>
        </w:rPr>
        <w:t>6.41%</w:t>
      </w:r>
      <w:r>
        <w:rPr/>
        <w:t>。金证股份公司形成的商誉主要是非同一控制下合并子公</w:t>
      </w:r>
      <w:r>
        <w:rPr>
          <w:w w:val="100"/>
        </w:rPr>
        <w:t> </w:t>
      </w:r>
      <w:r>
        <w:rPr/>
        <w:t>司北京联龙博通电子商务技术有限公司产生。</w:t>
      </w:r>
    </w:p>
    <w:p>
      <w:pPr>
        <w:pStyle w:val="BodyText"/>
        <w:spacing w:line="357" w:lineRule="auto" w:before="30"/>
        <w:ind w:left="138" w:right="208" w:firstLine="419"/>
        <w:jc w:val="both"/>
      </w:pPr>
      <w:r>
        <w:rPr>
          <w:spacing w:val="-2"/>
        </w:rPr>
        <w:t>管理层在每年年终对商誉进行减值测试，并依据减值测试的结果调整商誉的账面价值。由于</w:t>
      </w:r>
      <w:r>
        <w:rPr>
          <w:w w:val="100"/>
        </w:rPr>
        <w:t> </w:t>
      </w:r>
      <w:r>
        <w:rPr>
          <w:spacing w:val="-1"/>
        </w:rPr>
        <w:t>商誉减值测试的结果很大程度上依赖于管理层所做的估计和采用的假设，特别是在预测相关资产</w:t>
      </w:r>
      <w:r>
        <w:rPr>
          <w:spacing w:val="-55"/>
        </w:rPr>
        <w:t> </w:t>
      </w:r>
      <w:r>
        <w:rPr>
          <w:spacing w:val="-55"/>
        </w:rPr>
      </w:r>
      <w:r>
        <w:rPr>
          <w:spacing w:val="-1"/>
        </w:rPr>
        <w:t>组的未来收入及长期收入增长率、毛利率、经营费用、折现率等涉及管理层的重大判断。该等估</w:t>
      </w:r>
      <w:r>
        <w:rPr>
          <w:spacing w:val="-55"/>
        </w:rPr>
        <w:t> </w:t>
      </w:r>
      <w:r>
        <w:rPr>
          <w:spacing w:val="-55"/>
        </w:rPr>
      </w:r>
      <w:r>
        <w:rPr>
          <w:spacing w:val="-1"/>
        </w:rPr>
        <w:t>计均存在固定不确定性，受管理层对未来市场以及对经济环境判断的影响，采用不同的估计和假</w:t>
      </w:r>
      <w:r>
        <w:rPr>
          <w:spacing w:val="-55"/>
        </w:rPr>
        <w:t> </w:t>
      </w:r>
      <w:r>
        <w:rPr>
          <w:spacing w:val="-55"/>
        </w:rPr>
      </w:r>
      <w:r>
        <w:rPr/>
        <w:t>设会对评估的商誉可收回价值有很大的影响。</w:t>
      </w:r>
    </w:p>
    <w:p>
      <w:pPr>
        <w:pStyle w:val="BodyText"/>
        <w:spacing w:line="357" w:lineRule="auto" w:before="30"/>
        <w:ind w:left="138" w:right="210" w:firstLine="419"/>
        <w:jc w:val="both"/>
      </w:pPr>
      <w:r>
        <w:rPr>
          <w:spacing w:val="-2"/>
        </w:rPr>
        <w:t>由于商誉金额重大，且管理层需要作出重大判断，因此我们将商誉的减值确定为关键审计事</w:t>
      </w:r>
      <w:r>
        <w:rPr>
          <w:w w:val="100"/>
        </w:rPr>
        <w:t> </w:t>
      </w:r>
      <w:r>
        <w:rPr/>
        <w:t>项。</w:t>
      </w:r>
    </w:p>
    <w:p>
      <w:pPr>
        <w:pStyle w:val="BodyText"/>
        <w:spacing w:line="240" w:lineRule="auto" w:before="32"/>
        <w:ind w:left="558" w:right="101"/>
        <w:jc w:val="left"/>
      </w:pPr>
      <w:r>
        <w:rPr>
          <w:rFonts w:ascii="宋体" w:hAnsi="宋体" w:cs="宋体" w:eastAsia="宋体" w:hint="default"/>
        </w:rPr>
        <w:t>2.</w:t>
      </w:r>
      <w:r>
        <w:rPr/>
        <w:t>审计应对</w:t>
      </w:r>
    </w:p>
    <w:p>
      <w:pPr>
        <w:spacing w:after="0" w:line="240"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36"/>
        <w:ind w:left="558" w:right="101"/>
        <w:jc w:val="left"/>
      </w:pPr>
      <w:r>
        <w:rPr/>
        <w:t>我们针对商誉减值实施的主要审计程序包括：</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558" w:right="101"/>
        <w:jc w:val="left"/>
      </w:pPr>
      <w:r>
        <w:rPr/>
        <w:t>（</w:t>
      </w:r>
      <w:r>
        <w:rPr>
          <w:rFonts w:ascii="宋体" w:hAnsi="宋体" w:cs="宋体" w:eastAsia="宋体" w:hint="default"/>
        </w:rPr>
        <w:t>1</w:t>
      </w:r>
      <w:r>
        <w:rPr/>
        <w:t>）评价与管理层确定商誉可收回金额相关的关键内部控制的设计和运行的有效性；</w:t>
      </w:r>
    </w:p>
    <w:p>
      <w:pPr>
        <w:pStyle w:val="BodyText"/>
        <w:spacing w:line="355" w:lineRule="auto" w:before="133"/>
        <w:ind w:left="138" w:right="101" w:firstLine="419"/>
        <w:jc w:val="left"/>
      </w:pPr>
      <w:r>
        <w:rPr>
          <w:spacing w:val="-1"/>
        </w:rPr>
        <w:t>（</w:t>
      </w:r>
      <w:r>
        <w:rPr>
          <w:rFonts w:ascii="宋体" w:hAnsi="宋体" w:cs="宋体" w:eastAsia="宋体" w:hint="default"/>
          <w:spacing w:val="-1"/>
        </w:rPr>
        <w:t>2</w:t>
      </w:r>
      <w:r>
        <w:rPr>
          <w:spacing w:val="-1"/>
        </w:rPr>
        <w:t>）与公司管理层讨论商誉减值测试过程中所使用的方法、关键评估的假设、参数的选择、</w:t>
      </w:r>
      <w:r>
        <w:rPr>
          <w:w w:val="100"/>
        </w:rPr>
        <w:t> </w:t>
      </w:r>
      <w:r>
        <w:rPr/>
        <w:t>预测未来收入及现金流折现率等的合理性；</w:t>
      </w:r>
    </w:p>
    <w:p>
      <w:pPr>
        <w:pStyle w:val="BodyText"/>
        <w:spacing w:line="357" w:lineRule="auto" w:before="32"/>
        <w:ind w:left="138" w:right="101" w:firstLine="419"/>
        <w:jc w:val="left"/>
      </w:pPr>
      <w:r>
        <w:rPr>
          <w:spacing w:val="-4"/>
        </w:rPr>
        <w:t>（</w:t>
      </w:r>
      <w:r>
        <w:rPr>
          <w:rFonts w:ascii="宋体" w:hAnsi="宋体" w:cs="宋体" w:eastAsia="宋体" w:hint="default"/>
          <w:spacing w:val="-4"/>
        </w:rPr>
        <w:t>3</w:t>
      </w:r>
      <w:r>
        <w:rPr>
          <w:spacing w:val="-4"/>
        </w:rPr>
        <w:t>）与公司管理层聘请的外部评估机构专家等讨论商誉减值测试过程中所使用的方法、关键</w:t>
      </w:r>
      <w:r>
        <w:rPr>
          <w:w w:val="100"/>
        </w:rPr>
        <w:t> </w:t>
      </w:r>
      <w:r>
        <w:rPr/>
        <w:t>评估的假设、参数的选择、预测未来收入及现金流折现率等的合理性；</w:t>
      </w:r>
    </w:p>
    <w:p>
      <w:pPr>
        <w:pStyle w:val="BodyText"/>
        <w:spacing w:line="240" w:lineRule="auto" w:before="30"/>
        <w:ind w:left="558" w:right="101"/>
        <w:jc w:val="left"/>
      </w:pPr>
      <w:r>
        <w:rPr/>
        <w:t>（</w:t>
      </w:r>
      <w:r>
        <w:rPr>
          <w:rFonts w:ascii="宋体" w:hAnsi="宋体" w:cs="宋体" w:eastAsia="宋体" w:hint="default"/>
        </w:rPr>
        <w:t>4</w:t>
      </w:r>
      <w:r>
        <w:rPr/>
        <w:t>）评价由公司管理层聘请的外部评估机构的独立性、客观性、经验和资质；</w:t>
      </w:r>
    </w:p>
    <w:p>
      <w:pPr>
        <w:pStyle w:val="BodyText"/>
        <w:spacing w:line="240" w:lineRule="auto" w:before="133"/>
        <w:ind w:left="558" w:right="101"/>
        <w:jc w:val="left"/>
      </w:pPr>
      <w:r>
        <w:rPr/>
        <w:t>（</w:t>
      </w:r>
      <w:r>
        <w:rPr>
          <w:rFonts w:ascii="宋体" w:hAnsi="宋体" w:cs="宋体" w:eastAsia="宋体" w:hint="default"/>
        </w:rPr>
        <w:t>5</w:t>
      </w:r>
      <w:r>
        <w:rPr/>
        <w:t>）测试未来现金流量净现值的计算是否准确；</w:t>
      </w:r>
    </w:p>
    <w:p>
      <w:pPr>
        <w:pStyle w:val="BodyText"/>
        <w:spacing w:line="357" w:lineRule="auto" w:before="133"/>
        <w:ind w:left="558" w:right="101"/>
        <w:jc w:val="left"/>
      </w:pPr>
      <w:r>
        <w:rPr>
          <w:spacing w:val="-12"/>
          <w:w w:val="100"/>
        </w:rPr>
        <w:t>（</w:t>
      </w:r>
      <w:r>
        <w:rPr>
          <w:rFonts w:ascii="宋体" w:hAnsi="宋体" w:cs="宋体" w:eastAsia="宋体" w:hint="default"/>
          <w:spacing w:val="-12"/>
          <w:w w:val="100"/>
        </w:rPr>
        <w:t>6</w:t>
      </w:r>
      <w:r>
        <w:rPr>
          <w:spacing w:val="-12"/>
          <w:w w:val="100"/>
        </w:rPr>
        <w:t>）评估管理层于</w:t>
      </w:r>
      <w:r>
        <w:rPr>
          <w:spacing w:val="-54"/>
          <w:w w:val="100"/>
        </w:rPr>
        <w:t> </w:t>
      </w:r>
      <w:r>
        <w:rPr>
          <w:rFonts w:ascii="宋体" w:hAnsi="宋体" w:cs="宋体" w:eastAsia="宋体" w:hint="default"/>
          <w:w w:val="100"/>
        </w:rPr>
        <w:t>2017</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spacing w:val="-6"/>
          <w:w w:val="100"/>
        </w:rPr>
        <w:t>日对商誉及其减值估计结果、财务报表的披露是否恰当。</w:t>
      </w:r>
      <w:r>
        <w:rPr>
          <w:w w:val="100"/>
        </w:rPr>
        <w:t> </w:t>
      </w:r>
      <w:r>
        <w:rPr>
          <w:spacing w:val="-2"/>
        </w:rPr>
        <w:t>基于已执行的审计工作，我们得出审计结论，管理层在商誉减值测试中作出的判断是可接受</w:t>
      </w:r>
    </w:p>
    <w:p>
      <w:pPr>
        <w:pStyle w:val="BodyText"/>
        <w:spacing w:line="240" w:lineRule="auto" w:before="30"/>
        <w:ind w:left="138" w:right="101"/>
        <w:jc w:val="left"/>
      </w:pPr>
      <w:r>
        <w:rPr/>
        <w:t>的。</w:t>
      </w:r>
    </w:p>
    <w:p>
      <w:pPr>
        <w:pStyle w:val="Heading4"/>
        <w:spacing w:line="240" w:lineRule="auto" w:before="133"/>
        <w:ind w:left="560" w:right="101"/>
        <w:jc w:val="left"/>
        <w:rPr>
          <w:b w:val="0"/>
          <w:bCs w:val="0"/>
        </w:rPr>
      </w:pPr>
      <w:r>
        <w:rPr/>
        <w:t>四、其他信息</w:t>
      </w:r>
      <w:r>
        <w:rPr>
          <w:b w:val="0"/>
          <w:bCs w:val="0"/>
        </w:rPr>
      </w:r>
    </w:p>
    <w:p>
      <w:pPr>
        <w:pStyle w:val="BodyText"/>
        <w:spacing w:line="355" w:lineRule="auto" w:before="133"/>
        <w:ind w:left="138" w:right="101" w:firstLine="419"/>
        <w:jc w:val="left"/>
      </w:pPr>
      <w:r>
        <w:rPr>
          <w:spacing w:val="-4"/>
        </w:rPr>
        <w:t>金证股份公司管理层对其他信息负责。其他信息包括 </w:t>
      </w:r>
      <w:r>
        <w:rPr>
          <w:rFonts w:ascii="宋体" w:hAnsi="宋体" w:cs="宋体" w:eastAsia="宋体" w:hint="default"/>
        </w:rPr>
        <w:t>2017</w:t>
      </w:r>
      <w:r>
        <w:rPr>
          <w:rFonts w:ascii="宋体" w:hAnsi="宋体" w:cs="宋体" w:eastAsia="宋体" w:hint="default"/>
          <w:spacing w:val="-49"/>
        </w:rPr>
        <w:t> </w:t>
      </w:r>
      <w:r>
        <w:rPr>
          <w:spacing w:val="-5"/>
        </w:rPr>
        <w:t>年度报告中涵盖的信息，但不包括</w:t>
      </w:r>
      <w:r>
        <w:rPr>
          <w:w w:val="100"/>
        </w:rPr>
        <w:t> </w:t>
      </w:r>
      <w:r>
        <w:rPr/>
        <w:t>财务报表和我们的审计报告。</w:t>
      </w:r>
    </w:p>
    <w:p>
      <w:pPr>
        <w:pStyle w:val="BodyText"/>
        <w:spacing w:line="357" w:lineRule="auto" w:before="34"/>
        <w:ind w:left="138" w:right="101"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30"/>
        <w:ind w:left="138" w:right="101" w:firstLine="419"/>
        <w:jc w:val="left"/>
      </w:pPr>
      <w:r>
        <w:rPr>
          <w:spacing w:val="-2"/>
        </w:rPr>
        <w:t>结合我们对财务报表的审计，我们的责任是阅读其他信息，在此过程中，考虑其他信息是否</w:t>
      </w:r>
      <w:r>
        <w:rPr>
          <w:w w:val="100"/>
        </w:rPr>
        <w:t> </w:t>
      </w:r>
      <w:r>
        <w:rPr/>
        <w:t>与财务报表或我们在审计过程中了解的情况存在重大不一致或者似乎存在重大错报。</w:t>
      </w:r>
    </w:p>
    <w:p>
      <w:pPr>
        <w:pStyle w:val="BodyText"/>
        <w:spacing w:line="357" w:lineRule="auto" w:before="32"/>
        <w:ind w:left="138" w:right="101"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355" w:lineRule="auto" w:before="30"/>
        <w:ind w:left="558" w:right="101"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金证股份公司管理层负责按照企业会计准则的规定编制财务报表，使其实现公允反映，并设</w:t>
      </w:r>
    </w:p>
    <w:p>
      <w:pPr>
        <w:pStyle w:val="BodyText"/>
        <w:spacing w:line="360" w:lineRule="auto" w:before="32"/>
        <w:ind w:left="558" w:right="101" w:hanging="420"/>
        <w:jc w:val="left"/>
      </w:pPr>
      <w:r>
        <w:rPr/>
        <w:t>计、执行和维护必要的内部控制，以使财务报表不存在由于舞弊或错误导致的重大错报。</w:t>
      </w:r>
      <w:r>
        <w:rPr>
          <w:w w:val="100"/>
        </w:rPr>
        <w:t> </w:t>
      </w:r>
      <w:r>
        <w:rPr>
          <w:spacing w:val="-2"/>
        </w:rPr>
        <w:t>在编制财务报表时，金证股份公司管理层负责评估金证股份公司的持续经营能力，披露与持</w:t>
      </w:r>
    </w:p>
    <w:p>
      <w:pPr>
        <w:pStyle w:val="BodyText"/>
        <w:spacing w:line="355" w:lineRule="auto" w:before="28"/>
        <w:ind w:left="138" w:right="101"/>
        <w:jc w:val="left"/>
      </w:pPr>
      <w:r>
        <w:rPr>
          <w:spacing w:val="-1"/>
        </w:rPr>
        <w:t>续经营相关的事项（如适用），并运用持续经营假设，除非管理层计划清算金证股份公司、终止</w:t>
      </w:r>
      <w:r>
        <w:rPr>
          <w:spacing w:val="-56"/>
        </w:rPr>
        <w:t> </w:t>
      </w:r>
      <w:r>
        <w:rPr>
          <w:spacing w:val="-56"/>
        </w:rPr>
      </w:r>
      <w:r>
        <w:rPr/>
        <w:t>运营或别无其他现实的选择。</w:t>
      </w:r>
    </w:p>
    <w:p>
      <w:pPr>
        <w:spacing w:line="355" w:lineRule="auto" w:before="32"/>
        <w:ind w:left="560" w:right="3424"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治理层负责监督金证股份公司的财务报告过程。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357" w:lineRule="auto" w:before="34"/>
        <w:ind w:left="138" w:right="208" w:firstLine="419"/>
        <w:jc w:val="both"/>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240" w:lineRule="auto" w:before="32"/>
        <w:ind w:left="558" w:right="101"/>
        <w:jc w:val="left"/>
      </w:pPr>
      <w:r>
        <w:rPr/>
        <w:t>在按照审计准则执行审计工作的过程中，我们运用职业判断，并保持职业怀疑。同时，我们</w:t>
      </w:r>
    </w:p>
    <w:p>
      <w:pPr>
        <w:spacing w:after="0" w:line="240" w:lineRule="auto"/>
        <w:jc w:val="left"/>
        <w:sectPr>
          <w:footerReference w:type="default" r:id="rId28"/>
          <w:pgSz w:w="11910" w:h="16840"/>
          <w:pgMar w:footer="1195" w:header="877" w:top="1100" w:bottom="1380" w:left="1660" w:right="1060"/>
          <w:pgNumType w:start="54"/>
        </w:sectPr>
      </w:pPr>
    </w:p>
    <w:p>
      <w:pPr>
        <w:spacing w:line="240" w:lineRule="auto" w:before="9"/>
        <w:rPr>
          <w:rFonts w:ascii="宋体" w:hAnsi="宋体" w:cs="宋体" w:eastAsia="宋体" w:hint="default"/>
          <w:sz w:val="25"/>
          <w:szCs w:val="25"/>
        </w:rPr>
      </w:pPr>
    </w:p>
    <w:p>
      <w:pPr>
        <w:pStyle w:val="BodyText"/>
        <w:spacing w:line="357" w:lineRule="auto" w:before="36"/>
        <w:ind w:left="558" w:right="0" w:hanging="420"/>
        <w:jc w:val="left"/>
      </w:pPr>
      <w:r>
        <w:rPr/>
        <w:t>也执行以下工作：</w:t>
      </w:r>
      <w:r>
        <w:rPr>
          <w:w w:val="100"/>
        </w:rPr>
        <w:t> </w:t>
      </w:r>
      <w:r>
        <w:rPr>
          <w:rFonts w:ascii="宋体" w:hAnsi="宋体" w:cs="宋体" w:eastAsia="宋体" w:hint="default"/>
          <w:spacing w:val="-4"/>
          <w:w w:val="100"/>
        </w:rPr>
        <w:t>1</w:t>
      </w:r>
      <w:r>
        <w:rPr>
          <w:spacing w:val="-4"/>
          <w:w w:val="100"/>
        </w:rPr>
        <w:t>．识别和评估由于舞弊或错误导致的财务报表重大错报风险，设计和实施审计程序以应对这</w:t>
      </w:r>
      <w:r>
        <w:rPr>
          <w:w w:val="100"/>
        </w:rPr>
      </w:r>
    </w:p>
    <w:p>
      <w:pPr>
        <w:pStyle w:val="BodyText"/>
        <w:spacing w:line="355" w:lineRule="auto" w:before="30"/>
        <w:ind w:left="138" w:right="108"/>
        <w:jc w:val="both"/>
      </w:pPr>
      <w:r>
        <w:rPr>
          <w:spacing w:val="-1"/>
        </w:rPr>
        <w:t>些风险，并获取充分、适当的审计证据，作为发表审计意见的基础。由于舞弊可能涉及串通、伪</w:t>
      </w:r>
      <w:r>
        <w:rPr>
          <w:spacing w:val="-55"/>
        </w:rPr>
        <w:t> </w:t>
      </w:r>
      <w:r>
        <w:rPr>
          <w:spacing w:val="-55"/>
        </w:rPr>
      </w:r>
      <w:r>
        <w:rPr>
          <w:spacing w:val="-1"/>
        </w:rPr>
        <w:t>造、故意遗漏、虚假陈述或凌驾于内部控制之上，未能发现由于舞弊导致的重大错报的风险高于</w:t>
      </w:r>
      <w:r>
        <w:rPr>
          <w:spacing w:val="-55"/>
        </w:rPr>
        <w:t> </w:t>
      </w:r>
      <w:r>
        <w:rPr>
          <w:spacing w:val="-55"/>
        </w:rPr>
      </w:r>
      <w:r>
        <w:rPr/>
        <w:t>未能发现由于错误导致的重大错报的风险。</w:t>
      </w:r>
    </w:p>
    <w:p>
      <w:pPr>
        <w:pStyle w:val="BodyText"/>
        <w:spacing w:line="240" w:lineRule="auto" w:before="32"/>
        <w:ind w:left="558" w:right="1055"/>
        <w:jc w:val="left"/>
      </w:pPr>
      <w:r>
        <w:rPr>
          <w:rFonts w:ascii="宋体" w:hAnsi="宋体" w:cs="宋体" w:eastAsia="宋体" w:hint="default"/>
        </w:rPr>
        <w:t>2</w:t>
      </w:r>
      <w:r>
        <w:rPr/>
        <w:t>．了解与审计相关的内部控制，以设计恰当的审计程序。</w:t>
      </w:r>
    </w:p>
    <w:p>
      <w:pPr>
        <w:pStyle w:val="BodyText"/>
        <w:spacing w:line="240" w:lineRule="auto" w:before="135"/>
        <w:ind w:left="558" w:right="1055"/>
        <w:jc w:val="left"/>
      </w:pPr>
      <w:r>
        <w:rPr>
          <w:rFonts w:ascii="宋体" w:hAnsi="宋体" w:cs="宋体" w:eastAsia="宋体" w:hint="default"/>
        </w:rPr>
        <w:t>3</w:t>
      </w:r>
      <w:r>
        <w:rPr/>
        <w:t>．评价管理层选用会计政策的恰当性和作出会计估计及相关披露的合理性。</w:t>
      </w:r>
    </w:p>
    <w:p>
      <w:pPr>
        <w:pStyle w:val="BodyText"/>
        <w:spacing w:line="357" w:lineRule="auto" w:before="133"/>
        <w:ind w:left="138" w:right="108" w:firstLine="419"/>
        <w:jc w:val="both"/>
      </w:pPr>
      <w:r>
        <w:rPr>
          <w:rFonts w:ascii="宋体" w:hAnsi="宋体" w:cs="宋体" w:eastAsia="宋体" w:hint="default"/>
          <w:spacing w:val="-4"/>
        </w:rPr>
        <w:t>4</w:t>
      </w:r>
      <w:r>
        <w:rPr>
          <w:spacing w:val="-4"/>
        </w:rPr>
        <w:t>．对管理层使用持续经营假设的恰当性得出结论。同时，根据获取的审计证据，就可能导致</w:t>
      </w:r>
      <w:r>
        <w:rPr>
          <w:w w:val="100"/>
        </w:rPr>
        <w:t> </w:t>
      </w:r>
      <w:r>
        <w:rPr>
          <w:spacing w:val="-2"/>
        </w:rPr>
        <w:t>对金证股份公司</w:t>
      </w:r>
      <w:r>
        <w:rPr>
          <w:rFonts w:ascii="宋体" w:hAnsi="宋体" w:cs="宋体" w:eastAsia="宋体" w:hint="default"/>
          <w:b/>
          <w:bCs/>
          <w:spacing w:val="-2"/>
        </w:rPr>
        <w:t>错误！未找到引用源。</w:t>
      </w:r>
      <w:r>
        <w:rPr>
          <w:spacing w:val="-2"/>
        </w:rPr>
        <w:t>持续经营能力产生重大疑虑的事项或情况是否存在重大不</w:t>
      </w:r>
      <w:r>
        <w:rPr>
          <w:spacing w:val="-24"/>
        </w:rPr>
        <w:t> </w:t>
      </w:r>
      <w:r>
        <w:rPr>
          <w:spacing w:val="-24"/>
        </w:rPr>
      </w:r>
      <w:r>
        <w:rPr>
          <w:spacing w:val="-1"/>
        </w:rPr>
        <w:t>确定性得出结论。如果我们得出结论认为存在重大不确定性，审计准则要求我们在审计报告中提</w:t>
      </w:r>
      <w:r>
        <w:rPr>
          <w:spacing w:val="-55"/>
        </w:rPr>
        <w:t> </w:t>
      </w:r>
      <w:r>
        <w:rPr>
          <w:spacing w:val="-55"/>
        </w:rPr>
      </w:r>
      <w:r>
        <w:rPr>
          <w:spacing w:val="-1"/>
        </w:rPr>
        <w:t>请报告使用者注意财务报表中的相关披露；如果披露不充分，我们应当发表非无保留意见。我们</w:t>
      </w:r>
      <w:r>
        <w:rPr>
          <w:spacing w:val="-55"/>
        </w:rPr>
        <w:t> </w:t>
      </w:r>
      <w:r>
        <w:rPr>
          <w:spacing w:val="-55"/>
        </w:rPr>
      </w:r>
      <w:r>
        <w:rPr>
          <w:spacing w:val="-1"/>
        </w:rPr>
        <w:t>的结论基于截至审计报告日可获得的信息。然而，未来的事项或情况可能导致金证股份公司不能</w:t>
      </w:r>
      <w:r>
        <w:rPr>
          <w:spacing w:val="-55"/>
        </w:rPr>
        <w:t> </w:t>
      </w:r>
      <w:r>
        <w:rPr>
          <w:spacing w:val="-55"/>
        </w:rPr>
      </w:r>
      <w:r>
        <w:rPr/>
        <w:t>持续经营。</w:t>
      </w:r>
    </w:p>
    <w:p>
      <w:pPr>
        <w:pStyle w:val="BodyText"/>
        <w:spacing w:line="355" w:lineRule="auto" w:before="30"/>
        <w:ind w:left="138" w:right="110" w:firstLine="419"/>
        <w:jc w:val="both"/>
      </w:pPr>
      <w:r>
        <w:rPr>
          <w:rFonts w:ascii="宋体" w:hAnsi="宋体" w:cs="宋体" w:eastAsia="宋体" w:hint="default"/>
          <w:spacing w:val="-4"/>
          <w:w w:val="100"/>
        </w:rPr>
        <w:t>5</w:t>
      </w:r>
      <w:r>
        <w:rPr>
          <w:spacing w:val="-4"/>
          <w:w w:val="100"/>
        </w:rPr>
        <w:t>．评价财务报表的总体列报、结构和内容（包括披露），并评价财务报表是否公允反映相关</w:t>
      </w:r>
      <w:r>
        <w:rPr>
          <w:w w:val="100"/>
        </w:rPr>
        <w:t> </w:t>
      </w:r>
      <w:r>
        <w:rPr/>
        <w:t>交易和事项。</w:t>
      </w:r>
    </w:p>
    <w:p>
      <w:pPr>
        <w:pStyle w:val="BodyText"/>
        <w:spacing w:line="357" w:lineRule="auto" w:before="34"/>
        <w:ind w:left="138" w:right="108" w:firstLine="419"/>
        <w:jc w:val="both"/>
      </w:pPr>
      <w:r>
        <w:rPr>
          <w:rFonts w:ascii="宋体" w:hAnsi="宋体" w:cs="宋体" w:eastAsia="宋体" w:hint="default"/>
          <w:spacing w:val="-4"/>
        </w:rPr>
        <w:t>6</w:t>
      </w:r>
      <w:r>
        <w:rPr>
          <w:spacing w:val="-4"/>
        </w:rPr>
        <w:t>．就金证股份公司中实体或业务活动的财务信息获取充分、适当的审计证据，以对合并财务</w:t>
      </w:r>
      <w:r>
        <w:rPr>
          <w:w w:val="100"/>
        </w:rPr>
        <w:t> </w:t>
      </w:r>
      <w:r>
        <w:rPr/>
        <w:t>报表发表意见。我们负责指导、监督和执行集团审计，并对审计意见承担全部责任。</w:t>
      </w:r>
    </w:p>
    <w:p>
      <w:pPr>
        <w:pStyle w:val="BodyText"/>
        <w:spacing w:line="355" w:lineRule="auto" w:before="30"/>
        <w:ind w:left="138" w:right="11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7" w:lineRule="auto" w:before="32"/>
        <w:ind w:left="138" w:right="110"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7" w:lineRule="auto" w:before="30"/>
        <w:ind w:left="138" w:right="10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8"/>
        <w:rPr>
          <w:rFonts w:ascii="宋体" w:hAnsi="宋体" w:cs="宋体" w:eastAsia="宋体" w:hint="default"/>
          <w:sz w:val="21"/>
          <w:szCs w:val="21"/>
        </w:rPr>
      </w:pPr>
    </w:p>
    <w:p>
      <w:pPr>
        <w:pStyle w:val="BodyText"/>
        <w:tabs>
          <w:tab w:pos="4758" w:val="left" w:leader="none"/>
          <w:tab w:pos="6338" w:val="left" w:leader="none"/>
        </w:tabs>
        <w:spacing w:line="430" w:lineRule="atLeast"/>
        <w:ind w:left="1083" w:right="1171" w:hanging="946"/>
        <w:jc w:val="left"/>
      </w:pPr>
      <w:r>
        <w:rPr>
          <w:spacing w:val="-2"/>
        </w:rPr>
        <w:t>大华会计师事务所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tab/>
      </w:r>
      <w:r>
        <w:rPr>
          <w:spacing w:val="-2"/>
        </w:rPr>
        <w:t>中国注册会计师：（项目合伙人）</w:t>
      </w:r>
      <w:r>
        <w:rPr>
          <w:spacing w:val="-76"/>
        </w:rPr>
        <w:t> </w:t>
      </w:r>
      <w:r>
        <w:rPr>
          <w:spacing w:val="-76"/>
        </w:rPr>
      </w:r>
      <w:r>
        <w:rPr>
          <w:spacing w:val="-1"/>
        </w:rPr>
        <w:t>中国</w:t>
      </w:r>
      <w:r>
        <w:rPr>
          <w:rFonts w:ascii="宋体" w:hAnsi="宋体" w:cs="宋体" w:eastAsia="宋体" w:hint="default"/>
          <w:b/>
          <w:bCs/>
          <w:spacing w:val="-1"/>
        </w:rPr>
        <w:t>·</w:t>
      </w:r>
      <w:r>
        <w:rPr>
          <w:spacing w:val="-1"/>
        </w:rPr>
        <w:t>北京</w:t>
        <w:tab/>
        <w:tab/>
      </w:r>
      <w:r>
        <w:rPr>
          <w:spacing w:val="-3"/>
        </w:rPr>
        <w:t>杨劼</w:t>
      </w:r>
      <w:r>
        <w:rPr/>
      </w:r>
    </w:p>
    <w:p>
      <w:pPr>
        <w:pStyle w:val="BodyText"/>
        <w:spacing w:line="240" w:lineRule="auto" w:before="37"/>
        <w:ind w:left="4759" w:right="1055"/>
        <w:jc w:val="left"/>
      </w:pPr>
      <w:r>
        <w:rPr/>
        <w:t>中国注册会计师：</w:t>
      </w:r>
    </w:p>
    <w:p>
      <w:pPr>
        <w:pStyle w:val="BodyText"/>
        <w:spacing w:line="525" w:lineRule="auto" w:before="37"/>
        <w:ind w:left="4864" w:right="1055" w:firstLine="1468"/>
        <w:jc w:val="left"/>
      </w:pPr>
      <w:r>
        <w:rPr/>
        <w:t>程纯</w:t>
      </w:r>
      <w:r>
        <w:rPr>
          <w:w w:val="100"/>
        </w:rPr>
        <w:t> </w:t>
      </w:r>
      <w:r>
        <w:rPr>
          <w:spacing w:val="-2"/>
        </w:rPr>
        <w:t>二〇一八年四月十八日</w:t>
      </w:r>
    </w:p>
    <w:p>
      <w:pPr>
        <w:spacing w:after="0" w:line="525" w:lineRule="auto"/>
        <w:jc w:val="left"/>
        <w:sectPr>
          <w:pgSz w:w="11910" w:h="16840"/>
          <w:pgMar w:header="877" w:footer="1195" w:top="1100" w:bottom="1380" w:left="1660" w:right="116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tabs>
          <w:tab w:pos="1057" w:val="left" w:leader="none"/>
        </w:tabs>
        <w:spacing w:line="240" w:lineRule="auto"/>
        <w:ind w:right="-19"/>
        <w:jc w:val="left"/>
        <w:rPr>
          <w:b w:val="0"/>
          <w:bCs w:val="0"/>
        </w:rPr>
      </w:pPr>
      <w:r>
        <w:rPr/>
        <w:t>二、</w:t>
        <w:tab/>
        <w:t>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2"/>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2023" w:space="1527"/>
            <w:col w:w="5740"/>
          </w:cols>
        </w:sectPr>
      </w:pPr>
    </w:p>
    <w:p>
      <w:pPr>
        <w:pStyle w:val="BodyText"/>
        <w:spacing w:line="240" w:lineRule="auto" w:before="18"/>
        <w:ind w:right="215"/>
        <w:jc w:val="left"/>
      </w:pPr>
      <w:r>
        <w:rPr/>
        <w:t>编制单位</w:t>
      </w:r>
      <w:r>
        <w:rPr>
          <w:rFonts w:ascii="宋体" w:hAnsi="宋体" w:cs="宋体" w:eastAsia="宋体" w:hint="default"/>
        </w:rPr>
        <w:t>: </w:t>
      </w:r>
      <w:r>
        <w:rPr/>
        <w:t>深圳市金证科技股份有限公司</w:t>
      </w:r>
    </w:p>
    <w:p>
      <w:pPr>
        <w:pStyle w:val="BodyText"/>
        <w:tabs>
          <w:tab w:pos="946" w:val="left" w:leader="none"/>
        </w:tabs>
        <w:spacing w:line="240" w:lineRule="auto" w:before="37"/>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1,556,869,998.14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604,865,145.22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63,889,792.76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97,157,988.76</w:t>
            </w:r>
          </w:p>
        </w:tc>
      </w:tr>
      <w:tr>
        <w:trPr>
          <w:trHeight w:val="6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569,738,219.86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430,844,864.34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22,898,048.04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72,850,314.73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1,183,600.69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649,590.49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48,534,024.01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37,334,754.54</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1,061,951,443.45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847,170,217.92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22,350,650.10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37,936,054.01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3,347,415,777.05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2,128,808,930.01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125,195,642.84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87,215,454.55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71,167,415.65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83,634,118.16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127,274,092.63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82,389,619.00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68,949,744.33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74,165,618.57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317,678,338.93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215,098,858.94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165,294,500.24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183,745,606.51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291,566,151.16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291,316,936.62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8,564,856.38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4,899,259.95</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13,179,484.98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9,638,835.83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10,533,928.88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13,620,228.88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1,199,404,156.02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1,045,724,537.01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4,546,819,933.07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3,174,533,467.02</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595,331,567.76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160,000,000.00</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6,954,670.00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10,642,582.00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562,581,665.67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505,651,955.64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408,902,006.36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337,540,027.19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101,797,623.62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106,185,912.19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47,363,123.34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52,974,785.12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3,005,879.08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369,424.66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133,326,446.83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275,681,607.87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1,859,262,982.66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1,449,046,294.67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47,898,000.00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345,367,117.34</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15,706,429.58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15,623,751.08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1,572,295.90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2,143,290.18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613,210.41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613,210.41</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411,157,053.23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18,380,251.67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2,270,420,035.89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1,467,426,546.34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853,210,484.00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835,009,500.00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348,670,735.44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9,994,329.36</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234,118.51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6,676.55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121,737,991.53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114,210,750.63</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564,200,882.05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510,703,792.19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1,888,054,211.53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1,469,925,048.73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388,345,685.65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237,181,871.95</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2,276,399,897.18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1,707,106,920.68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4,546,819,933.07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3,174,533,467.02</w:t>
            </w:r>
          </w:p>
        </w:tc>
      </w:tr>
    </w:tbl>
    <w:p>
      <w:pPr>
        <w:spacing w:line="240" w:lineRule="auto" w:before="10"/>
        <w:rPr>
          <w:rFonts w:ascii="Times New Roman" w:hAnsi="Times New Roman" w:cs="Times New Roman" w:eastAsia="Times New Roman" w:hint="default"/>
          <w:sz w:val="22"/>
          <w:szCs w:val="22"/>
        </w:rPr>
      </w:pPr>
    </w:p>
    <w:p>
      <w:pPr>
        <w:pStyle w:val="BodyText"/>
        <w:spacing w:line="240" w:lineRule="auto" w:before="36"/>
        <w:ind w:right="215"/>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580" w:right="1040"/>
        </w:sectPr>
      </w:pPr>
    </w:p>
    <w:p>
      <w:pPr>
        <w:spacing w:line="273" w:lineRule="auto" w:before="36"/>
        <w:ind w:left="3768" w:right="0" w:firstLine="21"/>
        <w:jc w:val="righ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spacing w:line="240" w:lineRule="auto" w:before="7"/>
        <w:ind w:right="0"/>
        <w:jc w:val="left"/>
      </w:pPr>
      <w:r>
        <w:rPr/>
        <w:t>编制单位</w:t>
      </w:r>
      <w:r>
        <w:rPr>
          <w:rFonts w:ascii="宋体" w:hAnsi="宋体" w:cs="宋体" w:eastAsia="宋体" w:hint="default"/>
        </w:rPr>
        <w:t>:</w:t>
      </w:r>
      <w:r>
        <w:rPr/>
        <w:t>深圳市金证科技股份有限公司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504" w:space="1229"/>
            <w:col w:w="2557"/>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970,406,564.52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48" w:right="0"/>
              <w:jc w:val="left"/>
              <w:rPr>
                <w:rFonts w:ascii="宋体" w:hAnsi="宋体" w:cs="宋体" w:eastAsia="宋体" w:hint="default"/>
                <w:sz w:val="21"/>
                <w:szCs w:val="21"/>
              </w:rPr>
            </w:pPr>
            <w:r>
              <w:rPr>
                <w:rFonts w:ascii="宋体"/>
                <w:sz w:val="21"/>
              </w:rPr>
              <w:t>265,392,702.15</w:t>
            </w:r>
          </w:p>
        </w:tc>
      </w:tr>
      <w:tr>
        <w:trPr>
          <w:trHeight w:val="6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219,594,475.34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48" w:right="0"/>
              <w:jc w:val="left"/>
              <w:rPr>
                <w:rFonts w:ascii="宋体" w:hAnsi="宋体" w:cs="宋体" w:eastAsia="宋体" w:hint="default"/>
                <w:sz w:val="21"/>
                <w:szCs w:val="21"/>
              </w:rPr>
            </w:pPr>
            <w:r>
              <w:rPr>
                <w:rFonts w:ascii="宋体"/>
                <w:sz w:val="21"/>
              </w:rPr>
              <w:t>182,079,037.66</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11,849,854.84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54" w:right="0"/>
              <w:jc w:val="left"/>
              <w:rPr>
                <w:rFonts w:ascii="宋体" w:hAnsi="宋体" w:cs="宋体" w:eastAsia="宋体" w:hint="default"/>
                <w:sz w:val="21"/>
                <w:szCs w:val="21"/>
              </w:rPr>
            </w:pPr>
            <w:r>
              <w:rPr>
                <w:rFonts w:ascii="宋体"/>
                <w:sz w:val="21"/>
              </w:rPr>
              <w:t>56,695,904.24</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11,750,843.82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54" w:right="0"/>
              <w:jc w:val="left"/>
              <w:rPr>
                <w:rFonts w:ascii="宋体" w:hAnsi="宋体" w:cs="宋体" w:eastAsia="宋体" w:hint="default"/>
                <w:sz w:val="21"/>
                <w:szCs w:val="21"/>
              </w:rPr>
            </w:pPr>
            <w:r>
              <w:rPr>
                <w:rFonts w:ascii="宋体"/>
                <w:sz w:val="21"/>
              </w:rPr>
              <w:t>11,145,979.52</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21,502,655.42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54" w:right="0"/>
              <w:jc w:val="left"/>
              <w:rPr>
                <w:rFonts w:ascii="宋体" w:hAnsi="宋体" w:cs="宋体" w:eastAsia="宋体" w:hint="default"/>
                <w:sz w:val="21"/>
                <w:szCs w:val="21"/>
              </w:rPr>
            </w:pPr>
            <w:r>
              <w:rPr>
                <w:rFonts w:ascii="宋体"/>
                <w:sz w:val="21"/>
              </w:rPr>
              <w:t>20,389,359.08</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357,101,864.68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190,055,293.73</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10,227,560.83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19,289,849.25</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1,602,503,819.45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745,048,125.63</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82,222,055.54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82,222,055.54</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71,167,415.65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83,634,118.16</w:t>
            </w:r>
          </w:p>
        </w:tc>
      </w:tr>
      <w:tr>
        <w:trPr>
          <w:trHeight w:val="63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949,589,937.93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792,078,948.46</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61,942,420.06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65,387,017.16</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13,115,009.24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21,364,287.08</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7,611,545.28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3,642,567.99</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5,802,061.98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5,950,151.92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155,533,900.00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165,533,900.00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1,346,984,345.68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1,219,813,046.31</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2,949,488,165.13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1,964,861,171.94</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237,331,567.76</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6,954,670.00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10,642,582.00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225,221,254.94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89,283,959.80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283,208,214.09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194,451,647.89</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52,130,064.61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64,151,366.39</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7,490,250.59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26,186,777.75</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2,515,333.33</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94,311,010.02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231,544,957.09</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57,814,364.04</w:t>
            </w: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966,976,729.38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616,261,290.92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47,898,000.00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345,367,117.34</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15,706,429.58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15,623,751.08</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613,210.41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613,210.41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409,584,757.33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16,236,961.49</w:t>
            </w:r>
          </w:p>
        </w:tc>
      </w:tr>
      <w:tr>
        <w:trPr>
          <w:trHeight w:val="63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1,376,561,486.71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632,498,252.41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853,210,484.00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835,009,500.00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229,042,831.07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10,976,652.55</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116,975,840.29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109,448,599.39</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373,697,523.06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376,928,167.59</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1,572,926,678.42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1,332,362,919.53</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2,949,488,165.13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1,964,861,171.94</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36"/>
        <w:ind w:right="215"/>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9"/>
          <w:pgSz w:w="11910" w:h="16840"/>
          <w:pgMar w:footer="1195" w:header="877" w:top="1100" w:bottom="1380" w:left="1580" w:right="1040"/>
        </w:sectPr>
      </w:pPr>
    </w:p>
    <w:p>
      <w:pPr>
        <w:spacing w:line="273" w:lineRule="auto"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458" w:val="left" w:leader="none"/>
        </w:tabs>
        <w:spacing w:line="240" w:lineRule="auto" w:before="136"/>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4" w:right="0"/>
              <w:jc w:val="center"/>
              <w:rPr>
                <w:rFonts w:ascii="宋体" w:hAnsi="宋体" w:cs="宋体" w:eastAsia="宋体" w:hint="default"/>
                <w:sz w:val="21"/>
                <w:szCs w:val="21"/>
              </w:rPr>
            </w:pPr>
            <w:r>
              <w:rPr>
                <w:rFonts w:ascii="宋体"/>
                <w:sz w:val="21"/>
              </w:rPr>
              <w:t>4,227,745,965.28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4" w:right="0"/>
              <w:jc w:val="center"/>
              <w:rPr>
                <w:rFonts w:ascii="宋体" w:hAnsi="宋体" w:cs="宋体" w:eastAsia="宋体" w:hint="default"/>
                <w:sz w:val="21"/>
                <w:szCs w:val="21"/>
              </w:rPr>
            </w:pPr>
            <w:r>
              <w:rPr>
                <w:rFonts w:ascii="宋体"/>
                <w:sz w:val="21"/>
              </w:rPr>
              <w:t>3,665,606,591.22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4,227,745,965.28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 w:right="0"/>
              <w:jc w:val="center"/>
              <w:rPr>
                <w:rFonts w:ascii="宋体" w:hAnsi="宋体" w:cs="宋体" w:eastAsia="宋体" w:hint="default"/>
                <w:sz w:val="21"/>
                <w:szCs w:val="21"/>
              </w:rPr>
            </w:pPr>
            <w:r>
              <w:rPr>
                <w:rFonts w:ascii="宋体"/>
                <w:sz w:val="21"/>
              </w:rPr>
              <w:t>3,665,606,591.22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4,016,013,528.67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3,350,923,601.75</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3,122,635,455.36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2,731,441,355.92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13,850,885.26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13,142,278.26</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151,561,569.36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122,497,290.31</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705,850,685.90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572,277,686.50</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9,121,650.86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-99,151,625.59</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12,993,281.93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10,716,616.35</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-5,116,236.37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-3,372,516.44</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-6,756,648.83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-5,278,289.00</w:t>
            </w: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119,593.65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4"/>
              <w:jc w:val="right"/>
              <w:rPr>
                <w:rFonts w:ascii="Arial Narrow" w:hAnsi="Arial Narrow" w:cs="Arial Narrow" w:eastAsia="Arial Narrow" w:hint="default"/>
                <w:sz w:val="21"/>
                <w:szCs w:val="21"/>
              </w:rPr>
            </w:pPr>
            <w:r>
              <w:rPr>
                <w:rFonts w:ascii="Arial Narrow"/>
                <w:spacing w:val="-1"/>
                <w:sz w:val="21"/>
              </w:rPr>
              <w:t>80,124.85</w:t>
            </w:r>
            <w:r>
              <w:rPr>
                <w:rFonts w:ascii="Arial Narrow"/>
                <w:sz w:val="21"/>
              </w:rPr>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41,347,942.73</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248,083,736.62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311,390,597.88</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58,988.23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38,513,342.22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15,124,974.72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40,938,257.18</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233,017,750.13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308,965,682.92</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16,439,813.89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29,737,368.89</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216,577,936.24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279,228,314.03</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216,577,936.24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279,228,314.03</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84,577,792.87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44,149,388.69</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132,000,143.37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235,078,925.34</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420,164.76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10,271.62</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归属母公司所有者的其他综合收益的税</w:t>
            </w:r>
            <w:r>
              <w:rPr>
                <w:rFonts w:ascii="宋体" w:hAnsi="宋体" w:cs="宋体" w:eastAsia="宋体" w:hint="default"/>
                <w:w w:val="100"/>
                <w:sz w:val="21"/>
                <w:szCs w:val="21"/>
              </w:rPr>
              <w:t> </w:t>
            </w: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227,441.96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6,676.55</w:t>
            </w: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4" w:firstLine="419"/>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0"/>
          <w:pgSz w:w="11910" w:h="16840"/>
          <w:pgMar w:footer="1195" w:header="877" w:top="1100" w:bottom="1380" w:left="1580" w:right="104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w:t>
            </w:r>
            <w:r>
              <w:rPr>
                <w:rFonts w:ascii="宋体" w:hAnsi="宋体" w:cs="宋体" w:eastAsia="宋体" w:hint="default"/>
                <w:w w:val="100"/>
                <w:sz w:val="21"/>
                <w:szCs w:val="21"/>
              </w:rPr>
              <w:t> </w:t>
            </w: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4" w:firstLine="419"/>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227,441.96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6,676.55</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w:t>
            </w:r>
            <w:r>
              <w:rPr>
                <w:rFonts w:ascii="宋体" w:hAnsi="宋体" w:cs="宋体" w:eastAsia="宋体" w:hint="default"/>
                <w:w w:val="100"/>
                <w:sz w:val="21"/>
                <w:szCs w:val="21"/>
              </w:rPr>
              <w:t> </w:t>
            </w:r>
            <w:r>
              <w:rPr>
                <w:rFonts w:ascii="宋体" w:hAnsi="宋体" w:cs="宋体" w:eastAsia="宋体" w:hint="default"/>
                <w:spacing w:val="-2"/>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227,441.96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6,676.55</w:t>
            </w: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w:t>
            </w:r>
            <w:r>
              <w:rPr>
                <w:rFonts w:ascii="宋体" w:hAnsi="宋体" w:cs="宋体" w:eastAsia="宋体" w:hint="default"/>
                <w:w w:val="100"/>
                <w:sz w:val="21"/>
                <w:szCs w:val="21"/>
              </w:rPr>
              <w:t> </w:t>
            </w: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192,722.80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3,595.07</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216,998,101.00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279,238,585.65</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132,227,585.33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235,085,601.89</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84,770,515.67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44,152,983.76</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0.28</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0.28</w:t>
            </w:r>
          </w:p>
        </w:tc>
      </w:tr>
    </w:tbl>
    <w:p>
      <w:pPr>
        <w:spacing w:line="240" w:lineRule="auto" w:before="10"/>
        <w:rPr>
          <w:rFonts w:ascii="Times New Roman" w:hAnsi="Times New Roman" w:cs="Times New Roman" w:eastAsia="Times New Roman" w:hint="default"/>
          <w:sz w:val="22"/>
          <w:szCs w:val="22"/>
        </w:rPr>
      </w:pPr>
    </w:p>
    <w:p>
      <w:pPr>
        <w:pStyle w:val="BodyText"/>
        <w:spacing w:line="240" w:lineRule="auto" w:before="36"/>
        <w:ind w:right="215"/>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line="273" w:lineRule="auto"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928,913,723.99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892,462,439.89</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495,355,782.52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378,344,673.63</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4,779,451.04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6,310,475.36</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26,534,536.34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24,721,916.68</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383,455,420.75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361,678,856.78</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21,097,840.37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-78,665,153.34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-924,588.03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6,330,868.93</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55,675,986.90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20,755,622.90</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-6,229,364.59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-5,164,595.72</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22,469.53</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27,181,076.64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81,494,814.07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214,496,424.75</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3,426.69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24,700,851.16</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14,825,498.80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40,877,683.12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66,672,741.96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198,319,592.79</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-8,599,667.02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7,015,056.94</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75,272,408.98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191,304,535.85</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3" w:right="96" w:firstLine="419"/>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75,272,408.98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191,304,535.85</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3" w:right="-8" w:firstLine="419"/>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5"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1,944.44</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281" w:firstLine="419"/>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1,944.44</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1,944.44</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持有至到期投资重分类为可供出售</w:t>
            </w:r>
            <w:r>
              <w:rPr>
                <w:rFonts w:ascii="宋体" w:hAnsi="宋体" w:cs="宋体" w:eastAsia="宋体" w:hint="default"/>
                <w:w w:val="100"/>
                <w:sz w:val="21"/>
                <w:szCs w:val="21"/>
              </w:rPr>
              <w:t> </w:t>
            </w: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75,272,408.98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191,304,535.85</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5"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61"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right="215"/>
        <w:jc w:val="left"/>
      </w:pPr>
      <w:r>
        <w:rPr/>
        <w:t>法定代表人：赵剑 主管会计工作负责人：周永洪</w:t>
      </w:r>
      <w:r>
        <w:rPr>
          <w:spacing w:val="-9"/>
        </w:rPr>
        <w:t> </w:t>
      </w:r>
      <w:r>
        <w:rPr/>
        <w:t>会计机构负责人：周永洪</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line="273" w:lineRule="auto"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53" w:val="left" w:leader="none"/>
        </w:tabs>
        <w:spacing w:line="240" w:lineRule="auto" w:before="137"/>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4,770,069,902.32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3,963,717,848.19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20,720,644.57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12,784,806.04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97,575,366.86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210,943,331.72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4,888,365,913.75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4,187,445,985.95</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3,567,202,187.70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3,091,818,983.11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781,420,106.66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648,913,975.00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141,033,410.55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131,239,248.90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291,337,151.04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294,555,544.02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4,780,992,855.95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4,166,527,751.03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107,373,057.80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20,918,234.92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87,341,230.25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422,025,699.42</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7,737,275.92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258,958,303.69</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167,815.34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71,212.83</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10,767,921.76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100,246,321.51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691,823,137.70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136,480,691.49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104,618,589.60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291,462,345.76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364,836,041.53</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394,371.84</w:t>
            </w: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5,825,873.27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21,901,805.12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434,163,282.36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491,356,436.25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-333,916,960.85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200,466,701.45</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509,463,330.72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9,995,000.00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r>
              <w:rPr>
                <w:rFonts w:ascii="宋体" w:hAnsi="宋体" w:cs="宋体" w:eastAsia="宋体" w:hint="default"/>
                <w:w w:val="100"/>
                <w:sz w:val="21"/>
                <w:szCs w:val="21"/>
              </w:rPr>
              <w:t> </w:t>
            </w: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278,566,662.73</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1,059,695,565.76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842,632,000.00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347,900,000.00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17,562,919.55</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1,934,621,816.03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852,627,000.00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576,465,998.00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902,632,000.00</w:t>
            </w:r>
          </w:p>
        </w:tc>
      </w:tr>
      <w:tr>
        <w:trPr>
          <w:trHeight w:val="6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163,177,973.27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83,902,741.24</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r>
              <w:rPr>
                <w:rFonts w:ascii="宋体" w:hAnsi="宋体" w:cs="宋体" w:eastAsia="宋体" w:hint="default"/>
                <w:w w:val="100"/>
                <w:sz w:val="21"/>
                <w:szCs w:val="21"/>
              </w:rPr>
              <w:t> </w:t>
            </w: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70,565,400.00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3,562,200.00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16,615,614.27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743,206,171.27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1,003,150,355.51</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1,191,415,644.76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-150,523,355.51</w:t>
            </w: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964,871,741.71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70,861,580.86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557,789,174.17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486,927,593.31</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1,522,660,915.88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557,789,174.17</w:t>
            </w:r>
          </w:p>
        </w:tc>
      </w:tr>
    </w:tbl>
    <w:p>
      <w:pPr>
        <w:spacing w:line="240" w:lineRule="auto" w:before="0"/>
        <w:rPr>
          <w:rFonts w:ascii="Times New Roman" w:hAnsi="Times New Roman" w:cs="Times New Roman" w:eastAsia="Times New Roman" w:hint="default"/>
          <w:sz w:val="21"/>
          <w:szCs w:val="21"/>
        </w:rPr>
      </w:pPr>
    </w:p>
    <w:p>
      <w:pPr>
        <w:pStyle w:val="BodyText"/>
        <w:spacing w:line="240" w:lineRule="auto" w:before="36"/>
        <w:ind w:right="215"/>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spacing w:line="273" w:lineRule="auto"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77" w:val="left" w:leader="none"/>
        </w:tabs>
        <w:spacing w:line="240" w:lineRule="auto" w:before="137"/>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1,042,570,874.18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892,948,929.04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9,222,061.46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1,680,989.34</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115,901,383.19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99,045,898.89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1,167,694,318.83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993,675,817.27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520,415,009.41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494,005,833.31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314,852,518.19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317,032,581.54</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45,595,802.21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59,713,604.28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172,552,133.97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86,082,463.86</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1,053,415,463.78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956,834,482.99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114,278,855.05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36,841,334.28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90,500,230.25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402,025,699.42</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65,066,842.17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282,952,049.28</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98,000.00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66,000.00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14,755,055.55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11,362,918.92</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170,420,127.97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696,406,667.62</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4,628,928.00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26,958,925.06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366,447,577.36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409,979,891.90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21,901,805.12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371,076,505.36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458,840,622.08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-200,656,377.39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237,566,045.54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233,900,002.32</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341,195,567.76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282,632,000.00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347,900,000.00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2,326,889.40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925,322,459.48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282,632,000.00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55,966,000.00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462,632,000.00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80,384,204.26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59,488,634.58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3,562,200.00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1,615,614.27</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139,912,404.26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523,736,248.85</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785,410,055.22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-241,104,248.85</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699,032,532.88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33,303,130.97</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240,021,542.96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206,718,411.99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939,054,075.84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240,021,542.96</w:t>
            </w:r>
          </w:p>
        </w:tc>
      </w:tr>
    </w:tbl>
    <w:p>
      <w:pPr>
        <w:spacing w:line="240" w:lineRule="auto" w:before="6"/>
        <w:rPr>
          <w:rFonts w:ascii="宋体" w:hAnsi="宋体" w:cs="宋体" w:eastAsia="宋体" w:hint="default"/>
          <w:sz w:val="18"/>
          <w:szCs w:val="18"/>
        </w:rPr>
      </w:pPr>
    </w:p>
    <w:p>
      <w:pPr>
        <w:pStyle w:val="BodyText"/>
        <w:spacing w:line="240" w:lineRule="auto" w:before="36"/>
        <w:ind w:right="215"/>
        <w:jc w:val="left"/>
      </w:pPr>
      <w:r>
        <w:rPr/>
        <w:t>法定代表人：赵剑 主管会计工作负责人：周永洪</w:t>
      </w:r>
      <w:r>
        <w:rPr>
          <w:spacing w:val="-9"/>
        </w:rPr>
        <w:t> </w:t>
      </w:r>
      <w:r>
        <w:rPr/>
        <w:t>会计机构负责人：周永洪</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1"/>
          <w:footerReference w:type="default" r:id="rId32"/>
          <w:pgSz w:w="16840" w:h="11910" w:orient="landscape"/>
          <w:pgMar w:header="882" w:footer="1195" w:top="1120" w:bottom="1380" w:left="1280" w:right="1300"/>
          <w:pgNumType w:start="67"/>
        </w:sectPr>
      </w:pPr>
    </w:p>
    <w:p>
      <w:pPr>
        <w:spacing w:before="36"/>
        <w:ind w:left="6321" w:right="-8"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700" w:val="left" w:leader="none"/>
        </w:tabs>
        <w:spacing w:line="240" w:lineRule="auto"/>
        <w:ind w:left="3755"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80" w:right="1300"/>
          <w:cols w:num="2" w:equalWidth="0">
            <w:col w:w="8139" w:space="40"/>
            <w:col w:w="608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81"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1"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83" w:lineRule="auto"/>
              <w:ind w:left="335" w:right="122" w:hanging="212"/>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83" w:lineRule="auto"/>
              <w:ind w:left="225" w:right="118" w:hanging="10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益合计</w:t>
            </w:r>
          </w:p>
        </w:tc>
      </w:tr>
      <w:tr>
        <w:trPr>
          <w:trHeight w:val="363"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48"/>
              <w:ind w:left="323" w:right="113"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48"/>
              <w:ind w:left="221" w:right="111"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876" w:type="dxa"/>
            <w:vMerge w:val="restart"/>
            <w:tcBorders>
              <w:top w:val="single" w:sz="4" w:space="0" w:color="000000"/>
              <w:left w:val="single" w:sz="4" w:space="0" w:color="000000"/>
              <w:right w:val="single" w:sz="4" w:space="0" w:color="000000"/>
            </w:tcBorders>
          </w:tcPr>
          <w:p>
            <w:pPr>
              <w:pStyle w:val="TableParagraph"/>
              <w:spacing w:line="240" w:lineRule="auto" w:before="48"/>
              <w:ind w:left="117" w:right="113"/>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48"/>
              <w:ind w:left="316" w:right="103"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74" w:type="dxa"/>
            <w:vMerge w:val="restart"/>
            <w:tcBorders>
              <w:top w:val="single" w:sz="4" w:space="0" w:color="000000"/>
              <w:left w:val="single" w:sz="4" w:space="0" w:color="000000"/>
              <w:right w:val="single" w:sz="4" w:space="0" w:color="000000"/>
            </w:tcBorders>
          </w:tcPr>
          <w:p>
            <w:pPr>
              <w:pStyle w:val="TableParagraph"/>
              <w:spacing w:line="240" w:lineRule="auto" w:before="48"/>
              <w:ind w:left="324" w:right="113"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48"/>
              <w:ind w:left="115" w:right="110"/>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0" w:lineRule="auto" w:before="48"/>
              <w:ind w:left="220" w:right="113"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5"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98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sz w:val="21"/>
              </w:rPr>
              <w:t>835,00</w:t>
            </w:r>
          </w:p>
          <w:p>
            <w:pPr>
              <w:pStyle w:val="TableParagraph"/>
              <w:spacing w:line="240" w:lineRule="auto" w:before="51"/>
              <w:ind w:left="107" w:right="0"/>
              <w:jc w:val="left"/>
              <w:rPr>
                <w:rFonts w:ascii="宋体" w:hAnsi="宋体" w:cs="宋体" w:eastAsia="宋体" w:hint="default"/>
                <w:sz w:val="21"/>
                <w:szCs w:val="21"/>
              </w:rPr>
            </w:pPr>
            <w:r>
              <w:rPr>
                <w:rFonts w:ascii="宋体"/>
                <w:sz w:val="21"/>
              </w:rPr>
              <w:t>9,500.</w:t>
            </w:r>
          </w:p>
          <w:p>
            <w:pPr>
              <w:pStyle w:val="TableParagraph"/>
              <w:spacing w:line="240" w:lineRule="auto" w:before="51"/>
              <w:ind w:left="527"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9,994,</w:t>
            </w:r>
          </w:p>
          <w:p>
            <w:pPr>
              <w:pStyle w:val="TableParagraph"/>
              <w:spacing w:line="240" w:lineRule="auto" w:before="51"/>
              <w:ind w:left="124" w:right="0"/>
              <w:jc w:val="left"/>
              <w:rPr>
                <w:rFonts w:ascii="宋体" w:hAnsi="宋体" w:cs="宋体" w:eastAsia="宋体" w:hint="default"/>
                <w:sz w:val="21"/>
                <w:szCs w:val="21"/>
              </w:rPr>
            </w:pPr>
            <w:r>
              <w:rPr>
                <w:rFonts w:ascii="宋体"/>
                <w:sz w:val="21"/>
              </w:rPr>
              <w:t>329.36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34" w:right="0"/>
              <w:jc w:val="left"/>
              <w:rPr>
                <w:rFonts w:ascii="宋体" w:hAnsi="宋体" w:cs="宋体" w:eastAsia="宋体" w:hint="default"/>
                <w:sz w:val="21"/>
                <w:szCs w:val="21"/>
              </w:rPr>
            </w:pPr>
            <w:r>
              <w:rPr>
                <w:rFonts w:ascii="宋体"/>
                <w:sz w:val="21"/>
              </w:rPr>
              <w:t>6,676.</w:t>
            </w:r>
          </w:p>
          <w:p>
            <w:pPr>
              <w:pStyle w:val="TableParagraph"/>
              <w:spacing w:line="240" w:lineRule="auto" w:before="51"/>
              <w:ind w:left="554" w:right="0"/>
              <w:jc w:val="left"/>
              <w:rPr>
                <w:rFonts w:ascii="宋体" w:hAnsi="宋体" w:cs="宋体" w:eastAsia="宋体" w:hint="default"/>
                <w:sz w:val="21"/>
                <w:szCs w:val="21"/>
              </w:rPr>
            </w:pPr>
            <w:r>
              <w:rPr>
                <w:rFonts w:ascii="宋体"/>
                <w:sz w:val="21"/>
              </w:rPr>
              <w:t>55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114,21</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0,750.</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63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9" w:right="0"/>
              <w:jc w:val="left"/>
              <w:rPr>
                <w:rFonts w:ascii="宋体" w:hAnsi="宋体" w:cs="宋体" w:eastAsia="宋体" w:hint="default"/>
                <w:sz w:val="21"/>
                <w:szCs w:val="21"/>
              </w:rPr>
            </w:pPr>
            <w:r>
              <w:rPr>
                <w:rFonts w:ascii="宋体"/>
                <w:sz w:val="21"/>
              </w:rPr>
              <w:t>510,70</w:t>
            </w:r>
          </w:p>
          <w:p>
            <w:pPr>
              <w:pStyle w:val="TableParagraph"/>
              <w:spacing w:line="240" w:lineRule="auto" w:before="51"/>
              <w:ind w:left="129" w:right="0"/>
              <w:jc w:val="left"/>
              <w:rPr>
                <w:rFonts w:ascii="宋体" w:hAnsi="宋体" w:cs="宋体" w:eastAsia="宋体" w:hint="default"/>
                <w:sz w:val="21"/>
                <w:szCs w:val="21"/>
              </w:rPr>
            </w:pPr>
            <w:r>
              <w:rPr>
                <w:rFonts w:ascii="宋体"/>
                <w:sz w:val="21"/>
              </w:rPr>
              <w:t>3,792.</w:t>
            </w:r>
          </w:p>
          <w:p>
            <w:pPr>
              <w:pStyle w:val="TableParagraph"/>
              <w:spacing w:line="240" w:lineRule="auto" w:before="51"/>
              <w:ind w:left="549" w:right="0"/>
              <w:jc w:val="left"/>
              <w:rPr>
                <w:rFonts w:ascii="宋体" w:hAnsi="宋体" w:cs="宋体" w:eastAsia="宋体" w:hint="default"/>
                <w:sz w:val="21"/>
                <w:szCs w:val="21"/>
              </w:rPr>
            </w:pPr>
            <w:r>
              <w:rPr>
                <w:rFonts w:ascii="宋体"/>
                <w:sz w:val="21"/>
              </w:rPr>
              <w:t>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8" w:right="0"/>
              <w:jc w:val="left"/>
              <w:rPr>
                <w:rFonts w:ascii="宋体" w:hAnsi="宋体" w:cs="宋体" w:eastAsia="宋体" w:hint="default"/>
                <w:sz w:val="21"/>
                <w:szCs w:val="21"/>
              </w:rPr>
            </w:pPr>
            <w:r>
              <w:rPr>
                <w:rFonts w:ascii="宋体"/>
                <w:sz w:val="21"/>
              </w:rPr>
              <w:t>237,181,</w:t>
            </w:r>
          </w:p>
          <w:p>
            <w:pPr>
              <w:pStyle w:val="TableParagraph"/>
              <w:spacing w:line="240" w:lineRule="auto" w:before="51"/>
              <w:ind w:left="357" w:right="0"/>
              <w:jc w:val="left"/>
              <w:rPr>
                <w:rFonts w:ascii="宋体" w:hAnsi="宋体" w:cs="宋体" w:eastAsia="宋体" w:hint="default"/>
                <w:sz w:val="21"/>
                <w:szCs w:val="21"/>
              </w:rPr>
            </w:pPr>
            <w:r>
              <w:rPr>
                <w:rFonts w:ascii="宋体"/>
                <w:sz w:val="21"/>
              </w:rPr>
              <w:t>871.95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宋体" w:hAnsi="宋体" w:cs="宋体" w:eastAsia="宋体" w:hint="default"/>
                <w:sz w:val="21"/>
                <w:szCs w:val="21"/>
              </w:rPr>
            </w:pPr>
            <w:r>
              <w:rPr>
                <w:rFonts w:ascii="宋体"/>
                <w:sz w:val="21"/>
              </w:rPr>
              <w:t>1,707,10</w:t>
            </w:r>
          </w:p>
          <w:p>
            <w:pPr>
              <w:pStyle w:val="TableParagraph"/>
              <w:spacing w:line="240" w:lineRule="auto" w:before="51"/>
              <w:ind w:left="141" w:right="0"/>
              <w:jc w:val="left"/>
              <w:rPr>
                <w:rFonts w:ascii="宋体" w:hAnsi="宋体" w:cs="宋体" w:eastAsia="宋体" w:hint="default"/>
                <w:sz w:val="21"/>
                <w:szCs w:val="21"/>
              </w:rPr>
            </w:pPr>
            <w:r>
              <w:rPr>
                <w:rFonts w:ascii="宋体"/>
                <w:sz w:val="21"/>
              </w:rPr>
              <w:t>6,920.68</w:t>
            </w: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3" w:firstLine="420"/>
              <w:jc w:val="left"/>
              <w:rPr>
                <w:rFonts w:ascii="宋体" w:hAnsi="宋体" w:cs="宋体" w:eastAsia="宋体" w:hint="default"/>
                <w:sz w:val="21"/>
                <w:szCs w:val="21"/>
              </w:rPr>
            </w:pPr>
            <w:r>
              <w:rPr>
                <w:rFonts w:ascii="宋体" w:hAnsi="宋体" w:cs="宋体" w:eastAsia="宋体" w:hint="default"/>
                <w:sz w:val="21"/>
                <w:szCs w:val="21"/>
              </w:rPr>
              <w:t>同一控制下企业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sz w:val="21"/>
              </w:rPr>
              <w:t>835,00</w:t>
            </w:r>
          </w:p>
          <w:p>
            <w:pPr>
              <w:pStyle w:val="TableParagraph"/>
              <w:spacing w:line="240" w:lineRule="auto" w:before="51"/>
              <w:ind w:left="107" w:right="0"/>
              <w:jc w:val="left"/>
              <w:rPr>
                <w:rFonts w:ascii="宋体" w:hAnsi="宋体" w:cs="宋体" w:eastAsia="宋体" w:hint="default"/>
                <w:sz w:val="21"/>
                <w:szCs w:val="21"/>
              </w:rPr>
            </w:pPr>
            <w:r>
              <w:rPr>
                <w:rFonts w:ascii="宋体"/>
                <w:sz w:val="21"/>
              </w:rPr>
              <w:t>9,500.</w:t>
            </w:r>
          </w:p>
          <w:p>
            <w:pPr>
              <w:pStyle w:val="TableParagraph"/>
              <w:spacing w:line="240" w:lineRule="auto" w:before="51"/>
              <w:ind w:left="527"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9,994,</w:t>
            </w:r>
          </w:p>
          <w:p>
            <w:pPr>
              <w:pStyle w:val="TableParagraph"/>
              <w:spacing w:line="240" w:lineRule="auto" w:before="51"/>
              <w:ind w:left="124" w:right="0"/>
              <w:jc w:val="left"/>
              <w:rPr>
                <w:rFonts w:ascii="宋体" w:hAnsi="宋体" w:cs="宋体" w:eastAsia="宋体" w:hint="default"/>
                <w:sz w:val="21"/>
                <w:szCs w:val="21"/>
              </w:rPr>
            </w:pPr>
            <w:r>
              <w:rPr>
                <w:rFonts w:ascii="宋体"/>
                <w:sz w:val="21"/>
              </w:rPr>
              <w:t>329.36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34" w:right="0"/>
              <w:jc w:val="left"/>
              <w:rPr>
                <w:rFonts w:ascii="宋体" w:hAnsi="宋体" w:cs="宋体" w:eastAsia="宋体" w:hint="default"/>
                <w:sz w:val="21"/>
                <w:szCs w:val="21"/>
              </w:rPr>
            </w:pPr>
            <w:r>
              <w:rPr>
                <w:rFonts w:ascii="宋体"/>
                <w:sz w:val="21"/>
              </w:rPr>
              <w:t>6,676.</w:t>
            </w:r>
          </w:p>
          <w:p>
            <w:pPr>
              <w:pStyle w:val="TableParagraph"/>
              <w:spacing w:line="240" w:lineRule="auto" w:before="51"/>
              <w:ind w:left="554" w:right="0"/>
              <w:jc w:val="left"/>
              <w:rPr>
                <w:rFonts w:ascii="宋体" w:hAnsi="宋体" w:cs="宋体" w:eastAsia="宋体" w:hint="default"/>
                <w:sz w:val="21"/>
                <w:szCs w:val="21"/>
              </w:rPr>
            </w:pPr>
            <w:r>
              <w:rPr>
                <w:rFonts w:ascii="宋体"/>
                <w:sz w:val="21"/>
              </w:rPr>
              <w:t>55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114,21</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0,750.</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63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9" w:right="0"/>
              <w:jc w:val="left"/>
              <w:rPr>
                <w:rFonts w:ascii="宋体" w:hAnsi="宋体" w:cs="宋体" w:eastAsia="宋体" w:hint="default"/>
                <w:sz w:val="21"/>
                <w:szCs w:val="21"/>
              </w:rPr>
            </w:pPr>
            <w:r>
              <w:rPr>
                <w:rFonts w:ascii="宋体"/>
                <w:sz w:val="21"/>
              </w:rPr>
              <w:t>510,70</w:t>
            </w:r>
          </w:p>
          <w:p>
            <w:pPr>
              <w:pStyle w:val="TableParagraph"/>
              <w:spacing w:line="240" w:lineRule="auto" w:before="51"/>
              <w:ind w:left="129" w:right="0"/>
              <w:jc w:val="left"/>
              <w:rPr>
                <w:rFonts w:ascii="宋体" w:hAnsi="宋体" w:cs="宋体" w:eastAsia="宋体" w:hint="default"/>
                <w:sz w:val="21"/>
                <w:szCs w:val="21"/>
              </w:rPr>
            </w:pPr>
            <w:r>
              <w:rPr>
                <w:rFonts w:ascii="宋体"/>
                <w:sz w:val="21"/>
              </w:rPr>
              <w:t>3,792.</w:t>
            </w:r>
          </w:p>
          <w:p>
            <w:pPr>
              <w:pStyle w:val="TableParagraph"/>
              <w:spacing w:line="240" w:lineRule="auto" w:before="51"/>
              <w:ind w:left="549" w:right="0"/>
              <w:jc w:val="left"/>
              <w:rPr>
                <w:rFonts w:ascii="宋体" w:hAnsi="宋体" w:cs="宋体" w:eastAsia="宋体" w:hint="default"/>
                <w:sz w:val="21"/>
                <w:szCs w:val="21"/>
              </w:rPr>
            </w:pPr>
            <w:r>
              <w:rPr>
                <w:rFonts w:ascii="宋体"/>
                <w:sz w:val="21"/>
              </w:rPr>
              <w:t>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8" w:right="0"/>
              <w:jc w:val="left"/>
              <w:rPr>
                <w:rFonts w:ascii="宋体" w:hAnsi="宋体" w:cs="宋体" w:eastAsia="宋体" w:hint="default"/>
                <w:sz w:val="21"/>
                <w:szCs w:val="21"/>
              </w:rPr>
            </w:pPr>
            <w:r>
              <w:rPr>
                <w:rFonts w:ascii="宋体"/>
                <w:sz w:val="21"/>
              </w:rPr>
              <w:t>237,181,</w:t>
            </w:r>
          </w:p>
          <w:p>
            <w:pPr>
              <w:pStyle w:val="TableParagraph"/>
              <w:spacing w:line="240" w:lineRule="auto" w:before="51"/>
              <w:ind w:left="357" w:right="0"/>
              <w:jc w:val="left"/>
              <w:rPr>
                <w:rFonts w:ascii="宋体" w:hAnsi="宋体" w:cs="宋体" w:eastAsia="宋体" w:hint="default"/>
                <w:sz w:val="21"/>
                <w:szCs w:val="21"/>
              </w:rPr>
            </w:pPr>
            <w:r>
              <w:rPr>
                <w:rFonts w:ascii="宋体"/>
                <w:sz w:val="21"/>
              </w:rPr>
              <w:t>871.95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宋体" w:hAnsi="宋体" w:cs="宋体" w:eastAsia="宋体" w:hint="default"/>
                <w:sz w:val="21"/>
                <w:szCs w:val="21"/>
              </w:rPr>
            </w:pPr>
            <w:r>
              <w:rPr>
                <w:rFonts w:ascii="宋体"/>
                <w:sz w:val="21"/>
              </w:rPr>
              <w:t>1,707,10</w:t>
            </w:r>
          </w:p>
          <w:p>
            <w:pPr>
              <w:pStyle w:val="TableParagraph"/>
              <w:spacing w:line="240" w:lineRule="auto" w:before="51"/>
              <w:ind w:left="141" w:right="0"/>
              <w:jc w:val="left"/>
              <w:rPr>
                <w:rFonts w:ascii="宋体" w:hAnsi="宋体" w:cs="宋体" w:eastAsia="宋体" w:hint="default"/>
                <w:sz w:val="21"/>
                <w:szCs w:val="21"/>
              </w:rPr>
            </w:pPr>
            <w:r>
              <w:rPr>
                <w:rFonts w:ascii="宋体"/>
                <w:sz w:val="21"/>
              </w:rPr>
              <w:t>6,920.68</w:t>
            </w:r>
          </w:p>
        </w:tc>
      </w:tr>
      <w:tr>
        <w:trPr>
          <w:trHeight w:val="98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三、本期增减变动金额</w:t>
            </w:r>
          </w:p>
          <w:p>
            <w:pPr>
              <w:pStyle w:val="TableParagraph"/>
              <w:spacing w:line="285" w:lineRule="auto" w:before="49"/>
              <w:ind w:left="103" w:right="283"/>
              <w:jc w:val="left"/>
              <w:rPr>
                <w:rFonts w:ascii="宋体" w:hAnsi="宋体" w:cs="宋体" w:eastAsia="宋体" w:hint="default"/>
                <w:sz w:val="21"/>
                <w:szCs w:val="21"/>
              </w:rPr>
            </w:pPr>
            <w:r>
              <w:rPr>
                <w:rFonts w:ascii="宋体" w:hAnsi="宋体" w:cs="宋体" w:eastAsia="宋体" w:hint="default"/>
                <w:sz w:val="21"/>
                <w:szCs w:val="21"/>
              </w:rPr>
              <w:t>（减少以“－”号填</w:t>
            </w:r>
            <w:r>
              <w:rPr>
                <w:rFonts w:ascii="宋体" w:hAnsi="宋体" w:cs="宋体" w:eastAsia="宋体" w:hint="default"/>
                <w:w w:val="100"/>
                <w:sz w:val="21"/>
                <w:szCs w:val="21"/>
              </w:rPr>
              <w:t> </w:t>
            </w:r>
            <w:r>
              <w:rPr>
                <w:rFonts w:ascii="宋体" w:hAnsi="宋体" w:cs="宋体" w:eastAsia="宋体" w:hint="default"/>
                <w:sz w:val="21"/>
                <w:szCs w:val="21"/>
              </w:rPr>
              <w:t>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z w:val="21"/>
              </w:rPr>
              <w:t>18,200</w:t>
            </w:r>
          </w:p>
          <w:p>
            <w:pPr>
              <w:pStyle w:val="TableParagraph"/>
              <w:spacing w:line="240" w:lineRule="auto" w:before="49"/>
              <w:ind w:right="98"/>
              <w:jc w:val="right"/>
              <w:rPr>
                <w:rFonts w:ascii="宋体" w:hAnsi="宋体" w:cs="宋体" w:eastAsia="宋体" w:hint="default"/>
                <w:sz w:val="21"/>
                <w:szCs w:val="21"/>
              </w:rPr>
            </w:pPr>
            <w:r>
              <w:rPr>
                <w:rFonts w:ascii="宋体"/>
                <w:sz w:val="21"/>
              </w:rPr>
              <w:t>,984.0</w:t>
            </w:r>
          </w:p>
          <w:p>
            <w:pPr>
              <w:pStyle w:val="TableParagraph"/>
              <w:spacing w:line="240" w:lineRule="auto" w:before="52"/>
              <w:ind w:right="101"/>
              <w:jc w:val="right"/>
              <w:rPr>
                <w:rFonts w:ascii="宋体" w:hAnsi="宋体" w:cs="宋体" w:eastAsia="宋体" w:hint="default"/>
                <w:sz w:val="21"/>
                <w:szCs w:val="21"/>
              </w:rPr>
            </w:pPr>
            <w:r>
              <w:rPr>
                <w:rFonts w:ascii="宋体"/>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4" w:right="0"/>
              <w:jc w:val="left"/>
              <w:rPr>
                <w:rFonts w:ascii="宋体" w:hAnsi="宋体" w:cs="宋体" w:eastAsia="宋体" w:hint="default"/>
                <w:sz w:val="21"/>
                <w:szCs w:val="21"/>
              </w:rPr>
            </w:pPr>
            <w:r>
              <w:rPr>
                <w:rFonts w:ascii="宋体"/>
                <w:sz w:val="21"/>
              </w:rPr>
              <w:t>338,67</w:t>
            </w:r>
          </w:p>
          <w:p>
            <w:pPr>
              <w:pStyle w:val="TableParagraph"/>
              <w:spacing w:line="240" w:lineRule="auto" w:before="49"/>
              <w:ind w:left="124" w:right="0"/>
              <w:jc w:val="left"/>
              <w:rPr>
                <w:rFonts w:ascii="宋体" w:hAnsi="宋体" w:cs="宋体" w:eastAsia="宋体" w:hint="default"/>
                <w:sz w:val="21"/>
                <w:szCs w:val="21"/>
              </w:rPr>
            </w:pPr>
            <w:r>
              <w:rPr>
                <w:rFonts w:ascii="宋体"/>
                <w:sz w:val="21"/>
              </w:rPr>
              <w:t>6,406.</w:t>
            </w:r>
          </w:p>
          <w:p>
            <w:pPr>
              <w:pStyle w:val="TableParagraph"/>
              <w:spacing w:line="240" w:lineRule="auto" w:before="52"/>
              <w:ind w:left="544" w:right="0"/>
              <w:jc w:val="left"/>
              <w:rPr>
                <w:rFonts w:ascii="宋体" w:hAnsi="宋体" w:cs="宋体" w:eastAsia="宋体" w:hint="default"/>
                <w:sz w:val="21"/>
                <w:szCs w:val="21"/>
              </w:rPr>
            </w:pPr>
            <w:r>
              <w:rPr>
                <w:rFonts w:ascii="宋体"/>
                <w:sz w:val="21"/>
              </w:rPr>
              <w:t>08</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34" w:right="0"/>
              <w:jc w:val="left"/>
              <w:rPr>
                <w:rFonts w:ascii="宋体" w:hAnsi="宋体" w:cs="宋体" w:eastAsia="宋体" w:hint="default"/>
                <w:sz w:val="21"/>
                <w:szCs w:val="21"/>
              </w:rPr>
            </w:pPr>
            <w:r>
              <w:rPr>
                <w:rFonts w:ascii="宋体"/>
                <w:sz w:val="21"/>
              </w:rPr>
              <w:t>227,44</w:t>
            </w:r>
          </w:p>
          <w:p>
            <w:pPr>
              <w:pStyle w:val="TableParagraph"/>
              <w:spacing w:line="240" w:lineRule="auto" w:before="49"/>
              <w:ind w:left="345" w:right="0"/>
              <w:jc w:val="left"/>
              <w:rPr>
                <w:rFonts w:ascii="宋体" w:hAnsi="宋体" w:cs="宋体" w:eastAsia="宋体" w:hint="default"/>
                <w:sz w:val="21"/>
                <w:szCs w:val="21"/>
              </w:rPr>
            </w:pPr>
            <w:r>
              <w:rPr>
                <w:rFonts w:ascii="宋体"/>
                <w:sz w:val="21"/>
              </w:rPr>
              <w:t>1.96</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7" w:right="0"/>
              <w:jc w:val="left"/>
              <w:rPr>
                <w:rFonts w:ascii="宋体" w:hAnsi="宋体" w:cs="宋体" w:eastAsia="宋体" w:hint="default"/>
                <w:sz w:val="21"/>
                <w:szCs w:val="21"/>
              </w:rPr>
            </w:pPr>
            <w:r>
              <w:rPr>
                <w:rFonts w:ascii="宋体"/>
                <w:sz w:val="21"/>
              </w:rPr>
              <w:t>7,527,</w:t>
            </w:r>
          </w:p>
          <w:p>
            <w:pPr>
              <w:pStyle w:val="TableParagraph"/>
              <w:spacing w:line="240" w:lineRule="auto" w:before="49"/>
              <w:ind w:left="127" w:right="0"/>
              <w:jc w:val="left"/>
              <w:rPr>
                <w:rFonts w:ascii="宋体" w:hAnsi="宋体" w:cs="宋体" w:eastAsia="宋体" w:hint="default"/>
                <w:sz w:val="21"/>
                <w:szCs w:val="21"/>
              </w:rPr>
            </w:pPr>
            <w:r>
              <w:rPr>
                <w:rFonts w:ascii="宋体"/>
                <w:sz w:val="21"/>
              </w:rPr>
              <w:t>240.90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1"/>
                <w:szCs w:val="21"/>
              </w:rPr>
            </w:pPr>
            <w:r>
              <w:rPr>
                <w:rFonts w:ascii="宋体"/>
                <w:sz w:val="21"/>
              </w:rPr>
              <w:t>53,497</w:t>
            </w:r>
          </w:p>
          <w:p>
            <w:pPr>
              <w:pStyle w:val="TableParagraph"/>
              <w:spacing w:line="240" w:lineRule="auto" w:before="49"/>
              <w:ind w:right="98"/>
              <w:jc w:val="right"/>
              <w:rPr>
                <w:rFonts w:ascii="宋体" w:hAnsi="宋体" w:cs="宋体" w:eastAsia="宋体" w:hint="default"/>
                <w:sz w:val="21"/>
                <w:szCs w:val="21"/>
              </w:rPr>
            </w:pPr>
            <w:r>
              <w:rPr>
                <w:rFonts w:ascii="宋体"/>
                <w:sz w:val="21"/>
              </w:rPr>
              <w:t>,089.8</w:t>
            </w:r>
          </w:p>
          <w:p>
            <w:pPr>
              <w:pStyle w:val="TableParagraph"/>
              <w:spacing w:line="240" w:lineRule="auto" w:before="52"/>
              <w:ind w:right="101"/>
              <w:jc w:val="right"/>
              <w:rPr>
                <w:rFonts w:ascii="宋体" w:hAnsi="宋体" w:cs="宋体" w:eastAsia="宋体" w:hint="default"/>
                <w:sz w:val="21"/>
                <w:szCs w:val="21"/>
              </w:rPr>
            </w:pPr>
            <w:r>
              <w:rPr>
                <w:rFonts w:ascii="宋体"/>
                <w:w w:val="100"/>
                <w:sz w:val="21"/>
              </w:rPr>
              <w:t>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8" w:right="0"/>
              <w:jc w:val="left"/>
              <w:rPr>
                <w:rFonts w:ascii="宋体" w:hAnsi="宋体" w:cs="宋体" w:eastAsia="宋体" w:hint="default"/>
                <w:sz w:val="21"/>
                <w:szCs w:val="21"/>
              </w:rPr>
            </w:pPr>
            <w:r>
              <w:rPr>
                <w:rFonts w:ascii="宋体"/>
                <w:sz w:val="21"/>
              </w:rPr>
              <w:t>151,163,</w:t>
            </w:r>
          </w:p>
          <w:p>
            <w:pPr>
              <w:pStyle w:val="TableParagraph"/>
              <w:spacing w:line="240" w:lineRule="auto" w:before="49"/>
              <w:ind w:left="357" w:right="0"/>
              <w:jc w:val="left"/>
              <w:rPr>
                <w:rFonts w:ascii="宋体" w:hAnsi="宋体" w:cs="宋体" w:eastAsia="宋体" w:hint="default"/>
                <w:sz w:val="21"/>
                <w:szCs w:val="21"/>
              </w:rPr>
            </w:pPr>
            <w:r>
              <w:rPr>
                <w:rFonts w:ascii="宋体"/>
                <w:sz w:val="21"/>
              </w:rPr>
              <w:t>813.70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1" w:right="0"/>
              <w:jc w:val="left"/>
              <w:rPr>
                <w:rFonts w:ascii="宋体" w:hAnsi="宋体" w:cs="宋体" w:eastAsia="宋体" w:hint="default"/>
                <w:sz w:val="21"/>
                <w:szCs w:val="21"/>
              </w:rPr>
            </w:pPr>
            <w:r>
              <w:rPr>
                <w:rFonts w:ascii="宋体"/>
                <w:sz w:val="21"/>
              </w:rPr>
              <w:t>569,292,</w:t>
            </w:r>
          </w:p>
          <w:p>
            <w:pPr>
              <w:pStyle w:val="TableParagraph"/>
              <w:spacing w:line="240" w:lineRule="auto" w:before="49"/>
              <w:ind w:left="350" w:right="0"/>
              <w:jc w:val="left"/>
              <w:rPr>
                <w:rFonts w:ascii="宋体" w:hAnsi="宋体" w:cs="宋体" w:eastAsia="宋体" w:hint="default"/>
                <w:sz w:val="21"/>
                <w:szCs w:val="21"/>
              </w:rPr>
            </w:pPr>
            <w:r>
              <w:rPr>
                <w:rFonts w:ascii="宋体"/>
                <w:sz w:val="21"/>
              </w:rPr>
              <w:t>976.50</w:t>
            </w:r>
          </w:p>
        </w:tc>
      </w:tr>
      <w:tr>
        <w:trPr>
          <w:trHeight w:val="98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34" w:right="0"/>
              <w:jc w:val="left"/>
              <w:rPr>
                <w:rFonts w:ascii="宋体" w:hAnsi="宋体" w:cs="宋体" w:eastAsia="宋体" w:hint="default"/>
                <w:sz w:val="21"/>
                <w:szCs w:val="21"/>
              </w:rPr>
            </w:pPr>
            <w:r>
              <w:rPr>
                <w:rFonts w:ascii="宋体"/>
                <w:sz w:val="21"/>
              </w:rPr>
              <w:t>227,44</w:t>
            </w:r>
          </w:p>
          <w:p>
            <w:pPr>
              <w:pStyle w:val="TableParagraph"/>
              <w:spacing w:line="240" w:lineRule="auto" w:before="51"/>
              <w:ind w:left="345" w:right="0"/>
              <w:jc w:val="left"/>
              <w:rPr>
                <w:rFonts w:ascii="宋体" w:hAnsi="宋体" w:cs="宋体" w:eastAsia="宋体" w:hint="default"/>
                <w:sz w:val="21"/>
                <w:szCs w:val="21"/>
              </w:rPr>
            </w:pPr>
            <w:r>
              <w:rPr>
                <w:rFonts w:ascii="宋体"/>
                <w:sz w:val="21"/>
              </w:rPr>
              <w:t>1.96</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9" w:right="0"/>
              <w:jc w:val="left"/>
              <w:rPr>
                <w:rFonts w:ascii="宋体" w:hAnsi="宋体" w:cs="宋体" w:eastAsia="宋体" w:hint="default"/>
                <w:sz w:val="21"/>
                <w:szCs w:val="21"/>
              </w:rPr>
            </w:pPr>
            <w:r>
              <w:rPr>
                <w:rFonts w:ascii="宋体"/>
                <w:sz w:val="21"/>
              </w:rPr>
              <w:t>132,00</w:t>
            </w:r>
          </w:p>
          <w:p>
            <w:pPr>
              <w:pStyle w:val="TableParagraph"/>
              <w:spacing w:line="240" w:lineRule="auto" w:before="51"/>
              <w:ind w:left="129" w:right="0"/>
              <w:jc w:val="left"/>
              <w:rPr>
                <w:rFonts w:ascii="宋体" w:hAnsi="宋体" w:cs="宋体" w:eastAsia="宋体" w:hint="default"/>
                <w:sz w:val="21"/>
                <w:szCs w:val="21"/>
              </w:rPr>
            </w:pPr>
            <w:r>
              <w:rPr>
                <w:rFonts w:ascii="宋体"/>
                <w:sz w:val="21"/>
              </w:rPr>
              <w:t>0,143.</w:t>
            </w:r>
          </w:p>
          <w:p>
            <w:pPr>
              <w:pStyle w:val="TableParagraph"/>
              <w:spacing w:line="240" w:lineRule="auto" w:before="51"/>
              <w:ind w:left="549" w:right="0"/>
              <w:jc w:val="left"/>
              <w:rPr>
                <w:rFonts w:ascii="宋体" w:hAnsi="宋体" w:cs="宋体" w:eastAsia="宋体" w:hint="default"/>
                <w:sz w:val="21"/>
                <w:szCs w:val="21"/>
              </w:rPr>
            </w:pPr>
            <w:r>
              <w:rPr>
                <w:rFonts w:ascii="宋体"/>
                <w:sz w:val="21"/>
              </w:rPr>
              <w:t>37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8" w:right="0"/>
              <w:jc w:val="left"/>
              <w:rPr>
                <w:rFonts w:ascii="宋体" w:hAnsi="宋体" w:cs="宋体" w:eastAsia="宋体" w:hint="default"/>
                <w:sz w:val="21"/>
                <w:szCs w:val="21"/>
              </w:rPr>
            </w:pPr>
            <w:r>
              <w:rPr>
                <w:rFonts w:ascii="宋体"/>
                <w:sz w:val="21"/>
              </w:rPr>
              <w:t>84,770,5</w:t>
            </w:r>
          </w:p>
          <w:p>
            <w:pPr>
              <w:pStyle w:val="TableParagraph"/>
              <w:spacing w:line="240" w:lineRule="auto" w:before="51"/>
              <w:ind w:left="463" w:right="0"/>
              <w:jc w:val="left"/>
              <w:rPr>
                <w:rFonts w:ascii="宋体" w:hAnsi="宋体" w:cs="宋体" w:eastAsia="宋体" w:hint="default"/>
                <w:sz w:val="21"/>
                <w:szCs w:val="21"/>
              </w:rPr>
            </w:pPr>
            <w:r>
              <w:rPr>
                <w:rFonts w:ascii="宋体"/>
                <w:sz w:val="21"/>
              </w:rPr>
              <w:t>15.67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宋体" w:hAnsi="宋体" w:cs="宋体" w:eastAsia="宋体" w:hint="default"/>
                <w:sz w:val="21"/>
                <w:szCs w:val="21"/>
              </w:rPr>
            </w:pPr>
            <w:r>
              <w:rPr>
                <w:rFonts w:ascii="宋体"/>
                <w:sz w:val="21"/>
              </w:rPr>
              <w:t>216,998,</w:t>
            </w:r>
          </w:p>
          <w:p>
            <w:pPr>
              <w:pStyle w:val="TableParagraph"/>
              <w:spacing w:line="240" w:lineRule="auto" w:before="51"/>
              <w:ind w:left="350" w:right="0"/>
              <w:jc w:val="left"/>
              <w:rPr>
                <w:rFonts w:ascii="宋体" w:hAnsi="宋体" w:cs="宋体" w:eastAsia="宋体" w:hint="default"/>
                <w:sz w:val="21"/>
                <w:szCs w:val="21"/>
              </w:rPr>
            </w:pPr>
            <w:r>
              <w:rPr>
                <w:rFonts w:ascii="宋体"/>
                <w:sz w:val="21"/>
              </w:rPr>
              <w:t>101.00</w:t>
            </w: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（二）所有者投入和减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sz w:val="21"/>
              </w:rPr>
              <w:t>18,200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338,67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8" w:right="0"/>
              <w:jc w:val="left"/>
              <w:rPr>
                <w:rFonts w:ascii="宋体" w:hAnsi="宋体" w:cs="宋体" w:eastAsia="宋体" w:hint="default"/>
                <w:sz w:val="21"/>
                <w:szCs w:val="21"/>
              </w:rPr>
            </w:pPr>
            <w:r>
              <w:rPr>
                <w:rFonts w:ascii="宋体"/>
                <w:sz w:val="21"/>
              </w:rPr>
              <w:t>155,858,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宋体" w:hAnsi="宋体" w:cs="宋体" w:eastAsia="宋体" w:hint="default"/>
                <w:sz w:val="21"/>
                <w:szCs w:val="21"/>
              </w:rPr>
            </w:pPr>
            <w:r>
              <w:rPr>
                <w:rFonts w:ascii="宋体"/>
                <w:sz w:val="21"/>
              </w:rPr>
              <w:t>512,736,</w:t>
            </w:r>
          </w:p>
        </w:tc>
      </w:tr>
    </w:tbl>
    <w:p>
      <w:pPr>
        <w:spacing w:after="0" w:line="270" w:lineRule="exact"/>
        <w:jc w:val="left"/>
        <w:rPr>
          <w:rFonts w:ascii="宋体" w:hAnsi="宋体" w:cs="宋体" w:eastAsia="宋体" w:hint="default"/>
          <w:sz w:val="21"/>
          <w:szCs w:val="21"/>
        </w:rPr>
        <w:sectPr>
          <w:type w:val="continuous"/>
          <w:pgSz w:w="16840" w:h="11910" w:orient="landscape"/>
          <w:pgMar w:top="1120" w:bottom="138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66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,984.0</w:t>
            </w:r>
          </w:p>
          <w:p>
            <w:pPr>
              <w:pStyle w:val="TableParagraph"/>
              <w:spacing w:line="240" w:lineRule="auto" w:before="51"/>
              <w:ind w:right="101"/>
              <w:jc w:val="right"/>
              <w:rPr>
                <w:rFonts w:ascii="宋体" w:hAnsi="宋体" w:cs="宋体" w:eastAsia="宋体" w:hint="default"/>
                <w:sz w:val="21"/>
                <w:szCs w:val="21"/>
              </w:rPr>
            </w:pPr>
            <w:r>
              <w:rPr>
                <w:rFonts w:ascii="宋体"/>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6,406.</w:t>
            </w:r>
          </w:p>
          <w:p>
            <w:pPr>
              <w:pStyle w:val="TableParagraph"/>
              <w:spacing w:line="240" w:lineRule="auto" w:before="51"/>
              <w:ind w:left="544" w:right="0"/>
              <w:jc w:val="left"/>
              <w:rPr>
                <w:rFonts w:ascii="宋体" w:hAnsi="宋体" w:cs="宋体" w:eastAsia="宋体" w:hint="default"/>
                <w:sz w:val="21"/>
                <w:szCs w:val="21"/>
              </w:rPr>
            </w:pPr>
            <w:r>
              <w:rPr>
                <w:rFonts w:ascii="宋体"/>
                <w:sz w:val="21"/>
              </w:rPr>
              <w:t>08</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57" w:right="0"/>
              <w:jc w:val="left"/>
              <w:rPr>
                <w:rFonts w:ascii="宋体" w:hAnsi="宋体" w:cs="宋体" w:eastAsia="宋体" w:hint="default"/>
                <w:sz w:val="21"/>
                <w:szCs w:val="21"/>
              </w:rPr>
            </w:pPr>
            <w:r>
              <w:rPr>
                <w:rFonts w:ascii="宋体"/>
                <w:sz w:val="21"/>
              </w:rPr>
              <w:t>698.03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sz w:val="21"/>
              </w:rPr>
              <w:t>088.11</w:t>
            </w:r>
          </w:p>
        </w:tc>
      </w:tr>
      <w:tr>
        <w:trPr>
          <w:trHeight w:val="98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18,200</w:t>
            </w:r>
          </w:p>
          <w:p>
            <w:pPr>
              <w:pStyle w:val="TableParagraph"/>
              <w:spacing w:line="240" w:lineRule="auto" w:before="51"/>
              <w:ind w:right="98"/>
              <w:jc w:val="right"/>
              <w:rPr>
                <w:rFonts w:ascii="宋体" w:hAnsi="宋体" w:cs="宋体" w:eastAsia="宋体" w:hint="default"/>
                <w:sz w:val="21"/>
                <w:szCs w:val="21"/>
              </w:rPr>
            </w:pPr>
            <w:r>
              <w:rPr>
                <w:rFonts w:ascii="宋体"/>
                <w:sz w:val="21"/>
              </w:rPr>
              <w:t>,984.0</w:t>
            </w:r>
          </w:p>
          <w:p>
            <w:pPr>
              <w:pStyle w:val="TableParagraph"/>
              <w:spacing w:line="240" w:lineRule="auto" w:before="49"/>
              <w:ind w:right="101"/>
              <w:jc w:val="right"/>
              <w:rPr>
                <w:rFonts w:ascii="宋体" w:hAnsi="宋体" w:cs="宋体" w:eastAsia="宋体" w:hint="default"/>
                <w:sz w:val="21"/>
                <w:szCs w:val="21"/>
              </w:rPr>
            </w:pPr>
            <w:r>
              <w:rPr>
                <w:rFonts w:ascii="宋体"/>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215,36</w:t>
            </w:r>
          </w:p>
          <w:p>
            <w:pPr>
              <w:pStyle w:val="TableParagraph"/>
              <w:spacing w:line="240" w:lineRule="auto" w:before="51"/>
              <w:ind w:left="124" w:right="0"/>
              <w:jc w:val="left"/>
              <w:rPr>
                <w:rFonts w:ascii="宋体" w:hAnsi="宋体" w:cs="宋体" w:eastAsia="宋体" w:hint="default"/>
                <w:sz w:val="21"/>
                <w:szCs w:val="21"/>
              </w:rPr>
            </w:pPr>
            <w:r>
              <w:rPr>
                <w:rFonts w:ascii="宋体"/>
                <w:sz w:val="21"/>
              </w:rPr>
              <w:t>5,056.</w:t>
            </w:r>
          </w:p>
          <w:p>
            <w:pPr>
              <w:pStyle w:val="TableParagraph"/>
              <w:spacing w:line="240" w:lineRule="auto" w:before="49"/>
              <w:ind w:left="544" w:right="0"/>
              <w:jc w:val="left"/>
              <w:rPr>
                <w:rFonts w:ascii="宋体" w:hAnsi="宋体" w:cs="宋体" w:eastAsia="宋体" w:hint="default"/>
                <w:sz w:val="21"/>
                <w:szCs w:val="21"/>
              </w:rPr>
            </w:pPr>
            <w:r>
              <w:rPr>
                <w:rFonts w:ascii="宋体"/>
                <w:sz w:val="21"/>
              </w:rPr>
              <w:t>06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8" w:right="0"/>
              <w:jc w:val="left"/>
              <w:rPr>
                <w:rFonts w:ascii="宋体" w:hAnsi="宋体" w:cs="宋体" w:eastAsia="宋体" w:hint="default"/>
                <w:sz w:val="21"/>
                <w:szCs w:val="21"/>
              </w:rPr>
            </w:pPr>
            <w:r>
              <w:rPr>
                <w:rFonts w:ascii="宋体"/>
                <w:sz w:val="21"/>
              </w:rPr>
              <w:t>14,733,3</w:t>
            </w:r>
          </w:p>
          <w:p>
            <w:pPr>
              <w:pStyle w:val="TableParagraph"/>
              <w:spacing w:line="240" w:lineRule="auto" w:before="51"/>
              <w:ind w:left="463" w:right="0"/>
              <w:jc w:val="left"/>
              <w:rPr>
                <w:rFonts w:ascii="宋体" w:hAnsi="宋体" w:cs="宋体" w:eastAsia="宋体" w:hint="default"/>
                <w:sz w:val="21"/>
                <w:szCs w:val="21"/>
              </w:rPr>
            </w:pPr>
            <w:r>
              <w:rPr>
                <w:rFonts w:ascii="宋体"/>
                <w:sz w:val="21"/>
              </w:rPr>
              <w:t>29.40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宋体" w:hAnsi="宋体" w:cs="宋体" w:eastAsia="宋体" w:hint="default"/>
                <w:sz w:val="21"/>
                <w:szCs w:val="21"/>
              </w:rPr>
            </w:pPr>
            <w:r>
              <w:rPr>
                <w:rFonts w:ascii="宋体"/>
                <w:sz w:val="21"/>
              </w:rPr>
              <w:t>248,299,</w:t>
            </w:r>
          </w:p>
          <w:p>
            <w:pPr>
              <w:pStyle w:val="TableParagraph"/>
              <w:spacing w:line="240" w:lineRule="auto" w:before="51"/>
              <w:ind w:left="350" w:right="0"/>
              <w:jc w:val="left"/>
              <w:rPr>
                <w:rFonts w:ascii="宋体" w:hAnsi="宋体" w:cs="宋体" w:eastAsia="宋体" w:hint="default"/>
                <w:sz w:val="21"/>
                <w:szCs w:val="21"/>
              </w:rPr>
            </w:pPr>
            <w:r>
              <w:rPr>
                <w:rFonts w:ascii="宋体"/>
                <w:sz w:val="21"/>
              </w:rPr>
              <w:t>369.46</w:t>
            </w:r>
          </w:p>
        </w:tc>
      </w:tr>
      <w:tr>
        <w:trPr>
          <w:trHeight w:val="66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．其他权益工具持有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者投入资本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0"/>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．股份支付计入所有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者权益的金额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123,31</w:t>
            </w:r>
          </w:p>
          <w:p>
            <w:pPr>
              <w:pStyle w:val="TableParagraph"/>
              <w:spacing w:line="240" w:lineRule="auto" w:before="51"/>
              <w:ind w:left="124" w:right="0"/>
              <w:jc w:val="left"/>
              <w:rPr>
                <w:rFonts w:ascii="宋体" w:hAnsi="宋体" w:cs="宋体" w:eastAsia="宋体" w:hint="default"/>
                <w:sz w:val="21"/>
                <w:szCs w:val="21"/>
              </w:rPr>
            </w:pPr>
            <w:r>
              <w:rPr>
                <w:rFonts w:ascii="宋体"/>
                <w:sz w:val="21"/>
              </w:rPr>
              <w:t>1,350.</w:t>
            </w:r>
          </w:p>
          <w:p>
            <w:pPr>
              <w:pStyle w:val="TableParagraph"/>
              <w:spacing w:line="240" w:lineRule="auto" w:before="51"/>
              <w:ind w:left="544" w:right="0"/>
              <w:jc w:val="left"/>
              <w:rPr>
                <w:rFonts w:ascii="宋体" w:hAnsi="宋体" w:cs="宋体" w:eastAsia="宋体" w:hint="default"/>
                <w:sz w:val="21"/>
                <w:szCs w:val="21"/>
              </w:rPr>
            </w:pPr>
            <w:r>
              <w:rPr>
                <w:rFonts w:ascii="宋体"/>
                <w:sz w:val="21"/>
              </w:rPr>
              <w:t>02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8" w:right="0"/>
              <w:jc w:val="left"/>
              <w:rPr>
                <w:rFonts w:ascii="宋体" w:hAnsi="宋体" w:cs="宋体" w:eastAsia="宋体" w:hint="default"/>
                <w:sz w:val="21"/>
                <w:szCs w:val="21"/>
              </w:rPr>
            </w:pPr>
            <w:r>
              <w:rPr>
                <w:rFonts w:ascii="宋体"/>
                <w:sz w:val="21"/>
              </w:rPr>
              <w:t>141,125,</w:t>
            </w:r>
          </w:p>
          <w:p>
            <w:pPr>
              <w:pStyle w:val="TableParagraph"/>
              <w:spacing w:line="240" w:lineRule="auto" w:before="51"/>
              <w:ind w:left="357" w:right="0"/>
              <w:jc w:val="left"/>
              <w:rPr>
                <w:rFonts w:ascii="宋体" w:hAnsi="宋体" w:cs="宋体" w:eastAsia="宋体" w:hint="default"/>
                <w:sz w:val="21"/>
                <w:szCs w:val="21"/>
              </w:rPr>
            </w:pPr>
            <w:r>
              <w:rPr>
                <w:rFonts w:ascii="宋体"/>
                <w:sz w:val="21"/>
              </w:rPr>
              <w:t>368.63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宋体" w:hAnsi="宋体" w:cs="宋体" w:eastAsia="宋体" w:hint="default"/>
                <w:sz w:val="21"/>
                <w:szCs w:val="21"/>
              </w:rPr>
            </w:pPr>
            <w:r>
              <w:rPr>
                <w:rFonts w:ascii="宋体"/>
                <w:sz w:val="21"/>
              </w:rPr>
              <w:t>264,436,</w:t>
            </w:r>
          </w:p>
          <w:p>
            <w:pPr>
              <w:pStyle w:val="TableParagraph"/>
              <w:spacing w:line="240" w:lineRule="auto" w:before="51"/>
              <w:ind w:left="350" w:right="0"/>
              <w:jc w:val="left"/>
              <w:rPr>
                <w:rFonts w:ascii="宋体" w:hAnsi="宋体" w:cs="宋体" w:eastAsia="宋体" w:hint="default"/>
                <w:sz w:val="21"/>
                <w:szCs w:val="21"/>
              </w:rPr>
            </w:pPr>
            <w:r>
              <w:rPr>
                <w:rFonts w:ascii="宋体"/>
                <w:sz w:val="21"/>
              </w:rPr>
              <w:t>718.65</w:t>
            </w:r>
          </w:p>
        </w:tc>
      </w:tr>
      <w:tr>
        <w:trPr>
          <w:trHeight w:val="987"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7,527,</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240.90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9" w:right="0"/>
              <w:jc w:val="left"/>
              <w:rPr>
                <w:rFonts w:ascii="宋体" w:hAnsi="宋体" w:cs="宋体" w:eastAsia="宋体" w:hint="default"/>
                <w:sz w:val="21"/>
                <w:szCs w:val="21"/>
              </w:rPr>
            </w:pPr>
            <w:r>
              <w:rPr>
                <w:rFonts w:ascii="宋体"/>
                <w:sz w:val="21"/>
              </w:rPr>
              <w:t>-78,50</w:t>
            </w:r>
          </w:p>
          <w:p>
            <w:pPr>
              <w:pStyle w:val="TableParagraph"/>
              <w:spacing w:line="240" w:lineRule="auto" w:before="51"/>
              <w:ind w:left="129" w:right="0"/>
              <w:jc w:val="left"/>
              <w:rPr>
                <w:rFonts w:ascii="宋体" w:hAnsi="宋体" w:cs="宋体" w:eastAsia="宋体" w:hint="default"/>
                <w:sz w:val="21"/>
                <w:szCs w:val="21"/>
              </w:rPr>
            </w:pPr>
            <w:r>
              <w:rPr>
                <w:rFonts w:ascii="宋体"/>
                <w:sz w:val="21"/>
              </w:rPr>
              <w:t>3,053.</w:t>
            </w:r>
          </w:p>
          <w:p>
            <w:pPr>
              <w:pStyle w:val="TableParagraph"/>
              <w:spacing w:line="240" w:lineRule="auto" w:before="49"/>
              <w:ind w:left="549" w:right="0"/>
              <w:jc w:val="left"/>
              <w:rPr>
                <w:rFonts w:ascii="宋体" w:hAnsi="宋体" w:cs="宋体" w:eastAsia="宋体" w:hint="default"/>
                <w:sz w:val="21"/>
                <w:szCs w:val="21"/>
              </w:rPr>
            </w:pPr>
            <w:r>
              <w:rPr>
                <w:rFonts w:ascii="宋体"/>
                <w:sz w:val="21"/>
              </w:rPr>
              <w:t>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8" w:right="0"/>
              <w:jc w:val="left"/>
              <w:rPr>
                <w:rFonts w:ascii="宋体" w:hAnsi="宋体" w:cs="宋体" w:eastAsia="宋体" w:hint="default"/>
                <w:sz w:val="21"/>
                <w:szCs w:val="21"/>
              </w:rPr>
            </w:pPr>
            <w:r>
              <w:rPr>
                <w:rFonts w:ascii="宋体"/>
                <w:sz w:val="21"/>
              </w:rPr>
              <w:t>-89,465,</w:t>
            </w:r>
          </w:p>
          <w:p>
            <w:pPr>
              <w:pStyle w:val="TableParagraph"/>
              <w:spacing w:line="240" w:lineRule="auto" w:before="51"/>
              <w:ind w:left="357" w:right="0"/>
              <w:jc w:val="left"/>
              <w:rPr>
                <w:rFonts w:ascii="宋体" w:hAnsi="宋体" w:cs="宋体" w:eastAsia="宋体" w:hint="default"/>
                <w:sz w:val="21"/>
                <w:szCs w:val="21"/>
              </w:rPr>
            </w:pPr>
            <w:r>
              <w:rPr>
                <w:rFonts w:ascii="宋体"/>
                <w:sz w:val="21"/>
              </w:rPr>
              <w:t>400.00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0" w:right="0"/>
              <w:jc w:val="center"/>
              <w:rPr>
                <w:rFonts w:ascii="宋体" w:hAnsi="宋体" w:cs="宋体" w:eastAsia="宋体" w:hint="default"/>
                <w:sz w:val="21"/>
                <w:szCs w:val="21"/>
              </w:rPr>
            </w:pPr>
            <w:r>
              <w:rPr>
                <w:rFonts w:ascii="宋体"/>
                <w:sz w:val="21"/>
              </w:rPr>
              <w:t>-160,441</w:t>
            </w:r>
          </w:p>
          <w:p>
            <w:pPr>
              <w:pStyle w:val="TableParagraph"/>
              <w:spacing w:line="240" w:lineRule="auto" w:before="51"/>
              <w:ind w:left="146" w:right="0"/>
              <w:jc w:val="center"/>
              <w:rPr>
                <w:rFonts w:ascii="宋体" w:hAnsi="宋体" w:cs="宋体" w:eastAsia="宋体" w:hint="default"/>
                <w:sz w:val="21"/>
                <w:szCs w:val="21"/>
              </w:rPr>
            </w:pPr>
            <w:r>
              <w:rPr>
                <w:rFonts w:ascii="宋体"/>
                <w:sz w:val="21"/>
              </w:rPr>
              <w:t>,212.61</w:t>
            </w:r>
          </w:p>
        </w:tc>
      </w:tr>
      <w:tr>
        <w:trPr>
          <w:trHeight w:val="98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7,527,</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240.90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-7,527</w:t>
            </w:r>
          </w:p>
          <w:p>
            <w:pPr>
              <w:pStyle w:val="TableParagraph"/>
              <w:spacing w:line="240" w:lineRule="auto" w:before="51"/>
              <w:ind w:right="98"/>
              <w:jc w:val="right"/>
              <w:rPr>
                <w:rFonts w:ascii="宋体" w:hAnsi="宋体" w:cs="宋体" w:eastAsia="宋体" w:hint="default"/>
                <w:sz w:val="21"/>
                <w:szCs w:val="21"/>
              </w:rPr>
            </w:pPr>
            <w:r>
              <w:rPr>
                <w:rFonts w:ascii="宋体"/>
                <w:sz w:val="21"/>
              </w:rPr>
              <w:t>,240.9</w:t>
            </w:r>
          </w:p>
          <w:p>
            <w:pPr>
              <w:pStyle w:val="TableParagraph"/>
              <w:spacing w:line="240" w:lineRule="auto" w:before="51"/>
              <w:ind w:right="101"/>
              <w:jc w:val="right"/>
              <w:rPr>
                <w:rFonts w:ascii="宋体" w:hAnsi="宋体" w:cs="宋体" w:eastAsia="宋体" w:hint="default"/>
                <w:sz w:val="21"/>
                <w:szCs w:val="21"/>
              </w:rPr>
            </w:pPr>
            <w:r>
              <w:rPr>
                <w:rFonts w:ascii="宋体"/>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9" w:right="0"/>
              <w:jc w:val="left"/>
              <w:rPr>
                <w:rFonts w:ascii="宋体" w:hAnsi="宋体" w:cs="宋体" w:eastAsia="宋体" w:hint="default"/>
                <w:sz w:val="21"/>
                <w:szCs w:val="21"/>
              </w:rPr>
            </w:pPr>
            <w:r>
              <w:rPr>
                <w:rFonts w:ascii="宋体"/>
                <w:sz w:val="21"/>
              </w:rPr>
              <w:t>-70,97</w:t>
            </w:r>
          </w:p>
          <w:p>
            <w:pPr>
              <w:pStyle w:val="TableParagraph"/>
              <w:spacing w:line="240" w:lineRule="auto" w:before="51"/>
              <w:ind w:left="129" w:right="0"/>
              <w:jc w:val="left"/>
              <w:rPr>
                <w:rFonts w:ascii="宋体" w:hAnsi="宋体" w:cs="宋体" w:eastAsia="宋体" w:hint="default"/>
                <w:sz w:val="21"/>
                <w:szCs w:val="21"/>
              </w:rPr>
            </w:pPr>
            <w:r>
              <w:rPr>
                <w:rFonts w:ascii="宋体"/>
                <w:sz w:val="21"/>
              </w:rPr>
              <w:t>5,812.</w:t>
            </w:r>
          </w:p>
          <w:p>
            <w:pPr>
              <w:pStyle w:val="TableParagraph"/>
              <w:spacing w:line="240" w:lineRule="auto" w:before="51"/>
              <w:ind w:left="549" w:right="0"/>
              <w:jc w:val="left"/>
              <w:rPr>
                <w:rFonts w:ascii="宋体" w:hAnsi="宋体" w:cs="宋体" w:eastAsia="宋体" w:hint="default"/>
                <w:sz w:val="21"/>
                <w:szCs w:val="21"/>
              </w:rPr>
            </w:pPr>
            <w:r>
              <w:rPr>
                <w:rFonts w:ascii="宋体"/>
                <w:sz w:val="21"/>
              </w:rPr>
              <w:t>61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8" w:right="0"/>
              <w:jc w:val="left"/>
              <w:rPr>
                <w:rFonts w:ascii="宋体" w:hAnsi="宋体" w:cs="宋体" w:eastAsia="宋体" w:hint="default"/>
                <w:sz w:val="21"/>
                <w:szCs w:val="21"/>
              </w:rPr>
            </w:pPr>
            <w:r>
              <w:rPr>
                <w:rFonts w:ascii="宋体"/>
                <w:sz w:val="21"/>
              </w:rPr>
              <w:t>-89,465,</w:t>
            </w:r>
          </w:p>
          <w:p>
            <w:pPr>
              <w:pStyle w:val="TableParagraph"/>
              <w:spacing w:line="240" w:lineRule="auto" w:before="51"/>
              <w:ind w:left="357" w:right="0"/>
              <w:jc w:val="left"/>
              <w:rPr>
                <w:rFonts w:ascii="宋体" w:hAnsi="宋体" w:cs="宋体" w:eastAsia="宋体" w:hint="default"/>
                <w:sz w:val="21"/>
                <w:szCs w:val="21"/>
              </w:rPr>
            </w:pPr>
            <w:r>
              <w:rPr>
                <w:rFonts w:ascii="宋体"/>
                <w:sz w:val="21"/>
              </w:rPr>
              <w:t>400.00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0" w:right="0"/>
              <w:jc w:val="center"/>
              <w:rPr>
                <w:rFonts w:ascii="宋体" w:hAnsi="宋体" w:cs="宋体" w:eastAsia="宋体" w:hint="default"/>
                <w:sz w:val="21"/>
                <w:szCs w:val="21"/>
              </w:rPr>
            </w:pPr>
            <w:r>
              <w:rPr>
                <w:rFonts w:ascii="宋体"/>
                <w:sz w:val="21"/>
              </w:rPr>
              <w:t>-160,441</w:t>
            </w:r>
          </w:p>
          <w:p>
            <w:pPr>
              <w:pStyle w:val="TableParagraph"/>
              <w:spacing w:line="240" w:lineRule="auto" w:before="51"/>
              <w:ind w:left="146" w:right="0"/>
              <w:jc w:val="center"/>
              <w:rPr>
                <w:rFonts w:ascii="宋体" w:hAnsi="宋体" w:cs="宋体" w:eastAsia="宋体" w:hint="default"/>
                <w:sz w:val="21"/>
                <w:szCs w:val="21"/>
              </w:rPr>
            </w:pPr>
            <w:r>
              <w:rPr>
                <w:rFonts w:ascii="宋体"/>
                <w:sz w:val="21"/>
              </w:rPr>
              <w:t>,212.61</w:t>
            </w:r>
          </w:p>
        </w:tc>
      </w:tr>
      <w:tr>
        <w:trPr>
          <w:trHeight w:val="66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．对所有者（或股东）</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（四）所有者权益内部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66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sz w:val="21"/>
              </w:rPr>
              <w:t>853,21</w:t>
            </w:r>
          </w:p>
          <w:p>
            <w:pPr>
              <w:pStyle w:val="TableParagraph"/>
              <w:spacing w:line="240" w:lineRule="auto" w:before="49"/>
              <w:ind w:left="107" w:right="0"/>
              <w:jc w:val="left"/>
              <w:rPr>
                <w:rFonts w:ascii="宋体" w:hAnsi="宋体" w:cs="宋体" w:eastAsia="宋体" w:hint="default"/>
                <w:sz w:val="21"/>
                <w:szCs w:val="21"/>
              </w:rPr>
            </w:pPr>
            <w:r>
              <w:rPr>
                <w:rFonts w:ascii="宋体"/>
                <w:sz w:val="21"/>
              </w:rPr>
              <w:t>0,484.</w:t>
            </w:r>
          </w:p>
          <w:p>
            <w:pPr>
              <w:pStyle w:val="TableParagraph"/>
              <w:spacing w:line="240" w:lineRule="auto" w:before="51"/>
              <w:ind w:left="527"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4" w:right="0"/>
              <w:jc w:val="left"/>
              <w:rPr>
                <w:rFonts w:ascii="宋体" w:hAnsi="宋体" w:cs="宋体" w:eastAsia="宋体" w:hint="default"/>
                <w:sz w:val="21"/>
                <w:szCs w:val="21"/>
              </w:rPr>
            </w:pPr>
            <w:r>
              <w:rPr>
                <w:rFonts w:ascii="宋体"/>
                <w:sz w:val="21"/>
              </w:rPr>
              <w:t>348,67</w:t>
            </w:r>
          </w:p>
          <w:p>
            <w:pPr>
              <w:pStyle w:val="TableParagraph"/>
              <w:spacing w:line="240" w:lineRule="auto" w:before="49"/>
              <w:ind w:left="124" w:right="0"/>
              <w:jc w:val="left"/>
              <w:rPr>
                <w:rFonts w:ascii="宋体" w:hAnsi="宋体" w:cs="宋体" w:eastAsia="宋体" w:hint="default"/>
                <w:sz w:val="21"/>
                <w:szCs w:val="21"/>
              </w:rPr>
            </w:pPr>
            <w:r>
              <w:rPr>
                <w:rFonts w:ascii="宋体"/>
                <w:sz w:val="21"/>
              </w:rPr>
              <w:t>0,735.</w:t>
            </w:r>
          </w:p>
          <w:p>
            <w:pPr>
              <w:pStyle w:val="TableParagraph"/>
              <w:spacing w:line="240" w:lineRule="auto" w:before="51"/>
              <w:ind w:left="544" w:right="0"/>
              <w:jc w:val="left"/>
              <w:rPr>
                <w:rFonts w:ascii="宋体" w:hAnsi="宋体" w:cs="宋体" w:eastAsia="宋体" w:hint="default"/>
                <w:sz w:val="21"/>
                <w:szCs w:val="21"/>
              </w:rPr>
            </w:pPr>
            <w:r>
              <w:rPr>
                <w:rFonts w:ascii="宋体"/>
                <w:sz w:val="21"/>
              </w:rPr>
              <w:t>44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34" w:right="0"/>
              <w:jc w:val="left"/>
              <w:rPr>
                <w:rFonts w:ascii="宋体" w:hAnsi="宋体" w:cs="宋体" w:eastAsia="宋体" w:hint="default"/>
                <w:sz w:val="21"/>
                <w:szCs w:val="21"/>
              </w:rPr>
            </w:pPr>
            <w:r>
              <w:rPr>
                <w:rFonts w:ascii="宋体"/>
                <w:sz w:val="21"/>
              </w:rPr>
              <w:t>234,11</w:t>
            </w:r>
          </w:p>
          <w:p>
            <w:pPr>
              <w:pStyle w:val="TableParagraph"/>
              <w:spacing w:line="240" w:lineRule="auto" w:before="49"/>
              <w:ind w:left="345" w:right="0"/>
              <w:jc w:val="left"/>
              <w:rPr>
                <w:rFonts w:ascii="宋体" w:hAnsi="宋体" w:cs="宋体" w:eastAsia="宋体" w:hint="default"/>
                <w:sz w:val="21"/>
                <w:szCs w:val="21"/>
              </w:rPr>
            </w:pPr>
            <w:r>
              <w:rPr>
                <w:rFonts w:ascii="宋体"/>
                <w:sz w:val="21"/>
              </w:rPr>
              <w:t>8.51</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7" w:right="0"/>
              <w:jc w:val="left"/>
              <w:rPr>
                <w:rFonts w:ascii="宋体" w:hAnsi="宋体" w:cs="宋体" w:eastAsia="宋体" w:hint="default"/>
                <w:sz w:val="21"/>
                <w:szCs w:val="21"/>
              </w:rPr>
            </w:pPr>
            <w:r>
              <w:rPr>
                <w:rFonts w:ascii="宋体"/>
                <w:sz w:val="21"/>
              </w:rPr>
              <w:t>121,73</w:t>
            </w:r>
          </w:p>
          <w:p>
            <w:pPr>
              <w:pStyle w:val="TableParagraph"/>
              <w:spacing w:line="240" w:lineRule="auto" w:before="49"/>
              <w:ind w:left="127" w:right="0"/>
              <w:jc w:val="left"/>
              <w:rPr>
                <w:rFonts w:ascii="宋体" w:hAnsi="宋体" w:cs="宋体" w:eastAsia="宋体" w:hint="default"/>
                <w:sz w:val="21"/>
                <w:szCs w:val="21"/>
              </w:rPr>
            </w:pPr>
            <w:r>
              <w:rPr>
                <w:rFonts w:ascii="宋体"/>
                <w:sz w:val="21"/>
              </w:rPr>
              <w:t>7,991.</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53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9" w:right="0"/>
              <w:jc w:val="left"/>
              <w:rPr>
                <w:rFonts w:ascii="宋体" w:hAnsi="宋体" w:cs="宋体" w:eastAsia="宋体" w:hint="default"/>
                <w:sz w:val="21"/>
                <w:szCs w:val="21"/>
              </w:rPr>
            </w:pPr>
            <w:r>
              <w:rPr>
                <w:rFonts w:ascii="宋体"/>
                <w:sz w:val="21"/>
              </w:rPr>
              <w:t>564,20</w:t>
            </w:r>
          </w:p>
          <w:p>
            <w:pPr>
              <w:pStyle w:val="TableParagraph"/>
              <w:spacing w:line="240" w:lineRule="auto" w:before="49"/>
              <w:ind w:left="129" w:right="0"/>
              <w:jc w:val="left"/>
              <w:rPr>
                <w:rFonts w:ascii="宋体" w:hAnsi="宋体" w:cs="宋体" w:eastAsia="宋体" w:hint="default"/>
                <w:sz w:val="21"/>
                <w:szCs w:val="21"/>
              </w:rPr>
            </w:pPr>
            <w:r>
              <w:rPr>
                <w:rFonts w:ascii="宋体"/>
                <w:sz w:val="21"/>
              </w:rPr>
              <w:t>0,882.</w:t>
            </w:r>
          </w:p>
          <w:p>
            <w:pPr>
              <w:pStyle w:val="TableParagraph"/>
              <w:spacing w:line="240" w:lineRule="auto" w:before="51"/>
              <w:ind w:left="549" w:right="0"/>
              <w:jc w:val="left"/>
              <w:rPr>
                <w:rFonts w:ascii="宋体" w:hAnsi="宋体" w:cs="宋体" w:eastAsia="宋体" w:hint="default"/>
                <w:sz w:val="21"/>
                <w:szCs w:val="21"/>
              </w:rPr>
            </w:pPr>
            <w:r>
              <w:rPr>
                <w:rFonts w:ascii="宋体"/>
                <w:sz w:val="21"/>
              </w:rPr>
              <w:t>05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8" w:right="0"/>
              <w:jc w:val="left"/>
              <w:rPr>
                <w:rFonts w:ascii="宋体" w:hAnsi="宋体" w:cs="宋体" w:eastAsia="宋体" w:hint="default"/>
                <w:sz w:val="21"/>
                <w:szCs w:val="21"/>
              </w:rPr>
            </w:pPr>
            <w:r>
              <w:rPr>
                <w:rFonts w:ascii="宋体"/>
                <w:sz w:val="21"/>
              </w:rPr>
              <w:t>388,345,</w:t>
            </w:r>
          </w:p>
          <w:p>
            <w:pPr>
              <w:pStyle w:val="TableParagraph"/>
              <w:spacing w:line="240" w:lineRule="auto" w:before="49"/>
              <w:ind w:left="357" w:right="0"/>
              <w:jc w:val="left"/>
              <w:rPr>
                <w:rFonts w:ascii="宋体" w:hAnsi="宋体" w:cs="宋体" w:eastAsia="宋体" w:hint="default"/>
                <w:sz w:val="21"/>
                <w:szCs w:val="21"/>
              </w:rPr>
            </w:pPr>
            <w:r>
              <w:rPr>
                <w:rFonts w:ascii="宋体"/>
                <w:sz w:val="21"/>
              </w:rPr>
              <w:t>685.65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1" w:right="0"/>
              <w:jc w:val="left"/>
              <w:rPr>
                <w:rFonts w:ascii="宋体" w:hAnsi="宋体" w:cs="宋体" w:eastAsia="宋体" w:hint="default"/>
                <w:sz w:val="21"/>
                <w:szCs w:val="21"/>
              </w:rPr>
            </w:pPr>
            <w:r>
              <w:rPr>
                <w:rFonts w:ascii="宋体"/>
                <w:sz w:val="21"/>
              </w:rPr>
              <w:t>2,276,39</w:t>
            </w:r>
          </w:p>
          <w:p>
            <w:pPr>
              <w:pStyle w:val="TableParagraph"/>
              <w:spacing w:line="240" w:lineRule="auto" w:before="49"/>
              <w:ind w:left="141" w:right="0"/>
              <w:jc w:val="left"/>
              <w:rPr>
                <w:rFonts w:ascii="宋体" w:hAnsi="宋体" w:cs="宋体" w:eastAsia="宋体" w:hint="default"/>
                <w:sz w:val="21"/>
                <w:szCs w:val="21"/>
              </w:rPr>
            </w:pPr>
            <w:r>
              <w:rPr>
                <w:rFonts w:ascii="宋体"/>
                <w:sz w:val="21"/>
              </w:rPr>
              <w:t>9,897.18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913"/>
        <w:gridCol w:w="842"/>
        <w:gridCol w:w="871"/>
        <w:gridCol w:w="1082"/>
        <w:gridCol w:w="1109"/>
      </w:tblGrid>
      <w:tr>
        <w:trPr>
          <w:trHeight w:val="281"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82"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53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85" w:lineRule="auto"/>
              <w:ind w:left="323" w:right="113" w:hanging="209"/>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85" w:lineRule="auto"/>
              <w:ind w:left="232" w:right="125" w:hanging="10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益合计</w:t>
            </w:r>
          </w:p>
        </w:tc>
      </w:tr>
      <w:tr>
        <w:trPr>
          <w:trHeight w:val="391"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5"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72" w:lineRule="exact" w:before="130"/>
              <w:ind w:left="324" w:right="113"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57" w:type="dxa"/>
            <w:vMerge w:val="restart"/>
            <w:tcBorders>
              <w:top w:val="single" w:sz="4" w:space="0" w:color="000000"/>
              <w:left w:val="single" w:sz="4" w:space="0" w:color="000000"/>
              <w:right w:val="single" w:sz="4" w:space="0" w:color="000000"/>
            </w:tcBorders>
          </w:tcPr>
          <w:p>
            <w:pPr>
              <w:pStyle w:val="TableParagraph"/>
              <w:spacing w:line="272" w:lineRule="exact" w:before="130"/>
              <w:ind w:left="214" w:right="105"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886" w:type="dxa"/>
            <w:vMerge w:val="restart"/>
            <w:tcBorders>
              <w:top w:val="single" w:sz="4" w:space="0" w:color="000000"/>
              <w:left w:val="single" w:sz="4" w:space="0" w:color="000000"/>
              <w:right w:val="single" w:sz="4" w:space="0" w:color="000000"/>
            </w:tcBorders>
          </w:tcPr>
          <w:p>
            <w:pPr>
              <w:pStyle w:val="TableParagraph"/>
              <w:spacing w:line="272" w:lineRule="exact" w:before="130"/>
              <w:ind w:left="122" w:right="119"/>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857" w:type="dxa"/>
            <w:vMerge w:val="restart"/>
            <w:tcBorders>
              <w:top w:val="single" w:sz="4" w:space="0" w:color="000000"/>
              <w:left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913" w:type="dxa"/>
            <w:vMerge w:val="restart"/>
            <w:tcBorders>
              <w:top w:val="single" w:sz="4" w:space="0" w:color="000000"/>
              <w:left w:val="single" w:sz="4" w:space="0" w:color="000000"/>
              <w:right w:val="single" w:sz="4" w:space="0" w:color="000000"/>
            </w:tcBorders>
          </w:tcPr>
          <w:p>
            <w:pPr>
              <w:pStyle w:val="TableParagraph"/>
              <w:spacing w:line="272" w:lineRule="exact" w:before="130"/>
              <w:ind w:left="345" w:right="134"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42" w:type="dxa"/>
            <w:vMerge w:val="restart"/>
            <w:tcBorders>
              <w:top w:val="single" w:sz="4" w:space="0" w:color="000000"/>
              <w:left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40" w:lineRule="auto"/>
              <w:ind w:left="206" w:right="203"/>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871" w:type="dxa"/>
            <w:vMerge w:val="restart"/>
            <w:tcBorders>
              <w:top w:val="single" w:sz="4" w:space="0" w:color="000000"/>
              <w:left w:val="single" w:sz="4" w:space="0" w:color="000000"/>
              <w:right w:val="single" w:sz="4" w:space="0" w:color="000000"/>
            </w:tcBorders>
          </w:tcPr>
          <w:p>
            <w:pPr>
              <w:pStyle w:val="TableParagraph"/>
              <w:spacing w:line="272" w:lineRule="exact" w:before="130"/>
              <w:ind w:left="220" w:right="110"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434"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98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835,00</w:t>
            </w:r>
          </w:p>
          <w:p>
            <w:pPr>
              <w:pStyle w:val="TableParagraph"/>
              <w:spacing w:line="240" w:lineRule="auto" w:before="52"/>
              <w:ind w:left="124" w:right="0"/>
              <w:jc w:val="left"/>
              <w:rPr>
                <w:rFonts w:ascii="宋体" w:hAnsi="宋体" w:cs="宋体" w:eastAsia="宋体" w:hint="default"/>
                <w:sz w:val="21"/>
                <w:szCs w:val="21"/>
              </w:rPr>
            </w:pPr>
            <w:r>
              <w:rPr>
                <w:rFonts w:ascii="宋体"/>
                <w:sz w:val="21"/>
              </w:rPr>
              <w:t>9,500.</w:t>
            </w:r>
          </w:p>
          <w:p>
            <w:pPr>
              <w:pStyle w:val="TableParagraph"/>
              <w:spacing w:line="240" w:lineRule="auto" w:before="51"/>
              <w:ind w:left="544"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z w:val="21"/>
              </w:rPr>
              <w:t>10,052</w:t>
            </w:r>
          </w:p>
          <w:p>
            <w:pPr>
              <w:pStyle w:val="TableParagraph"/>
              <w:spacing w:line="240" w:lineRule="auto" w:before="52"/>
              <w:ind w:right="101"/>
              <w:jc w:val="right"/>
              <w:rPr>
                <w:rFonts w:ascii="宋体" w:hAnsi="宋体" w:cs="宋体" w:eastAsia="宋体" w:hint="default"/>
                <w:sz w:val="21"/>
                <w:szCs w:val="21"/>
              </w:rPr>
            </w:pPr>
            <w:r>
              <w:rPr>
                <w:rFonts w:ascii="宋体"/>
                <w:sz w:val="21"/>
              </w:rPr>
              <w:t>,490.4</w:t>
            </w:r>
          </w:p>
          <w:p>
            <w:pPr>
              <w:pStyle w:val="TableParagraph"/>
              <w:spacing w:line="240" w:lineRule="auto" w:before="51"/>
              <w:ind w:right="103"/>
              <w:jc w:val="right"/>
              <w:rPr>
                <w:rFonts w:ascii="宋体" w:hAnsi="宋体" w:cs="宋体" w:eastAsia="宋体" w:hint="default"/>
                <w:sz w:val="21"/>
                <w:szCs w:val="21"/>
              </w:rPr>
            </w:pPr>
            <w:r>
              <w:rPr>
                <w:rFonts w:ascii="宋体"/>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宋体" w:hAnsi="宋体" w:cs="宋体" w:eastAsia="宋体" w:hint="default"/>
                <w:sz w:val="21"/>
                <w:szCs w:val="21"/>
              </w:rPr>
            </w:pPr>
            <w:r>
              <w:rPr>
                <w:rFonts w:ascii="宋体"/>
                <w:sz w:val="21"/>
              </w:rPr>
              <w:t>767,32</w:t>
            </w:r>
          </w:p>
          <w:p>
            <w:pPr>
              <w:pStyle w:val="TableParagraph"/>
              <w:spacing w:line="240" w:lineRule="auto" w:before="52"/>
              <w:ind w:left="352" w:right="0"/>
              <w:jc w:val="left"/>
              <w:rPr>
                <w:rFonts w:ascii="宋体" w:hAnsi="宋体" w:cs="宋体" w:eastAsia="宋体" w:hint="default"/>
                <w:sz w:val="21"/>
                <w:szCs w:val="21"/>
              </w:rPr>
            </w:pPr>
            <w:r>
              <w:rPr>
                <w:rFonts w:ascii="宋体"/>
                <w:sz w:val="21"/>
              </w:rPr>
              <w:t>3.48</w:t>
            </w: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z w:val="21"/>
              </w:rPr>
              <w:t>95,080</w:t>
            </w:r>
          </w:p>
          <w:p>
            <w:pPr>
              <w:pStyle w:val="TableParagraph"/>
              <w:spacing w:line="240" w:lineRule="auto" w:before="52"/>
              <w:ind w:right="99"/>
              <w:jc w:val="right"/>
              <w:rPr>
                <w:rFonts w:ascii="宋体" w:hAnsi="宋体" w:cs="宋体" w:eastAsia="宋体" w:hint="default"/>
                <w:sz w:val="21"/>
                <w:szCs w:val="21"/>
              </w:rPr>
            </w:pPr>
            <w:r>
              <w:rPr>
                <w:rFonts w:ascii="宋体"/>
                <w:sz w:val="21"/>
              </w:rPr>
              <w:t>,297.0</w:t>
            </w:r>
          </w:p>
          <w:p>
            <w:pPr>
              <w:pStyle w:val="TableParagraph"/>
              <w:spacing w:line="240" w:lineRule="auto" w:before="51"/>
              <w:ind w:right="101"/>
              <w:jc w:val="right"/>
              <w:rPr>
                <w:rFonts w:ascii="宋体" w:hAnsi="宋体" w:cs="宋体" w:eastAsia="宋体" w:hint="default"/>
                <w:sz w:val="21"/>
                <w:szCs w:val="21"/>
              </w:rPr>
            </w:pPr>
            <w:r>
              <w:rPr>
                <w:rFonts w:ascii="宋体"/>
                <w:w w:val="100"/>
                <w:sz w:val="21"/>
              </w:rPr>
              <w:t>4</w:t>
            </w: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342,35</w:t>
            </w:r>
          </w:p>
          <w:p>
            <w:pPr>
              <w:pStyle w:val="TableParagraph"/>
              <w:spacing w:line="240" w:lineRule="auto" w:before="52"/>
              <w:ind w:left="127" w:right="0"/>
              <w:jc w:val="left"/>
              <w:rPr>
                <w:rFonts w:ascii="宋体" w:hAnsi="宋体" w:cs="宋体" w:eastAsia="宋体" w:hint="default"/>
                <w:sz w:val="21"/>
                <w:szCs w:val="21"/>
              </w:rPr>
            </w:pPr>
            <w:r>
              <w:rPr>
                <w:rFonts w:ascii="宋体"/>
                <w:sz w:val="21"/>
              </w:rPr>
              <w:t>0,862.</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09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195,915,</w:t>
            </w:r>
          </w:p>
          <w:p>
            <w:pPr>
              <w:pStyle w:val="TableParagraph"/>
              <w:spacing w:line="240" w:lineRule="auto" w:before="52"/>
              <w:ind w:left="335" w:right="0"/>
              <w:jc w:val="left"/>
              <w:rPr>
                <w:rFonts w:ascii="宋体" w:hAnsi="宋体" w:cs="宋体" w:eastAsia="宋体" w:hint="default"/>
                <w:sz w:val="21"/>
                <w:szCs w:val="21"/>
              </w:rPr>
            </w:pPr>
            <w:r>
              <w:rPr>
                <w:rFonts w:ascii="宋体"/>
                <w:sz w:val="21"/>
              </w:rPr>
              <w:t>690.16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6" w:right="0"/>
              <w:jc w:val="left"/>
              <w:rPr>
                <w:rFonts w:ascii="宋体" w:hAnsi="宋体" w:cs="宋体" w:eastAsia="宋体" w:hint="default"/>
                <w:sz w:val="21"/>
                <w:szCs w:val="21"/>
              </w:rPr>
            </w:pPr>
            <w:r>
              <w:rPr>
                <w:rFonts w:ascii="宋体"/>
                <w:sz w:val="21"/>
              </w:rPr>
              <w:t>1,479,17</w:t>
            </w:r>
          </w:p>
          <w:p>
            <w:pPr>
              <w:pStyle w:val="TableParagraph"/>
              <w:spacing w:line="240" w:lineRule="auto" w:before="52"/>
              <w:ind w:left="156" w:right="0"/>
              <w:jc w:val="left"/>
              <w:rPr>
                <w:rFonts w:ascii="宋体" w:hAnsi="宋体" w:cs="宋体" w:eastAsia="宋体" w:hint="default"/>
                <w:sz w:val="21"/>
                <w:szCs w:val="21"/>
              </w:rPr>
            </w:pPr>
            <w:r>
              <w:rPr>
                <w:rFonts w:ascii="宋体"/>
                <w:sz w:val="21"/>
              </w:rPr>
              <w:t>6,163.17</w:t>
            </w: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宋体" w:hAnsi="宋体" w:cs="宋体" w:eastAsia="宋体" w:hint="default"/>
                <w:sz w:val="21"/>
                <w:szCs w:val="21"/>
              </w:rPr>
              <w:t>同一控制下企业</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913"/>
        <w:gridCol w:w="842"/>
        <w:gridCol w:w="871"/>
        <w:gridCol w:w="1082"/>
        <w:gridCol w:w="1109"/>
      </w:tblGrid>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835,00</w:t>
            </w:r>
          </w:p>
          <w:p>
            <w:pPr>
              <w:pStyle w:val="TableParagraph"/>
              <w:spacing w:line="240" w:lineRule="auto" w:before="51"/>
              <w:ind w:left="124" w:right="0"/>
              <w:jc w:val="left"/>
              <w:rPr>
                <w:rFonts w:ascii="宋体" w:hAnsi="宋体" w:cs="宋体" w:eastAsia="宋体" w:hint="default"/>
                <w:sz w:val="21"/>
                <w:szCs w:val="21"/>
              </w:rPr>
            </w:pPr>
            <w:r>
              <w:rPr>
                <w:rFonts w:ascii="宋体"/>
                <w:sz w:val="21"/>
              </w:rPr>
              <w:t>9,500.</w:t>
            </w:r>
          </w:p>
          <w:p>
            <w:pPr>
              <w:pStyle w:val="TableParagraph"/>
              <w:spacing w:line="240" w:lineRule="auto" w:before="51"/>
              <w:ind w:left="544"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z w:val="21"/>
              </w:rPr>
              <w:t>10,052</w:t>
            </w:r>
          </w:p>
          <w:p>
            <w:pPr>
              <w:pStyle w:val="TableParagraph"/>
              <w:spacing w:line="240" w:lineRule="auto" w:before="51"/>
              <w:ind w:right="101"/>
              <w:jc w:val="right"/>
              <w:rPr>
                <w:rFonts w:ascii="宋体" w:hAnsi="宋体" w:cs="宋体" w:eastAsia="宋体" w:hint="default"/>
                <w:sz w:val="21"/>
                <w:szCs w:val="21"/>
              </w:rPr>
            </w:pPr>
            <w:r>
              <w:rPr>
                <w:rFonts w:ascii="宋体"/>
                <w:sz w:val="21"/>
              </w:rPr>
              <w:t>,490.4</w:t>
            </w:r>
          </w:p>
          <w:p>
            <w:pPr>
              <w:pStyle w:val="TableParagraph"/>
              <w:spacing w:line="240" w:lineRule="auto" w:before="51"/>
              <w:ind w:right="103"/>
              <w:jc w:val="right"/>
              <w:rPr>
                <w:rFonts w:ascii="宋体" w:hAnsi="宋体" w:cs="宋体" w:eastAsia="宋体" w:hint="default"/>
                <w:sz w:val="21"/>
                <w:szCs w:val="21"/>
              </w:rPr>
            </w:pPr>
            <w:r>
              <w:rPr>
                <w:rFonts w:ascii="宋体"/>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宋体" w:hAnsi="宋体" w:cs="宋体" w:eastAsia="宋体" w:hint="default"/>
                <w:sz w:val="21"/>
                <w:szCs w:val="21"/>
              </w:rPr>
            </w:pPr>
            <w:r>
              <w:rPr>
                <w:rFonts w:ascii="宋体"/>
                <w:sz w:val="21"/>
              </w:rPr>
              <w:t>767,32</w:t>
            </w:r>
          </w:p>
          <w:p>
            <w:pPr>
              <w:pStyle w:val="TableParagraph"/>
              <w:spacing w:line="240" w:lineRule="auto" w:before="51"/>
              <w:ind w:left="352" w:right="0"/>
              <w:jc w:val="left"/>
              <w:rPr>
                <w:rFonts w:ascii="宋体" w:hAnsi="宋体" w:cs="宋体" w:eastAsia="宋体" w:hint="default"/>
                <w:sz w:val="21"/>
                <w:szCs w:val="21"/>
              </w:rPr>
            </w:pPr>
            <w:r>
              <w:rPr>
                <w:rFonts w:ascii="宋体"/>
                <w:sz w:val="21"/>
              </w:rPr>
              <w:t>3.48</w:t>
            </w: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z w:val="21"/>
              </w:rPr>
              <w:t>95,080</w:t>
            </w:r>
          </w:p>
          <w:p>
            <w:pPr>
              <w:pStyle w:val="TableParagraph"/>
              <w:spacing w:line="240" w:lineRule="auto" w:before="51"/>
              <w:ind w:right="99"/>
              <w:jc w:val="right"/>
              <w:rPr>
                <w:rFonts w:ascii="宋体" w:hAnsi="宋体" w:cs="宋体" w:eastAsia="宋体" w:hint="default"/>
                <w:sz w:val="21"/>
                <w:szCs w:val="21"/>
              </w:rPr>
            </w:pPr>
            <w:r>
              <w:rPr>
                <w:rFonts w:ascii="宋体"/>
                <w:sz w:val="21"/>
              </w:rPr>
              <w:t>,297.0</w:t>
            </w:r>
          </w:p>
          <w:p>
            <w:pPr>
              <w:pStyle w:val="TableParagraph"/>
              <w:spacing w:line="240" w:lineRule="auto" w:before="51"/>
              <w:ind w:right="101"/>
              <w:jc w:val="right"/>
              <w:rPr>
                <w:rFonts w:ascii="宋体" w:hAnsi="宋体" w:cs="宋体" w:eastAsia="宋体" w:hint="default"/>
                <w:sz w:val="21"/>
                <w:szCs w:val="21"/>
              </w:rPr>
            </w:pPr>
            <w:r>
              <w:rPr>
                <w:rFonts w:ascii="宋体"/>
                <w:w w:val="100"/>
                <w:sz w:val="21"/>
              </w:rPr>
              <w:t>4</w:t>
            </w: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342,35</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0,862.</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09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195,915,</w:t>
            </w:r>
          </w:p>
          <w:p>
            <w:pPr>
              <w:pStyle w:val="TableParagraph"/>
              <w:spacing w:line="240" w:lineRule="auto" w:before="51"/>
              <w:ind w:left="335" w:right="0"/>
              <w:jc w:val="left"/>
              <w:rPr>
                <w:rFonts w:ascii="宋体" w:hAnsi="宋体" w:cs="宋体" w:eastAsia="宋体" w:hint="default"/>
                <w:sz w:val="21"/>
                <w:szCs w:val="21"/>
              </w:rPr>
            </w:pPr>
            <w:r>
              <w:rPr>
                <w:rFonts w:ascii="宋体"/>
                <w:sz w:val="21"/>
              </w:rPr>
              <w:t>690.16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6" w:right="0"/>
              <w:jc w:val="left"/>
              <w:rPr>
                <w:rFonts w:ascii="宋体" w:hAnsi="宋体" w:cs="宋体" w:eastAsia="宋体" w:hint="default"/>
                <w:sz w:val="21"/>
                <w:szCs w:val="21"/>
              </w:rPr>
            </w:pPr>
            <w:r>
              <w:rPr>
                <w:rFonts w:ascii="宋体"/>
                <w:sz w:val="21"/>
              </w:rPr>
              <w:t>1,479,17</w:t>
            </w:r>
          </w:p>
          <w:p>
            <w:pPr>
              <w:pStyle w:val="TableParagraph"/>
              <w:spacing w:line="240" w:lineRule="auto" w:before="51"/>
              <w:ind w:left="156" w:right="0"/>
              <w:jc w:val="left"/>
              <w:rPr>
                <w:rFonts w:ascii="宋体" w:hAnsi="宋体" w:cs="宋体" w:eastAsia="宋体" w:hint="default"/>
                <w:sz w:val="21"/>
                <w:szCs w:val="21"/>
              </w:rPr>
            </w:pPr>
            <w:r>
              <w:rPr>
                <w:rFonts w:ascii="宋体"/>
                <w:sz w:val="21"/>
              </w:rPr>
              <w:t>6,163.17</w:t>
            </w:r>
          </w:p>
        </w:tc>
      </w:tr>
      <w:tr>
        <w:trPr>
          <w:trHeight w:val="98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三、本期增减变动金额</w:t>
            </w:r>
          </w:p>
          <w:p>
            <w:pPr>
              <w:pStyle w:val="TableParagraph"/>
              <w:spacing w:line="285" w:lineRule="auto" w:before="49"/>
              <w:ind w:left="103" w:right="276"/>
              <w:jc w:val="left"/>
              <w:rPr>
                <w:rFonts w:ascii="宋体" w:hAnsi="宋体" w:cs="宋体" w:eastAsia="宋体" w:hint="default"/>
                <w:sz w:val="21"/>
                <w:szCs w:val="21"/>
              </w:rPr>
            </w:pPr>
            <w:r>
              <w:rPr>
                <w:rFonts w:ascii="宋体" w:hAnsi="宋体" w:cs="宋体" w:eastAsia="宋体" w:hint="default"/>
                <w:sz w:val="21"/>
                <w:szCs w:val="21"/>
              </w:rPr>
              <w:t>（减少以“－”号填</w:t>
            </w:r>
            <w:r>
              <w:rPr>
                <w:rFonts w:ascii="宋体" w:hAnsi="宋体" w:cs="宋体" w:eastAsia="宋体" w:hint="default"/>
                <w:w w:val="100"/>
                <w:sz w:val="21"/>
                <w:szCs w:val="21"/>
              </w:rPr>
              <w:t> </w:t>
            </w:r>
            <w:r>
              <w:rPr>
                <w:rFonts w:ascii="宋体" w:hAnsi="宋体" w:cs="宋体" w:eastAsia="宋体" w:hint="default"/>
                <w:sz w:val="21"/>
                <w:szCs w:val="21"/>
              </w:rPr>
              <w:t>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4" w:right="0"/>
              <w:jc w:val="left"/>
              <w:rPr>
                <w:rFonts w:ascii="宋体" w:hAnsi="宋体" w:cs="宋体" w:eastAsia="宋体" w:hint="default"/>
                <w:sz w:val="21"/>
                <w:szCs w:val="21"/>
              </w:rPr>
            </w:pPr>
            <w:r>
              <w:rPr>
                <w:rFonts w:ascii="宋体"/>
                <w:sz w:val="21"/>
              </w:rPr>
              <w:t>-58,16</w:t>
            </w:r>
          </w:p>
          <w:p>
            <w:pPr>
              <w:pStyle w:val="TableParagraph"/>
              <w:spacing w:line="240" w:lineRule="auto" w:before="49"/>
              <w:ind w:left="336" w:right="0"/>
              <w:jc w:val="left"/>
              <w:rPr>
                <w:rFonts w:ascii="宋体" w:hAnsi="宋体" w:cs="宋体" w:eastAsia="宋体" w:hint="default"/>
                <w:sz w:val="21"/>
                <w:szCs w:val="21"/>
              </w:rPr>
            </w:pPr>
            <w:r>
              <w:rPr>
                <w:rFonts w:ascii="宋体"/>
                <w:sz w:val="21"/>
              </w:rPr>
              <w:t>1.04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0" w:right="0"/>
              <w:jc w:val="center"/>
              <w:rPr>
                <w:rFonts w:ascii="宋体" w:hAnsi="宋体" w:cs="宋体" w:eastAsia="宋体" w:hint="default"/>
                <w:sz w:val="21"/>
                <w:szCs w:val="21"/>
              </w:rPr>
            </w:pPr>
            <w:r>
              <w:rPr>
                <w:rFonts w:ascii="宋体"/>
                <w:sz w:val="21"/>
              </w:rPr>
              <w:t>-760,6</w:t>
            </w:r>
          </w:p>
          <w:p>
            <w:pPr>
              <w:pStyle w:val="TableParagraph"/>
              <w:spacing w:line="240" w:lineRule="auto" w:before="49"/>
              <w:ind w:left="146" w:right="0"/>
              <w:jc w:val="center"/>
              <w:rPr>
                <w:rFonts w:ascii="宋体" w:hAnsi="宋体" w:cs="宋体" w:eastAsia="宋体" w:hint="default"/>
                <w:sz w:val="21"/>
                <w:szCs w:val="21"/>
              </w:rPr>
            </w:pPr>
            <w:r>
              <w:rPr>
                <w:rFonts w:ascii="宋体"/>
                <w:sz w:val="21"/>
              </w:rPr>
              <w:t>46.93</w:t>
            </w: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z w:val="21"/>
              </w:rPr>
              <w:t>19,130</w:t>
            </w:r>
          </w:p>
          <w:p>
            <w:pPr>
              <w:pStyle w:val="TableParagraph"/>
              <w:spacing w:line="240" w:lineRule="auto" w:before="49"/>
              <w:ind w:right="99"/>
              <w:jc w:val="right"/>
              <w:rPr>
                <w:rFonts w:ascii="宋体" w:hAnsi="宋体" w:cs="宋体" w:eastAsia="宋体" w:hint="default"/>
                <w:sz w:val="21"/>
                <w:szCs w:val="21"/>
              </w:rPr>
            </w:pPr>
            <w:r>
              <w:rPr>
                <w:rFonts w:ascii="宋体"/>
                <w:sz w:val="21"/>
              </w:rPr>
              <w:t>,453.5</w:t>
            </w:r>
          </w:p>
          <w:p>
            <w:pPr>
              <w:pStyle w:val="TableParagraph"/>
              <w:spacing w:line="240" w:lineRule="auto" w:before="51"/>
              <w:ind w:right="101"/>
              <w:jc w:val="right"/>
              <w:rPr>
                <w:rFonts w:ascii="宋体" w:hAnsi="宋体" w:cs="宋体" w:eastAsia="宋体" w:hint="default"/>
                <w:sz w:val="21"/>
                <w:szCs w:val="21"/>
              </w:rPr>
            </w:pPr>
            <w:r>
              <w:rPr>
                <w:rFonts w:ascii="宋体"/>
                <w:w w:val="100"/>
                <w:sz w:val="21"/>
              </w:rPr>
              <w:t>9</w:t>
            </w: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7" w:right="0"/>
              <w:jc w:val="left"/>
              <w:rPr>
                <w:rFonts w:ascii="宋体" w:hAnsi="宋体" w:cs="宋体" w:eastAsia="宋体" w:hint="default"/>
                <w:sz w:val="21"/>
                <w:szCs w:val="21"/>
              </w:rPr>
            </w:pPr>
            <w:r>
              <w:rPr>
                <w:rFonts w:ascii="宋体"/>
                <w:sz w:val="21"/>
              </w:rPr>
              <w:t>168,35</w:t>
            </w:r>
          </w:p>
          <w:p>
            <w:pPr>
              <w:pStyle w:val="TableParagraph"/>
              <w:spacing w:line="240" w:lineRule="auto" w:before="49"/>
              <w:ind w:left="127" w:right="0"/>
              <w:jc w:val="left"/>
              <w:rPr>
                <w:rFonts w:ascii="宋体" w:hAnsi="宋体" w:cs="宋体" w:eastAsia="宋体" w:hint="default"/>
                <w:sz w:val="21"/>
                <w:szCs w:val="21"/>
              </w:rPr>
            </w:pPr>
            <w:r>
              <w:rPr>
                <w:rFonts w:ascii="宋体"/>
                <w:sz w:val="21"/>
              </w:rPr>
              <w:t>2,930.</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10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7" w:right="0"/>
              <w:jc w:val="left"/>
              <w:rPr>
                <w:rFonts w:ascii="宋体" w:hAnsi="宋体" w:cs="宋体" w:eastAsia="宋体" w:hint="default"/>
                <w:sz w:val="21"/>
                <w:szCs w:val="21"/>
              </w:rPr>
            </w:pPr>
            <w:r>
              <w:rPr>
                <w:rFonts w:ascii="宋体"/>
                <w:sz w:val="21"/>
              </w:rPr>
              <w:t>41,266,1</w:t>
            </w:r>
          </w:p>
          <w:p>
            <w:pPr>
              <w:pStyle w:val="TableParagraph"/>
              <w:spacing w:line="240" w:lineRule="auto" w:before="49"/>
              <w:ind w:left="441" w:right="0"/>
              <w:jc w:val="left"/>
              <w:rPr>
                <w:rFonts w:ascii="宋体" w:hAnsi="宋体" w:cs="宋体" w:eastAsia="宋体" w:hint="default"/>
                <w:sz w:val="21"/>
                <w:szCs w:val="21"/>
              </w:rPr>
            </w:pPr>
            <w:r>
              <w:rPr>
                <w:rFonts w:ascii="宋体"/>
                <w:sz w:val="21"/>
              </w:rPr>
              <w:t>81.79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56" w:right="0"/>
              <w:jc w:val="left"/>
              <w:rPr>
                <w:rFonts w:ascii="宋体" w:hAnsi="宋体" w:cs="宋体" w:eastAsia="宋体" w:hint="default"/>
                <w:sz w:val="21"/>
                <w:szCs w:val="21"/>
              </w:rPr>
            </w:pPr>
            <w:r>
              <w:rPr>
                <w:rFonts w:ascii="宋体"/>
                <w:sz w:val="21"/>
              </w:rPr>
              <w:t>227,930,</w:t>
            </w:r>
          </w:p>
          <w:p>
            <w:pPr>
              <w:pStyle w:val="TableParagraph"/>
              <w:spacing w:line="240" w:lineRule="auto" w:before="49"/>
              <w:ind w:left="365" w:right="0"/>
              <w:jc w:val="left"/>
              <w:rPr>
                <w:rFonts w:ascii="宋体" w:hAnsi="宋体" w:cs="宋体" w:eastAsia="宋体" w:hint="default"/>
                <w:sz w:val="21"/>
                <w:szCs w:val="21"/>
              </w:rPr>
            </w:pPr>
            <w:r>
              <w:rPr>
                <w:rFonts w:ascii="宋体"/>
                <w:sz w:val="21"/>
              </w:rPr>
              <w:t>757.51</w:t>
            </w:r>
          </w:p>
        </w:tc>
      </w:tr>
      <w:tr>
        <w:trPr>
          <w:trHeight w:val="98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0" w:right="0"/>
              <w:jc w:val="center"/>
              <w:rPr>
                <w:rFonts w:ascii="宋体" w:hAnsi="宋体" w:cs="宋体" w:eastAsia="宋体" w:hint="default"/>
                <w:sz w:val="21"/>
                <w:szCs w:val="21"/>
              </w:rPr>
            </w:pPr>
            <w:r>
              <w:rPr>
                <w:rFonts w:ascii="宋体"/>
                <w:sz w:val="21"/>
              </w:rPr>
              <w:t>-760,6</w:t>
            </w:r>
          </w:p>
          <w:p>
            <w:pPr>
              <w:pStyle w:val="TableParagraph"/>
              <w:spacing w:line="240" w:lineRule="auto" w:before="51"/>
              <w:ind w:left="146" w:right="0"/>
              <w:jc w:val="center"/>
              <w:rPr>
                <w:rFonts w:ascii="宋体" w:hAnsi="宋体" w:cs="宋体" w:eastAsia="宋体" w:hint="default"/>
                <w:sz w:val="21"/>
                <w:szCs w:val="21"/>
              </w:rPr>
            </w:pPr>
            <w:r>
              <w:rPr>
                <w:rFonts w:ascii="宋体"/>
                <w:sz w:val="21"/>
              </w:rPr>
              <w:t>46.93</w:t>
            </w: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235,07</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8,925.</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34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43,740,8</w:t>
            </w:r>
          </w:p>
          <w:p>
            <w:pPr>
              <w:pStyle w:val="TableParagraph"/>
              <w:spacing w:line="240" w:lineRule="auto" w:before="51"/>
              <w:ind w:left="441" w:right="0"/>
              <w:jc w:val="left"/>
              <w:rPr>
                <w:rFonts w:ascii="宋体" w:hAnsi="宋体" w:cs="宋体" w:eastAsia="宋体" w:hint="default"/>
                <w:sz w:val="21"/>
                <w:szCs w:val="21"/>
              </w:rPr>
            </w:pPr>
            <w:r>
              <w:rPr>
                <w:rFonts w:ascii="宋体"/>
                <w:sz w:val="21"/>
              </w:rPr>
              <w:t>55.31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6" w:right="0"/>
              <w:jc w:val="left"/>
              <w:rPr>
                <w:rFonts w:ascii="宋体" w:hAnsi="宋体" w:cs="宋体" w:eastAsia="宋体" w:hint="default"/>
                <w:sz w:val="21"/>
                <w:szCs w:val="21"/>
              </w:rPr>
            </w:pPr>
            <w:r>
              <w:rPr>
                <w:rFonts w:ascii="宋体"/>
                <w:sz w:val="21"/>
              </w:rPr>
              <w:t>278,059,</w:t>
            </w:r>
          </w:p>
          <w:p>
            <w:pPr>
              <w:pStyle w:val="TableParagraph"/>
              <w:spacing w:line="240" w:lineRule="auto" w:before="51"/>
              <w:ind w:left="365" w:right="0"/>
              <w:jc w:val="left"/>
              <w:rPr>
                <w:rFonts w:ascii="宋体" w:hAnsi="宋体" w:cs="宋体" w:eastAsia="宋体" w:hint="default"/>
                <w:sz w:val="21"/>
                <w:szCs w:val="21"/>
              </w:rPr>
            </w:pPr>
            <w:r>
              <w:rPr>
                <w:rFonts w:ascii="宋体"/>
                <w:sz w:val="21"/>
              </w:rPr>
              <w:t>133.72</w:t>
            </w: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（二）所有者投入和减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少资本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-58,16</w:t>
            </w:r>
          </w:p>
          <w:p>
            <w:pPr>
              <w:pStyle w:val="TableParagraph"/>
              <w:spacing w:line="240" w:lineRule="auto" w:before="51"/>
              <w:ind w:left="336" w:right="0"/>
              <w:jc w:val="left"/>
              <w:rPr>
                <w:rFonts w:ascii="宋体" w:hAnsi="宋体" w:cs="宋体" w:eastAsia="宋体" w:hint="default"/>
                <w:sz w:val="21"/>
                <w:szCs w:val="21"/>
              </w:rPr>
            </w:pPr>
            <w:r>
              <w:rPr>
                <w:rFonts w:ascii="宋体"/>
                <w:sz w:val="21"/>
              </w:rPr>
              <w:t>1.04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12,189,3</w:t>
            </w:r>
          </w:p>
          <w:p>
            <w:pPr>
              <w:pStyle w:val="TableParagraph"/>
              <w:spacing w:line="240" w:lineRule="auto" w:before="51"/>
              <w:ind w:left="441" w:right="0"/>
              <w:jc w:val="left"/>
              <w:rPr>
                <w:rFonts w:ascii="宋体" w:hAnsi="宋体" w:cs="宋体" w:eastAsia="宋体" w:hint="default"/>
                <w:sz w:val="21"/>
                <w:szCs w:val="21"/>
              </w:rPr>
            </w:pPr>
            <w:r>
              <w:rPr>
                <w:rFonts w:ascii="宋体"/>
                <w:sz w:val="21"/>
              </w:rPr>
              <w:t>26.48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6" w:right="0"/>
              <w:jc w:val="left"/>
              <w:rPr>
                <w:rFonts w:ascii="宋体" w:hAnsi="宋体" w:cs="宋体" w:eastAsia="宋体" w:hint="default"/>
                <w:sz w:val="21"/>
                <w:szCs w:val="21"/>
              </w:rPr>
            </w:pPr>
            <w:r>
              <w:rPr>
                <w:rFonts w:ascii="宋体"/>
                <w:sz w:val="21"/>
              </w:rPr>
              <w:t>12,131,1</w:t>
            </w:r>
          </w:p>
          <w:p>
            <w:pPr>
              <w:pStyle w:val="TableParagraph"/>
              <w:spacing w:line="240" w:lineRule="auto" w:before="51"/>
              <w:ind w:left="470" w:right="0"/>
              <w:jc w:val="left"/>
              <w:rPr>
                <w:rFonts w:ascii="宋体" w:hAnsi="宋体" w:cs="宋体" w:eastAsia="宋体" w:hint="default"/>
                <w:sz w:val="21"/>
                <w:szCs w:val="21"/>
              </w:rPr>
            </w:pPr>
            <w:r>
              <w:rPr>
                <w:rFonts w:ascii="宋体"/>
                <w:sz w:val="21"/>
              </w:rPr>
              <w:t>65.44</w:t>
            </w:r>
          </w:p>
        </w:tc>
      </w:tr>
      <w:tr>
        <w:trPr>
          <w:trHeight w:val="66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9,995,00</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6" w:right="0"/>
              <w:jc w:val="left"/>
              <w:rPr>
                <w:rFonts w:ascii="宋体" w:hAnsi="宋体" w:cs="宋体" w:eastAsia="宋体" w:hint="default"/>
                <w:sz w:val="21"/>
                <w:szCs w:val="21"/>
              </w:rPr>
            </w:pPr>
            <w:r>
              <w:rPr>
                <w:rFonts w:ascii="宋体"/>
                <w:sz w:val="21"/>
              </w:rPr>
              <w:t>9,995,00</w:t>
            </w:r>
          </w:p>
          <w:p>
            <w:pPr>
              <w:pStyle w:val="TableParagraph"/>
              <w:spacing w:line="240" w:lineRule="auto" w:before="51"/>
              <w:ind w:left="576" w:right="0"/>
              <w:jc w:val="left"/>
              <w:rPr>
                <w:rFonts w:ascii="宋体" w:hAnsi="宋体" w:cs="宋体" w:eastAsia="宋体" w:hint="default"/>
                <w:sz w:val="21"/>
                <w:szCs w:val="21"/>
              </w:rPr>
            </w:pPr>
            <w:r>
              <w:rPr>
                <w:rFonts w:ascii="宋体"/>
                <w:sz w:val="21"/>
              </w:rPr>
              <w:t>0.00</w:t>
            </w: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．其他权益工具持有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者投入资本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．股份支付计入所有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者权益的金额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-58,16</w:t>
            </w:r>
          </w:p>
          <w:p>
            <w:pPr>
              <w:pStyle w:val="TableParagraph"/>
              <w:spacing w:line="240" w:lineRule="auto" w:before="51"/>
              <w:ind w:left="336" w:right="0"/>
              <w:jc w:val="left"/>
              <w:rPr>
                <w:rFonts w:ascii="宋体" w:hAnsi="宋体" w:cs="宋体" w:eastAsia="宋体" w:hint="default"/>
                <w:sz w:val="21"/>
                <w:szCs w:val="21"/>
              </w:rPr>
            </w:pPr>
            <w:r>
              <w:rPr>
                <w:rFonts w:ascii="宋体"/>
                <w:sz w:val="21"/>
              </w:rPr>
              <w:t>1.04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2,194,32</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6.48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6" w:right="0"/>
              <w:jc w:val="left"/>
              <w:rPr>
                <w:rFonts w:ascii="宋体" w:hAnsi="宋体" w:cs="宋体" w:eastAsia="宋体" w:hint="default"/>
                <w:sz w:val="21"/>
                <w:szCs w:val="21"/>
              </w:rPr>
            </w:pPr>
            <w:r>
              <w:rPr>
                <w:rFonts w:ascii="宋体"/>
                <w:sz w:val="21"/>
              </w:rPr>
              <w:t>2,136,16</w:t>
            </w:r>
          </w:p>
          <w:p>
            <w:pPr>
              <w:pStyle w:val="TableParagraph"/>
              <w:spacing w:line="240" w:lineRule="auto" w:before="51"/>
              <w:ind w:left="576" w:right="0"/>
              <w:jc w:val="left"/>
              <w:rPr>
                <w:rFonts w:ascii="宋体" w:hAnsi="宋体" w:cs="宋体" w:eastAsia="宋体" w:hint="default"/>
                <w:sz w:val="21"/>
                <w:szCs w:val="21"/>
              </w:rPr>
            </w:pPr>
            <w:r>
              <w:rPr>
                <w:rFonts w:ascii="宋体"/>
                <w:sz w:val="21"/>
              </w:rPr>
              <w:t>5.44</w:t>
            </w:r>
          </w:p>
        </w:tc>
      </w:tr>
      <w:tr>
        <w:trPr>
          <w:trHeight w:val="98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z w:val="21"/>
              </w:rPr>
              <w:t>19,130</w:t>
            </w:r>
          </w:p>
          <w:p>
            <w:pPr>
              <w:pStyle w:val="TableParagraph"/>
              <w:spacing w:line="240" w:lineRule="auto" w:before="51"/>
              <w:ind w:right="99"/>
              <w:jc w:val="right"/>
              <w:rPr>
                <w:rFonts w:ascii="宋体" w:hAnsi="宋体" w:cs="宋体" w:eastAsia="宋体" w:hint="default"/>
                <w:sz w:val="21"/>
                <w:szCs w:val="21"/>
              </w:rPr>
            </w:pPr>
            <w:r>
              <w:rPr>
                <w:rFonts w:ascii="宋体"/>
                <w:sz w:val="21"/>
              </w:rPr>
              <w:t>,453.5</w:t>
            </w:r>
          </w:p>
          <w:p>
            <w:pPr>
              <w:pStyle w:val="TableParagraph"/>
              <w:spacing w:line="240" w:lineRule="auto" w:before="51"/>
              <w:ind w:right="101"/>
              <w:jc w:val="right"/>
              <w:rPr>
                <w:rFonts w:ascii="宋体" w:hAnsi="宋体" w:cs="宋体" w:eastAsia="宋体" w:hint="default"/>
                <w:sz w:val="21"/>
                <w:szCs w:val="21"/>
              </w:rPr>
            </w:pPr>
            <w:r>
              <w:rPr>
                <w:rFonts w:ascii="宋体"/>
                <w:w w:val="100"/>
                <w:sz w:val="21"/>
              </w:rPr>
              <w:t>9</w:t>
            </w: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-66,72</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5,995.</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24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-14,664,</w:t>
            </w:r>
          </w:p>
          <w:p>
            <w:pPr>
              <w:pStyle w:val="TableParagraph"/>
              <w:spacing w:line="240" w:lineRule="auto" w:before="51"/>
              <w:ind w:left="335" w:right="0"/>
              <w:jc w:val="left"/>
              <w:rPr>
                <w:rFonts w:ascii="宋体" w:hAnsi="宋体" w:cs="宋体" w:eastAsia="宋体" w:hint="default"/>
                <w:sz w:val="21"/>
                <w:szCs w:val="21"/>
              </w:rPr>
            </w:pPr>
            <w:r>
              <w:rPr>
                <w:rFonts w:ascii="宋体"/>
                <w:sz w:val="21"/>
              </w:rPr>
              <w:t>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6" w:right="0"/>
              <w:jc w:val="left"/>
              <w:rPr>
                <w:rFonts w:ascii="宋体" w:hAnsi="宋体" w:cs="宋体" w:eastAsia="宋体" w:hint="default"/>
                <w:sz w:val="21"/>
                <w:szCs w:val="21"/>
              </w:rPr>
            </w:pPr>
            <w:r>
              <w:rPr>
                <w:rFonts w:ascii="宋体"/>
                <w:sz w:val="21"/>
              </w:rPr>
              <w:t>-62,259,</w:t>
            </w:r>
          </w:p>
          <w:p>
            <w:pPr>
              <w:pStyle w:val="TableParagraph"/>
              <w:spacing w:line="240" w:lineRule="auto" w:before="51"/>
              <w:ind w:left="365" w:right="0"/>
              <w:jc w:val="left"/>
              <w:rPr>
                <w:rFonts w:ascii="宋体" w:hAnsi="宋体" w:cs="宋体" w:eastAsia="宋体" w:hint="default"/>
                <w:sz w:val="21"/>
                <w:szCs w:val="21"/>
              </w:rPr>
            </w:pPr>
            <w:r>
              <w:rPr>
                <w:rFonts w:ascii="宋体"/>
                <w:sz w:val="21"/>
              </w:rPr>
              <w:t>541.65</w:t>
            </w: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68" w:right="0"/>
              <w:jc w:val="left"/>
              <w:rPr>
                <w:rFonts w:ascii="宋体" w:hAnsi="宋体" w:cs="宋体" w:eastAsia="宋体" w:hint="default"/>
                <w:sz w:val="21"/>
                <w:szCs w:val="21"/>
              </w:rPr>
            </w:pPr>
            <w:r>
              <w:rPr>
                <w:rFonts w:ascii="宋体"/>
                <w:sz w:val="21"/>
              </w:rPr>
              <w:t>19,130</w:t>
            </w:r>
          </w:p>
          <w:p>
            <w:pPr>
              <w:pStyle w:val="TableParagraph"/>
              <w:spacing w:line="240" w:lineRule="auto" w:before="51"/>
              <w:ind w:left="168" w:right="0"/>
              <w:jc w:val="left"/>
              <w:rPr>
                <w:rFonts w:ascii="宋体" w:hAnsi="宋体" w:cs="宋体" w:eastAsia="宋体" w:hint="default"/>
                <w:sz w:val="21"/>
                <w:szCs w:val="21"/>
              </w:rPr>
            </w:pPr>
            <w:r>
              <w:rPr>
                <w:rFonts w:ascii="宋体"/>
                <w:sz w:val="21"/>
              </w:rPr>
              <w:t>,453.5</w:t>
            </w: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27" w:right="0"/>
              <w:jc w:val="left"/>
              <w:rPr>
                <w:rFonts w:ascii="宋体" w:hAnsi="宋体" w:cs="宋体" w:eastAsia="宋体" w:hint="default"/>
                <w:sz w:val="21"/>
                <w:szCs w:val="21"/>
              </w:rPr>
            </w:pPr>
            <w:r>
              <w:rPr>
                <w:rFonts w:ascii="宋体"/>
                <w:sz w:val="21"/>
              </w:rPr>
              <w:t>-19,13</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0,453.</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3"/>
          <w:pgSz w:w="16840" w:h="11910" w:orient="landscape"/>
          <w:pgMar w:footer="1195" w:header="882"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913"/>
        <w:gridCol w:w="842"/>
        <w:gridCol w:w="871"/>
        <w:gridCol w:w="1082"/>
        <w:gridCol w:w="1109"/>
      </w:tblGrid>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w w:val="100"/>
                <w:sz w:val="21"/>
              </w:rPr>
              <w:t>9</w:t>
            </w: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47" w:right="0"/>
              <w:jc w:val="left"/>
              <w:rPr>
                <w:rFonts w:ascii="宋体" w:hAnsi="宋体" w:cs="宋体" w:eastAsia="宋体" w:hint="default"/>
                <w:sz w:val="21"/>
                <w:szCs w:val="21"/>
              </w:rPr>
            </w:pPr>
            <w:r>
              <w:rPr>
                <w:rFonts w:ascii="宋体"/>
                <w:sz w:val="21"/>
              </w:rPr>
              <w:t>59</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．对所有者（或股东）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-47,59</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5,541.</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65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-14,664,</w:t>
            </w:r>
          </w:p>
          <w:p>
            <w:pPr>
              <w:pStyle w:val="TableParagraph"/>
              <w:spacing w:line="240" w:lineRule="auto" w:before="51"/>
              <w:ind w:left="335" w:right="0"/>
              <w:jc w:val="left"/>
              <w:rPr>
                <w:rFonts w:ascii="宋体" w:hAnsi="宋体" w:cs="宋体" w:eastAsia="宋体" w:hint="default"/>
                <w:sz w:val="21"/>
                <w:szCs w:val="21"/>
              </w:rPr>
            </w:pPr>
            <w:r>
              <w:rPr>
                <w:rFonts w:ascii="宋体"/>
                <w:sz w:val="21"/>
              </w:rPr>
              <w:t>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6" w:right="0"/>
              <w:jc w:val="left"/>
              <w:rPr>
                <w:rFonts w:ascii="宋体" w:hAnsi="宋体" w:cs="宋体" w:eastAsia="宋体" w:hint="default"/>
                <w:sz w:val="21"/>
                <w:szCs w:val="21"/>
              </w:rPr>
            </w:pPr>
            <w:r>
              <w:rPr>
                <w:rFonts w:ascii="宋体"/>
                <w:sz w:val="21"/>
              </w:rPr>
              <w:t>-62,259,</w:t>
            </w:r>
          </w:p>
          <w:p>
            <w:pPr>
              <w:pStyle w:val="TableParagraph"/>
              <w:spacing w:line="240" w:lineRule="auto" w:before="51"/>
              <w:ind w:left="365" w:right="0"/>
              <w:jc w:val="left"/>
              <w:rPr>
                <w:rFonts w:ascii="宋体" w:hAnsi="宋体" w:cs="宋体" w:eastAsia="宋体" w:hint="default"/>
                <w:sz w:val="21"/>
                <w:szCs w:val="21"/>
              </w:rPr>
            </w:pPr>
            <w:r>
              <w:rPr>
                <w:rFonts w:ascii="宋体"/>
                <w:sz w:val="21"/>
              </w:rPr>
              <w:t>541.65</w:t>
            </w: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（四）所有者权益内部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结转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835,00</w:t>
            </w:r>
          </w:p>
          <w:p>
            <w:pPr>
              <w:pStyle w:val="TableParagraph"/>
              <w:spacing w:line="240" w:lineRule="auto" w:before="51"/>
              <w:ind w:left="124" w:right="0"/>
              <w:jc w:val="left"/>
              <w:rPr>
                <w:rFonts w:ascii="宋体" w:hAnsi="宋体" w:cs="宋体" w:eastAsia="宋体" w:hint="default"/>
                <w:sz w:val="21"/>
                <w:szCs w:val="21"/>
              </w:rPr>
            </w:pPr>
            <w:r>
              <w:rPr>
                <w:rFonts w:ascii="宋体"/>
                <w:sz w:val="21"/>
              </w:rPr>
              <w:t>9,500.</w:t>
            </w:r>
          </w:p>
          <w:p>
            <w:pPr>
              <w:pStyle w:val="TableParagraph"/>
              <w:spacing w:line="240" w:lineRule="auto" w:before="51"/>
              <w:ind w:left="544"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sz w:val="21"/>
              </w:rPr>
              <w:t>9,994,</w:t>
            </w:r>
          </w:p>
          <w:p>
            <w:pPr>
              <w:pStyle w:val="TableParagraph"/>
              <w:spacing w:line="240" w:lineRule="auto" w:before="51"/>
              <w:ind w:left="124" w:right="0"/>
              <w:jc w:val="left"/>
              <w:rPr>
                <w:rFonts w:ascii="宋体" w:hAnsi="宋体" w:cs="宋体" w:eastAsia="宋体" w:hint="default"/>
                <w:sz w:val="21"/>
                <w:szCs w:val="21"/>
              </w:rPr>
            </w:pPr>
            <w:r>
              <w:rPr>
                <w:rFonts w:ascii="宋体"/>
                <w:sz w:val="21"/>
              </w:rPr>
              <w:t>329.36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宋体" w:hAnsi="宋体" w:cs="宋体" w:eastAsia="宋体" w:hint="default"/>
                <w:sz w:val="21"/>
                <w:szCs w:val="21"/>
              </w:rPr>
            </w:pPr>
            <w:r>
              <w:rPr>
                <w:rFonts w:ascii="宋体"/>
                <w:sz w:val="21"/>
              </w:rPr>
              <w:t>6,676.</w:t>
            </w:r>
          </w:p>
          <w:p>
            <w:pPr>
              <w:pStyle w:val="TableParagraph"/>
              <w:spacing w:line="240" w:lineRule="auto" w:before="51"/>
              <w:ind w:left="561" w:right="0"/>
              <w:jc w:val="left"/>
              <w:rPr>
                <w:rFonts w:ascii="宋体" w:hAnsi="宋体" w:cs="宋体" w:eastAsia="宋体" w:hint="default"/>
                <w:sz w:val="21"/>
                <w:szCs w:val="21"/>
              </w:rPr>
            </w:pPr>
            <w:r>
              <w:rPr>
                <w:rFonts w:ascii="宋体"/>
                <w:sz w:val="21"/>
              </w:rPr>
              <w:t>55</w:t>
            </w:r>
          </w:p>
        </w:tc>
        <w:tc>
          <w:tcPr>
            <w:tcW w:w="857"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68" w:right="0"/>
              <w:jc w:val="left"/>
              <w:rPr>
                <w:rFonts w:ascii="宋体" w:hAnsi="宋体" w:cs="宋体" w:eastAsia="宋体" w:hint="default"/>
                <w:sz w:val="21"/>
                <w:szCs w:val="21"/>
              </w:rPr>
            </w:pPr>
            <w:r>
              <w:rPr>
                <w:rFonts w:ascii="宋体"/>
                <w:sz w:val="21"/>
              </w:rPr>
              <w:t>114,21</w:t>
            </w:r>
          </w:p>
          <w:p>
            <w:pPr>
              <w:pStyle w:val="TableParagraph"/>
              <w:spacing w:line="240" w:lineRule="auto" w:before="51"/>
              <w:ind w:left="168" w:right="0"/>
              <w:jc w:val="left"/>
              <w:rPr>
                <w:rFonts w:ascii="宋体" w:hAnsi="宋体" w:cs="宋体" w:eastAsia="宋体" w:hint="default"/>
                <w:sz w:val="21"/>
                <w:szCs w:val="21"/>
              </w:rPr>
            </w:pPr>
            <w:r>
              <w:rPr>
                <w:rFonts w:ascii="宋体"/>
                <w:sz w:val="21"/>
              </w:rPr>
              <w:t>0,750.</w:t>
            </w:r>
          </w:p>
          <w:p>
            <w:pPr>
              <w:pStyle w:val="TableParagraph"/>
              <w:spacing w:line="240" w:lineRule="auto" w:before="51"/>
              <w:ind w:left="588" w:right="0"/>
              <w:jc w:val="left"/>
              <w:rPr>
                <w:rFonts w:ascii="宋体" w:hAnsi="宋体" w:cs="宋体" w:eastAsia="宋体" w:hint="default"/>
                <w:sz w:val="21"/>
                <w:szCs w:val="21"/>
              </w:rPr>
            </w:pPr>
            <w:r>
              <w:rPr>
                <w:rFonts w:ascii="宋体"/>
                <w:sz w:val="21"/>
              </w:rPr>
              <w:t>63</w:t>
            </w:r>
          </w:p>
        </w:tc>
        <w:tc>
          <w:tcPr>
            <w:tcW w:w="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510,70</w:t>
            </w:r>
          </w:p>
          <w:p>
            <w:pPr>
              <w:pStyle w:val="TableParagraph"/>
              <w:spacing w:line="240" w:lineRule="auto" w:before="51"/>
              <w:ind w:left="127" w:right="0"/>
              <w:jc w:val="left"/>
              <w:rPr>
                <w:rFonts w:ascii="宋体" w:hAnsi="宋体" w:cs="宋体" w:eastAsia="宋体" w:hint="default"/>
                <w:sz w:val="21"/>
                <w:szCs w:val="21"/>
              </w:rPr>
            </w:pPr>
            <w:r>
              <w:rPr>
                <w:rFonts w:ascii="宋体"/>
                <w:sz w:val="21"/>
              </w:rPr>
              <w:t>3,792.</w:t>
            </w:r>
          </w:p>
          <w:p>
            <w:pPr>
              <w:pStyle w:val="TableParagraph"/>
              <w:spacing w:line="240" w:lineRule="auto" w:before="51"/>
              <w:ind w:left="547" w:right="0"/>
              <w:jc w:val="left"/>
              <w:rPr>
                <w:rFonts w:ascii="宋体" w:hAnsi="宋体" w:cs="宋体" w:eastAsia="宋体" w:hint="default"/>
                <w:sz w:val="21"/>
                <w:szCs w:val="21"/>
              </w:rPr>
            </w:pPr>
            <w:r>
              <w:rPr>
                <w:rFonts w:ascii="宋体"/>
                <w:sz w:val="21"/>
              </w:rPr>
              <w:t>19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237,181,</w:t>
            </w:r>
          </w:p>
          <w:p>
            <w:pPr>
              <w:pStyle w:val="TableParagraph"/>
              <w:spacing w:line="240" w:lineRule="auto" w:before="51"/>
              <w:ind w:left="335" w:right="0"/>
              <w:jc w:val="left"/>
              <w:rPr>
                <w:rFonts w:ascii="宋体" w:hAnsi="宋体" w:cs="宋体" w:eastAsia="宋体" w:hint="default"/>
                <w:sz w:val="21"/>
                <w:szCs w:val="21"/>
              </w:rPr>
            </w:pPr>
            <w:r>
              <w:rPr>
                <w:rFonts w:ascii="宋体"/>
                <w:sz w:val="21"/>
              </w:rPr>
              <w:t>871.95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6" w:right="0"/>
              <w:jc w:val="left"/>
              <w:rPr>
                <w:rFonts w:ascii="宋体" w:hAnsi="宋体" w:cs="宋体" w:eastAsia="宋体" w:hint="default"/>
                <w:sz w:val="21"/>
                <w:szCs w:val="21"/>
              </w:rPr>
            </w:pPr>
            <w:r>
              <w:rPr>
                <w:rFonts w:ascii="宋体"/>
                <w:sz w:val="21"/>
              </w:rPr>
              <w:t>1,707,10</w:t>
            </w:r>
          </w:p>
          <w:p>
            <w:pPr>
              <w:pStyle w:val="TableParagraph"/>
              <w:spacing w:line="240" w:lineRule="auto" w:before="51"/>
              <w:ind w:left="156" w:right="0"/>
              <w:jc w:val="left"/>
              <w:rPr>
                <w:rFonts w:ascii="宋体" w:hAnsi="宋体" w:cs="宋体" w:eastAsia="宋体" w:hint="default"/>
                <w:sz w:val="21"/>
                <w:szCs w:val="21"/>
              </w:rPr>
            </w:pPr>
            <w:r>
              <w:rPr>
                <w:rFonts w:ascii="宋体"/>
                <w:sz w:val="21"/>
              </w:rPr>
              <w:t>6,920.68</w:t>
            </w:r>
          </w:p>
        </w:tc>
      </w:tr>
    </w:tbl>
    <w:p>
      <w:pPr>
        <w:spacing w:line="240" w:lineRule="auto" w:before="4"/>
        <w:rPr>
          <w:rFonts w:ascii="Times New Roman" w:hAnsi="Times New Roman" w:cs="Times New Roman" w:eastAsia="Times New Roman" w:hint="default"/>
          <w:sz w:val="22"/>
          <w:szCs w:val="22"/>
        </w:rPr>
      </w:pPr>
    </w:p>
    <w:p>
      <w:pPr>
        <w:pStyle w:val="BodyText"/>
        <w:spacing w:line="240" w:lineRule="auto" w:before="36"/>
        <w:ind w:left="180" w:right="0"/>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left="5925" w:right="5993"/>
        <w:jc w:val="center"/>
        <w:rPr>
          <w:b w:val="0"/>
          <w:bCs w:val="0"/>
        </w:rPr>
      </w:pPr>
      <w:r>
        <w:rPr/>
        <w:t>母公司所有者权益变动表</w:t>
      </w:r>
      <w:r>
        <w:rPr>
          <w:b w:val="0"/>
          <w:bCs w:val="0"/>
        </w:rPr>
      </w:r>
    </w:p>
    <w:p>
      <w:pPr>
        <w:spacing w:after="0" w:line="240" w:lineRule="auto"/>
        <w:jc w:val="center"/>
        <w:sectPr>
          <w:footerReference w:type="default" r:id="rId34"/>
          <w:pgSz w:w="16840" w:h="11910" w:orient="landscape"/>
          <w:pgMar w:footer="1195" w:header="882" w:top="1120" w:bottom="1380" w:left="1260" w:right="1300"/>
          <w:pgNumType w:start="7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73" w:lineRule="exact" w:before="36"/>
        <w:ind w:left="6324" w:right="6332"/>
        <w:jc w:val="center"/>
      </w:pP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p>
    <w:p>
      <w:pPr>
        <w:pStyle w:val="BodyText"/>
        <w:tabs>
          <w:tab w:pos="945" w:val="left" w:leader="none"/>
        </w:tabs>
        <w:spacing w:line="273" w:lineRule="exact"/>
        <w:ind w:left="0" w:right="159"/>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86"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329"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2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65" w:lineRule="exact"/>
              <w:ind w:left="97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102"/>
              <w:ind w:left="405" w:right="192"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102"/>
              <w:ind w:left="417" w:right="101" w:hanging="315"/>
              <w:jc w:val="left"/>
              <w:rPr>
                <w:rFonts w:ascii="宋体" w:hAnsi="宋体" w:cs="宋体" w:eastAsia="宋体" w:hint="default"/>
                <w:sz w:val="21"/>
                <w:szCs w:val="21"/>
              </w:rPr>
            </w:pPr>
            <w:r>
              <w:rPr>
                <w:rFonts w:ascii="宋体" w:hAnsi="宋体" w:cs="宋体" w:eastAsia="宋体" w:hint="default"/>
                <w:sz w:val="21"/>
                <w:szCs w:val="21"/>
              </w:rPr>
              <w:t>减：库存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22" w:type="dxa"/>
            <w:vMerge w:val="restart"/>
            <w:tcBorders>
              <w:top w:val="single" w:sz="6" w:space="0" w:color="000000"/>
              <w:left w:val="single" w:sz="6" w:space="0" w:color="000000"/>
              <w:right w:val="single" w:sz="6" w:space="0" w:color="000000"/>
            </w:tcBorders>
          </w:tcPr>
          <w:p>
            <w:pPr>
              <w:pStyle w:val="TableParagraph"/>
              <w:spacing w:line="285" w:lineRule="auto" w:before="78"/>
              <w:ind w:left="187" w:right="185"/>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102"/>
              <w:ind w:left="406" w:right="191"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102"/>
              <w:ind w:left="395" w:right="185"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102"/>
              <w:ind w:left="285" w:right="17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025" w:type="dxa"/>
            <w:vMerge w:val="restart"/>
            <w:tcBorders>
              <w:top w:val="single" w:sz="6" w:space="0" w:color="000000"/>
              <w:left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0" w:lineRule="auto"/>
              <w:ind w:left="401" w:right="185"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504"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8"/>
              <w:ind w:left="203"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8"/>
              <w:ind w:left="21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8"/>
              <w:ind w:left="3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99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sz w:val="21"/>
              </w:rPr>
              <w:t>835,009,</w:t>
            </w:r>
          </w:p>
          <w:p>
            <w:pPr>
              <w:pStyle w:val="TableParagraph"/>
              <w:spacing w:line="240" w:lineRule="auto" w:before="52"/>
              <w:ind w:left="331" w:right="0"/>
              <w:jc w:val="left"/>
              <w:rPr>
                <w:rFonts w:ascii="宋体" w:hAnsi="宋体" w:cs="宋体" w:eastAsia="宋体" w:hint="default"/>
                <w:sz w:val="21"/>
                <w:szCs w:val="21"/>
              </w:rPr>
            </w:pPr>
            <w:r>
              <w:rPr>
                <w:rFonts w:ascii="宋体"/>
                <w:sz w:val="21"/>
              </w:rPr>
              <w:t>500.00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left="91" w:right="0"/>
              <w:jc w:val="center"/>
              <w:rPr>
                <w:rFonts w:ascii="宋体" w:hAnsi="宋体" w:cs="宋体" w:eastAsia="宋体" w:hint="default"/>
                <w:sz w:val="21"/>
                <w:szCs w:val="21"/>
              </w:rPr>
            </w:pPr>
            <w:r>
              <w:rPr>
                <w:rFonts w:ascii="宋体"/>
                <w:sz w:val="21"/>
              </w:rPr>
              <w:t>10,976,</w:t>
            </w:r>
          </w:p>
          <w:p>
            <w:pPr>
              <w:pStyle w:val="TableParagraph"/>
              <w:spacing w:line="240" w:lineRule="auto" w:before="52"/>
              <w:ind w:left="194" w:right="0"/>
              <w:jc w:val="center"/>
              <w:rPr>
                <w:rFonts w:ascii="宋体" w:hAnsi="宋体" w:cs="宋体" w:eastAsia="宋体" w:hint="default"/>
                <w:sz w:val="21"/>
                <w:szCs w:val="21"/>
              </w:rPr>
            </w:pPr>
            <w:r>
              <w:rPr>
                <w:rFonts w:ascii="宋体"/>
                <w:sz w:val="21"/>
              </w:rPr>
              <w:t>652.55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sz w:val="21"/>
              </w:rPr>
              <w:t>109,448</w:t>
            </w:r>
          </w:p>
          <w:p>
            <w:pPr>
              <w:pStyle w:val="TableParagraph"/>
              <w:spacing w:line="240" w:lineRule="auto" w:before="52"/>
              <w:ind w:left="170" w:right="0"/>
              <w:jc w:val="left"/>
              <w:rPr>
                <w:rFonts w:ascii="宋体" w:hAnsi="宋体" w:cs="宋体" w:eastAsia="宋体" w:hint="default"/>
                <w:sz w:val="21"/>
                <w:szCs w:val="21"/>
              </w:rPr>
            </w:pPr>
            <w:r>
              <w:rPr>
                <w:rFonts w:ascii="宋体"/>
                <w:sz w:val="21"/>
              </w:rPr>
              <w:t>,599.39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376,928</w:t>
            </w:r>
          </w:p>
          <w:p>
            <w:pPr>
              <w:pStyle w:val="TableParagraph"/>
              <w:spacing w:line="240" w:lineRule="auto" w:before="52"/>
              <w:ind w:left="158" w:right="0"/>
              <w:jc w:val="left"/>
              <w:rPr>
                <w:rFonts w:ascii="宋体" w:hAnsi="宋体" w:cs="宋体" w:eastAsia="宋体" w:hint="default"/>
                <w:sz w:val="21"/>
                <w:szCs w:val="21"/>
              </w:rPr>
            </w:pPr>
            <w:r>
              <w:rPr>
                <w:rFonts w:ascii="宋体"/>
                <w:sz w:val="21"/>
              </w:rPr>
              <w:t>,167.59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1,332,3</w:t>
            </w:r>
          </w:p>
          <w:p>
            <w:pPr>
              <w:pStyle w:val="TableParagraph"/>
              <w:spacing w:line="240" w:lineRule="auto" w:before="52"/>
              <w:ind w:right="94"/>
              <w:jc w:val="right"/>
              <w:rPr>
                <w:rFonts w:ascii="宋体" w:hAnsi="宋体" w:cs="宋体" w:eastAsia="宋体" w:hint="default"/>
                <w:sz w:val="21"/>
                <w:szCs w:val="21"/>
              </w:rPr>
            </w:pPr>
            <w:r>
              <w:rPr>
                <w:rFonts w:ascii="宋体"/>
                <w:spacing w:val="-1"/>
                <w:sz w:val="21"/>
              </w:rPr>
              <w:t>62,919.</w:t>
            </w:r>
          </w:p>
          <w:p>
            <w:pPr>
              <w:pStyle w:val="TableParagraph"/>
              <w:spacing w:line="240" w:lineRule="auto" w:before="51"/>
              <w:ind w:right="96"/>
              <w:jc w:val="right"/>
              <w:rPr>
                <w:rFonts w:ascii="宋体" w:hAnsi="宋体" w:cs="宋体" w:eastAsia="宋体" w:hint="default"/>
                <w:sz w:val="21"/>
                <w:szCs w:val="21"/>
              </w:rPr>
            </w:pPr>
            <w:r>
              <w:rPr>
                <w:rFonts w:ascii="宋体"/>
                <w:sz w:val="21"/>
              </w:rPr>
              <w:t>53</w:t>
            </w: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sz w:val="21"/>
              </w:rPr>
              <w:t>835,009,</w:t>
            </w:r>
          </w:p>
          <w:p>
            <w:pPr>
              <w:pStyle w:val="TableParagraph"/>
              <w:spacing w:line="240" w:lineRule="auto" w:before="51"/>
              <w:ind w:left="331" w:right="0"/>
              <w:jc w:val="left"/>
              <w:rPr>
                <w:rFonts w:ascii="宋体" w:hAnsi="宋体" w:cs="宋体" w:eastAsia="宋体" w:hint="default"/>
                <w:sz w:val="21"/>
                <w:szCs w:val="21"/>
              </w:rPr>
            </w:pPr>
            <w:r>
              <w:rPr>
                <w:rFonts w:ascii="宋体"/>
                <w:sz w:val="21"/>
              </w:rPr>
              <w:t>500.00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left="91" w:right="0"/>
              <w:jc w:val="center"/>
              <w:rPr>
                <w:rFonts w:ascii="宋体" w:hAnsi="宋体" w:cs="宋体" w:eastAsia="宋体" w:hint="default"/>
                <w:sz w:val="21"/>
                <w:szCs w:val="21"/>
              </w:rPr>
            </w:pPr>
            <w:r>
              <w:rPr>
                <w:rFonts w:ascii="宋体"/>
                <w:sz w:val="21"/>
              </w:rPr>
              <w:t>10,976,</w:t>
            </w:r>
          </w:p>
          <w:p>
            <w:pPr>
              <w:pStyle w:val="TableParagraph"/>
              <w:spacing w:line="240" w:lineRule="auto" w:before="51"/>
              <w:ind w:left="194" w:right="0"/>
              <w:jc w:val="center"/>
              <w:rPr>
                <w:rFonts w:ascii="宋体" w:hAnsi="宋体" w:cs="宋体" w:eastAsia="宋体" w:hint="default"/>
                <w:sz w:val="21"/>
                <w:szCs w:val="21"/>
              </w:rPr>
            </w:pPr>
            <w:r>
              <w:rPr>
                <w:rFonts w:ascii="宋体"/>
                <w:sz w:val="21"/>
              </w:rPr>
              <w:t>652.55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sz w:val="21"/>
              </w:rPr>
              <w:t>109,448</w:t>
            </w:r>
          </w:p>
          <w:p>
            <w:pPr>
              <w:pStyle w:val="TableParagraph"/>
              <w:spacing w:line="240" w:lineRule="auto" w:before="51"/>
              <w:ind w:left="170" w:right="0"/>
              <w:jc w:val="left"/>
              <w:rPr>
                <w:rFonts w:ascii="宋体" w:hAnsi="宋体" w:cs="宋体" w:eastAsia="宋体" w:hint="default"/>
                <w:sz w:val="21"/>
                <w:szCs w:val="21"/>
              </w:rPr>
            </w:pPr>
            <w:r>
              <w:rPr>
                <w:rFonts w:ascii="宋体"/>
                <w:sz w:val="21"/>
              </w:rPr>
              <w:t>,599.39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376,928</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,167.59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1,332,3</w:t>
            </w:r>
          </w:p>
          <w:p>
            <w:pPr>
              <w:pStyle w:val="TableParagraph"/>
              <w:spacing w:line="240" w:lineRule="auto" w:before="51"/>
              <w:ind w:right="94"/>
              <w:jc w:val="right"/>
              <w:rPr>
                <w:rFonts w:ascii="宋体" w:hAnsi="宋体" w:cs="宋体" w:eastAsia="宋体" w:hint="default"/>
                <w:sz w:val="21"/>
                <w:szCs w:val="21"/>
              </w:rPr>
            </w:pPr>
            <w:r>
              <w:rPr>
                <w:rFonts w:ascii="宋体"/>
                <w:spacing w:val="-1"/>
                <w:sz w:val="21"/>
              </w:rPr>
              <w:t>62,919.</w:t>
            </w:r>
          </w:p>
          <w:p>
            <w:pPr>
              <w:pStyle w:val="TableParagraph"/>
              <w:spacing w:line="240" w:lineRule="auto" w:before="52"/>
              <w:ind w:right="96"/>
              <w:jc w:val="right"/>
              <w:rPr>
                <w:rFonts w:ascii="宋体" w:hAnsi="宋体" w:cs="宋体" w:eastAsia="宋体" w:hint="default"/>
                <w:sz w:val="21"/>
                <w:szCs w:val="21"/>
              </w:rPr>
            </w:pPr>
            <w:r>
              <w:rPr>
                <w:rFonts w:ascii="宋体"/>
                <w:sz w:val="21"/>
              </w:rPr>
              <w:t>53</w:t>
            </w: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（减少以“－”号填列）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sz w:val="21"/>
              </w:rPr>
              <w:t>18,200,9</w:t>
            </w:r>
          </w:p>
          <w:p>
            <w:pPr>
              <w:pStyle w:val="TableParagraph"/>
              <w:spacing w:line="240" w:lineRule="auto" w:before="51"/>
              <w:ind w:left="436" w:right="0"/>
              <w:jc w:val="left"/>
              <w:rPr>
                <w:rFonts w:ascii="宋体" w:hAnsi="宋体" w:cs="宋体" w:eastAsia="宋体" w:hint="default"/>
                <w:sz w:val="21"/>
                <w:szCs w:val="21"/>
              </w:rPr>
            </w:pPr>
            <w:r>
              <w:rPr>
                <w:rFonts w:ascii="宋体"/>
                <w:sz w:val="21"/>
              </w:rPr>
              <w:t>84.00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7" w:right="0"/>
              <w:jc w:val="left"/>
              <w:rPr>
                <w:rFonts w:ascii="宋体" w:hAnsi="宋体" w:cs="宋体" w:eastAsia="宋体" w:hint="default"/>
                <w:sz w:val="21"/>
                <w:szCs w:val="21"/>
              </w:rPr>
            </w:pPr>
            <w:r>
              <w:rPr>
                <w:rFonts w:ascii="宋体"/>
                <w:sz w:val="21"/>
              </w:rPr>
              <w:t>218,066</w:t>
            </w:r>
          </w:p>
          <w:p>
            <w:pPr>
              <w:pStyle w:val="TableParagraph"/>
              <w:spacing w:line="240" w:lineRule="auto" w:before="51"/>
              <w:ind w:left="187" w:right="0"/>
              <w:jc w:val="left"/>
              <w:rPr>
                <w:rFonts w:ascii="宋体" w:hAnsi="宋体" w:cs="宋体" w:eastAsia="宋体" w:hint="default"/>
                <w:sz w:val="21"/>
                <w:szCs w:val="21"/>
              </w:rPr>
            </w:pPr>
            <w:r>
              <w:rPr>
                <w:rFonts w:ascii="宋体"/>
                <w:sz w:val="21"/>
              </w:rPr>
              <w:t>,178.52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sz w:val="21"/>
              </w:rPr>
              <w:t>7,527,2</w:t>
            </w:r>
          </w:p>
          <w:p>
            <w:pPr>
              <w:pStyle w:val="TableParagraph"/>
              <w:spacing w:line="240" w:lineRule="auto" w:before="51"/>
              <w:ind w:left="379" w:right="0"/>
              <w:jc w:val="left"/>
              <w:rPr>
                <w:rFonts w:ascii="宋体" w:hAnsi="宋体" w:cs="宋体" w:eastAsia="宋体" w:hint="default"/>
                <w:sz w:val="21"/>
                <w:szCs w:val="21"/>
              </w:rPr>
            </w:pPr>
            <w:r>
              <w:rPr>
                <w:rFonts w:ascii="宋体"/>
                <w:sz w:val="21"/>
              </w:rPr>
              <w:t>40.90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0" w:right="0"/>
              <w:jc w:val="center"/>
              <w:rPr>
                <w:rFonts w:ascii="宋体" w:hAnsi="宋体" w:cs="宋体" w:eastAsia="宋体" w:hint="default"/>
                <w:sz w:val="21"/>
                <w:szCs w:val="21"/>
              </w:rPr>
            </w:pPr>
            <w:r>
              <w:rPr>
                <w:rFonts w:ascii="宋体"/>
                <w:sz w:val="21"/>
              </w:rPr>
              <w:t>-3,230,</w:t>
            </w:r>
          </w:p>
          <w:p>
            <w:pPr>
              <w:pStyle w:val="TableParagraph"/>
              <w:spacing w:line="240" w:lineRule="auto" w:before="51"/>
              <w:ind w:left="163" w:right="0"/>
              <w:jc w:val="center"/>
              <w:rPr>
                <w:rFonts w:ascii="宋体" w:hAnsi="宋体" w:cs="宋体" w:eastAsia="宋体" w:hint="default"/>
                <w:sz w:val="21"/>
                <w:szCs w:val="21"/>
              </w:rPr>
            </w:pPr>
            <w:r>
              <w:rPr>
                <w:rFonts w:ascii="宋体"/>
                <w:sz w:val="21"/>
              </w:rPr>
              <w:t>644.53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sz w:val="21"/>
              </w:rPr>
              <w:t>240,563</w:t>
            </w:r>
          </w:p>
          <w:p>
            <w:pPr>
              <w:pStyle w:val="TableParagraph"/>
              <w:spacing w:line="240" w:lineRule="auto" w:before="51"/>
              <w:ind w:left="177" w:right="0"/>
              <w:jc w:val="left"/>
              <w:rPr>
                <w:rFonts w:ascii="宋体" w:hAnsi="宋体" w:cs="宋体" w:eastAsia="宋体" w:hint="default"/>
                <w:sz w:val="21"/>
                <w:szCs w:val="21"/>
              </w:rPr>
            </w:pPr>
            <w:r>
              <w:rPr>
                <w:rFonts w:ascii="宋体"/>
                <w:sz w:val="21"/>
              </w:rPr>
              <w:t>,758.89</w:t>
            </w: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0" w:right="0"/>
              <w:jc w:val="center"/>
              <w:rPr>
                <w:rFonts w:ascii="宋体" w:hAnsi="宋体" w:cs="宋体" w:eastAsia="宋体" w:hint="default"/>
                <w:sz w:val="21"/>
                <w:szCs w:val="21"/>
              </w:rPr>
            </w:pPr>
            <w:r>
              <w:rPr>
                <w:rFonts w:ascii="宋体"/>
                <w:sz w:val="21"/>
              </w:rPr>
              <w:t>75,272,</w:t>
            </w:r>
          </w:p>
          <w:p>
            <w:pPr>
              <w:pStyle w:val="TableParagraph"/>
              <w:spacing w:line="240" w:lineRule="auto" w:before="51"/>
              <w:ind w:left="163" w:right="0"/>
              <w:jc w:val="center"/>
              <w:rPr>
                <w:rFonts w:ascii="宋体" w:hAnsi="宋体" w:cs="宋体" w:eastAsia="宋体" w:hint="default"/>
                <w:sz w:val="21"/>
                <w:szCs w:val="21"/>
              </w:rPr>
            </w:pPr>
            <w:r>
              <w:rPr>
                <w:rFonts w:ascii="宋体"/>
                <w:sz w:val="21"/>
              </w:rPr>
              <w:t>408.98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1" w:right="0"/>
              <w:jc w:val="center"/>
              <w:rPr>
                <w:rFonts w:ascii="宋体" w:hAnsi="宋体" w:cs="宋体" w:eastAsia="宋体" w:hint="default"/>
                <w:sz w:val="21"/>
                <w:szCs w:val="21"/>
              </w:rPr>
            </w:pPr>
            <w:r>
              <w:rPr>
                <w:rFonts w:ascii="宋体"/>
                <w:sz w:val="21"/>
              </w:rPr>
              <w:t>75,272,</w:t>
            </w:r>
          </w:p>
          <w:p>
            <w:pPr>
              <w:pStyle w:val="TableParagraph"/>
              <w:spacing w:line="240" w:lineRule="auto" w:before="51"/>
              <w:ind w:left="184" w:right="0"/>
              <w:jc w:val="center"/>
              <w:rPr>
                <w:rFonts w:ascii="宋体" w:hAnsi="宋体" w:cs="宋体" w:eastAsia="宋体" w:hint="default"/>
                <w:sz w:val="21"/>
                <w:szCs w:val="21"/>
              </w:rPr>
            </w:pPr>
            <w:r>
              <w:rPr>
                <w:rFonts w:ascii="宋体"/>
                <w:sz w:val="21"/>
              </w:rPr>
              <w:t>408.98</w:t>
            </w: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6"/>
              <w:jc w:val="left"/>
              <w:rPr>
                <w:rFonts w:ascii="宋体" w:hAnsi="宋体" w:cs="宋体" w:eastAsia="宋体" w:hint="default"/>
                <w:sz w:val="21"/>
                <w:szCs w:val="21"/>
              </w:rPr>
            </w:pPr>
            <w:r>
              <w:rPr>
                <w:rFonts w:ascii="宋体" w:hAnsi="宋体" w:cs="宋体" w:eastAsia="宋体" w:hint="default"/>
                <w:spacing w:val="-9"/>
                <w:sz w:val="21"/>
                <w:szCs w:val="21"/>
              </w:rPr>
              <w:t>（二）所有者投入和减少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sz w:val="21"/>
              </w:rPr>
              <w:t>18,200,9</w:t>
            </w:r>
          </w:p>
          <w:p>
            <w:pPr>
              <w:pStyle w:val="TableParagraph"/>
              <w:spacing w:line="240" w:lineRule="auto" w:before="51"/>
              <w:ind w:left="436" w:right="0"/>
              <w:jc w:val="left"/>
              <w:rPr>
                <w:rFonts w:ascii="宋体" w:hAnsi="宋体" w:cs="宋体" w:eastAsia="宋体" w:hint="default"/>
                <w:sz w:val="21"/>
                <w:szCs w:val="21"/>
              </w:rPr>
            </w:pPr>
            <w:r>
              <w:rPr>
                <w:rFonts w:ascii="宋体"/>
                <w:sz w:val="21"/>
              </w:rPr>
              <w:t>84.00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7" w:right="0"/>
              <w:jc w:val="left"/>
              <w:rPr>
                <w:rFonts w:ascii="宋体" w:hAnsi="宋体" w:cs="宋体" w:eastAsia="宋体" w:hint="default"/>
                <w:sz w:val="21"/>
                <w:szCs w:val="21"/>
              </w:rPr>
            </w:pPr>
            <w:r>
              <w:rPr>
                <w:rFonts w:ascii="宋体"/>
                <w:sz w:val="21"/>
              </w:rPr>
              <w:t>218,066</w:t>
            </w:r>
          </w:p>
          <w:p>
            <w:pPr>
              <w:pStyle w:val="TableParagraph"/>
              <w:spacing w:line="240" w:lineRule="auto" w:before="51"/>
              <w:ind w:left="187" w:right="0"/>
              <w:jc w:val="left"/>
              <w:rPr>
                <w:rFonts w:ascii="宋体" w:hAnsi="宋体" w:cs="宋体" w:eastAsia="宋体" w:hint="default"/>
                <w:sz w:val="21"/>
                <w:szCs w:val="21"/>
              </w:rPr>
            </w:pPr>
            <w:r>
              <w:rPr>
                <w:rFonts w:ascii="宋体"/>
                <w:sz w:val="21"/>
              </w:rPr>
              <w:t>,178.52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sz w:val="21"/>
              </w:rPr>
              <w:t>236,267</w:t>
            </w:r>
          </w:p>
          <w:p>
            <w:pPr>
              <w:pStyle w:val="TableParagraph"/>
              <w:spacing w:line="240" w:lineRule="auto" w:before="51"/>
              <w:ind w:left="177" w:right="0"/>
              <w:jc w:val="left"/>
              <w:rPr>
                <w:rFonts w:ascii="宋体" w:hAnsi="宋体" w:cs="宋体" w:eastAsia="宋体" w:hint="default"/>
                <w:sz w:val="21"/>
                <w:szCs w:val="21"/>
              </w:rPr>
            </w:pPr>
            <w:r>
              <w:rPr>
                <w:rFonts w:ascii="宋体"/>
                <w:sz w:val="21"/>
              </w:rPr>
              <w:t>,162.52</w:t>
            </w:r>
          </w:p>
        </w:tc>
      </w:tr>
      <w:tr>
        <w:trPr>
          <w:trHeight w:val="66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sz w:val="21"/>
              </w:rPr>
              <w:t>18,200,9</w:t>
            </w:r>
          </w:p>
          <w:p>
            <w:pPr>
              <w:pStyle w:val="TableParagraph"/>
              <w:spacing w:line="240" w:lineRule="auto" w:before="52"/>
              <w:ind w:left="436" w:right="0"/>
              <w:jc w:val="left"/>
              <w:rPr>
                <w:rFonts w:ascii="宋体" w:hAnsi="宋体" w:cs="宋体" w:eastAsia="宋体" w:hint="default"/>
                <w:sz w:val="21"/>
                <w:szCs w:val="21"/>
              </w:rPr>
            </w:pPr>
            <w:r>
              <w:rPr>
                <w:rFonts w:ascii="宋体"/>
                <w:sz w:val="21"/>
              </w:rPr>
              <w:t>84.00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7" w:right="0"/>
              <w:jc w:val="left"/>
              <w:rPr>
                <w:rFonts w:ascii="宋体" w:hAnsi="宋体" w:cs="宋体" w:eastAsia="宋体" w:hint="default"/>
                <w:sz w:val="21"/>
                <w:szCs w:val="21"/>
              </w:rPr>
            </w:pPr>
            <w:r>
              <w:rPr>
                <w:rFonts w:ascii="宋体"/>
                <w:sz w:val="21"/>
              </w:rPr>
              <w:t>215,365</w:t>
            </w:r>
          </w:p>
          <w:p>
            <w:pPr>
              <w:pStyle w:val="TableParagraph"/>
              <w:spacing w:line="240" w:lineRule="auto" w:before="52"/>
              <w:ind w:left="187" w:right="0"/>
              <w:jc w:val="left"/>
              <w:rPr>
                <w:rFonts w:ascii="宋体" w:hAnsi="宋体" w:cs="宋体" w:eastAsia="宋体" w:hint="default"/>
                <w:sz w:val="21"/>
                <w:szCs w:val="21"/>
              </w:rPr>
            </w:pPr>
            <w:r>
              <w:rPr>
                <w:rFonts w:ascii="宋体"/>
                <w:sz w:val="21"/>
              </w:rPr>
              <w:t>,056.06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sz w:val="21"/>
              </w:rPr>
              <w:t>233,566</w:t>
            </w:r>
          </w:p>
          <w:p>
            <w:pPr>
              <w:pStyle w:val="TableParagraph"/>
              <w:spacing w:line="240" w:lineRule="auto" w:before="52"/>
              <w:ind w:left="177" w:right="0"/>
              <w:jc w:val="left"/>
              <w:rPr>
                <w:rFonts w:ascii="宋体" w:hAnsi="宋体" w:cs="宋体" w:eastAsia="宋体" w:hint="default"/>
                <w:sz w:val="21"/>
                <w:szCs w:val="21"/>
              </w:rPr>
            </w:pPr>
            <w:r>
              <w:rPr>
                <w:rFonts w:ascii="宋体"/>
                <w:sz w:val="21"/>
              </w:rPr>
              <w:t>,040.06</w:t>
            </w: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2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w:t>
            </w:r>
            <w:r>
              <w:rPr>
                <w:rFonts w:ascii="宋体" w:hAnsi="宋体" w:cs="宋体" w:eastAsia="宋体" w:hint="default"/>
                <w:w w:val="100"/>
                <w:sz w:val="21"/>
                <w:szCs w:val="21"/>
              </w:rPr>
              <w:t> </w:t>
            </w:r>
            <w:r>
              <w:rPr>
                <w:rFonts w:ascii="宋体" w:hAnsi="宋体" w:cs="宋体" w:eastAsia="宋体" w:hint="default"/>
                <w:sz w:val="21"/>
                <w:szCs w:val="21"/>
              </w:rPr>
              <w:t>投入资本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．股份支付计入所有者</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2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7" w:right="0"/>
              <w:jc w:val="left"/>
              <w:rPr>
                <w:rFonts w:ascii="宋体" w:hAnsi="宋体" w:cs="宋体" w:eastAsia="宋体" w:hint="default"/>
                <w:sz w:val="21"/>
                <w:szCs w:val="21"/>
              </w:rPr>
            </w:pPr>
            <w:r>
              <w:rPr>
                <w:rFonts w:ascii="宋体"/>
                <w:sz w:val="21"/>
              </w:rPr>
              <w:t>2,701,1</w:t>
            </w:r>
          </w:p>
          <w:p>
            <w:pPr>
              <w:pStyle w:val="TableParagraph"/>
              <w:spacing w:line="240" w:lineRule="auto" w:before="51"/>
              <w:ind w:left="396" w:right="0"/>
              <w:jc w:val="left"/>
              <w:rPr>
                <w:rFonts w:ascii="宋体" w:hAnsi="宋体" w:cs="宋体" w:eastAsia="宋体" w:hint="default"/>
                <w:sz w:val="21"/>
                <w:szCs w:val="21"/>
              </w:rPr>
            </w:pPr>
            <w:r>
              <w:rPr>
                <w:rFonts w:ascii="宋体"/>
                <w:sz w:val="21"/>
              </w:rPr>
              <w:t>22.46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sz w:val="21"/>
              </w:rPr>
              <w:t>2,701,1</w:t>
            </w:r>
          </w:p>
          <w:p>
            <w:pPr>
              <w:pStyle w:val="TableParagraph"/>
              <w:spacing w:line="240" w:lineRule="auto" w:before="51"/>
              <w:ind w:left="386" w:right="0"/>
              <w:jc w:val="left"/>
              <w:rPr>
                <w:rFonts w:ascii="宋体" w:hAnsi="宋体" w:cs="宋体" w:eastAsia="宋体" w:hint="default"/>
                <w:sz w:val="21"/>
                <w:szCs w:val="21"/>
              </w:rPr>
            </w:pPr>
            <w:r>
              <w:rPr>
                <w:rFonts w:ascii="宋体"/>
                <w:sz w:val="21"/>
              </w:rPr>
              <w:t>22.46</w:t>
            </w: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sz w:val="21"/>
              </w:rPr>
              <w:t>7,527,2</w:t>
            </w:r>
          </w:p>
          <w:p>
            <w:pPr>
              <w:pStyle w:val="TableParagraph"/>
              <w:spacing w:line="240" w:lineRule="auto" w:before="51"/>
              <w:ind w:left="379" w:right="0"/>
              <w:jc w:val="left"/>
              <w:rPr>
                <w:rFonts w:ascii="宋体" w:hAnsi="宋体" w:cs="宋体" w:eastAsia="宋体" w:hint="default"/>
                <w:sz w:val="21"/>
                <w:szCs w:val="21"/>
              </w:rPr>
            </w:pPr>
            <w:r>
              <w:rPr>
                <w:rFonts w:ascii="宋体"/>
                <w:sz w:val="21"/>
              </w:rPr>
              <w:t>40.90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-78,503</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,053.51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sz w:val="21"/>
              </w:rPr>
              <w:t>-70,975</w:t>
            </w:r>
          </w:p>
          <w:p>
            <w:pPr>
              <w:pStyle w:val="TableParagraph"/>
              <w:spacing w:line="240" w:lineRule="auto" w:before="51"/>
              <w:ind w:left="177" w:right="0"/>
              <w:jc w:val="left"/>
              <w:rPr>
                <w:rFonts w:ascii="宋体" w:hAnsi="宋体" w:cs="宋体" w:eastAsia="宋体" w:hint="default"/>
                <w:sz w:val="21"/>
                <w:szCs w:val="21"/>
              </w:rPr>
            </w:pPr>
            <w:r>
              <w:rPr>
                <w:rFonts w:ascii="宋体"/>
                <w:sz w:val="21"/>
              </w:rPr>
              <w:t>,812.61</w:t>
            </w:r>
          </w:p>
        </w:tc>
      </w:tr>
      <w:tr>
        <w:trPr>
          <w:trHeight w:val="66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sz w:val="21"/>
              </w:rPr>
              <w:t>7,527,2</w:t>
            </w:r>
          </w:p>
          <w:p>
            <w:pPr>
              <w:pStyle w:val="TableParagraph"/>
              <w:spacing w:line="240" w:lineRule="auto" w:before="52"/>
              <w:ind w:left="379" w:right="0"/>
              <w:jc w:val="left"/>
              <w:rPr>
                <w:rFonts w:ascii="宋体" w:hAnsi="宋体" w:cs="宋体" w:eastAsia="宋体" w:hint="default"/>
                <w:sz w:val="21"/>
                <w:szCs w:val="21"/>
              </w:rPr>
            </w:pPr>
            <w:r>
              <w:rPr>
                <w:rFonts w:ascii="宋体"/>
                <w:sz w:val="21"/>
              </w:rPr>
              <w:t>40.90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0" w:right="0"/>
              <w:jc w:val="center"/>
              <w:rPr>
                <w:rFonts w:ascii="宋体" w:hAnsi="宋体" w:cs="宋体" w:eastAsia="宋体" w:hint="default"/>
                <w:sz w:val="21"/>
                <w:szCs w:val="21"/>
              </w:rPr>
            </w:pPr>
            <w:r>
              <w:rPr>
                <w:rFonts w:ascii="宋体"/>
                <w:sz w:val="21"/>
              </w:rPr>
              <w:t>-7,527,</w:t>
            </w:r>
          </w:p>
          <w:p>
            <w:pPr>
              <w:pStyle w:val="TableParagraph"/>
              <w:spacing w:line="240" w:lineRule="auto" w:before="52"/>
              <w:ind w:left="163" w:right="0"/>
              <w:jc w:val="center"/>
              <w:rPr>
                <w:rFonts w:ascii="宋体" w:hAnsi="宋体" w:cs="宋体" w:eastAsia="宋体" w:hint="default"/>
                <w:sz w:val="21"/>
                <w:szCs w:val="21"/>
              </w:rPr>
            </w:pPr>
            <w:r>
              <w:rPr>
                <w:rFonts w:ascii="宋体"/>
                <w:sz w:val="21"/>
              </w:rPr>
              <w:t>240.90</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2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w:t>
            </w:r>
            <w:r>
              <w:rPr>
                <w:rFonts w:ascii="宋体" w:hAnsi="宋体" w:cs="宋体" w:eastAsia="宋体" w:hint="default"/>
                <w:w w:val="100"/>
                <w:sz w:val="21"/>
                <w:szCs w:val="21"/>
              </w:rPr>
              <w:t> </w:t>
            </w:r>
            <w:r>
              <w:rPr>
                <w:rFonts w:ascii="宋体" w:hAnsi="宋体" w:cs="宋体" w:eastAsia="宋体" w:hint="default"/>
                <w:sz w:val="21"/>
                <w:szCs w:val="21"/>
              </w:rPr>
              <w:t>的分配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-70,975</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,812.61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sz w:val="21"/>
              </w:rPr>
              <w:t>-70,975</w:t>
            </w:r>
          </w:p>
          <w:p>
            <w:pPr>
              <w:pStyle w:val="TableParagraph"/>
              <w:spacing w:line="240" w:lineRule="auto" w:before="51"/>
              <w:ind w:left="177" w:right="0"/>
              <w:jc w:val="left"/>
              <w:rPr>
                <w:rFonts w:ascii="宋体" w:hAnsi="宋体" w:cs="宋体" w:eastAsia="宋体" w:hint="default"/>
                <w:sz w:val="21"/>
                <w:szCs w:val="21"/>
              </w:rPr>
            </w:pPr>
            <w:r>
              <w:rPr>
                <w:rFonts w:ascii="宋体"/>
                <w:sz w:val="21"/>
              </w:rPr>
              <w:t>,812.61</w:t>
            </w:r>
          </w:p>
        </w:tc>
      </w:tr>
      <w:tr>
        <w:trPr>
          <w:trHeight w:val="34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6"/>
              <w:jc w:val="left"/>
              <w:rPr>
                <w:rFonts w:ascii="宋体" w:hAnsi="宋体" w:cs="宋体" w:eastAsia="宋体" w:hint="default"/>
                <w:sz w:val="21"/>
                <w:szCs w:val="21"/>
              </w:rPr>
            </w:pPr>
            <w:r>
              <w:rPr>
                <w:rFonts w:ascii="宋体" w:hAnsi="宋体" w:cs="宋体" w:eastAsia="宋体" w:hint="default"/>
                <w:spacing w:val="-9"/>
                <w:sz w:val="21"/>
                <w:szCs w:val="21"/>
              </w:rPr>
              <w:t>（四）所有者权益内部结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6"/>
              <w:jc w:val="left"/>
              <w:rPr>
                <w:rFonts w:ascii="宋体" w:hAnsi="宋体" w:cs="宋体" w:eastAsia="宋体" w:hint="default"/>
                <w:sz w:val="21"/>
                <w:szCs w:val="21"/>
              </w:rPr>
            </w:pPr>
            <w:r>
              <w:rPr>
                <w:rFonts w:ascii="宋体" w:hAnsi="宋体" w:cs="宋体" w:eastAsia="宋体" w:hint="default"/>
                <w:spacing w:val="-17"/>
                <w:w w:val="100"/>
                <w:sz w:val="21"/>
                <w:szCs w:val="21"/>
              </w:rPr>
              <w:t>1</w:t>
            </w:r>
            <w:r>
              <w:rPr>
                <w:rFonts w:ascii="宋体" w:hAnsi="宋体" w:cs="宋体" w:eastAsia="宋体" w:hint="default"/>
                <w:spacing w:val="-17"/>
                <w:w w:val="100"/>
                <w:sz w:val="21"/>
                <w:szCs w:val="21"/>
              </w:rPr>
              <w:t>．资本公积转增资本（或</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股本）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100" w:right="96"/>
              <w:jc w:val="left"/>
              <w:rPr>
                <w:rFonts w:ascii="宋体" w:hAnsi="宋体" w:cs="宋体" w:eastAsia="宋体" w:hint="default"/>
                <w:sz w:val="21"/>
                <w:szCs w:val="21"/>
              </w:rPr>
            </w:pPr>
            <w:r>
              <w:rPr>
                <w:rFonts w:ascii="宋体" w:hAnsi="宋体" w:cs="宋体" w:eastAsia="宋体" w:hint="default"/>
                <w:spacing w:val="-17"/>
                <w:w w:val="100"/>
                <w:sz w:val="21"/>
                <w:szCs w:val="21"/>
              </w:rPr>
              <w:t>2</w:t>
            </w:r>
            <w:r>
              <w:rPr>
                <w:rFonts w:ascii="宋体" w:hAnsi="宋体" w:cs="宋体" w:eastAsia="宋体" w:hint="default"/>
                <w:spacing w:val="-17"/>
                <w:w w:val="100"/>
                <w:sz w:val="21"/>
                <w:szCs w:val="21"/>
              </w:rPr>
              <w:t>．盈余公积转增资本（或</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股本）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06"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sz w:val="21"/>
              </w:rPr>
              <w:t>853,210,</w:t>
            </w:r>
          </w:p>
          <w:p>
            <w:pPr>
              <w:pStyle w:val="TableParagraph"/>
              <w:spacing w:line="240" w:lineRule="auto" w:before="51"/>
              <w:ind w:left="331" w:right="0"/>
              <w:jc w:val="left"/>
              <w:rPr>
                <w:rFonts w:ascii="宋体" w:hAnsi="宋体" w:cs="宋体" w:eastAsia="宋体" w:hint="default"/>
                <w:sz w:val="21"/>
                <w:szCs w:val="21"/>
              </w:rPr>
            </w:pPr>
            <w:r>
              <w:rPr>
                <w:rFonts w:ascii="宋体"/>
                <w:sz w:val="21"/>
              </w:rPr>
              <w:t>484.00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7" w:right="0"/>
              <w:jc w:val="left"/>
              <w:rPr>
                <w:rFonts w:ascii="宋体" w:hAnsi="宋体" w:cs="宋体" w:eastAsia="宋体" w:hint="default"/>
                <w:sz w:val="21"/>
                <w:szCs w:val="21"/>
              </w:rPr>
            </w:pPr>
            <w:r>
              <w:rPr>
                <w:rFonts w:ascii="宋体"/>
                <w:sz w:val="21"/>
              </w:rPr>
              <w:t>229,042</w:t>
            </w:r>
          </w:p>
          <w:p>
            <w:pPr>
              <w:pStyle w:val="TableParagraph"/>
              <w:spacing w:line="240" w:lineRule="auto" w:before="51"/>
              <w:ind w:left="187" w:right="0"/>
              <w:jc w:val="left"/>
              <w:rPr>
                <w:rFonts w:ascii="宋体" w:hAnsi="宋体" w:cs="宋体" w:eastAsia="宋体" w:hint="default"/>
                <w:sz w:val="21"/>
                <w:szCs w:val="21"/>
              </w:rPr>
            </w:pPr>
            <w:r>
              <w:rPr>
                <w:rFonts w:ascii="宋体"/>
                <w:sz w:val="21"/>
              </w:rPr>
              <w:t>,831.07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sz w:val="21"/>
              </w:rPr>
              <w:t>116,975</w:t>
            </w:r>
          </w:p>
          <w:p>
            <w:pPr>
              <w:pStyle w:val="TableParagraph"/>
              <w:spacing w:line="240" w:lineRule="auto" w:before="51"/>
              <w:ind w:left="170" w:right="0"/>
              <w:jc w:val="left"/>
              <w:rPr>
                <w:rFonts w:ascii="宋体" w:hAnsi="宋体" w:cs="宋体" w:eastAsia="宋体" w:hint="default"/>
                <w:sz w:val="21"/>
                <w:szCs w:val="21"/>
              </w:rPr>
            </w:pPr>
            <w:r>
              <w:rPr>
                <w:rFonts w:ascii="宋体"/>
                <w:sz w:val="21"/>
              </w:rPr>
              <w:t>,840.29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373,697</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,523.06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1,572,9</w:t>
            </w:r>
          </w:p>
          <w:p>
            <w:pPr>
              <w:pStyle w:val="TableParagraph"/>
              <w:spacing w:line="240" w:lineRule="auto" w:before="51"/>
              <w:ind w:right="94"/>
              <w:jc w:val="right"/>
              <w:rPr>
                <w:rFonts w:ascii="宋体" w:hAnsi="宋体" w:cs="宋体" w:eastAsia="宋体" w:hint="default"/>
                <w:sz w:val="21"/>
                <w:szCs w:val="21"/>
              </w:rPr>
            </w:pPr>
            <w:r>
              <w:rPr>
                <w:rFonts w:ascii="宋体"/>
                <w:spacing w:val="-1"/>
                <w:sz w:val="21"/>
              </w:rPr>
              <w:t>26,678.</w:t>
            </w:r>
          </w:p>
          <w:p>
            <w:pPr>
              <w:pStyle w:val="TableParagraph"/>
              <w:spacing w:line="240" w:lineRule="auto" w:before="51"/>
              <w:ind w:right="96"/>
              <w:jc w:val="right"/>
              <w:rPr>
                <w:rFonts w:ascii="宋体" w:hAnsi="宋体" w:cs="宋体" w:eastAsia="宋体" w:hint="default"/>
                <w:sz w:val="21"/>
                <w:szCs w:val="21"/>
              </w:rPr>
            </w:pPr>
            <w:r>
              <w:rPr>
                <w:rFonts w:ascii="宋体"/>
                <w:sz w:val="21"/>
              </w:rPr>
              <w:t>42</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12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tbl>
      <w:tblPr>
        <w:tblW w:w="0" w:type="auto"/>
        <w:jc w:val="left"/>
        <w:tblInd w:w="13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86"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2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102"/>
              <w:ind w:left="405" w:right="192"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102"/>
              <w:ind w:left="417" w:right="101" w:hanging="315"/>
              <w:jc w:val="left"/>
              <w:rPr>
                <w:rFonts w:ascii="宋体" w:hAnsi="宋体" w:cs="宋体" w:eastAsia="宋体" w:hint="default"/>
                <w:sz w:val="21"/>
                <w:szCs w:val="21"/>
              </w:rPr>
            </w:pPr>
            <w:r>
              <w:rPr>
                <w:rFonts w:ascii="宋体" w:hAnsi="宋体" w:cs="宋体" w:eastAsia="宋体" w:hint="default"/>
                <w:sz w:val="21"/>
                <w:szCs w:val="21"/>
              </w:rPr>
              <w:t>减：库存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22" w:type="dxa"/>
            <w:vMerge w:val="restart"/>
            <w:tcBorders>
              <w:top w:val="single" w:sz="6" w:space="0" w:color="000000"/>
              <w:left w:val="single" w:sz="6" w:space="0" w:color="000000"/>
              <w:right w:val="single" w:sz="6" w:space="0" w:color="000000"/>
            </w:tcBorders>
          </w:tcPr>
          <w:p>
            <w:pPr>
              <w:pStyle w:val="TableParagraph"/>
              <w:spacing w:line="285" w:lineRule="auto" w:before="78"/>
              <w:ind w:left="187" w:right="185"/>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102"/>
              <w:ind w:left="406" w:right="191"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102"/>
              <w:ind w:left="395" w:right="185"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102"/>
              <w:ind w:left="285" w:right="17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025" w:type="dxa"/>
            <w:vMerge w:val="restart"/>
            <w:tcBorders>
              <w:top w:val="single" w:sz="6" w:space="0" w:color="000000"/>
              <w:left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0" w:lineRule="auto"/>
              <w:ind w:left="401" w:right="185"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504"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8"/>
              <w:ind w:left="203"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8"/>
              <w:ind w:left="21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8"/>
              <w:ind w:left="3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99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sz w:val="21"/>
              </w:rPr>
              <w:t>835,009,</w:t>
            </w:r>
          </w:p>
          <w:p>
            <w:pPr>
              <w:pStyle w:val="TableParagraph"/>
              <w:spacing w:line="240" w:lineRule="auto" w:before="52"/>
              <w:ind w:left="331" w:right="0"/>
              <w:jc w:val="left"/>
              <w:rPr>
                <w:rFonts w:ascii="宋体" w:hAnsi="宋体" w:cs="宋体" w:eastAsia="宋体" w:hint="default"/>
                <w:sz w:val="21"/>
                <w:szCs w:val="21"/>
              </w:rPr>
            </w:pPr>
            <w:r>
              <w:rPr>
                <w:rFonts w:ascii="宋体"/>
                <w:sz w:val="21"/>
              </w:rPr>
              <w:t>500.00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left="91" w:right="0"/>
              <w:jc w:val="center"/>
              <w:rPr>
                <w:rFonts w:ascii="宋体" w:hAnsi="宋体" w:cs="宋体" w:eastAsia="宋体" w:hint="default"/>
                <w:sz w:val="21"/>
                <w:szCs w:val="21"/>
              </w:rPr>
            </w:pPr>
            <w:r>
              <w:rPr>
                <w:rFonts w:ascii="宋体"/>
                <w:sz w:val="21"/>
              </w:rPr>
              <w:t>11,034,</w:t>
            </w:r>
          </w:p>
          <w:p>
            <w:pPr>
              <w:pStyle w:val="TableParagraph"/>
              <w:spacing w:line="240" w:lineRule="auto" w:before="52"/>
              <w:ind w:left="194" w:right="0"/>
              <w:jc w:val="center"/>
              <w:rPr>
                <w:rFonts w:ascii="宋体" w:hAnsi="宋体" w:cs="宋体" w:eastAsia="宋体" w:hint="default"/>
                <w:sz w:val="21"/>
                <w:szCs w:val="21"/>
              </w:rPr>
            </w:pPr>
            <w:r>
              <w:rPr>
                <w:rFonts w:ascii="宋体"/>
                <w:sz w:val="21"/>
              </w:rPr>
              <w:t>813.59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1,944.4</w:t>
            </w:r>
          </w:p>
          <w:p>
            <w:pPr>
              <w:pStyle w:val="TableParagraph"/>
              <w:spacing w:line="240" w:lineRule="auto" w:before="52"/>
              <w:ind w:right="98"/>
              <w:jc w:val="right"/>
              <w:rPr>
                <w:rFonts w:ascii="宋体" w:hAnsi="宋体" w:cs="宋体" w:eastAsia="宋体" w:hint="default"/>
                <w:sz w:val="21"/>
                <w:szCs w:val="21"/>
              </w:rPr>
            </w:pPr>
            <w:r>
              <w:rPr>
                <w:rFonts w:ascii="宋体"/>
                <w:w w:val="100"/>
                <w:sz w:val="21"/>
              </w:rPr>
              <w:t>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sz w:val="21"/>
              </w:rPr>
              <w:t>90,318,</w:t>
            </w:r>
          </w:p>
          <w:p>
            <w:pPr>
              <w:pStyle w:val="TableParagraph"/>
              <w:spacing w:line="240" w:lineRule="auto" w:before="52"/>
              <w:ind w:left="172" w:right="0"/>
              <w:jc w:val="center"/>
              <w:rPr>
                <w:rFonts w:ascii="宋体" w:hAnsi="宋体" w:cs="宋体" w:eastAsia="宋体" w:hint="default"/>
                <w:sz w:val="21"/>
                <w:szCs w:val="21"/>
              </w:rPr>
            </w:pPr>
            <w:r>
              <w:rPr>
                <w:rFonts w:ascii="宋体"/>
                <w:sz w:val="21"/>
              </w:rPr>
              <w:t>145.80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252,349</w:t>
            </w:r>
          </w:p>
          <w:p>
            <w:pPr>
              <w:pStyle w:val="TableParagraph"/>
              <w:spacing w:line="240" w:lineRule="auto" w:before="52"/>
              <w:ind w:left="158" w:right="0"/>
              <w:jc w:val="left"/>
              <w:rPr>
                <w:rFonts w:ascii="宋体" w:hAnsi="宋体" w:cs="宋体" w:eastAsia="宋体" w:hint="default"/>
                <w:sz w:val="21"/>
                <w:szCs w:val="21"/>
              </w:rPr>
            </w:pPr>
            <w:r>
              <w:rPr>
                <w:rFonts w:ascii="宋体"/>
                <w:sz w:val="21"/>
              </w:rPr>
              <w:t>,626.98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1,188,7</w:t>
            </w:r>
          </w:p>
          <w:p>
            <w:pPr>
              <w:pStyle w:val="TableParagraph"/>
              <w:spacing w:line="240" w:lineRule="auto" w:before="52"/>
              <w:ind w:right="94"/>
              <w:jc w:val="right"/>
              <w:rPr>
                <w:rFonts w:ascii="宋体" w:hAnsi="宋体" w:cs="宋体" w:eastAsia="宋体" w:hint="default"/>
                <w:sz w:val="21"/>
                <w:szCs w:val="21"/>
              </w:rPr>
            </w:pPr>
            <w:r>
              <w:rPr>
                <w:rFonts w:ascii="宋体"/>
                <w:spacing w:val="-1"/>
                <w:sz w:val="21"/>
              </w:rPr>
              <w:t>14,030.</w:t>
            </w:r>
          </w:p>
          <w:p>
            <w:pPr>
              <w:pStyle w:val="TableParagraph"/>
              <w:spacing w:line="240" w:lineRule="auto" w:before="51"/>
              <w:ind w:right="96"/>
              <w:jc w:val="right"/>
              <w:rPr>
                <w:rFonts w:ascii="宋体" w:hAnsi="宋体" w:cs="宋体" w:eastAsia="宋体" w:hint="default"/>
                <w:sz w:val="21"/>
                <w:szCs w:val="21"/>
              </w:rPr>
            </w:pPr>
            <w:r>
              <w:rPr>
                <w:rFonts w:ascii="宋体"/>
                <w:sz w:val="21"/>
              </w:rPr>
              <w:t>81</w:t>
            </w: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sz w:val="21"/>
              </w:rPr>
              <w:t>835,009,</w:t>
            </w:r>
          </w:p>
          <w:p>
            <w:pPr>
              <w:pStyle w:val="TableParagraph"/>
              <w:spacing w:line="240" w:lineRule="auto" w:before="51"/>
              <w:ind w:left="331" w:right="0"/>
              <w:jc w:val="left"/>
              <w:rPr>
                <w:rFonts w:ascii="宋体" w:hAnsi="宋体" w:cs="宋体" w:eastAsia="宋体" w:hint="default"/>
                <w:sz w:val="21"/>
                <w:szCs w:val="21"/>
              </w:rPr>
            </w:pPr>
            <w:r>
              <w:rPr>
                <w:rFonts w:ascii="宋体"/>
                <w:sz w:val="21"/>
              </w:rPr>
              <w:t>500.00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left="91" w:right="0"/>
              <w:jc w:val="center"/>
              <w:rPr>
                <w:rFonts w:ascii="宋体" w:hAnsi="宋体" w:cs="宋体" w:eastAsia="宋体" w:hint="default"/>
                <w:sz w:val="21"/>
                <w:szCs w:val="21"/>
              </w:rPr>
            </w:pPr>
            <w:r>
              <w:rPr>
                <w:rFonts w:ascii="宋体"/>
                <w:sz w:val="21"/>
              </w:rPr>
              <w:t>11,034,</w:t>
            </w:r>
          </w:p>
          <w:p>
            <w:pPr>
              <w:pStyle w:val="TableParagraph"/>
              <w:spacing w:line="240" w:lineRule="auto" w:before="51"/>
              <w:ind w:left="194" w:right="0"/>
              <w:jc w:val="center"/>
              <w:rPr>
                <w:rFonts w:ascii="宋体" w:hAnsi="宋体" w:cs="宋体" w:eastAsia="宋体" w:hint="default"/>
                <w:sz w:val="21"/>
                <w:szCs w:val="21"/>
              </w:rPr>
            </w:pPr>
            <w:r>
              <w:rPr>
                <w:rFonts w:ascii="宋体"/>
                <w:sz w:val="21"/>
              </w:rPr>
              <w:t>813.59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1,944.4</w:t>
            </w:r>
          </w:p>
          <w:p>
            <w:pPr>
              <w:pStyle w:val="TableParagraph"/>
              <w:spacing w:line="240" w:lineRule="auto" w:before="51"/>
              <w:ind w:right="98"/>
              <w:jc w:val="right"/>
              <w:rPr>
                <w:rFonts w:ascii="宋体" w:hAnsi="宋体" w:cs="宋体" w:eastAsia="宋体" w:hint="default"/>
                <w:sz w:val="21"/>
                <w:szCs w:val="21"/>
              </w:rPr>
            </w:pPr>
            <w:r>
              <w:rPr>
                <w:rFonts w:ascii="宋体"/>
                <w:w w:val="100"/>
                <w:sz w:val="21"/>
              </w:rPr>
              <w:t>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sz w:val="21"/>
              </w:rPr>
              <w:t>90,318,</w:t>
            </w:r>
          </w:p>
          <w:p>
            <w:pPr>
              <w:pStyle w:val="TableParagraph"/>
              <w:spacing w:line="240" w:lineRule="auto" w:before="51"/>
              <w:ind w:left="172" w:right="0"/>
              <w:jc w:val="center"/>
              <w:rPr>
                <w:rFonts w:ascii="宋体" w:hAnsi="宋体" w:cs="宋体" w:eastAsia="宋体" w:hint="default"/>
                <w:sz w:val="21"/>
                <w:szCs w:val="21"/>
              </w:rPr>
            </w:pPr>
            <w:r>
              <w:rPr>
                <w:rFonts w:ascii="宋体"/>
                <w:sz w:val="21"/>
              </w:rPr>
              <w:t>145.80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252,349</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,626.98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1,188,7</w:t>
            </w:r>
          </w:p>
          <w:p>
            <w:pPr>
              <w:pStyle w:val="TableParagraph"/>
              <w:spacing w:line="240" w:lineRule="auto" w:before="51"/>
              <w:ind w:right="94"/>
              <w:jc w:val="right"/>
              <w:rPr>
                <w:rFonts w:ascii="宋体" w:hAnsi="宋体" w:cs="宋体" w:eastAsia="宋体" w:hint="default"/>
                <w:sz w:val="21"/>
                <w:szCs w:val="21"/>
              </w:rPr>
            </w:pPr>
            <w:r>
              <w:rPr>
                <w:rFonts w:ascii="宋体"/>
                <w:spacing w:val="-1"/>
                <w:sz w:val="21"/>
              </w:rPr>
              <w:t>14,030.</w:t>
            </w:r>
          </w:p>
          <w:p>
            <w:pPr>
              <w:pStyle w:val="TableParagraph"/>
              <w:spacing w:line="240" w:lineRule="auto" w:before="51"/>
              <w:ind w:right="96"/>
              <w:jc w:val="right"/>
              <w:rPr>
                <w:rFonts w:ascii="宋体" w:hAnsi="宋体" w:cs="宋体" w:eastAsia="宋体" w:hint="default"/>
                <w:sz w:val="21"/>
                <w:szCs w:val="21"/>
              </w:rPr>
            </w:pPr>
            <w:r>
              <w:rPr>
                <w:rFonts w:ascii="宋体"/>
                <w:sz w:val="21"/>
              </w:rPr>
              <w:t>81</w:t>
            </w:r>
          </w:p>
        </w:tc>
      </w:tr>
      <w:tr>
        <w:trPr>
          <w:trHeight w:val="99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85" w:lineRule="auto" w:before="51"/>
              <w:ind w:left="100" w:right="384"/>
              <w:jc w:val="left"/>
              <w:rPr>
                <w:rFonts w:ascii="宋体" w:hAnsi="宋体" w:cs="宋体" w:eastAsia="宋体" w:hint="default"/>
                <w:sz w:val="21"/>
                <w:szCs w:val="21"/>
              </w:rPr>
            </w:pPr>
            <w:r>
              <w:rPr>
                <w:rFonts w:ascii="宋体" w:hAnsi="宋体" w:cs="宋体" w:eastAsia="宋体" w:hint="default"/>
                <w:sz w:val="21"/>
                <w:szCs w:val="21"/>
              </w:rPr>
              <w:t>（减少以“－”号填</w:t>
            </w:r>
            <w:r>
              <w:rPr>
                <w:rFonts w:ascii="宋体" w:hAnsi="宋体" w:cs="宋体" w:eastAsia="宋体" w:hint="default"/>
                <w:w w:val="100"/>
                <w:sz w:val="21"/>
                <w:szCs w:val="21"/>
              </w:rPr>
              <w:t> </w:t>
            </w:r>
            <w:r>
              <w:rPr>
                <w:rFonts w:ascii="宋体" w:hAnsi="宋体" w:cs="宋体" w:eastAsia="宋体" w:hint="default"/>
                <w:sz w:val="21"/>
                <w:szCs w:val="21"/>
              </w:rPr>
              <w:t>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7" w:right="0"/>
              <w:jc w:val="left"/>
              <w:rPr>
                <w:rFonts w:ascii="宋体" w:hAnsi="宋体" w:cs="宋体" w:eastAsia="宋体" w:hint="default"/>
                <w:sz w:val="21"/>
                <w:szCs w:val="21"/>
              </w:rPr>
            </w:pPr>
            <w:r>
              <w:rPr>
                <w:rFonts w:ascii="宋体"/>
                <w:sz w:val="21"/>
              </w:rPr>
              <w:t>-58,161</w:t>
            </w:r>
          </w:p>
          <w:p>
            <w:pPr>
              <w:pStyle w:val="TableParagraph"/>
              <w:spacing w:line="240" w:lineRule="auto" w:before="51"/>
              <w:ind w:left="607" w:right="0"/>
              <w:jc w:val="left"/>
              <w:rPr>
                <w:rFonts w:ascii="宋体" w:hAnsi="宋体" w:cs="宋体" w:eastAsia="宋体" w:hint="default"/>
                <w:sz w:val="21"/>
                <w:szCs w:val="21"/>
              </w:rPr>
            </w:pPr>
            <w:r>
              <w:rPr>
                <w:rFonts w:ascii="宋体"/>
                <w:sz w:val="21"/>
              </w:rPr>
              <w:t>.04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-1,944.</w:t>
            </w:r>
          </w:p>
          <w:p>
            <w:pPr>
              <w:pStyle w:val="TableParagraph"/>
              <w:spacing w:line="240" w:lineRule="auto" w:before="51"/>
              <w:ind w:right="98"/>
              <w:jc w:val="right"/>
              <w:rPr>
                <w:rFonts w:ascii="宋体" w:hAnsi="宋体" w:cs="宋体" w:eastAsia="宋体" w:hint="default"/>
                <w:sz w:val="21"/>
                <w:szCs w:val="21"/>
              </w:rPr>
            </w:pPr>
            <w:r>
              <w:rPr>
                <w:rFonts w:ascii="宋体"/>
                <w:sz w:val="21"/>
              </w:rPr>
              <w:t>44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sz w:val="21"/>
              </w:rPr>
              <w:t>19,130,</w:t>
            </w:r>
          </w:p>
          <w:p>
            <w:pPr>
              <w:pStyle w:val="TableParagraph"/>
              <w:spacing w:line="240" w:lineRule="auto" w:before="51"/>
              <w:ind w:left="172" w:right="0"/>
              <w:jc w:val="center"/>
              <w:rPr>
                <w:rFonts w:ascii="宋体" w:hAnsi="宋体" w:cs="宋体" w:eastAsia="宋体" w:hint="default"/>
                <w:sz w:val="21"/>
                <w:szCs w:val="21"/>
              </w:rPr>
            </w:pPr>
            <w:r>
              <w:rPr>
                <w:rFonts w:ascii="宋体"/>
                <w:sz w:val="21"/>
              </w:rPr>
              <w:t>453.59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124,578</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,540.61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sz w:val="21"/>
              </w:rPr>
              <w:t>143,648</w:t>
            </w:r>
          </w:p>
          <w:p>
            <w:pPr>
              <w:pStyle w:val="TableParagraph"/>
              <w:spacing w:line="240" w:lineRule="auto" w:before="51"/>
              <w:ind w:left="177" w:right="0"/>
              <w:jc w:val="left"/>
              <w:rPr>
                <w:rFonts w:ascii="宋体" w:hAnsi="宋体" w:cs="宋体" w:eastAsia="宋体" w:hint="default"/>
                <w:sz w:val="21"/>
                <w:szCs w:val="21"/>
              </w:rPr>
            </w:pPr>
            <w:r>
              <w:rPr>
                <w:rFonts w:ascii="宋体"/>
                <w:sz w:val="21"/>
              </w:rPr>
              <w:t>,888.72</w:t>
            </w: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-1,944.</w:t>
            </w:r>
          </w:p>
          <w:p>
            <w:pPr>
              <w:pStyle w:val="TableParagraph"/>
              <w:spacing w:line="240" w:lineRule="auto" w:before="51"/>
              <w:ind w:right="98"/>
              <w:jc w:val="right"/>
              <w:rPr>
                <w:rFonts w:ascii="宋体" w:hAnsi="宋体" w:cs="宋体" w:eastAsia="宋体" w:hint="default"/>
                <w:sz w:val="21"/>
                <w:szCs w:val="21"/>
              </w:rPr>
            </w:pPr>
            <w:r>
              <w:rPr>
                <w:rFonts w:ascii="宋体"/>
                <w:sz w:val="21"/>
              </w:rPr>
              <w:t>44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58" w:right="0"/>
              <w:jc w:val="left"/>
              <w:rPr>
                <w:rFonts w:ascii="宋体" w:hAnsi="宋体" w:cs="宋体" w:eastAsia="宋体" w:hint="default"/>
                <w:sz w:val="21"/>
                <w:szCs w:val="21"/>
              </w:rPr>
            </w:pPr>
            <w:r>
              <w:rPr>
                <w:rFonts w:ascii="宋体"/>
                <w:sz w:val="21"/>
              </w:rPr>
              <w:t>191,304</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,535.85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sz w:val="21"/>
              </w:rPr>
              <w:t>191,302</w:t>
            </w:r>
          </w:p>
          <w:p>
            <w:pPr>
              <w:pStyle w:val="TableParagraph"/>
              <w:spacing w:line="240" w:lineRule="auto" w:before="51"/>
              <w:ind w:left="177" w:right="0"/>
              <w:jc w:val="left"/>
              <w:rPr>
                <w:rFonts w:ascii="宋体" w:hAnsi="宋体" w:cs="宋体" w:eastAsia="宋体" w:hint="default"/>
                <w:sz w:val="21"/>
                <w:szCs w:val="21"/>
              </w:rPr>
            </w:pPr>
            <w:r>
              <w:rPr>
                <w:rFonts w:ascii="宋体"/>
                <w:sz w:val="21"/>
              </w:rPr>
              <w:t>,591.41</w:t>
            </w: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100" w:right="175"/>
              <w:jc w:val="left"/>
              <w:rPr>
                <w:rFonts w:ascii="宋体" w:hAnsi="宋体" w:cs="宋体" w:eastAsia="宋体" w:hint="default"/>
                <w:sz w:val="21"/>
                <w:szCs w:val="21"/>
              </w:rPr>
            </w:pPr>
            <w:r>
              <w:rPr>
                <w:rFonts w:ascii="宋体" w:hAnsi="宋体" w:cs="宋体" w:eastAsia="宋体" w:hint="default"/>
                <w:sz w:val="21"/>
                <w:szCs w:val="21"/>
              </w:rPr>
              <w:t>（二）所有者投入和减</w:t>
            </w:r>
            <w:r>
              <w:rPr>
                <w:rFonts w:ascii="宋体" w:hAnsi="宋体" w:cs="宋体" w:eastAsia="宋体" w:hint="default"/>
                <w:w w:val="100"/>
                <w:sz w:val="21"/>
                <w:szCs w:val="21"/>
              </w:rPr>
              <w:t> </w:t>
            </w:r>
            <w:r>
              <w:rPr>
                <w:rFonts w:ascii="宋体" w:hAnsi="宋体" w:cs="宋体" w:eastAsia="宋体" w:hint="default"/>
                <w:sz w:val="21"/>
                <w:szCs w:val="21"/>
              </w:rPr>
              <w:t>少资本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87" w:right="0"/>
              <w:jc w:val="left"/>
              <w:rPr>
                <w:rFonts w:ascii="宋体" w:hAnsi="宋体" w:cs="宋体" w:eastAsia="宋体" w:hint="default"/>
                <w:sz w:val="21"/>
                <w:szCs w:val="21"/>
              </w:rPr>
            </w:pPr>
            <w:r>
              <w:rPr>
                <w:rFonts w:ascii="宋体"/>
                <w:sz w:val="21"/>
              </w:rPr>
              <w:t>-58,161</w:t>
            </w:r>
          </w:p>
          <w:p>
            <w:pPr>
              <w:pStyle w:val="TableParagraph"/>
              <w:spacing w:line="240" w:lineRule="auto" w:before="49"/>
              <w:ind w:left="607" w:right="0"/>
              <w:jc w:val="left"/>
              <w:rPr>
                <w:rFonts w:ascii="宋体" w:hAnsi="宋体" w:cs="宋体" w:eastAsia="宋体" w:hint="default"/>
                <w:sz w:val="21"/>
                <w:szCs w:val="21"/>
              </w:rPr>
            </w:pPr>
            <w:r>
              <w:rPr>
                <w:rFonts w:ascii="宋体"/>
                <w:sz w:val="21"/>
              </w:rPr>
              <w:t>.04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sz w:val="21"/>
              </w:rPr>
              <w:t>-58,161</w:t>
            </w:r>
          </w:p>
          <w:p>
            <w:pPr>
              <w:pStyle w:val="TableParagraph"/>
              <w:spacing w:line="240" w:lineRule="auto" w:before="49"/>
              <w:ind w:left="598" w:right="0"/>
              <w:jc w:val="left"/>
              <w:rPr>
                <w:rFonts w:ascii="宋体" w:hAnsi="宋体" w:cs="宋体" w:eastAsia="宋体" w:hint="default"/>
                <w:sz w:val="21"/>
                <w:szCs w:val="21"/>
              </w:rPr>
            </w:pPr>
            <w:r>
              <w:rPr>
                <w:rFonts w:ascii="宋体"/>
                <w:sz w:val="21"/>
              </w:rPr>
              <w:t>.04</w:t>
            </w: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100" w:right="96"/>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．其他权益工具持有者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投入资本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100" w:right="96"/>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．股份支付计入所有者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权益的金额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7" w:right="0"/>
              <w:jc w:val="left"/>
              <w:rPr>
                <w:rFonts w:ascii="宋体" w:hAnsi="宋体" w:cs="宋体" w:eastAsia="宋体" w:hint="default"/>
                <w:sz w:val="21"/>
                <w:szCs w:val="21"/>
              </w:rPr>
            </w:pPr>
            <w:r>
              <w:rPr>
                <w:rFonts w:ascii="宋体"/>
                <w:sz w:val="21"/>
              </w:rPr>
              <w:t>-58,161</w:t>
            </w:r>
          </w:p>
          <w:p>
            <w:pPr>
              <w:pStyle w:val="TableParagraph"/>
              <w:spacing w:line="240" w:lineRule="auto" w:before="51"/>
              <w:ind w:left="607" w:right="0"/>
              <w:jc w:val="left"/>
              <w:rPr>
                <w:rFonts w:ascii="宋体" w:hAnsi="宋体" w:cs="宋体" w:eastAsia="宋体" w:hint="default"/>
                <w:sz w:val="21"/>
                <w:szCs w:val="21"/>
              </w:rPr>
            </w:pPr>
            <w:r>
              <w:rPr>
                <w:rFonts w:ascii="宋体"/>
                <w:sz w:val="21"/>
              </w:rPr>
              <w:t>.04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sz w:val="21"/>
              </w:rPr>
              <w:t>-58,161</w:t>
            </w:r>
          </w:p>
          <w:p>
            <w:pPr>
              <w:pStyle w:val="TableParagraph"/>
              <w:spacing w:line="240" w:lineRule="auto" w:before="51"/>
              <w:ind w:left="598" w:right="0"/>
              <w:jc w:val="left"/>
              <w:rPr>
                <w:rFonts w:ascii="宋体" w:hAnsi="宋体" w:cs="宋体" w:eastAsia="宋体" w:hint="default"/>
                <w:sz w:val="21"/>
                <w:szCs w:val="21"/>
              </w:rPr>
            </w:pPr>
            <w:r>
              <w:rPr>
                <w:rFonts w:ascii="宋体"/>
                <w:sz w:val="21"/>
              </w:rPr>
              <w:t>.04</w:t>
            </w: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sz w:val="21"/>
              </w:rPr>
              <w:t>19,130,</w:t>
            </w:r>
          </w:p>
          <w:p>
            <w:pPr>
              <w:pStyle w:val="TableParagraph"/>
              <w:spacing w:line="240" w:lineRule="auto" w:before="51"/>
              <w:ind w:left="172" w:right="0"/>
              <w:jc w:val="center"/>
              <w:rPr>
                <w:rFonts w:ascii="宋体" w:hAnsi="宋体" w:cs="宋体" w:eastAsia="宋体" w:hint="default"/>
                <w:sz w:val="21"/>
                <w:szCs w:val="21"/>
              </w:rPr>
            </w:pPr>
            <w:r>
              <w:rPr>
                <w:rFonts w:ascii="宋体"/>
                <w:sz w:val="21"/>
              </w:rPr>
              <w:t>453.59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-66,725</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,995.24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sz w:val="21"/>
              </w:rPr>
              <w:t>-47,595</w:t>
            </w:r>
          </w:p>
          <w:p>
            <w:pPr>
              <w:pStyle w:val="TableParagraph"/>
              <w:spacing w:line="240" w:lineRule="auto" w:before="51"/>
              <w:ind w:left="177" w:right="0"/>
              <w:jc w:val="left"/>
              <w:rPr>
                <w:rFonts w:ascii="宋体" w:hAnsi="宋体" w:cs="宋体" w:eastAsia="宋体" w:hint="default"/>
                <w:sz w:val="21"/>
                <w:szCs w:val="21"/>
              </w:rPr>
            </w:pPr>
            <w:r>
              <w:rPr>
                <w:rFonts w:ascii="宋体"/>
                <w:sz w:val="21"/>
              </w:rPr>
              <w:t>,541.65</w:t>
            </w:r>
          </w:p>
        </w:tc>
      </w:tr>
      <w:tr>
        <w:trPr>
          <w:trHeight w:val="66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sz w:val="21"/>
              </w:rPr>
              <w:t>19,130,</w:t>
            </w:r>
          </w:p>
          <w:p>
            <w:pPr>
              <w:pStyle w:val="TableParagraph"/>
              <w:spacing w:line="240" w:lineRule="auto" w:before="51"/>
              <w:ind w:left="172" w:right="0"/>
              <w:jc w:val="center"/>
              <w:rPr>
                <w:rFonts w:ascii="宋体" w:hAnsi="宋体" w:cs="宋体" w:eastAsia="宋体" w:hint="default"/>
                <w:sz w:val="21"/>
                <w:szCs w:val="21"/>
              </w:rPr>
            </w:pPr>
            <w:r>
              <w:rPr>
                <w:rFonts w:ascii="宋体"/>
                <w:sz w:val="21"/>
              </w:rPr>
              <w:t>453.59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-19,130</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,453.59</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6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w:t>
            </w:r>
            <w:r>
              <w:rPr>
                <w:rFonts w:ascii="宋体" w:hAnsi="宋体" w:cs="宋体" w:eastAsia="宋体" w:hint="default"/>
                <w:w w:val="100"/>
                <w:sz w:val="21"/>
                <w:szCs w:val="21"/>
              </w:rPr>
              <w:t> </w:t>
            </w:r>
            <w:r>
              <w:rPr>
                <w:rFonts w:ascii="宋体" w:hAnsi="宋体" w:cs="宋体" w:eastAsia="宋体" w:hint="default"/>
                <w:sz w:val="21"/>
                <w:szCs w:val="21"/>
              </w:rPr>
              <w:t>的分配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58" w:right="0"/>
              <w:jc w:val="left"/>
              <w:rPr>
                <w:rFonts w:ascii="宋体" w:hAnsi="宋体" w:cs="宋体" w:eastAsia="宋体" w:hint="default"/>
                <w:sz w:val="21"/>
                <w:szCs w:val="21"/>
              </w:rPr>
            </w:pPr>
            <w:r>
              <w:rPr>
                <w:rFonts w:ascii="宋体"/>
                <w:sz w:val="21"/>
              </w:rPr>
              <w:t>-47,595</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,541.65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7" w:right="0"/>
              <w:jc w:val="left"/>
              <w:rPr>
                <w:rFonts w:ascii="宋体" w:hAnsi="宋体" w:cs="宋体" w:eastAsia="宋体" w:hint="default"/>
                <w:sz w:val="21"/>
                <w:szCs w:val="21"/>
              </w:rPr>
            </w:pPr>
            <w:r>
              <w:rPr>
                <w:rFonts w:ascii="宋体"/>
                <w:sz w:val="21"/>
              </w:rPr>
              <w:t>-47,595</w:t>
            </w:r>
          </w:p>
          <w:p>
            <w:pPr>
              <w:pStyle w:val="TableParagraph"/>
              <w:spacing w:line="240" w:lineRule="auto" w:before="51"/>
              <w:ind w:left="177" w:right="0"/>
              <w:jc w:val="left"/>
              <w:rPr>
                <w:rFonts w:ascii="宋体" w:hAnsi="宋体" w:cs="宋体" w:eastAsia="宋体" w:hint="default"/>
                <w:sz w:val="21"/>
                <w:szCs w:val="21"/>
              </w:rPr>
            </w:pPr>
            <w:r>
              <w:rPr>
                <w:rFonts w:ascii="宋体"/>
                <w:sz w:val="21"/>
              </w:rPr>
              <w:t>,541.65</w:t>
            </w: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175"/>
              <w:jc w:val="left"/>
              <w:rPr>
                <w:rFonts w:ascii="宋体" w:hAnsi="宋体" w:cs="宋体" w:eastAsia="宋体" w:hint="default"/>
                <w:sz w:val="21"/>
                <w:szCs w:val="21"/>
              </w:rPr>
            </w:pPr>
            <w:r>
              <w:rPr>
                <w:rFonts w:ascii="宋体" w:hAnsi="宋体" w:cs="宋体" w:eastAsia="宋体" w:hint="default"/>
                <w:sz w:val="21"/>
                <w:szCs w:val="21"/>
              </w:rPr>
              <w:t>（四）所有者权益内部</w:t>
            </w:r>
            <w:r>
              <w:rPr>
                <w:rFonts w:ascii="宋体" w:hAnsi="宋体" w:cs="宋体" w:eastAsia="宋体" w:hint="default"/>
                <w:w w:val="100"/>
                <w:sz w:val="21"/>
                <w:szCs w:val="21"/>
              </w:rPr>
              <w:t> </w:t>
            </w:r>
            <w:r>
              <w:rPr>
                <w:rFonts w:ascii="宋体" w:hAnsi="宋体" w:cs="宋体" w:eastAsia="宋体" w:hint="default"/>
                <w:sz w:val="21"/>
                <w:szCs w:val="21"/>
              </w:rPr>
              <w:t>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w:t>
            </w:r>
          </w:p>
          <w:p>
            <w:pPr>
              <w:pStyle w:val="TableParagraph"/>
              <w:spacing w:line="240" w:lineRule="auto" w:before="49"/>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w:t>
            </w:r>
          </w:p>
          <w:p>
            <w:pPr>
              <w:pStyle w:val="TableParagraph"/>
              <w:spacing w:line="240" w:lineRule="auto" w:before="49"/>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06"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sz w:val="21"/>
              </w:rPr>
              <w:t>835,009,</w:t>
            </w:r>
          </w:p>
          <w:p>
            <w:pPr>
              <w:pStyle w:val="TableParagraph"/>
              <w:spacing w:line="240" w:lineRule="auto" w:before="51"/>
              <w:ind w:left="331" w:right="0"/>
              <w:jc w:val="left"/>
              <w:rPr>
                <w:rFonts w:ascii="宋体" w:hAnsi="宋体" w:cs="宋体" w:eastAsia="宋体" w:hint="default"/>
                <w:sz w:val="21"/>
                <w:szCs w:val="21"/>
              </w:rPr>
            </w:pPr>
            <w:r>
              <w:rPr>
                <w:rFonts w:ascii="宋体"/>
                <w:sz w:val="21"/>
              </w:rPr>
              <w:t>500.00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9" w:right="0"/>
              <w:jc w:val="center"/>
              <w:rPr>
                <w:rFonts w:ascii="宋体" w:hAnsi="宋体" w:cs="宋体" w:eastAsia="宋体" w:hint="default"/>
                <w:sz w:val="21"/>
                <w:szCs w:val="21"/>
              </w:rPr>
            </w:pPr>
            <w:r>
              <w:rPr>
                <w:rFonts w:ascii="宋体"/>
                <w:sz w:val="21"/>
              </w:rPr>
              <w:t>10,976,</w:t>
            </w:r>
          </w:p>
          <w:p>
            <w:pPr>
              <w:pStyle w:val="TableParagraph"/>
              <w:spacing w:line="240" w:lineRule="auto" w:before="51"/>
              <w:ind w:left="192" w:right="0"/>
              <w:jc w:val="center"/>
              <w:rPr>
                <w:rFonts w:ascii="宋体" w:hAnsi="宋体" w:cs="宋体" w:eastAsia="宋体" w:hint="default"/>
                <w:sz w:val="21"/>
                <w:szCs w:val="21"/>
              </w:rPr>
            </w:pPr>
            <w:r>
              <w:rPr>
                <w:rFonts w:ascii="宋体"/>
                <w:sz w:val="21"/>
              </w:rPr>
              <w:t>652.55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sz w:val="21"/>
              </w:rPr>
              <w:t>109,448</w:t>
            </w:r>
          </w:p>
          <w:p>
            <w:pPr>
              <w:pStyle w:val="TableParagraph"/>
              <w:spacing w:line="240" w:lineRule="auto" w:before="51"/>
              <w:ind w:left="170" w:right="0"/>
              <w:jc w:val="left"/>
              <w:rPr>
                <w:rFonts w:ascii="宋体" w:hAnsi="宋体" w:cs="宋体" w:eastAsia="宋体" w:hint="default"/>
                <w:sz w:val="21"/>
                <w:szCs w:val="21"/>
              </w:rPr>
            </w:pPr>
            <w:r>
              <w:rPr>
                <w:rFonts w:ascii="宋体"/>
                <w:sz w:val="21"/>
              </w:rPr>
              <w:t>,599.39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sz w:val="21"/>
              </w:rPr>
              <w:t>376,928</w:t>
            </w:r>
          </w:p>
          <w:p>
            <w:pPr>
              <w:pStyle w:val="TableParagraph"/>
              <w:spacing w:line="240" w:lineRule="auto" w:before="51"/>
              <w:ind w:left="158" w:right="0"/>
              <w:jc w:val="left"/>
              <w:rPr>
                <w:rFonts w:ascii="宋体" w:hAnsi="宋体" w:cs="宋体" w:eastAsia="宋体" w:hint="default"/>
                <w:sz w:val="21"/>
                <w:szCs w:val="21"/>
              </w:rPr>
            </w:pPr>
            <w:r>
              <w:rPr>
                <w:rFonts w:ascii="宋体"/>
                <w:sz w:val="21"/>
              </w:rPr>
              <w:t>,167.59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1,332,3</w:t>
            </w:r>
          </w:p>
          <w:p>
            <w:pPr>
              <w:pStyle w:val="TableParagraph"/>
              <w:spacing w:line="240" w:lineRule="auto" w:before="51"/>
              <w:ind w:right="94"/>
              <w:jc w:val="right"/>
              <w:rPr>
                <w:rFonts w:ascii="宋体" w:hAnsi="宋体" w:cs="宋体" w:eastAsia="宋体" w:hint="default"/>
                <w:sz w:val="21"/>
                <w:szCs w:val="21"/>
              </w:rPr>
            </w:pPr>
            <w:r>
              <w:rPr>
                <w:rFonts w:ascii="宋体"/>
                <w:spacing w:val="-1"/>
                <w:sz w:val="21"/>
              </w:rPr>
              <w:t>62,919.</w:t>
            </w:r>
          </w:p>
          <w:p>
            <w:pPr>
              <w:pStyle w:val="TableParagraph"/>
              <w:spacing w:line="240" w:lineRule="auto" w:before="51"/>
              <w:ind w:right="96"/>
              <w:jc w:val="right"/>
              <w:rPr>
                <w:rFonts w:ascii="宋体" w:hAnsi="宋体" w:cs="宋体" w:eastAsia="宋体" w:hint="default"/>
                <w:sz w:val="21"/>
                <w:szCs w:val="21"/>
              </w:rPr>
            </w:pPr>
            <w:r>
              <w:rPr>
                <w:rFonts w:ascii="宋体"/>
                <w:sz w:val="21"/>
              </w:rPr>
              <w:t>53</w:t>
            </w:r>
          </w:p>
        </w:tc>
      </w:tr>
    </w:tbl>
    <w:p>
      <w:pPr>
        <w:spacing w:after="0" w:line="240" w:lineRule="auto"/>
        <w:jc w:val="right"/>
        <w:rPr>
          <w:rFonts w:ascii="宋体" w:hAnsi="宋体" w:cs="宋体" w:eastAsia="宋体" w:hint="default"/>
          <w:sz w:val="21"/>
          <w:szCs w:val="21"/>
        </w:rPr>
        <w:sectPr>
          <w:footerReference w:type="default" r:id="rId35"/>
          <w:pgSz w:w="16840" w:h="11910" w:orient="landscape"/>
          <w:pgMar w:footer="1434" w:header="882" w:top="1120" w:bottom="1620" w:left="1300" w:right="1360"/>
          <w:pgNumType w:start="75"/>
        </w:sectPr>
      </w:pPr>
    </w:p>
    <w:p>
      <w:pPr>
        <w:spacing w:line="240" w:lineRule="auto" w:before="0"/>
        <w:rPr>
          <w:rFonts w:ascii="Times New Roman" w:hAnsi="Times New Roman" w:cs="Times New Roman" w:eastAsia="Times New Roman" w:hint="default"/>
          <w:sz w:val="20"/>
          <w:szCs w:val="20"/>
        </w:rPr>
      </w:pPr>
      <w:r>
        <w:rPr/>
        <w:pict>
          <v:group style="position:absolute;margin-left:84.503998pt;margin-top:739.799988pt;width:452.5pt;height:5.05pt;mso-position-horizontal-relative:page;mso-position-vertical-relative:page;z-index:-942016" coordorigin="1690,14796" coordsize="9050,101">
            <v:shape style="position:absolute;left:1690;top:14796;width:3437;height:101" type="#_x0000_t75" stroked="false">
              <v:imagedata r:id="rId38" o:title=""/>
            </v:shape>
            <v:shape style="position:absolute;left:5103;top:14887;width:5636;height:10" type="#_x0000_t75" stroked="false">
              <v:imagedata r:id="rId39" o:title=""/>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2"/>
        <w:tabs>
          <w:tab w:pos="1077" w:val="left" w:leader="none"/>
        </w:tabs>
        <w:spacing w:line="283" w:lineRule="auto"/>
        <w:ind w:left="238" w:right="6762"/>
        <w:jc w:val="left"/>
        <w:rPr>
          <w:b w:val="0"/>
          <w:bCs w:val="0"/>
        </w:rPr>
      </w:pPr>
      <w:r>
        <w:rPr/>
        <w:t>三、</w:t>
        <w:tab/>
        <w:t>公司基本情况</w:t>
      </w:r>
      <w:r>
        <w:rPr>
          <w:w w:val="99"/>
        </w:rPr>
        <w:t> </w:t>
      </w:r>
      <w:r>
        <w:rPr>
          <w:rFonts w:ascii="宋体" w:hAnsi="宋体" w:cs="宋体" w:eastAsia="宋体" w:hint="default"/>
        </w:rPr>
        <w:t>1.</w:t>
      </w:r>
      <w:r>
        <w:rPr>
          <w:rFonts w:ascii="宋体" w:hAnsi="宋体" w:cs="宋体" w:eastAsia="宋体" w:hint="default"/>
          <w:spacing w:val="56"/>
        </w:rPr>
        <w:t> </w:t>
      </w:r>
      <w:r>
        <w:rPr/>
        <w:t>公司概况</w:t>
      </w:r>
      <w:r>
        <w:rPr>
          <w:b w:val="0"/>
          <w:bCs w:val="0"/>
        </w:rPr>
      </w:r>
    </w:p>
    <w:p>
      <w:pPr>
        <w:pStyle w:val="BodyText"/>
        <w:tabs>
          <w:tab w:pos="1080" w:val="left" w:leader="none"/>
        </w:tabs>
        <w:spacing w:line="240" w:lineRule="auto" w:before="42"/>
        <w:ind w:left="238" w:right="215"/>
        <w:jc w:val="left"/>
      </w:pPr>
      <w:r>
        <w:rPr>
          <w:spacing w:val="-1"/>
        </w:rPr>
        <w:t>√适用</w:t>
        <w:tab/>
      </w:r>
      <w:r>
        <w:rPr>
          <w:spacing w:val="-2"/>
        </w:rPr>
        <w:t>□不适用</w:t>
      </w:r>
    </w:p>
    <w:p>
      <w:pPr>
        <w:tabs>
          <w:tab w:pos="1497" w:val="left" w:leader="none"/>
        </w:tabs>
        <w:spacing w:line="357" w:lineRule="auto" w:before="15"/>
        <w:ind w:left="658" w:right="22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公司注册地、组织形式和总部地址</w:t>
      </w:r>
      <w:r>
        <w:rPr>
          <w:rFonts w:ascii="宋体" w:hAnsi="宋体" w:cs="宋体" w:eastAsia="宋体" w:hint="default"/>
          <w:b/>
          <w:bCs/>
          <w:w w:val="100"/>
          <w:sz w:val="21"/>
          <w:szCs w:val="21"/>
        </w:rPr>
        <w:t> </w:t>
      </w:r>
      <w:r>
        <w:rPr>
          <w:rFonts w:ascii="宋体" w:hAnsi="宋体" w:cs="宋体" w:eastAsia="宋体" w:hint="default"/>
          <w:sz w:val="21"/>
          <w:szCs w:val="21"/>
        </w:rPr>
        <w:t>深圳市金证科技股份有限公司（以下简称“公司”或“本公司”）系于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月经深圳</w:t>
      </w:r>
    </w:p>
    <w:p>
      <w:pPr>
        <w:pStyle w:val="BodyText"/>
        <w:spacing w:line="336" w:lineRule="auto" w:before="3"/>
        <w:ind w:left="238" w:right="215"/>
        <w:jc w:val="left"/>
      </w:pPr>
      <w:r>
        <w:rPr>
          <w:spacing w:val="-2"/>
        </w:rPr>
        <w:t>市人民政府深府函</w:t>
      </w:r>
      <w:r>
        <w:rPr>
          <w:rFonts w:ascii="Times New Roman" w:hAnsi="Times New Roman" w:cs="Times New Roman" w:eastAsia="Times New Roman" w:hint="default"/>
          <w:spacing w:val="-2"/>
        </w:rPr>
        <w:t>[2000]70</w:t>
      </w:r>
      <w:r>
        <w:rPr>
          <w:rFonts w:ascii="Times New Roman" w:hAnsi="Times New Roman" w:cs="Times New Roman" w:eastAsia="Times New Roman" w:hint="default"/>
        </w:rPr>
        <w:t> </w:t>
      </w:r>
      <w:r>
        <w:rPr>
          <w:spacing w:val="-2"/>
        </w:rPr>
        <w:t>号文批准，以发起方式设立股份有限公司。公司的企业法人营业执照</w:t>
      </w:r>
      <w:r>
        <w:rPr>
          <w:spacing w:val="-73"/>
        </w:rPr>
        <w:t> </w:t>
      </w:r>
      <w:r>
        <w:rPr>
          <w:spacing w:val="-73"/>
        </w:rPr>
      </w:r>
      <w:r>
        <w:rPr/>
        <w:t>注册号：</w:t>
      </w:r>
      <w:r>
        <w:rPr>
          <w:rFonts w:ascii="Times New Roman" w:hAnsi="Times New Roman" w:cs="Times New Roman" w:eastAsia="Times New Roman" w:hint="default"/>
        </w:rPr>
        <w:t>440301103398823</w:t>
      </w:r>
      <w:r>
        <w:rPr/>
        <w:t>，并于</w:t>
      </w:r>
      <w:r>
        <w:rPr>
          <w:spacing w:val="-55"/>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日在上海证券交易所上市。</w:t>
      </w:r>
    </w:p>
    <w:p>
      <w:pPr>
        <w:pStyle w:val="BodyText"/>
        <w:spacing w:line="240" w:lineRule="auto" w:before="24"/>
        <w:ind w:left="658" w:right="123"/>
        <w:jc w:val="left"/>
      </w:pPr>
      <w:r>
        <w:rPr>
          <w:spacing w:val="-5"/>
        </w:rPr>
        <w:t>经过历年的派送红股、转增股本及增发新股，截至</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5"/>
        </w:rPr>
        <w:t>日，本公司累计发行股本</w:t>
      </w:r>
    </w:p>
    <w:p>
      <w:pPr>
        <w:pStyle w:val="BodyText"/>
        <w:spacing w:line="240" w:lineRule="auto" w:before="118"/>
        <w:ind w:left="238" w:right="123"/>
        <w:jc w:val="left"/>
      </w:pPr>
      <w:r>
        <w:rPr/>
        <w:t>总数</w:t>
      </w:r>
      <w:r>
        <w:rPr>
          <w:spacing w:val="-43"/>
        </w:rPr>
        <w:t> </w:t>
      </w:r>
      <w:r>
        <w:rPr>
          <w:rFonts w:ascii="Times New Roman" w:hAnsi="Times New Roman" w:cs="Times New Roman" w:eastAsia="Times New Roman" w:hint="default"/>
        </w:rPr>
        <w:t>853,210,484.00</w:t>
      </w:r>
      <w:r>
        <w:rPr>
          <w:rFonts w:ascii="Times New Roman" w:hAnsi="Times New Roman" w:cs="Times New Roman" w:eastAsia="Times New Roman" w:hint="default"/>
          <w:spacing w:val="6"/>
        </w:rPr>
        <w:t> </w:t>
      </w:r>
      <w:r>
        <w:rPr>
          <w:spacing w:val="-6"/>
        </w:rPr>
        <w:t>股，注册资本为</w:t>
      </w:r>
      <w:r>
        <w:rPr>
          <w:spacing w:val="-42"/>
        </w:rPr>
        <w:t> </w:t>
      </w:r>
      <w:r>
        <w:rPr>
          <w:rFonts w:ascii="Times New Roman" w:hAnsi="Times New Roman" w:cs="Times New Roman" w:eastAsia="Times New Roman" w:hint="default"/>
        </w:rPr>
        <w:t>853,210,484.00</w:t>
      </w:r>
      <w:r>
        <w:rPr>
          <w:rFonts w:ascii="Times New Roman" w:hAnsi="Times New Roman" w:cs="Times New Roman" w:eastAsia="Times New Roman" w:hint="default"/>
          <w:spacing w:val="8"/>
        </w:rPr>
        <w:t> </w:t>
      </w:r>
      <w:r>
        <w:rPr>
          <w:spacing w:val="-5"/>
        </w:rPr>
        <w:t>元，注册地址：广东省深圳市南山区科技园高</w:t>
      </w:r>
    </w:p>
    <w:p>
      <w:pPr>
        <w:pStyle w:val="BodyText"/>
        <w:spacing w:line="240" w:lineRule="auto" w:before="119"/>
        <w:ind w:left="238" w:right="215"/>
        <w:jc w:val="left"/>
      </w:pPr>
      <w:r>
        <w:rPr/>
        <w:t>新区南区高新南五道金证科技大楼</w:t>
      </w:r>
      <w:r>
        <w:rPr>
          <w:spacing w:val="-56"/>
        </w:rPr>
        <w:t> </w:t>
      </w:r>
      <w:r>
        <w:rPr>
          <w:rFonts w:ascii="Times New Roman" w:hAnsi="Times New Roman" w:cs="Times New Roman" w:eastAsia="Times New Roman" w:hint="default"/>
        </w:rPr>
        <w:t>8-9</w:t>
      </w:r>
      <w:r>
        <w:rPr>
          <w:rFonts w:ascii="Times New Roman" w:hAnsi="Times New Roman" w:cs="Times New Roman" w:eastAsia="Times New Roman" w:hint="default"/>
          <w:spacing w:val="-3"/>
        </w:rPr>
        <w:t> </w:t>
      </w:r>
      <w:r>
        <w:rPr/>
        <w:t>层，总部地址：广东省深圳市南山区科技园高新区南区高</w:t>
      </w:r>
    </w:p>
    <w:p>
      <w:pPr>
        <w:pStyle w:val="BodyText"/>
        <w:spacing w:line="240" w:lineRule="auto" w:before="117"/>
        <w:ind w:left="238" w:right="215"/>
        <w:jc w:val="left"/>
      </w:pPr>
      <w:r>
        <w:rPr/>
        <w:t>新南五道金证科技大楼</w:t>
      </w:r>
      <w:r>
        <w:rPr>
          <w:spacing w:val="-52"/>
        </w:rPr>
        <w:t> </w:t>
      </w:r>
      <w:r>
        <w:rPr>
          <w:rFonts w:ascii="Times New Roman" w:hAnsi="Times New Roman" w:cs="Times New Roman" w:eastAsia="Times New Roman" w:hint="default"/>
        </w:rPr>
        <w:t>8-9 </w:t>
      </w:r>
      <w:r>
        <w:rPr/>
        <w:t>层。</w:t>
      </w:r>
    </w:p>
    <w:p>
      <w:pPr>
        <w:spacing w:line="240" w:lineRule="auto" w:before="12"/>
        <w:rPr>
          <w:rFonts w:ascii="宋体" w:hAnsi="宋体" w:cs="宋体" w:eastAsia="宋体" w:hint="default"/>
          <w:sz w:val="20"/>
          <w:szCs w:val="20"/>
        </w:rPr>
      </w:pPr>
    </w:p>
    <w:p>
      <w:pPr>
        <w:pStyle w:val="BodyText"/>
        <w:tabs>
          <w:tab w:pos="1497" w:val="left" w:leader="none"/>
        </w:tabs>
        <w:spacing w:line="355" w:lineRule="auto"/>
        <w:ind w:left="658" w:right="215" w:firstLine="2"/>
        <w:jc w:val="left"/>
      </w:pPr>
      <w:r>
        <w:rPr>
          <w:rFonts w:ascii="宋体" w:hAnsi="宋体" w:cs="宋体" w:eastAsia="宋体" w:hint="default"/>
          <w:b/>
          <w:bCs/>
          <w:w w:val="95"/>
        </w:rPr>
        <w:t>(</w:t>
      </w:r>
      <w:r>
        <w:rPr>
          <w:rFonts w:ascii="宋体" w:hAnsi="宋体" w:cs="宋体" w:eastAsia="宋体" w:hint="default"/>
          <w:b/>
          <w:bCs/>
          <w:w w:val="95"/>
        </w:rPr>
        <w:t>二</w:t>
      </w:r>
      <w:r>
        <w:rPr>
          <w:rFonts w:ascii="宋体" w:hAnsi="宋体" w:cs="宋体" w:eastAsia="宋体" w:hint="default"/>
          <w:b/>
          <w:bCs/>
          <w:w w:val="95"/>
        </w:rPr>
        <w:t>)</w:t>
        <w:tab/>
      </w:r>
      <w:r>
        <w:rPr>
          <w:rFonts w:ascii="宋体" w:hAnsi="宋体" w:cs="宋体" w:eastAsia="宋体" w:hint="default"/>
          <w:b/>
          <w:bCs/>
        </w:rPr>
        <w:t>经营范围</w:t>
      </w:r>
      <w:r>
        <w:rPr>
          <w:rFonts w:ascii="宋体" w:hAnsi="宋体" w:cs="宋体" w:eastAsia="宋体" w:hint="default"/>
          <w:b/>
          <w:bCs/>
          <w:w w:val="100"/>
        </w:rPr>
        <w:t> </w:t>
      </w:r>
      <w:r>
        <w:rPr>
          <w:spacing w:val="-7"/>
        </w:rPr>
        <w:t>许可经营项目：计算机应用系统及配套设备的技术开发、生产（生产项目另行申报）、销售；</w:t>
      </w:r>
    </w:p>
    <w:p>
      <w:pPr>
        <w:pStyle w:val="BodyText"/>
        <w:spacing w:line="355" w:lineRule="auto" w:before="34"/>
        <w:ind w:left="238" w:right="205"/>
        <w:jc w:val="left"/>
      </w:pPr>
      <w:r>
        <w:rPr>
          <w:spacing w:val="-2"/>
        </w:rPr>
        <w:t>电子产品、通讯器材、机械设备的购销及国内商业，物资供销业（不含专营、专控、专卖商品及</w:t>
      </w:r>
      <w:r>
        <w:rPr>
          <w:spacing w:val="-25"/>
        </w:rPr>
        <w:t> </w:t>
      </w:r>
      <w:r>
        <w:rPr>
          <w:spacing w:val="-25"/>
        </w:rPr>
      </w:r>
      <w:r>
        <w:rPr>
          <w:spacing w:val="-4"/>
        </w:rPr>
        <w:t>限制项目）。进出口业务（具体按深贸管准证字第 </w:t>
      </w:r>
      <w:r>
        <w:rPr>
          <w:rFonts w:ascii="宋体" w:hAnsi="宋体" w:cs="宋体" w:eastAsia="宋体" w:hint="default"/>
        </w:rPr>
        <w:t>2003</w:t>
      </w:r>
      <w:r>
        <w:rPr/>
        <w:t>—</w:t>
      </w:r>
      <w:r>
        <w:rPr>
          <w:rFonts w:ascii="宋体" w:hAnsi="宋体" w:cs="宋体" w:eastAsia="宋体" w:hint="default"/>
        </w:rPr>
        <w:t>2435</w:t>
      </w:r>
      <w:r>
        <w:rPr>
          <w:rFonts w:ascii="宋体" w:hAnsi="宋体" w:cs="宋体" w:eastAsia="宋体" w:hint="default"/>
          <w:spacing w:val="-55"/>
        </w:rPr>
        <w:t> </w:t>
      </w:r>
      <w:r>
        <w:rPr>
          <w:spacing w:val="-4"/>
        </w:rPr>
        <w:t>号文执行）；建筑智能化工程专业</w:t>
      </w:r>
    </w:p>
    <w:p>
      <w:pPr>
        <w:pStyle w:val="BodyText"/>
        <w:spacing w:line="355" w:lineRule="auto" w:before="32"/>
        <w:ind w:left="238" w:right="215"/>
        <w:jc w:val="left"/>
      </w:pPr>
      <w:r>
        <w:rPr>
          <w:spacing w:val="-2"/>
        </w:rPr>
        <w:t>（凭《建筑业企业资质证书》经营）；专业音响、灯光、多媒体显示、会议公共广播设备、闭路</w:t>
      </w:r>
      <w:r>
        <w:rPr>
          <w:spacing w:val="-25"/>
        </w:rPr>
        <w:t> </w:t>
      </w:r>
      <w:r>
        <w:rPr>
          <w:spacing w:val="-25"/>
        </w:rPr>
      </w:r>
      <w:r>
        <w:rPr>
          <w:spacing w:val="-2"/>
        </w:rPr>
        <w:t>监控设备的购销与安装；房屋租赁；机动车辆停放服务；室内外清洁；</w:t>
      </w:r>
      <w:r>
        <w:rPr>
          <w:rFonts w:ascii="宋体" w:hAnsi="宋体" w:cs="宋体" w:eastAsia="宋体" w:hint="default"/>
          <w:spacing w:val="-2"/>
        </w:rPr>
        <w:t>IT</w:t>
      </w:r>
      <w:r>
        <w:rPr>
          <w:rFonts w:ascii="宋体" w:hAnsi="宋体" w:cs="宋体" w:eastAsia="宋体" w:hint="default"/>
          <w:spacing w:val="21"/>
        </w:rPr>
        <w:t> </w:t>
      </w:r>
      <w:r>
        <w:rPr>
          <w:spacing w:val="-2"/>
        </w:rPr>
        <w:t>技术教育培训。</w:t>
      </w:r>
    </w:p>
    <w:p>
      <w:pPr>
        <w:spacing w:line="240" w:lineRule="auto" w:before="5"/>
        <w:rPr>
          <w:rFonts w:ascii="宋体" w:hAnsi="宋体" w:cs="宋体" w:eastAsia="宋体" w:hint="default"/>
          <w:sz w:val="14"/>
          <w:szCs w:val="14"/>
        </w:rPr>
      </w:pPr>
    </w:p>
    <w:p>
      <w:pPr>
        <w:pStyle w:val="Heading4"/>
        <w:tabs>
          <w:tab w:pos="1497" w:val="left" w:leader="none"/>
        </w:tabs>
        <w:spacing w:line="240" w:lineRule="auto"/>
        <w:ind w:left="660" w:right="215"/>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营业期限有限的特殊企业信息：无</w:t>
      </w:r>
      <w:r>
        <w:rPr>
          <w:b w:val="0"/>
          <w:bCs w:val="0"/>
        </w:rPr>
      </w:r>
    </w:p>
    <w:p>
      <w:pPr>
        <w:spacing w:line="240" w:lineRule="auto" w:before="4"/>
        <w:rPr>
          <w:rFonts w:ascii="宋体" w:hAnsi="宋体" w:cs="宋体" w:eastAsia="宋体" w:hint="default"/>
          <w:b/>
          <w:bCs/>
          <w:sz w:val="22"/>
          <w:szCs w:val="22"/>
        </w:rPr>
      </w:pPr>
    </w:p>
    <w:p>
      <w:pPr>
        <w:pStyle w:val="Heading4"/>
        <w:tabs>
          <w:tab w:pos="1497" w:val="left" w:leader="none"/>
        </w:tabs>
        <w:spacing w:line="240" w:lineRule="auto"/>
        <w:ind w:left="660" w:right="215"/>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公司业务性质和主要经营活动</w:t>
      </w:r>
      <w:r>
        <w:rPr>
          <w:b w:val="0"/>
          <w:bCs w:val="0"/>
        </w:rPr>
      </w:r>
    </w:p>
    <w:p>
      <w:pPr>
        <w:pStyle w:val="Heading3"/>
        <w:spacing w:line="240" w:lineRule="auto" w:before="127"/>
        <w:ind w:left="718" w:right="215"/>
        <w:jc w:val="left"/>
      </w:pPr>
      <w:r>
        <w:rPr/>
        <w:t>本公司属</w:t>
      </w:r>
      <w:r>
        <w:rPr>
          <w:spacing w:val="-60"/>
        </w:rPr>
        <w:t> </w:t>
      </w:r>
      <w:r>
        <w:rPr>
          <w:rFonts w:ascii="宋体" w:hAnsi="宋体" w:cs="宋体" w:eastAsia="宋体" w:hint="default"/>
        </w:rPr>
        <w:t>IT</w:t>
      </w:r>
      <w:r>
        <w:rPr>
          <w:rFonts w:ascii="宋体" w:hAnsi="宋体" w:cs="宋体" w:eastAsia="宋体" w:hint="default"/>
          <w:spacing w:val="-60"/>
        </w:rPr>
        <w:t> </w:t>
      </w:r>
      <w:r>
        <w:rPr/>
        <w:t>行业，主要产品或服务为金融证券软件、系统集成及服务。</w:t>
      </w:r>
    </w:p>
    <w:p>
      <w:pPr>
        <w:spacing w:line="240" w:lineRule="auto" w:before="13"/>
        <w:rPr>
          <w:rFonts w:ascii="宋体" w:hAnsi="宋体" w:cs="宋体" w:eastAsia="宋体" w:hint="default"/>
          <w:sz w:val="23"/>
          <w:szCs w:val="23"/>
        </w:rPr>
      </w:pPr>
    </w:p>
    <w:p>
      <w:pPr>
        <w:tabs>
          <w:tab w:pos="1497" w:val="left" w:leader="none"/>
        </w:tabs>
        <w:spacing w:line="376" w:lineRule="auto" w:before="0"/>
        <w:ind w:left="658" w:right="2949" w:firstLine="2"/>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五</w:t>
      </w:r>
      <w:r>
        <w:rPr>
          <w:rFonts w:ascii="宋体" w:hAnsi="宋体" w:cs="宋体" w:eastAsia="宋体" w:hint="default"/>
          <w:b/>
          <w:bCs/>
          <w:w w:val="95"/>
          <w:sz w:val="21"/>
          <w:szCs w:val="21"/>
        </w:rPr>
        <w:t>)</w:t>
        <w:tab/>
      </w:r>
      <w:r>
        <w:rPr>
          <w:rFonts w:ascii="宋体" w:hAnsi="宋体" w:cs="宋体" w:eastAsia="宋体" w:hint="default"/>
          <w:b/>
          <w:bCs/>
          <w:sz w:val="21"/>
          <w:szCs w:val="21"/>
        </w:rPr>
        <w:t>财务报表的批准报出</w:t>
      </w:r>
      <w:r>
        <w:rPr>
          <w:rFonts w:ascii="宋体" w:hAnsi="宋体" w:cs="宋体" w:eastAsia="宋体" w:hint="default"/>
          <w:b/>
          <w:bCs/>
          <w:w w:val="100"/>
          <w:sz w:val="21"/>
          <w:szCs w:val="21"/>
        </w:rPr>
        <w:t> </w:t>
      </w:r>
      <w:r>
        <w:rPr>
          <w:rFonts w:ascii="宋体" w:hAnsi="宋体" w:cs="宋体" w:eastAsia="宋体" w:hint="default"/>
          <w:sz w:val="21"/>
          <w:szCs w:val="21"/>
        </w:rPr>
        <w:t>本财务报表业经公司全体董事于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日批准报出。</w:t>
      </w:r>
    </w:p>
    <w:p>
      <w:pPr>
        <w:spacing w:line="240" w:lineRule="auto" w:before="11"/>
        <w:rPr>
          <w:rFonts w:ascii="宋体" w:hAnsi="宋体" w:cs="宋体" w:eastAsia="宋体" w:hint="default"/>
          <w:sz w:val="17"/>
          <w:szCs w:val="17"/>
        </w:rPr>
      </w:pPr>
    </w:p>
    <w:p>
      <w:pPr>
        <w:pStyle w:val="Heading2"/>
        <w:spacing w:line="240" w:lineRule="auto" w:before="0"/>
        <w:ind w:left="238" w:right="215"/>
        <w:jc w:val="left"/>
        <w:rPr>
          <w:b w:val="0"/>
          <w:bCs w:val="0"/>
        </w:rPr>
      </w:pPr>
      <w:r>
        <w:rPr>
          <w:rFonts w:ascii="宋体" w:hAnsi="宋体" w:cs="宋体" w:eastAsia="宋体" w:hint="default"/>
        </w:rPr>
        <w:t>2.</w:t>
      </w:r>
      <w:r>
        <w:rPr>
          <w:rFonts w:ascii="宋体" w:hAnsi="宋体" w:cs="宋体" w:eastAsia="宋体" w:hint="default"/>
          <w:spacing w:val="54"/>
        </w:rPr>
        <w:t> </w:t>
      </w:r>
      <w:r>
        <w:rPr/>
        <w:t>合并财务报表范围</w:t>
      </w:r>
      <w:r>
        <w:rPr>
          <w:b w:val="0"/>
          <w:bCs w:val="0"/>
        </w:rPr>
      </w:r>
    </w:p>
    <w:p>
      <w:pPr>
        <w:pStyle w:val="BodyText"/>
        <w:tabs>
          <w:tab w:pos="1080" w:val="left" w:leader="none"/>
        </w:tabs>
        <w:spacing w:line="240" w:lineRule="auto" w:before="85"/>
        <w:ind w:left="238" w:right="215"/>
        <w:jc w:val="left"/>
      </w:pPr>
      <w:r>
        <w:rPr>
          <w:spacing w:val="-1"/>
        </w:rPr>
        <w:t>√适用</w:t>
        <w:tab/>
      </w:r>
      <w:r>
        <w:rPr>
          <w:spacing w:val="-2"/>
        </w:rPr>
        <w:t>□不适用</w:t>
      </w:r>
    </w:p>
    <w:p>
      <w:pPr>
        <w:pStyle w:val="BodyText"/>
        <w:spacing w:line="240" w:lineRule="auto" w:before="15"/>
        <w:ind w:left="718" w:right="215"/>
        <w:jc w:val="left"/>
      </w:pPr>
      <w:r>
        <w:rPr/>
        <w:pict>
          <v:shape style="position:absolute;margin-left:255.410004pt;margin-top:24.293676pt;width:.48pt;height:.12pt;mso-position-horizontal-relative:page;mso-position-vertical-relative:paragraph;z-index:-942232" type="#_x0000_t75" stroked="false">
            <v:imagedata r:id="rId40" o:title=""/>
          </v:shape>
        </w:pict>
      </w:r>
      <w:r>
        <w:rPr/>
        <w:pict>
          <v:shape style="position:absolute;margin-left:330.670013pt;margin-top:24.293676pt;width:.48001pt;height:.12pt;mso-position-horizontal-relative:page;mso-position-vertical-relative:paragraph;z-index:-942208" type="#_x0000_t75" stroked="false">
            <v:imagedata r:id="rId40" o:title=""/>
          </v:shape>
        </w:pict>
      </w:r>
      <w:r>
        <w:rPr/>
        <w:pict>
          <v:shape style="position:absolute;margin-left:375.790009pt;margin-top:24.293676pt;width:.48001pt;height:.12pt;mso-position-horizontal-relative:page;mso-position-vertical-relative:paragraph;z-index:-942184" type="#_x0000_t75" stroked="false">
            <v:imagedata r:id="rId40" o:title=""/>
          </v:shape>
        </w:pict>
      </w:r>
      <w:r>
        <w:rPr/>
        <w:pict>
          <v:shape style="position:absolute;margin-left:456.339996pt;margin-top:24.293676pt;width:.48001pt;height:.12pt;mso-position-horizontal-relative:page;mso-position-vertical-relative:paragraph;z-index:-942160" type="#_x0000_t75" stroked="false">
            <v:imagedata r:id="rId40" o:title=""/>
          </v:shape>
        </w:pict>
      </w:r>
      <w:r>
        <w:rPr/>
        <w:pict>
          <v:group style="position:absolute;margin-left:84.503998pt;margin-top:41.333698pt;width:452.5pt;height:.5pt;mso-position-horizontal-relative:page;mso-position-vertical-relative:paragraph;z-index:-942136" coordorigin="1690,827" coordsize="9050,10">
            <v:shape style="position:absolute;left:1690;top:827;width:3418;height:10" type="#_x0000_t75" stroked="false">
              <v:imagedata r:id="rId41" o:title=""/>
            </v:shape>
            <v:shape style="position:absolute;left:5103;top:827;width:5636;height:10" type="#_x0000_t75" stroked="false">
              <v:imagedata r:id="rId39" o:title=""/>
            </v:shape>
            <w10:wrap type="none"/>
          </v:group>
        </w:pict>
      </w:r>
      <w:r>
        <w:rPr/>
        <w:pict>
          <v:group style="position:absolute;margin-left:84.503998pt;margin-top:54.293655pt;width:452.5pt;height:5.05pt;mso-position-horizontal-relative:page;mso-position-vertical-relative:paragraph;z-index:-942112" coordorigin="1690,1086" coordsize="9050,101">
            <v:shape style="position:absolute;left:1690;top:1086;width:3437;height:101" type="#_x0000_t75" stroked="false">
              <v:imagedata r:id="rId42" o:title=""/>
            </v:shape>
            <v:shape style="position:absolute;left:5103;top:1177;width:5636;height:10" type="#_x0000_t75" stroked="false">
              <v:imagedata r:id="rId43" o:title=""/>
            </v:shape>
            <w10:wrap type="none"/>
          </v:group>
        </w:pict>
      </w:r>
      <w:r>
        <w:rPr/>
        <w:pict>
          <v:group style="position:absolute;margin-left:84.503998pt;margin-top:71.81366pt;width:452.5pt;height:5.05pt;mso-position-horizontal-relative:page;mso-position-vertical-relative:paragraph;z-index:-942088" coordorigin="1690,1436" coordsize="9050,101">
            <v:shape style="position:absolute;left:1690;top:1436;width:3437;height:101" type="#_x0000_t75" stroked="false">
              <v:imagedata r:id="rId38" o:title=""/>
            </v:shape>
            <v:shape style="position:absolute;left:5103;top:1527;width:5636;height:10" type="#_x0000_t75" stroked="false">
              <v:imagedata r:id="rId39" o:title=""/>
            </v:shape>
            <w10:wrap type="none"/>
          </v:group>
        </w:pict>
      </w:r>
      <w:r>
        <w:rPr/>
        <w:pict>
          <v:group style="position:absolute;margin-left:84.503998pt;margin-top:93.773697pt;width:452.5pt;height:.5pt;mso-position-horizontal-relative:page;mso-position-vertical-relative:paragraph;z-index:-942064" coordorigin="1690,1875" coordsize="9050,10">
            <v:shape style="position:absolute;left:1690;top:1875;width:3418;height:10" type="#_x0000_t75" stroked="false">
              <v:imagedata r:id="rId41" o:title=""/>
            </v:shape>
            <v:shape style="position:absolute;left:5103;top:1875;width:5636;height:10" type="#_x0000_t75" stroked="false">
              <v:imagedata r:id="rId43" o:title=""/>
            </v:shape>
            <w10:wrap type="none"/>
          </v:group>
        </w:pict>
      </w:r>
      <w:r>
        <w:rPr/>
        <w:pict>
          <v:group style="position:absolute;margin-left:84.503998pt;margin-top:106.733658pt;width:452.5pt;height:5.05pt;mso-position-horizontal-relative:page;mso-position-vertical-relative:paragraph;z-index:-942040" coordorigin="1690,2135" coordsize="9050,101">
            <v:shape style="position:absolute;left:1690;top:2135;width:3437;height:101" type="#_x0000_t75" stroked="false">
              <v:imagedata r:id="rId38" o:title=""/>
            </v:shape>
            <v:shape style="position:absolute;left:5103;top:2226;width:5636;height:10" type="#_x0000_t75" stroked="false">
              <v:imagedata r:id="rId39" o:title=""/>
            </v:shape>
            <w10:wrap type="none"/>
          </v:group>
        </w:pict>
      </w:r>
      <w:r>
        <w:rPr/>
        <w:t>本期纳入合并财务报表范围的主体共</w:t>
      </w:r>
      <w:r>
        <w:rPr>
          <w:spacing w:val="-54"/>
        </w:rPr>
        <w:t> </w:t>
      </w:r>
      <w:r>
        <w:rPr>
          <w:rFonts w:ascii="宋体" w:hAnsi="宋体" w:cs="宋体" w:eastAsia="宋体" w:hint="default"/>
        </w:rPr>
        <w:t>26</w:t>
      </w:r>
      <w:r>
        <w:rPr>
          <w:rFonts w:ascii="宋体" w:hAnsi="宋体" w:cs="宋体" w:eastAsia="宋体" w:hint="default"/>
          <w:spacing w:val="-56"/>
        </w:rPr>
        <w:t> </w:t>
      </w:r>
      <w:r>
        <w:rPr/>
        <w:t>户，具体包括：</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437"/>
        <w:gridCol w:w="1505"/>
        <w:gridCol w:w="902"/>
        <w:gridCol w:w="1611"/>
        <w:gridCol w:w="1608"/>
      </w:tblGrid>
      <w:tr>
        <w:trPr>
          <w:trHeight w:val="363" w:hRule="exact"/>
        </w:trPr>
        <w:tc>
          <w:tcPr>
            <w:tcW w:w="3437" w:type="dxa"/>
            <w:tcBorders>
              <w:top w:val="single" w:sz="12" w:space="0" w:color="000000"/>
              <w:left w:val="nil" w:sz="6" w:space="0" w:color="auto"/>
              <w:bottom w:val="nil" w:sz="6" w:space="0" w:color="auto"/>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0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61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608" w:type="dxa"/>
            <w:tcBorders>
              <w:top w:val="single" w:sz="12" w:space="0" w:color="000000"/>
              <w:left w:val="single" w:sz="4" w:space="0" w:color="000000"/>
              <w:bottom w:val="nil" w:sz="6" w:space="0" w:color="auto"/>
              <w:right w:val="nil" w:sz="6" w:space="0" w:color="auto"/>
            </w:tcBorders>
          </w:tcPr>
          <w:p>
            <w:pPr>
              <w:pStyle w:val="TableParagraph"/>
              <w:spacing w:line="240" w:lineRule="auto" w:before="25"/>
              <w:ind w:right="110"/>
              <w:jc w:val="right"/>
              <w:rPr>
                <w:rFonts w:ascii="宋体" w:hAnsi="宋体" w:cs="宋体" w:eastAsia="宋体" w:hint="default"/>
                <w:sz w:val="18"/>
                <w:szCs w:val="18"/>
              </w:rPr>
            </w:pPr>
            <w:r>
              <w:rPr>
                <w:rFonts w:ascii="宋体" w:hAnsi="宋体" w:cs="宋体" w:eastAsia="宋体" w:hint="default"/>
                <w:spacing w:val="-1"/>
                <w:sz w:val="18"/>
                <w:szCs w:val="18"/>
              </w:rPr>
              <w:t>表决权比例（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c>
      </w:tr>
      <w:tr>
        <w:trPr>
          <w:trHeight w:val="252"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深圳市齐普生科技股份有限公司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05"/>
              <w:jc w:val="right"/>
              <w:rPr>
                <w:rFonts w:ascii="Arial Narrow" w:hAnsi="Arial Narrow" w:cs="Arial Narrow" w:eastAsia="Arial Narrow" w:hint="default"/>
                <w:sz w:val="18"/>
                <w:szCs w:val="18"/>
              </w:rPr>
            </w:pPr>
            <w:r>
              <w:rPr>
                <w:rFonts w:ascii="Arial Narrow"/>
                <w:spacing w:val="-1"/>
                <w:sz w:val="18"/>
              </w:rPr>
              <w:t>47.7</w:t>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47.7</w:t>
            </w:r>
          </w:p>
        </w:tc>
      </w:tr>
      <w:tr>
        <w:trPr>
          <w:trHeight w:val="372"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深圳市金证软银科技有限公司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348"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上海金证高科技有限公司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270"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北京北方金证科技有限公司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35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成都市金证科技有限责任公司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355" w:hRule="exact"/>
        </w:trPr>
        <w:tc>
          <w:tcPr>
            <w:tcW w:w="3437"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成都金证信息技术有限公司</w:t>
            </w:r>
          </w:p>
        </w:tc>
        <w:tc>
          <w:tcPr>
            <w:tcW w:w="15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single" w:sz="12" w:space="0" w:color="000000"/>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bl>
    <w:p>
      <w:pPr>
        <w:spacing w:after="0" w:line="240" w:lineRule="auto"/>
        <w:jc w:val="right"/>
        <w:rPr>
          <w:rFonts w:ascii="Arial Narrow" w:hAnsi="Arial Narrow" w:cs="Arial Narrow" w:eastAsia="Arial Narrow" w:hint="default"/>
          <w:sz w:val="18"/>
          <w:szCs w:val="18"/>
        </w:rPr>
        <w:sectPr>
          <w:headerReference w:type="default" r:id="rId36"/>
          <w:footerReference w:type="default" r:id="rId37"/>
          <w:pgSz w:w="11910" w:h="16840"/>
          <w:pgMar w:header="882" w:footer="1195" w:top="1120" w:bottom="1380" w:left="1560" w:right="1060"/>
          <w:pgNumType w:start="76"/>
        </w:sectPr>
      </w:pPr>
    </w:p>
    <w:p>
      <w:pPr>
        <w:spacing w:line="240" w:lineRule="auto" w:before="0"/>
        <w:rPr>
          <w:rFonts w:ascii="宋体" w:hAnsi="宋体" w:cs="宋体" w:eastAsia="宋体" w:hint="default"/>
          <w:sz w:val="20"/>
          <w:szCs w:val="20"/>
        </w:rPr>
      </w:pPr>
      <w:r>
        <w:rPr/>
        <w:pict>
          <v:shape style="position:absolute;margin-left:255.410004pt;margin-top:77.639984pt;width:.48pt;height:.12pt;mso-position-horizontal-relative:page;mso-position-vertical-relative:page;z-index:-941992" type="#_x0000_t75" stroked="false">
            <v:imagedata r:id="rId44" o:title=""/>
          </v:shape>
        </w:pict>
      </w:r>
      <w:r>
        <w:rPr/>
        <w:pict>
          <v:shape style="position:absolute;margin-left:330.670013pt;margin-top:77.639984pt;width:.48001pt;height:.12pt;mso-position-horizontal-relative:page;mso-position-vertical-relative:page;z-index:-941968" type="#_x0000_t75" stroked="false">
            <v:imagedata r:id="rId44" o:title=""/>
          </v:shape>
        </w:pict>
      </w:r>
      <w:r>
        <w:rPr/>
        <w:pict>
          <v:shape style="position:absolute;margin-left:375.790009pt;margin-top:77.639984pt;width:.48001pt;height:.12pt;mso-position-horizontal-relative:page;mso-position-vertical-relative:page;z-index:-941944" type="#_x0000_t75" stroked="false">
            <v:imagedata r:id="rId44" o:title=""/>
          </v:shape>
        </w:pict>
      </w:r>
      <w:r>
        <w:rPr/>
        <w:pict>
          <v:shape style="position:absolute;margin-left:456.339996pt;margin-top:77.639984pt;width:.48001pt;height:.12pt;mso-position-horizontal-relative:page;mso-position-vertical-relative:page;z-index:-941920" type="#_x0000_t75" stroked="false">
            <v:imagedata r:id="rId44" o:title=""/>
          </v:shape>
        </w:pict>
      </w:r>
      <w:r>
        <w:rPr/>
        <w:pict>
          <v:group style="position:absolute;margin-left:84.503998pt;margin-top:90.259964pt;width:452.5pt;height:5.05pt;mso-position-horizontal-relative:page;mso-position-vertical-relative:page;z-index:-941896" coordorigin="1690,1805" coordsize="9050,101">
            <v:shape style="position:absolute;left:1690;top:1805;width:3437;height:101" type="#_x0000_t75" stroked="false">
              <v:imagedata r:id="rId38" o:title=""/>
            </v:shape>
            <v:shape style="position:absolute;left:5103;top:1896;width:5636;height:10" type="#_x0000_t75" stroked="false">
              <v:imagedata r:id="rId39" o:title=""/>
            </v:shape>
            <w10:wrap type="none"/>
          </v:group>
        </w:pict>
      </w:r>
      <w:r>
        <w:rPr/>
        <w:pict>
          <v:group style="position:absolute;margin-left:84.503998pt;margin-top:112.220001pt;width:452.5pt;height:.5pt;mso-position-horizontal-relative:page;mso-position-vertical-relative:page;z-index:-941872" coordorigin="1690,2244" coordsize="9050,10">
            <v:shape style="position:absolute;left:1690;top:2244;width:3418;height:10" type="#_x0000_t75" stroked="false">
              <v:imagedata r:id="rId41" o:title=""/>
            </v:shape>
            <v:shape style="position:absolute;left:5103;top:2244;width:5636;height:10" type="#_x0000_t75" stroked="false">
              <v:imagedata r:id="rId39" o:title=""/>
            </v:shape>
            <w10:wrap type="none"/>
          </v:group>
        </w:pict>
      </w:r>
      <w:r>
        <w:rPr/>
        <w:pict>
          <v:group style="position:absolute;margin-left:84.503998pt;margin-top:125.180023pt;width:452.5pt;height:5.05pt;mso-position-horizontal-relative:page;mso-position-vertical-relative:page;z-index:-941848" coordorigin="1690,2504" coordsize="9050,101">
            <v:shape style="position:absolute;left:1690;top:2504;width:3437;height:101" type="#_x0000_t75" stroked="false">
              <v:imagedata r:id="rId38" o:title=""/>
            </v:shape>
            <v:shape style="position:absolute;left:5103;top:2595;width:5636;height:10" type="#_x0000_t75" stroked="false">
              <v:imagedata r:id="rId39" o:title=""/>
            </v:shape>
            <w10:wrap type="none"/>
          </v:group>
        </w:pict>
      </w:r>
      <w:r>
        <w:rPr/>
        <w:pict>
          <v:group style="position:absolute;margin-left:84.503998pt;margin-top:142.699966pt;width:452.5pt;height:5.05pt;mso-position-horizontal-relative:page;mso-position-vertical-relative:page;z-index:-941824" coordorigin="1690,2854" coordsize="9050,101">
            <v:shape style="position:absolute;left:1690;top:2854;width:3437;height:101" type="#_x0000_t75" stroked="false">
              <v:imagedata r:id="rId42" o:title=""/>
            </v:shape>
            <v:shape style="position:absolute;left:5103;top:2945;width:5636;height:10" type="#_x0000_t75" stroked="false">
              <v:imagedata r:id="rId39" o:title=""/>
            </v:shape>
            <w10:wrap type="none"/>
          </v:group>
        </w:pict>
      </w:r>
      <w:r>
        <w:rPr/>
        <w:pict>
          <v:group style="position:absolute;margin-left:84.503998pt;margin-top:160.219955pt;width:452.5pt;height:5.05pt;mso-position-horizontal-relative:page;mso-position-vertical-relative:page;z-index:-941800" coordorigin="1690,3204" coordsize="9050,101">
            <v:shape style="position:absolute;left:1690;top:3204;width:3437;height:101" type="#_x0000_t75" stroked="false">
              <v:imagedata r:id="rId42" o:title=""/>
            </v:shape>
            <v:shape style="position:absolute;left:5103;top:3296;width:5636;height:10" type="#_x0000_t75" stroked="false">
              <v:imagedata r:id="rId43" o:title=""/>
            </v:shape>
            <w10:wrap type="none"/>
          </v:group>
        </w:pict>
      </w:r>
      <w:r>
        <w:rPr/>
        <w:pict>
          <v:group style="position:absolute;margin-left:84.503998pt;margin-top:177.740021pt;width:452.5pt;height:5.05pt;mso-position-horizontal-relative:page;mso-position-vertical-relative:page;z-index:-941776" coordorigin="1690,3555" coordsize="9050,101">
            <v:shape style="position:absolute;left:1690;top:3555;width:3437;height:101" type="#_x0000_t75" stroked="false">
              <v:imagedata r:id="rId38" o:title=""/>
            </v:shape>
            <v:shape style="position:absolute;left:5103;top:3646;width:5636;height:10" type="#_x0000_t75" stroked="false">
              <v:imagedata r:id="rId39" o:title=""/>
            </v:shape>
            <w10:wrap type="none"/>
          </v:group>
        </w:pict>
      </w:r>
      <w:r>
        <w:rPr/>
        <w:pict>
          <v:group style="position:absolute;margin-left:84.503998pt;margin-top:195.259964pt;width:452.5pt;height:5.05pt;mso-position-horizontal-relative:page;mso-position-vertical-relative:page;z-index:-941752" coordorigin="1690,3905" coordsize="9050,101">
            <v:shape style="position:absolute;left:1690;top:3905;width:3437;height:101" type="#_x0000_t75" stroked="false">
              <v:imagedata r:id="rId38" o:title=""/>
            </v:shape>
            <v:shape style="position:absolute;left:5103;top:3996;width:5636;height:10" type="#_x0000_t75" stroked="false">
              <v:imagedata r:id="rId39" o:title=""/>
            </v:shape>
            <w10:wrap type="none"/>
          </v:group>
        </w:pict>
      </w:r>
      <w:r>
        <w:rPr/>
        <w:pict>
          <v:group style="position:absolute;margin-left:84.503998pt;margin-top:217.220001pt;width:452.5pt;height:.5pt;mso-position-horizontal-relative:page;mso-position-vertical-relative:page;z-index:-941728" coordorigin="1690,4344" coordsize="9050,10">
            <v:shape style="position:absolute;left:1690;top:4344;width:3418;height:10" type="#_x0000_t75" stroked="false">
              <v:imagedata r:id="rId41" o:title=""/>
            </v:shape>
            <v:shape style="position:absolute;left:5103;top:4344;width:5636;height:10" type="#_x0000_t75" stroked="false">
              <v:imagedata r:id="rId39" o:title=""/>
            </v:shape>
            <w10:wrap type="none"/>
          </v:group>
        </w:pict>
      </w:r>
      <w:r>
        <w:rPr/>
        <w:pict>
          <v:group style="position:absolute;margin-left:84.503998pt;margin-top:230.180023pt;width:452.5pt;height:5.05pt;mso-position-horizontal-relative:page;mso-position-vertical-relative:page;z-index:-941704" coordorigin="1690,4604" coordsize="9050,101">
            <v:shape style="position:absolute;left:1690;top:4604;width:3437;height:101" type="#_x0000_t75" stroked="false">
              <v:imagedata r:id="rId38" o:title=""/>
            </v:shape>
            <v:shape style="position:absolute;left:5103;top:4695;width:5636;height:10" type="#_x0000_t75" stroked="false">
              <v:imagedata r:id="rId39" o:title=""/>
            </v:shape>
            <w10:wrap type="none"/>
          </v:group>
        </w:pict>
      </w:r>
      <w:r>
        <w:rPr/>
        <w:pict>
          <v:group style="position:absolute;margin-left:84.503998pt;margin-top:247.729965pt;width:452.5pt;height:5.05pt;mso-position-horizontal-relative:page;mso-position-vertical-relative:page;z-index:-941680" coordorigin="1690,4955" coordsize="9050,101">
            <v:shape style="position:absolute;left:1690;top:4955;width:3437;height:101" type="#_x0000_t75" stroked="false">
              <v:imagedata r:id="rId42" o:title=""/>
            </v:shape>
            <v:shape style="position:absolute;left:5103;top:5046;width:5636;height:10" type="#_x0000_t75" stroked="false">
              <v:imagedata r:id="rId39" o:title=""/>
            </v:shape>
            <w10:wrap type="none"/>
          </v:group>
        </w:pict>
      </w:r>
      <w:r>
        <w:rPr/>
        <w:pict>
          <v:group style="position:absolute;margin-left:84.503998pt;margin-top:265.249969pt;width:452.5pt;height:5.05pt;mso-position-horizontal-relative:page;mso-position-vertical-relative:page;z-index:-941656" coordorigin="1690,5305" coordsize="9050,101">
            <v:shape style="position:absolute;left:1690;top:5305;width:3437;height:101" type="#_x0000_t75" stroked="false">
              <v:imagedata r:id="rId42" o:title=""/>
            </v:shape>
            <v:shape style="position:absolute;left:5103;top:5396;width:5636;height:10" type="#_x0000_t75" stroked="false">
              <v:imagedata r:id="rId43" o:title=""/>
            </v:shape>
            <w10:wrap type="none"/>
          </v:group>
        </w:pict>
      </w:r>
      <w:r>
        <w:rPr/>
        <w:pict>
          <v:group style="position:absolute;margin-left:84.503998pt;margin-top:282.77002pt;width:452.5pt;height:5.05pt;mso-position-horizontal-relative:page;mso-position-vertical-relative:page;z-index:-941632" coordorigin="1690,5655" coordsize="9050,101">
            <v:shape style="position:absolute;left:1690;top:5655;width:3437;height:101" type="#_x0000_t75" stroked="false">
              <v:imagedata r:id="rId38" o:title=""/>
            </v:shape>
            <v:shape style="position:absolute;left:5103;top:5747;width:5636;height:10" type="#_x0000_t75" stroked="false">
              <v:imagedata r:id="rId39" o:title=""/>
            </v:shape>
            <w10:wrap type="none"/>
          </v:group>
        </w:pict>
      </w:r>
      <w:r>
        <w:rPr/>
        <w:pict>
          <v:group style="position:absolute;margin-left:84.503998pt;margin-top:300.290009pt;width:452.5pt;height:5.05pt;mso-position-horizontal-relative:page;mso-position-vertical-relative:page;z-index:-941608" coordorigin="1690,6006" coordsize="9050,101">
            <v:shape style="position:absolute;left:1690;top:6006;width:3437;height:101" type="#_x0000_t75" stroked="false">
              <v:imagedata r:id="rId38" o:title=""/>
            </v:shape>
            <v:shape style="position:absolute;left:5103;top:6097;width:5636;height:10" type="#_x0000_t75" stroked="false">
              <v:imagedata r:id="rId39" o:title=""/>
            </v:shape>
            <w10:wrap type="none"/>
          </v:group>
        </w:pict>
      </w:r>
      <w:r>
        <w:rPr/>
        <w:pict>
          <v:group style="position:absolute;margin-left:84.503998pt;margin-top:322.25pt;width:452.5pt;height:.5pt;mso-position-horizontal-relative:page;mso-position-vertical-relative:page;z-index:-941584" coordorigin="1690,6445" coordsize="9050,10">
            <v:shape style="position:absolute;left:1690;top:6445;width:3418;height:10" type="#_x0000_t75" stroked="false">
              <v:imagedata r:id="rId41" o:title=""/>
            </v:shape>
            <v:shape style="position:absolute;left:5103;top:6445;width:5636;height:10" type="#_x0000_t75" stroked="false">
              <v:imagedata r:id="rId39" o:title=""/>
            </v:shape>
            <w10:wrap type="none"/>
          </v:group>
        </w:pict>
      </w:r>
      <w:r>
        <w:rPr/>
        <w:pict>
          <v:group style="position:absolute;margin-left:84.503998pt;margin-top:335.209991pt;width:452.5pt;height:5.05pt;mso-position-horizontal-relative:page;mso-position-vertical-relative:page;z-index:-941560" coordorigin="1690,6704" coordsize="9050,101">
            <v:shape style="position:absolute;left:1690;top:6704;width:3437;height:101" type="#_x0000_t75" stroked="false">
              <v:imagedata r:id="rId38" o:title=""/>
            </v:shape>
            <v:shape style="position:absolute;left:5103;top:6795;width:5636;height:10" type="#_x0000_t75" stroked="false">
              <v:imagedata r:id="rId39" o:title=""/>
            </v:shape>
            <w10:wrap type="none"/>
          </v:group>
        </w:pict>
      </w: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437"/>
        <w:gridCol w:w="1505"/>
        <w:gridCol w:w="902"/>
        <w:gridCol w:w="1611"/>
        <w:gridCol w:w="1608"/>
      </w:tblGrid>
      <w:tr>
        <w:trPr>
          <w:trHeight w:val="267" w:hRule="exact"/>
        </w:trPr>
        <w:tc>
          <w:tcPr>
            <w:tcW w:w="3437" w:type="dxa"/>
            <w:tcBorders>
              <w:top w:val="single" w:sz="12" w:space="0" w:color="000000"/>
              <w:left w:val="nil" w:sz="6" w:space="0" w:color="auto"/>
              <w:bottom w:val="nil" w:sz="6" w:space="0" w:color="auto"/>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0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61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608" w:type="dxa"/>
            <w:tcBorders>
              <w:top w:val="single" w:sz="12" w:space="0" w:color="000000"/>
              <w:left w:val="single" w:sz="4" w:space="0" w:color="000000"/>
              <w:bottom w:val="nil" w:sz="6" w:space="0" w:color="auto"/>
              <w:right w:val="nil" w:sz="6" w:space="0" w:color="auto"/>
            </w:tcBorders>
          </w:tcPr>
          <w:p>
            <w:pPr>
              <w:pStyle w:val="TableParagraph"/>
              <w:spacing w:line="240" w:lineRule="auto" w:before="25"/>
              <w:ind w:right="110"/>
              <w:jc w:val="right"/>
              <w:rPr>
                <w:rFonts w:ascii="宋体" w:hAnsi="宋体" w:cs="宋体" w:eastAsia="宋体" w:hint="default"/>
                <w:sz w:val="18"/>
                <w:szCs w:val="18"/>
              </w:rPr>
            </w:pPr>
            <w:r>
              <w:rPr>
                <w:rFonts w:ascii="宋体" w:hAnsi="宋体" w:cs="宋体" w:eastAsia="宋体" w:hint="default"/>
                <w:spacing w:val="-1"/>
                <w:sz w:val="18"/>
                <w:szCs w:val="18"/>
              </w:rPr>
              <w:t>表决权比例（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c>
      </w:tr>
      <w:tr>
        <w:trPr>
          <w:trHeight w:val="449"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深圳市金证博泽科技有限公司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270"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南京金证信息技术有限公司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金证财富南京科技有限公司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pacing w:val="-1"/>
                <w:w w:val="95"/>
                <w:sz w:val="18"/>
              </w:rPr>
              <w:t>51</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w w:val="95"/>
                <w:sz w:val="18"/>
              </w:rPr>
              <w:t>51</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深圳市金微蓝技术有限公司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pacing w:val="-1"/>
                <w:sz w:val="18"/>
              </w:rPr>
              <w:t>47.25</w:t>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sz w:val="18"/>
              </w:rPr>
              <w:t>47.25</w:t>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北京联龙博通电子商务技术有限公司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人谷科技（北京）有限责任公司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pacing w:val="-1"/>
                <w:w w:val="95"/>
                <w:sz w:val="18"/>
              </w:rPr>
              <w:t>90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w w:val="95"/>
                <w:sz w:val="18"/>
              </w:rPr>
              <w:t>90</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348"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深圳市融汇通金科技有限公司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pacing w:val="-1"/>
                <w:w w:val="95"/>
                <w:sz w:val="18"/>
              </w:rPr>
              <w:t>60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w w:val="95"/>
                <w:sz w:val="18"/>
              </w:rPr>
              <w:t>60</w:t>
            </w:r>
            <w:r>
              <w:rPr>
                <w:rFonts w:ascii="Arial Narrow"/>
                <w:w w:val="95"/>
                <w:sz w:val="18"/>
              </w:rPr>
            </w:r>
          </w:p>
        </w:tc>
      </w:tr>
      <w:tr>
        <w:trPr>
          <w:trHeight w:val="270"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珠海金智维信息科技有限公司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4"/>
              <w:jc w:val="right"/>
              <w:rPr>
                <w:rFonts w:ascii="Arial Narrow" w:hAnsi="Arial Narrow" w:cs="Arial Narrow" w:eastAsia="Arial Narrow" w:hint="default"/>
                <w:sz w:val="18"/>
                <w:szCs w:val="18"/>
              </w:rPr>
            </w:pPr>
            <w:r>
              <w:rPr>
                <w:rFonts w:ascii="Arial Narrow"/>
                <w:spacing w:val="-1"/>
                <w:w w:val="95"/>
                <w:sz w:val="18"/>
              </w:rPr>
              <w:t>51</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Arial Narrow" w:hAnsi="Arial Narrow" w:cs="Arial Narrow" w:eastAsia="Arial Narrow" w:hint="default"/>
                <w:sz w:val="18"/>
                <w:szCs w:val="18"/>
              </w:rPr>
            </w:pPr>
            <w:r>
              <w:rPr>
                <w:rFonts w:ascii="Arial Narrow"/>
                <w:spacing w:val="-1"/>
                <w:w w:val="95"/>
                <w:sz w:val="18"/>
              </w:rPr>
              <w:t>51</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深圳奔球金融服务有限公司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陕西金证科技有限公司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pacing w:val="-1"/>
                <w:w w:val="95"/>
                <w:sz w:val="18"/>
              </w:rPr>
              <w:t>52</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w w:val="95"/>
                <w:sz w:val="18"/>
              </w:rPr>
              <w:t>52</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深圳金证引擎科技有限公司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pacing w:val="-1"/>
                <w:w w:val="95"/>
                <w:sz w:val="18"/>
              </w:rPr>
              <w:t>51</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w w:val="95"/>
                <w:sz w:val="18"/>
              </w:rPr>
              <w:t>51</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深圳市睿服科技有限公司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pacing w:val="-1"/>
                <w:w w:val="95"/>
                <w:sz w:val="18"/>
              </w:rPr>
              <w:t>60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w w:val="95"/>
                <w:sz w:val="18"/>
              </w:rPr>
              <w:t>60</w:t>
            </w:r>
            <w:r>
              <w:rPr>
                <w:rFonts w:ascii="Arial Narrow"/>
                <w:w w:val="95"/>
                <w:sz w:val="18"/>
              </w:rPr>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348"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成都金证博泽科技有限公司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270"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深圳市齐普生数字系统有限公司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5"/>
              <w:jc w:val="right"/>
              <w:rPr>
                <w:rFonts w:ascii="Arial Narrow" w:hAnsi="Arial Narrow" w:cs="Arial Narrow" w:eastAsia="Arial Narrow" w:hint="default"/>
                <w:sz w:val="18"/>
                <w:szCs w:val="18"/>
              </w:rPr>
            </w:pPr>
            <w:r>
              <w:rPr>
                <w:rFonts w:ascii="Arial Narrow"/>
                <w:spacing w:val="-1"/>
                <w:sz w:val="18"/>
              </w:rPr>
              <w:t>47.7</w:t>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Arial Narrow" w:hAnsi="Arial Narrow" w:cs="Arial Narrow" w:eastAsia="Arial Narrow" w:hint="default"/>
                <w:sz w:val="18"/>
                <w:szCs w:val="18"/>
              </w:rPr>
            </w:pPr>
            <w:r>
              <w:rPr>
                <w:rFonts w:ascii="Arial Narrow"/>
                <w:spacing w:val="-1"/>
                <w:sz w:val="18"/>
              </w:rPr>
              <w:t>47.7</w:t>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北京市齐普生信息科技有限公司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5"/>
              <w:jc w:val="right"/>
              <w:rPr>
                <w:rFonts w:ascii="Arial Narrow" w:hAnsi="Arial Narrow" w:cs="Arial Narrow" w:eastAsia="Arial Narrow" w:hint="default"/>
                <w:sz w:val="18"/>
                <w:szCs w:val="18"/>
              </w:rPr>
            </w:pPr>
            <w:r>
              <w:rPr>
                <w:rFonts w:ascii="Arial Narrow"/>
                <w:spacing w:val="-1"/>
                <w:sz w:val="18"/>
              </w:rPr>
              <w:t>47.7</w:t>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sz w:val="18"/>
              </w:rPr>
              <w:t>47.7</w:t>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齐普生信息科技南京有限公司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5"/>
              <w:jc w:val="right"/>
              <w:rPr>
                <w:rFonts w:ascii="Arial Narrow" w:hAnsi="Arial Narrow" w:cs="Arial Narrow" w:eastAsia="Arial Narrow" w:hint="default"/>
                <w:sz w:val="18"/>
                <w:szCs w:val="18"/>
              </w:rPr>
            </w:pPr>
            <w:r>
              <w:rPr>
                <w:rFonts w:ascii="Arial Narrow"/>
                <w:spacing w:val="-1"/>
                <w:sz w:val="18"/>
              </w:rPr>
              <w:t>47.7</w:t>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sz w:val="18"/>
              </w:rPr>
              <w:t>47.7</w:t>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齐普生信息科技（海南）有限公司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5"/>
              <w:jc w:val="right"/>
              <w:rPr>
                <w:rFonts w:ascii="Arial Narrow" w:hAnsi="Arial Narrow" w:cs="Arial Narrow" w:eastAsia="Arial Narrow" w:hint="default"/>
                <w:sz w:val="18"/>
                <w:szCs w:val="18"/>
              </w:rPr>
            </w:pPr>
            <w:r>
              <w:rPr>
                <w:rFonts w:ascii="Arial Narrow"/>
                <w:spacing w:val="-1"/>
                <w:sz w:val="18"/>
              </w:rPr>
              <w:t>47.7</w:t>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sz w:val="18"/>
              </w:rPr>
              <w:t>47.7</w:t>
            </w:r>
          </w:p>
        </w:tc>
      </w:tr>
      <w:tr>
        <w:trPr>
          <w:trHeight w:val="80" w:hRule="exact"/>
        </w:trPr>
        <w:tc>
          <w:tcPr>
            <w:tcW w:w="343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
        </w:tc>
        <w:tc>
          <w:tcPr>
            <w:tcW w:w="902"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351"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金证联龙（天津）科技有限公司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348" w:hRule="exact"/>
        </w:trPr>
        <w:tc>
          <w:tcPr>
            <w:tcW w:w="34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深圳智泽金融服务有限公司</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357" w:hRule="exact"/>
        </w:trPr>
        <w:tc>
          <w:tcPr>
            <w:tcW w:w="3437"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深圳市知领互联信息有限公司</w:t>
            </w:r>
          </w:p>
        </w:tc>
        <w:tc>
          <w:tcPr>
            <w:tcW w:w="15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9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5"/>
              <w:jc w:val="right"/>
              <w:rPr>
                <w:rFonts w:ascii="Arial Narrow" w:hAnsi="Arial Narrow" w:cs="Arial Narrow" w:eastAsia="Arial Narrow" w:hint="default"/>
                <w:sz w:val="18"/>
                <w:szCs w:val="18"/>
              </w:rPr>
            </w:pPr>
            <w:r>
              <w:rPr>
                <w:rFonts w:ascii="Arial Narrow"/>
                <w:spacing w:val="-1"/>
                <w:sz w:val="18"/>
              </w:rPr>
              <w:t>30.6</w:t>
            </w:r>
          </w:p>
        </w:tc>
        <w:tc>
          <w:tcPr>
            <w:tcW w:w="1608"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7"/>
              <w:jc w:val="right"/>
              <w:rPr>
                <w:rFonts w:ascii="Arial Narrow" w:hAnsi="Arial Narrow" w:cs="Arial Narrow" w:eastAsia="Arial Narrow" w:hint="default"/>
                <w:sz w:val="18"/>
                <w:szCs w:val="18"/>
              </w:rPr>
            </w:pPr>
            <w:r>
              <w:rPr>
                <w:rFonts w:ascii="Arial Narrow"/>
                <w:spacing w:val="-1"/>
                <w:w w:val="95"/>
                <w:sz w:val="18"/>
              </w:rPr>
              <w:t>51</w:t>
            </w:r>
            <w:r>
              <w:rPr>
                <w:rFonts w:ascii="Arial Narrow"/>
                <w:w w:val="95"/>
                <w:sz w:val="18"/>
              </w:rPr>
            </w:r>
          </w:p>
        </w:tc>
      </w:tr>
    </w:tbl>
    <w:p>
      <w:pPr>
        <w:spacing w:line="240" w:lineRule="auto" w:before="7"/>
        <w:rPr>
          <w:rFonts w:ascii="宋体" w:hAnsi="宋体" w:cs="宋体" w:eastAsia="宋体" w:hint="default"/>
          <w:sz w:val="6"/>
          <w:szCs w:val="6"/>
        </w:rPr>
      </w:pPr>
    </w:p>
    <w:p>
      <w:pPr>
        <w:pStyle w:val="BodyText"/>
        <w:spacing w:line="355" w:lineRule="auto" w:before="36"/>
        <w:ind w:left="238" w:right="215" w:firstLine="419"/>
        <w:jc w:val="left"/>
      </w:pPr>
      <w:r>
        <w:rPr/>
        <w:pict>
          <v:group style="position:absolute;margin-left:84.503998pt;margin-top:-97.916328pt;width:452.5pt;height:5.05pt;mso-position-horizontal-relative:page;mso-position-vertical-relative:paragraph;z-index:-941536" coordorigin="1690,-1958" coordsize="9050,101">
            <v:shape style="position:absolute;left:1690;top:-1958;width:3437;height:101" type="#_x0000_t75" stroked="false">
              <v:imagedata r:id="rId42" o:title=""/>
            </v:shape>
            <v:shape style="position:absolute;left:5103;top:-1867;width:5636;height:10" type="#_x0000_t75" stroked="false">
              <v:imagedata r:id="rId39" o:title=""/>
            </v:shape>
            <w10:wrap type="none"/>
          </v:group>
        </w:pict>
      </w:r>
      <w:r>
        <w:rPr/>
        <w:pict>
          <v:group style="position:absolute;margin-left:84.503998pt;margin-top:-80.396355pt;width:452.5pt;height:5.05pt;mso-position-horizontal-relative:page;mso-position-vertical-relative:paragraph;z-index:-941512" coordorigin="1690,-1608" coordsize="9050,101">
            <v:shape style="position:absolute;left:1690;top:-1608;width:3437;height:101" type="#_x0000_t75" stroked="false">
              <v:imagedata r:id="rId42" o:title=""/>
            </v:shape>
            <v:shape style="position:absolute;left:5103;top:-1517;width:5636;height:10" type="#_x0000_t75" stroked="false">
              <v:imagedata r:id="rId43" o:title=""/>
            </v:shape>
            <w10:wrap type="none"/>
          </v:group>
        </w:pict>
      </w:r>
      <w:r>
        <w:rPr/>
        <w:pict>
          <v:group style="position:absolute;margin-left:84.503998pt;margin-top:-62.876328pt;width:452.5pt;height:5.05pt;mso-position-horizontal-relative:page;mso-position-vertical-relative:paragraph;z-index:-941488" coordorigin="1690,-1258" coordsize="9050,101">
            <v:shape style="position:absolute;left:1690;top:-1258;width:3437;height:101" type="#_x0000_t75" stroked="false">
              <v:imagedata r:id="rId38" o:title=""/>
            </v:shape>
            <v:shape style="position:absolute;left:5103;top:-1166;width:5636;height:10" type="#_x0000_t75" stroked="false">
              <v:imagedata r:id="rId39" o:title=""/>
            </v:shape>
            <w10:wrap type="none"/>
          </v:group>
        </w:pict>
      </w:r>
      <w:r>
        <w:rPr/>
        <w:pict>
          <v:group style="position:absolute;margin-left:84.503998pt;margin-top:-45.356327pt;width:452.5pt;height:5.1pt;mso-position-horizontal-relative:page;mso-position-vertical-relative:paragraph;z-index:-941464" coordorigin="1690,-907" coordsize="9050,102">
            <v:shape style="position:absolute;left:1690;top:-907;width:3438;height:101" type="#_x0000_t75" stroked="false">
              <v:imagedata r:id="rId45" o:title=""/>
            </v:shape>
            <v:shape style="position:absolute;left:5103;top:-816;width:5636;height:10" type="#_x0000_t75" stroked="false">
              <v:imagedata r:id="rId39" o:title=""/>
            </v:shape>
            <w10:wrap type="none"/>
          </v:group>
        </w:pict>
      </w:r>
      <w:r>
        <w:rPr/>
        <w:pict>
          <v:group style="position:absolute;margin-left:84.503998pt;margin-top:-23.376347pt;width:452.5pt;height:.5pt;mso-position-horizontal-relative:page;mso-position-vertical-relative:paragraph;z-index:-941440" coordorigin="1690,-468" coordsize="9050,10">
            <v:shape style="position:absolute;left:1690;top:-468;width:3418;height:10" type="#_x0000_t75" stroked="false">
              <v:imagedata r:id="rId41" o:title=""/>
            </v:shape>
            <v:shape style="position:absolute;left:5103;top:-468;width:5636;height:10" type="#_x0000_t75" stroked="false">
              <v:imagedata r:id="rId43" o:title=""/>
            </v:shape>
            <w10:wrap type="none"/>
          </v:group>
        </w:pict>
      </w:r>
      <w:r>
        <w:rPr>
          <w:spacing w:val="-2"/>
        </w:rPr>
        <w:t>子公司持有半数或以下表决权但仍控制被投资单位的依据说明详见“附注九、在其他主体中</w:t>
      </w:r>
      <w:r>
        <w:rPr>
          <w:w w:val="100"/>
        </w:rPr>
        <w:t> </w:t>
      </w:r>
      <w:r>
        <w:rPr>
          <w:spacing w:val="-9"/>
          <w:w w:val="100"/>
        </w:rPr>
        <w:t>的权益（一）在子公司中权益”。</w:t>
      </w:r>
    </w:p>
    <w:p>
      <w:pPr>
        <w:spacing w:line="240" w:lineRule="auto" w:before="5"/>
        <w:rPr>
          <w:rFonts w:ascii="宋体" w:hAnsi="宋体" w:cs="宋体" w:eastAsia="宋体" w:hint="default"/>
          <w:sz w:val="14"/>
          <w:szCs w:val="14"/>
        </w:rPr>
      </w:pPr>
    </w:p>
    <w:p>
      <w:pPr>
        <w:pStyle w:val="BodyText"/>
        <w:spacing w:line="355" w:lineRule="auto"/>
        <w:ind w:left="658" w:right="215"/>
        <w:jc w:val="left"/>
      </w:pPr>
      <w:r>
        <w:rPr/>
        <w:t>本期纳入合并财务报表范围的主体较上期相比，增加</w:t>
      </w:r>
      <w:r>
        <w:rPr>
          <w:spacing w:val="-53"/>
        </w:rPr>
        <w:t> </w:t>
      </w:r>
      <w:r>
        <w:rPr>
          <w:rFonts w:ascii="Arial" w:hAnsi="Arial" w:cs="Arial" w:eastAsia="Arial" w:hint="default"/>
        </w:rPr>
        <w:t>5</w:t>
      </w:r>
      <w:r>
        <w:rPr>
          <w:rFonts w:ascii="Arial" w:hAnsi="Arial" w:cs="Arial" w:eastAsia="Arial" w:hint="default"/>
          <w:spacing w:val="-9"/>
        </w:rPr>
        <w:t> </w:t>
      </w:r>
      <w:r>
        <w:rPr/>
        <w:t>户，减少</w:t>
      </w:r>
      <w:r>
        <w:rPr>
          <w:spacing w:val="-56"/>
        </w:rPr>
        <w:t> </w:t>
      </w:r>
      <w:r>
        <w:rPr>
          <w:rFonts w:ascii="Arial" w:hAnsi="Arial" w:cs="Arial" w:eastAsia="Arial" w:hint="default"/>
        </w:rPr>
        <w:t>1</w:t>
      </w:r>
      <w:r>
        <w:rPr>
          <w:rFonts w:ascii="Arial" w:hAnsi="Arial" w:cs="Arial" w:eastAsia="Arial" w:hint="default"/>
          <w:spacing w:val="-7"/>
        </w:rPr>
        <w:t> </w:t>
      </w:r>
      <w:r>
        <w:rPr/>
        <w:t>户，其中：</w:t>
      </w:r>
      <w:r>
        <w:rPr>
          <w:w w:val="100"/>
        </w:rPr>
        <w:t> </w:t>
      </w:r>
      <w:r>
        <w:rPr>
          <w:rFonts w:ascii="宋体" w:hAnsi="宋体" w:cs="宋体" w:eastAsia="宋体" w:hint="default"/>
          <w:spacing w:val="-2"/>
        </w:rPr>
        <w:t>1.</w:t>
      </w:r>
      <w:r>
        <w:rPr>
          <w:spacing w:val="-2"/>
        </w:rPr>
        <w:t>本期新纳入合并范围的子公司、特殊目的主体、通过受托经营或承租等方式形成控制权的</w:t>
      </w:r>
    </w:p>
    <w:p>
      <w:pPr>
        <w:pStyle w:val="BodyText"/>
        <w:spacing w:line="211" w:lineRule="exact"/>
        <w:ind w:left="238" w:right="215"/>
        <w:jc w:val="left"/>
      </w:pPr>
      <w:r>
        <w:rPr/>
        <w:pict>
          <v:group style="position:absolute;margin-left:263.089996pt;margin-top:14.483442pt;width:.5pt;height:103.95pt;mso-position-horizontal-relative:page;mso-position-vertical-relative:paragraph;z-index:-941416" coordorigin="5262,290" coordsize="10,2079">
            <v:shape style="position:absolute;left:5262;top:290;width:10;height:2" type="#_x0000_t75" stroked="false">
              <v:imagedata r:id="rId44" o:title=""/>
            </v:shape>
            <v:group style="position:absolute;left:5262;top:311;width:10;height:20" coordorigin="5262,311" coordsize="10,20">
              <v:shape style="position:absolute;left:5262;top:311;width:10;height:20" coordorigin="5262,311" coordsize="10,20" path="m5262,330l5271,330,5271,311,5262,311,5262,330xe" filled="true" fillcolor="#000000" stroked="false">
                <v:path arrowok="t"/>
                <v:fill type="solid"/>
              </v:shape>
            </v:group>
            <v:group style="position:absolute;left:5262;top:330;width:10;height:20" coordorigin="5262,330" coordsize="10,20">
              <v:shape style="position:absolute;left:5262;top:330;width:10;height:20" coordorigin="5262,330" coordsize="10,20" path="m5262,350l5271,350,5271,330,5262,330,5262,350xe" filled="true" fillcolor="#000000" stroked="false">
                <v:path arrowok="t"/>
                <v:fill type="solid"/>
              </v:shape>
            </v:group>
            <v:group style="position:absolute;left:5262;top:350;width:10;height:20" coordorigin="5262,350" coordsize="10,20">
              <v:shape style="position:absolute;left:5262;top:350;width:10;height:20" coordorigin="5262,350" coordsize="10,20" path="m5262,369l5271,369,5271,350,5262,350,5262,369xe" filled="true" fillcolor="#000000" stroked="false">
                <v:path arrowok="t"/>
                <v:fill type="solid"/>
              </v:shape>
            </v:group>
            <v:group style="position:absolute;left:5262;top:369;width:10;height:20" coordorigin="5262,369" coordsize="10,20">
              <v:shape style="position:absolute;left:5262;top:369;width:10;height:20" coordorigin="5262,369" coordsize="10,20" path="m5262,388l5271,388,5271,369,5262,369,5262,388xe" filled="true" fillcolor="#000000" stroked="false">
                <v:path arrowok="t"/>
                <v:fill type="solid"/>
              </v:shape>
            </v:group>
            <v:group style="position:absolute;left:5262;top:388;width:10;height:20" coordorigin="5262,388" coordsize="10,20">
              <v:shape style="position:absolute;left:5262;top:388;width:10;height:20" coordorigin="5262,388" coordsize="10,20" path="m5262,407l5271,407,5271,388,5262,388,5262,407xe" filled="true" fillcolor="#000000" stroked="false">
                <v:path arrowok="t"/>
                <v:fill type="solid"/>
              </v:shape>
            </v:group>
            <v:group style="position:absolute;left:5262;top:407;width:10;height:20" coordorigin="5262,407" coordsize="10,20">
              <v:shape style="position:absolute;left:5262;top:407;width:10;height:20" coordorigin="5262,407" coordsize="10,20" path="m5262,426l5271,426,5271,407,5262,407,5262,426xe" filled="true" fillcolor="#000000" stroked="false">
                <v:path arrowok="t"/>
                <v:fill type="solid"/>
              </v:shape>
            </v:group>
            <v:group style="position:absolute;left:5262;top:426;width:10;height:20" coordorigin="5262,426" coordsize="10,20">
              <v:shape style="position:absolute;left:5262;top:426;width:10;height:20" coordorigin="5262,426" coordsize="10,20" path="m5262,446l5271,446,5271,426,5262,426,5262,446xe" filled="true" fillcolor="#000000" stroked="false">
                <v:path arrowok="t"/>
                <v:fill type="solid"/>
              </v:shape>
            </v:group>
            <v:group style="position:absolute;left:5262;top:446;width:10;height:20" coordorigin="5262,446" coordsize="10,20">
              <v:shape style="position:absolute;left:5262;top:446;width:10;height:20" coordorigin="5262,446" coordsize="10,20" path="m5262,465l5271,465,5271,446,5262,446,5262,465xe" filled="true" fillcolor="#000000" stroked="false">
                <v:path arrowok="t"/>
                <v:fill type="solid"/>
              </v:shape>
            </v:group>
            <v:group style="position:absolute;left:5262;top:465;width:10;height:20" coordorigin="5262,465" coordsize="10,20">
              <v:shape style="position:absolute;left:5262;top:465;width:10;height:20" coordorigin="5262,465" coordsize="10,20" path="m5262,484l5271,484,5271,465,5262,465,5262,484xe" filled="true" fillcolor="#000000" stroked="false">
                <v:path arrowok="t"/>
                <v:fill type="solid"/>
              </v:shape>
            </v:group>
            <v:group style="position:absolute;left:5262;top:484;width:10;height:20" coordorigin="5262,484" coordsize="10,20">
              <v:shape style="position:absolute;left:5262;top:484;width:10;height:20" coordorigin="5262,484" coordsize="10,20" path="m5262,503l5271,503,5271,484,5262,484,5262,503xe" filled="true" fillcolor="#000000" stroked="false">
                <v:path arrowok="t"/>
                <v:fill type="solid"/>
              </v:shape>
            </v:group>
            <v:group style="position:absolute;left:5262;top:503;width:10;height:20" coordorigin="5262,503" coordsize="10,20">
              <v:shape style="position:absolute;left:5262;top:503;width:10;height:20" coordorigin="5262,503" coordsize="10,20" path="m5262,522l5271,522,5271,503,5262,503,5262,522xe" filled="true" fillcolor="#000000" stroked="false">
                <v:path arrowok="t"/>
                <v:fill type="solid"/>
              </v:shape>
            </v:group>
            <v:group style="position:absolute;left:5262;top:522;width:10;height:20" coordorigin="5262,522" coordsize="10,20">
              <v:shape style="position:absolute;left:5262;top:522;width:10;height:20" coordorigin="5262,522" coordsize="10,20" path="m5262,542l5271,542,5271,522,5262,522,5262,542xe" filled="true" fillcolor="#000000" stroked="false">
                <v:path arrowok="t"/>
                <v:fill type="solid"/>
              </v:shape>
            </v:group>
            <v:group style="position:absolute;left:5262;top:542;width:10;height:20" coordorigin="5262,542" coordsize="10,20">
              <v:shape style="position:absolute;left:5262;top:542;width:10;height:20" coordorigin="5262,542" coordsize="10,20" path="m5262,561l5271,561,5271,542,5262,542,5262,561xe" filled="true" fillcolor="#000000" stroked="false">
                <v:path arrowok="t"/>
                <v:fill type="solid"/>
              </v:shape>
            </v:group>
            <v:group style="position:absolute;left:5262;top:561;width:10;height:20" coordorigin="5262,561" coordsize="10,20">
              <v:shape style="position:absolute;left:5262;top:561;width:10;height:20" coordorigin="5262,561" coordsize="10,20" path="m5262,581l5271,581,5271,561,5262,561,5262,581xe" filled="true" fillcolor="#000000" stroked="false">
                <v:path arrowok="t"/>
                <v:fill type="solid"/>
              </v:shape>
            </v:group>
            <v:group style="position:absolute;left:5262;top:581;width:10;height:20" coordorigin="5262,581" coordsize="10,20">
              <v:shape style="position:absolute;left:5262;top:581;width:10;height:20" coordorigin="5262,581" coordsize="10,20" path="m5262,600l5271,600,5271,581,5262,581,5262,600xe" filled="true" fillcolor="#000000" stroked="false">
                <v:path arrowok="t"/>
                <v:fill type="solid"/>
              </v:shape>
            </v:group>
            <v:group style="position:absolute;left:5262;top:662;width:10;height:20" coordorigin="5262,662" coordsize="10,20">
              <v:shape style="position:absolute;left:5262;top:662;width:10;height:20" coordorigin="5262,662" coordsize="10,20" path="m5262,681l5271,681,5271,662,5262,662,5262,681xe" filled="true" fillcolor="#000000" stroked="false">
                <v:path arrowok="t"/>
                <v:fill type="solid"/>
              </v:shape>
            </v:group>
            <v:group style="position:absolute;left:5262;top:681;width:10;height:20" coordorigin="5262,681" coordsize="10,20">
              <v:shape style="position:absolute;left:5262;top:681;width:10;height:20" coordorigin="5262,681" coordsize="10,20" path="m5262,701l5271,701,5271,681,5262,681,5262,701xe" filled="true" fillcolor="#000000" stroked="false">
                <v:path arrowok="t"/>
                <v:fill type="solid"/>
              </v:shape>
            </v:group>
            <v:group style="position:absolute;left:5262;top:701;width:10;height:20" coordorigin="5262,701" coordsize="10,20">
              <v:shape style="position:absolute;left:5262;top:701;width:10;height:20" coordorigin="5262,701" coordsize="10,20" path="m5262,720l5271,720,5271,701,5262,701,5262,720xe" filled="true" fillcolor="#000000" stroked="false">
                <v:path arrowok="t"/>
                <v:fill type="solid"/>
              </v:shape>
            </v:group>
            <v:group style="position:absolute;left:5262;top:720;width:10;height:20" coordorigin="5262,720" coordsize="10,20">
              <v:shape style="position:absolute;left:5262;top:720;width:10;height:20" coordorigin="5262,720" coordsize="10,20" path="m5262,739l5271,739,5271,720,5262,720,5262,739xe" filled="true" fillcolor="#000000" stroked="false">
                <v:path arrowok="t"/>
                <v:fill type="solid"/>
              </v:shape>
            </v:group>
            <v:group style="position:absolute;left:5262;top:739;width:10;height:20" coordorigin="5262,739" coordsize="10,20">
              <v:shape style="position:absolute;left:5262;top:739;width:10;height:20" coordorigin="5262,739" coordsize="10,20" path="m5262,758l5271,758,5271,739,5262,739,5262,758xe" filled="true" fillcolor="#000000" stroked="false">
                <v:path arrowok="t"/>
                <v:fill type="solid"/>
              </v:shape>
            </v:group>
            <v:group style="position:absolute;left:5262;top:758;width:10;height:20" coordorigin="5262,758" coordsize="10,20">
              <v:shape style="position:absolute;left:5262;top:758;width:10;height:20" coordorigin="5262,758" coordsize="10,20" path="m5262,777l5271,777,5271,758,5262,758,5262,777xe" filled="true" fillcolor="#000000" stroked="false">
                <v:path arrowok="t"/>
                <v:fill type="solid"/>
              </v:shape>
            </v:group>
            <v:group style="position:absolute;left:5262;top:777;width:10;height:20" coordorigin="5262,777" coordsize="10,20">
              <v:shape style="position:absolute;left:5262;top:777;width:10;height:20" coordorigin="5262,777" coordsize="10,20" path="m5262,797l5271,797,5271,777,5262,777,5262,797xe" filled="true" fillcolor="#000000" stroked="false">
                <v:path arrowok="t"/>
                <v:fill type="solid"/>
              </v:shape>
            </v:group>
            <v:group style="position:absolute;left:5262;top:797;width:10;height:20" coordorigin="5262,797" coordsize="10,20">
              <v:shape style="position:absolute;left:5262;top:797;width:10;height:20" coordorigin="5262,797" coordsize="10,20" path="m5262,816l5271,816,5271,797,5262,797,5262,816xe" filled="true" fillcolor="#000000" stroked="false">
                <v:path arrowok="t"/>
                <v:fill type="solid"/>
              </v:shape>
            </v:group>
            <v:group style="position:absolute;left:5262;top:816;width:10;height:20" coordorigin="5262,816" coordsize="10,20">
              <v:shape style="position:absolute;left:5262;top:816;width:10;height:20" coordorigin="5262,816" coordsize="10,20" path="m5262,835l5271,835,5271,816,5262,816,5262,835xe" filled="true" fillcolor="#000000" stroked="false">
                <v:path arrowok="t"/>
                <v:fill type="solid"/>
              </v:shape>
            </v:group>
            <v:group style="position:absolute;left:5262;top:835;width:10;height:20" coordorigin="5262,835" coordsize="10,20">
              <v:shape style="position:absolute;left:5262;top:835;width:10;height:20" coordorigin="5262,835" coordsize="10,20" path="m5262,854l5271,854,5271,835,5262,835,5262,854xe" filled="true" fillcolor="#000000" stroked="false">
                <v:path arrowok="t"/>
                <v:fill type="solid"/>
              </v:shape>
            </v:group>
            <v:group style="position:absolute;left:5262;top:854;width:10;height:20" coordorigin="5262,854" coordsize="10,20">
              <v:shape style="position:absolute;left:5262;top:854;width:10;height:20" coordorigin="5262,854" coordsize="10,20" path="m5262,873l5271,873,5271,854,5262,854,5262,873xe" filled="true" fillcolor="#000000" stroked="false">
                <v:path arrowok="t"/>
                <v:fill type="solid"/>
              </v:shape>
            </v:group>
            <v:group style="position:absolute;left:5262;top:873;width:10;height:20" coordorigin="5262,873" coordsize="10,20">
              <v:shape style="position:absolute;left:5262;top:873;width:10;height:20" coordorigin="5262,873" coordsize="10,20" path="m5262,893l5271,893,5271,873,5262,873,5262,893xe" filled="true" fillcolor="#000000" stroked="false">
                <v:path arrowok="t"/>
                <v:fill type="solid"/>
              </v:shape>
            </v:group>
            <v:group style="position:absolute;left:5262;top:893;width:10;height:20" coordorigin="5262,893" coordsize="10,20">
              <v:shape style="position:absolute;left:5262;top:893;width:10;height:20" coordorigin="5262,893" coordsize="10,20" path="m5262,912l5271,912,5271,893,5262,893,5262,912xe" filled="true" fillcolor="#000000" stroked="false">
                <v:path arrowok="t"/>
                <v:fill type="solid"/>
              </v:shape>
            </v:group>
            <v:group style="position:absolute;left:5262;top:912;width:10;height:20" coordorigin="5262,912" coordsize="10,20">
              <v:shape style="position:absolute;left:5262;top:912;width:10;height:20" coordorigin="5262,912" coordsize="10,20" path="m5262,931l5271,931,5271,912,5262,912,5262,931xe" filled="true" fillcolor="#000000" stroked="false">
                <v:path arrowok="t"/>
                <v:fill type="solid"/>
              </v:shape>
            </v:group>
            <v:group style="position:absolute;left:5262;top:931;width:10;height:20" coordorigin="5262,931" coordsize="10,20">
              <v:shape style="position:absolute;left:5262;top:931;width:10;height:20" coordorigin="5262,931" coordsize="10,20" path="m5262,950l5271,950,5271,931,5262,931,5262,950xe" filled="true" fillcolor="#000000" stroked="false">
                <v:path arrowok="t"/>
                <v:fill type="solid"/>
              </v:shape>
            </v:group>
            <v:group style="position:absolute;left:5262;top:1010;width:10;height:20" coordorigin="5262,1010" coordsize="10,20">
              <v:shape style="position:absolute;left:5262;top:1010;width:10;height:20" coordorigin="5262,1010" coordsize="10,20" path="m5262,1029l5271,1029,5271,1010,5262,1010,5262,1029xe" filled="true" fillcolor="#000000" stroked="false">
                <v:path arrowok="t"/>
                <v:fill type="solid"/>
              </v:shape>
            </v:group>
            <v:group style="position:absolute;left:5262;top:1029;width:10;height:20" coordorigin="5262,1029" coordsize="10,20">
              <v:shape style="position:absolute;left:5262;top:1029;width:10;height:20" coordorigin="5262,1029" coordsize="10,20" path="m5262,1049l5271,1049,5271,1029,5262,1029,5262,1049xe" filled="true" fillcolor="#000000" stroked="false">
                <v:path arrowok="t"/>
                <v:fill type="solid"/>
              </v:shape>
            </v:group>
            <v:group style="position:absolute;left:5262;top:1049;width:10;height:20" coordorigin="5262,1049" coordsize="10,20">
              <v:shape style="position:absolute;left:5262;top:1049;width:10;height:20" coordorigin="5262,1049" coordsize="10,20" path="m5262,1068l5271,1068,5271,1049,5262,1049,5262,1068xe" filled="true" fillcolor="#000000" stroked="false">
                <v:path arrowok="t"/>
                <v:fill type="solid"/>
              </v:shape>
            </v:group>
            <v:group style="position:absolute;left:5262;top:1068;width:10;height:20" coordorigin="5262,1068" coordsize="10,20">
              <v:shape style="position:absolute;left:5262;top:1068;width:10;height:20" coordorigin="5262,1068" coordsize="10,20" path="m5262,1087l5271,1087,5271,1068,5262,1068,5262,1087xe" filled="true" fillcolor="#000000" stroked="false">
                <v:path arrowok="t"/>
                <v:fill type="solid"/>
              </v:shape>
            </v:group>
            <v:group style="position:absolute;left:5262;top:1087;width:10;height:20" coordorigin="5262,1087" coordsize="10,20">
              <v:shape style="position:absolute;left:5262;top:1087;width:10;height:20" coordorigin="5262,1087" coordsize="10,20" path="m5262,1106l5271,1106,5271,1087,5262,1087,5262,1106xe" filled="true" fillcolor="#000000" stroked="false">
                <v:path arrowok="t"/>
                <v:fill type="solid"/>
              </v:shape>
            </v:group>
            <v:group style="position:absolute;left:5262;top:1106;width:10;height:20" coordorigin="5262,1106" coordsize="10,20">
              <v:shape style="position:absolute;left:5262;top:1106;width:10;height:20" coordorigin="5262,1106" coordsize="10,20" path="m5262,1125l5271,1125,5271,1106,5262,1106,5262,1125xe" filled="true" fillcolor="#000000" stroked="false">
                <v:path arrowok="t"/>
                <v:fill type="solid"/>
              </v:shape>
            </v:group>
            <v:group style="position:absolute;left:5262;top:1125;width:10;height:20" coordorigin="5262,1125" coordsize="10,20">
              <v:shape style="position:absolute;left:5262;top:1125;width:10;height:20" coordorigin="5262,1125" coordsize="10,20" path="m5262,1145l5271,1145,5271,1125,5262,1125,5262,1145xe" filled="true" fillcolor="#000000" stroked="false">
                <v:path arrowok="t"/>
                <v:fill type="solid"/>
              </v:shape>
            </v:group>
            <v:group style="position:absolute;left:5262;top:1145;width:10;height:20" coordorigin="5262,1145" coordsize="10,20">
              <v:shape style="position:absolute;left:5262;top:1145;width:10;height:20" coordorigin="5262,1145" coordsize="10,20" path="m5262,1164l5271,1164,5271,1145,5262,1145,5262,1164xe" filled="true" fillcolor="#000000" stroked="false">
                <v:path arrowok="t"/>
                <v:fill type="solid"/>
              </v:shape>
            </v:group>
            <v:group style="position:absolute;left:5262;top:1164;width:10;height:20" coordorigin="5262,1164" coordsize="10,20">
              <v:shape style="position:absolute;left:5262;top:1164;width:10;height:20" coordorigin="5262,1164" coordsize="10,20" path="m5262,1183l5271,1183,5271,1164,5262,1164,5262,1183xe" filled="true" fillcolor="#000000" stroked="false">
                <v:path arrowok="t"/>
                <v:fill type="solid"/>
              </v:shape>
            </v:group>
            <v:group style="position:absolute;left:5262;top:1183;width:10;height:20" coordorigin="5262,1183" coordsize="10,20">
              <v:shape style="position:absolute;left:5262;top:1183;width:10;height:20" coordorigin="5262,1183" coordsize="10,20" path="m5262,1202l5271,1202,5271,1183,5262,1183,5262,1202xe" filled="true" fillcolor="#000000" stroked="false">
                <v:path arrowok="t"/>
                <v:fill type="solid"/>
              </v:shape>
            </v:group>
            <v:group style="position:absolute;left:5262;top:1202;width:10;height:20" coordorigin="5262,1202" coordsize="10,20">
              <v:shape style="position:absolute;left:5262;top:1202;width:10;height:20" coordorigin="5262,1202" coordsize="10,20" path="m5262,1221l5271,1221,5271,1202,5262,1202,5262,1221xe" filled="true" fillcolor="#000000" stroked="false">
                <v:path arrowok="t"/>
                <v:fill type="solid"/>
              </v:shape>
            </v:group>
            <v:group style="position:absolute;left:5262;top:1221;width:10;height:20" coordorigin="5262,1221" coordsize="10,20">
              <v:shape style="position:absolute;left:5262;top:1221;width:10;height:20" coordorigin="5262,1221" coordsize="10,20" path="m5262,1241l5271,1241,5271,1221,5262,1221,5262,1241xe" filled="true" fillcolor="#000000" stroked="false">
                <v:path arrowok="t"/>
                <v:fill type="solid"/>
              </v:shape>
            </v:group>
            <v:group style="position:absolute;left:5262;top:1241;width:10;height:20" coordorigin="5262,1241" coordsize="10,20">
              <v:shape style="position:absolute;left:5262;top:1241;width:10;height:20" coordorigin="5262,1241" coordsize="10,20" path="m5262,1260l5271,1260,5271,1241,5262,1241,5262,1260xe" filled="true" fillcolor="#000000" stroked="false">
                <v:path arrowok="t"/>
                <v:fill type="solid"/>
              </v:shape>
            </v:group>
            <v:group style="position:absolute;left:5262;top:1260;width:10;height:20" coordorigin="5262,1260" coordsize="10,20">
              <v:shape style="position:absolute;left:5262;top:1260;width:10;height:20" coordorigin="5262,1260" coordsize="10,20" path="m5262,1279l5271,1279,5271,1260,5262,1260,5262,1279xe" filled="true" fillcolor="#000000" stroked="false">
                <v:path arrowok="t"/>
                <v:fill type="solid"/>
              </v:shape>
            </v:group>
            <v:group style="position:absolute;left:5262;top:1279;width:10;height:20" coordorigin="5262,1279" coordsize="10,20">
              <v:shape style="position:absolute;left:5262;top:1279;width:10;height:20" coordorigin="5262,1279" coordsize="10,20" path="m5262,1298l5271,1298,5271,1279,5262,1279,5262,1298xe" filled="true" fillcolor="#000000" stroked="false">
                <v:path arrowok="t"/>
                <v:fill type="solid"/>
              </v:shape>
            </v:group>
            <v:group style="position:absolute;left:5262;top:1361;width:10;height:20" coordorigin="5262,1361" coordsize="10,20">
              <v:shape style="position:absolute;left:5262;top:1361;width:10;height:20" coordorigin="5262,1361" coordsize="10,20" path="m5262,1380l5271,1380,5271,1361,5262,1361,5262,1380xe" filled="true" fillcolor="#000000" stroked="false">
                <v:path arrowok="t"/>
                <v:fill type="solid"/>
              </v:shape>
            </v:group>
            <v:group style="position:absolute;left:5262;top:1380;width:10;height:20" coordorigin="5262,1380" coordsize="10,20">
              <v:shape style="position:absolute;left:5262;top:1380;width:10;height:20" coordorigin="5262,1380" coordsize="10,20" path="m5262,1399l5271,1399,5271,1380,5262,1380,5262,1399xe" filled="true" fillcolor="#000000" stroked="false">
                <v:path arrowok="t"/>
                <v:fill type="solid"/>
              </v:shape>
            </v:group>
            <v:group style="position:absolute;left:5262;top:1399;width:10;height:20" coordorigin="5262,1399" coordsize="10,20">
              <v:shape style="position:absolute;left:5262;top:1399;width:10;height:20" coordorigin="5262,1399" coordsize="10,20" path="m5262,1418l5271,1418,5271,1399,5262,1399,5262,1418xe" filled="true" fillcolor="#000000" stroked="false">
                <v:path arrowok="t"/>
                <v:fill type="solid"/>
              </v:shape>
            </v:group>
            <v:group style="position:absolute;left:5262;top:1418;width:10;height:20" coordorigin="5262,1418" coordsize="10,20">
              <v:shape style="position:absolute;left:5262;top:1418;width:10;height:20" coordorigin="5262,1418" coordsize="10,20" path="m5262,1437l5271,1437,5271,1418,5262,1418,5262,1437xe" filled="true" fillcolor="#000000" stroked="false">
                <v:path arrowok="t"/>
                <v:fill type="solid"/>
              </v:shape>
            </v:group>
            <v:group style="position:absolute;left:5262;top:1437;width:10;height:20" coordorigin="5262,1437" coordsize="10,20">
              <v:shape style="position:absolute;left:5262;top:1437;width:10;height:20" coordorigin="5262,1437" coordsize="10,20" path="m5262,1457l5271,1457,5271,1437,5262,1437,5262,1457xe" filled="true" fillcolor="#000000" stroked="false">
                <v:path arrowok="t"/>
                <v:fill type="solid"/>
              </v:shape>
            </v:group>
            <v:group style="position:absolute;left:5262;top:1457;width:10;height:20" coordorigin="5262,1457" coordsize="10,20">
              <v:shape style="position:absolute;left:5262;top:1457;width:10;height:20" coordorigin="5262,1457" coordsize="10,20" path="m5262,1476l5271,1476,5271,1457,5262,1457,5262,1476xe" filled="true" fillcolor="#000000" stroked="false">
                <v:path arrowok="t"/>
                <v:fill type="solid"/>
              </v:shape>
            </v:group>
            <v:group style="position:absolute;left:5262;top:1476;width:10;height:20" coordorigin="5262,1476" coordsize="10,20">
              <v:shape style="position:absolute;left:5262;top:1476;width:10;height:20" coordorigin="5262,1476" coordsize="10,20" path="m5262,1495l5271,1495,5271,1476,5262,1476,5262,1495xe" filled="true" fillcolor="#000000" stroked="false">
                <v:path arrowok="t"/>
                <v:fill type="solid"/>
              </v:shape>
            </v:group>
            <v:group style="position:absolute;left:5262;top:1495;width:10;height:20" coordorigin="5262,1495" coordsize="10,20">
              <v:shape style="position:absolute;left:5262;top:1495;width:10;height:20" coordorigin="5262,1495" coordsize="10,20" path="m5262,1514l5271,1514,5271,1495,5262,1495,5262,1514xe" filled="true" fillcolor="#000000" stroked="false">
                <v:path arrowok="t"/>
                <v:fill type="solid"/>
              </v:shape>
            </v:group>
            <v:group style="position:absolute;left:5262;top:1514;width:10;height:20" coordorigin="5262,1514" coordsize="10,20">
              <v:shape style="position:absolute;left:5262;top:1514;width:10;height:20" coordorigin="5262,1514" coordsize="10,20" path="m5262,1533l5271,1533,5271,1514,5262,1514,5262,1533xe" filled="true" fillcolor="#000000" stroked="false">
                <v:path arrowok="t"/>
                <v:fill type="solid"/>
              </v:shape>
            </v:group>
            <v:group style="position:absolute;left:5262;top:1533;width:10;height:20" coordorigin="5262,1533" coordsize="10,20">
              <v:shape style="position:absolute;left:5262;top:1533;width:10;height:20" coordorigin="5262,1533" coordsize="10,20" path="m5262,1553l5271,1553,5271,1533,5262,1533,5262,1553xe" filled="true" fillcolor="#000000" stroked="false">
                <v:path arrowok="t"/>
                <v:fill type="solid"/>
              </v:shape>
            </v:group>
            <v:group style="position:absolute;left:5262;top:1553;width:10;height:20" coordorigin="5262,1553" coordsize="10,20">
              <v:shape style="position:absolute;left:5262;top:1553;width:10;height:20" coordorigin="5262,1553" coordsize="10,20" path="m5262,1572l5271,1572,5271,1553,5262,1553,5262,1572xe" filled="true" fillcolor="#000000" stroked="false">
                <v:path arrowok="t"/>
                <v:fill type="solid"/>
              </v:shape>
            </v:group>
            <v:group style="position:absolute;left:5262;top:1572;width:10;height:20" coordorigin="5262,1572" coordsize="10,20">
              <v:shape style="position:absolute;left:5262;top:1572;width:10;height:20" coordorigin="5262,1572" coordsize="10,20" path="m5262,1591l5271,1591,5271,1572,5262,1572,5262,1591xe" filled="true" fillcolor="#000000" stroked="false">
                <v:path arrowok="t"/>
                <v:fill type="solid"/>
              </v:shape>
            </v:group>
            <v:group style="position:absolute;left:5262;top:1591;width:10;height:20" coordorigin="5262,1591" coordsize="10,20">
              <v:shape style="position:absolute;left:5262;top:1591;width:10;height:20" coordorigin="5262,1591" coordsize="10,20" path="m5262,1610l5271,1610,5271,1591,5262,1591,5262,1610xe" filled="true" fillcolor="#000000" stroked="false">
                <v:path arrowok="t"/>
                <v:fill type="solid"/>
              </v:shape>
            </v:group>
            <v:group style="position:absolute;left:5262;top:1610;width:10;height:20" coordorigin="5262,1610" coordsize="10,20">
              <v:shape style="position:absolute;left:5262;top:1610;width:10;height:20" coordorigin="5262,1610" coordsize="10,20" path="m5262,1629l5271,1629,5271,1610,5262,1610,5262,1629xe" filled="true" fillcolor="#000000" stroked="false">
                <v:path arrowok="t"/>
                <v:fill type="solid"/>
              </v:shape>
            </v:group>
            <v:group style="position:absolute;left:5262;top:1629;width:10;height:20" coordorigin="5262,1629" coordsize="10,20">
              <v:shape style="position:absolute;left:5262;top:1629;width:10;height:20" coordorigin="5262,1629" coordsize="10,20" path="m5262,1649l5271,1649,5271,1629,5262,1629,5262,1649xe" filled="true" fillcolor="#000000" stroked="false">
                <v:path arrowok="t"/>
                <v:fill type="solid"/>
              </v:shape>
            </v:group>
            <v:group style="position:absolute;left:5262;top:1711;width:10;height:20" coordorigin="5262,1711" coordsize="10,20">
              <v:shape style="position:absolute;left:5262;top:1711;width:10;height:20" coordorigin="5262,1711" coordsize="10,20" path="m5262,1730l5271,1730,5271,1711,5262,1711,5262,1730xe" filled="true" fillcolor="#000000" stroked="false">
                <v:path arrowok="t"/>
                <v:fill type="solid"/>
              </v:shape>
            </v:group>
            <v:group style="position:absolute;left:5262;top:1730;width:10;height:20" coordorigin="5262,1730" coordsize="10,20">
              <v:shape style="position:absolute;left:5262;top:1730;width:10;height:20" coordorigin="5262,1730" coordsize="10,20" path="m5262,1749l5271,1749,5271,1730,5262,1730,5262,1749xe" filled="true" fillcolor="#000000" stroked="false">
                <v:path arrowok="t"/>
                <v:fill type="solid"/>
              </v:shape>
            </v:group>
            <v:group style="position:absolute;left:5262;top:1749;width:10;height:20" coordorigin="5262,1749" coordsize="10,20">
              <v:shape style="position:absolute;left:5262;top:1749;width:10;height:20" coordorigin="5262,1749" coordsize="10,20" path="m5262,1769l5271,1769,5271,1749,5262,1749,5262,1769xe" filled="true" fillcolor="#000000" stroked="false">
                <v:path arrowok="t"/>
                <v:fill type="solid"/>
              </v:shape>
            </v:group>
            <v:group style="position:absolute;left:5262;top:1769;width:10;height:20" coordorigin="5262,1769" coordsize="10,20">
              <v:shape style="position:absolute;left:5262;top:1769;width:10;height:20" coordorigin="5262,1769" coordsize="10,20" path="m5262,1788l5271,1788,5271,1769,5262,1769,5262,1788xe" filled="true" fillcolor="#000000" stroked="false">
                <v:path arrowok="t"/>
                <v:fill type="solid"/>
              </v:shape>
            </v:group>
            <v:group style="position:absolute;left:5262;top:1788;width:10;height:20" coordorigin="5262,1788" coordsize="10,20">
              <v:shape style="position:absolute;left:5262;top:1788;width:10;height:20" coordorigin="5262,1788" coordsize="10,20" path="m5262,1807l5271,1807,5271,1788,5262,1788,5262,1807xe" filled="true" fillcolor="#000000" stroked="false">
                <v:path arrowok="t"/>
                <v:fill type="solid"/>
              </v:shape>
            </v:group>
            <v:group style="position:absolute;left:5262;top:1807;width:10;height:20" coordorigin="5262,1807" coordsize="10,20">
              <v:shape style="position:absolute;left:5262;top:1807;width:10;height:20" coordorigin="5262,1807" coordsize="10,20" path="m5262,1826l5271,1826,5271,1807,5262,1807,5262,1826xe" filled="true" fillcolor="#000000" stroked="false">
                <v:path arrowok="t"/>
                <v:fill type="solid"/>
              </v:shape>
            </v:group>
            <v:group style="position:absolute;left:5262;top:1826;width:10;height:20" coordorigin="5262,1826" coordsize="10,20">
              <v:shape style="position:absolute;left:5262;top:1826;width:10;height:20" coordorigin="5262,1826" coordsize="10,20" path="m5262,1845l5271,1845,5271,1826,5262,1826,5262,1845xe" filled="true" fillcolor="#000000" stroked="false">
                <v:path arrowok="t"/>
                <v:fill type="solid"/>
              </v:shape>
            </v:group>
            <v:group style="position:absolute;left:5262;top:1845;width:10;height:20" coordorigin="5262,1845" coordsize="10,20">
              <v:shape style="position:absolute;left:5262;top:1845;width:10;height:20" coordorigin="5262,1845" coordsize="10,20" path="m5262,1865l5271,1865,5271,1845,5262,1845,5262,1865xe" filled="true" fillcolor="#000000" stroked="false">
                <v:path arrowok="t"/>
                <v:fill type="solid"/>
              </v:shape>
            </v:group>
            <v:group style="position:absolute;left:5262;top:1865;width:10;height:20" coordorigin="5262,1865" coordsize="10,20">
              <v:shape style="position:absolute;left:5262;top:1865;width:10;height:20" coordorigin="5262,1865" coordsize="10,20" path="m5262,1884l5271,1884,5271,1865,5262,1865,5262,1884xe" filled="true" fillcolor="#000000" stroked="false">
                <v:path arrowok="t"/>
                <v:fill type="solid"/>
              </v:shape>
            </v:group>
            <v:group style="position:absolute;left:5262;top:1884;width:10;height:20" coordorigin="5262,1884" coordsize="10,20">
              <v:shape style="position:absolute;left:5262;top:1884;width:10;height:20" coordorigin="5262,1884" coordsize="10,20" path="m5262,1903l5271,1903,5271,1884,5262,1884,5262,1903xe" filled="true" fillcolor="#000000" stroked="false">
                <v:path arrowok="t"/>
                <v:fill type="solid"/>
              </v:shape>
            </v:group>
            <v:group style="position:absolute;left:5262;top:1903;width:10;height:20" coordorigin="5262,1903" coordsize="10,20">
              <v:shape style="position:absolute;left:5262;top:1903;width:10;height:20" coordorigin="5262,1903" coordsize="10,20" path="m5262,1922l5271,1922,5271,1903,5262,1903,5262,1922xe" filled="true" fillcolor="#000000" stroked="false">
                <v:path arrowok="t"/>
                <v:fill type="solid"/>
              </v:shape>
            </v:group>
            <v:group style="position:absolute;left:5262;top:1922;width:10;height:20" coordorigin="5262,1922" coordsize="10,20">
              <v:shape style="position:absolute;left:5262;top:1922;width:10;height:20" coordorigin="5262,1922" coordsize="10,20" path="m5262,1941l5271,1941,5271,1922,5262,1922,5262,1941xe" filled="true" fillcolor="#000000" stroked="false">
                <v:path arrowok="t"/>
                <v:fill type="solid"/>
              </v:shape>
            </v:group>
            <v:group style="position:absolute;left:5262;top:1941;width:10;height:20" coordorigin="5262,1941" coordsize="10,20">
              <v:shape style="position:absolute;left:5262;top:1941;width:10;height:20" coordorigin="5262,1941" coordsize="10,20" path="m5262,1961l5271,1961,5271,1941,5262,1941,5262,1961xe" filled="true" fillcolor="#000000" stroked="false">
                <v:path arrowok="t"/>
                <v:fill type="solid"/>
              </v:shape>
            </v:group>
            <v:group style="position:absolute;left:5262;top:1961;width:10;height:20" coordorigin="5262,1961" coordsize="10,20">
              <v:shape style="position:absolute;left:5262;top:1961;width:10;height:20" coordorigin="5262,1961" coordsize="10,20" path="m5262,1980l5271,1980,5271,1961,5262,1961,5262,1980xe" filled="true" fillcolor="#000000" stroked="false">
                <v:path arrowok="t"/>
                <v:fill type="solid"/>
              </v:shape>
            </v:group>
            <v:group style="position:absolute;left:5262;top:1980;width:10;height:20" coordorigin="5262,1980" coordsize="10,20">
              <v:shape style="position:absolute;left:5262;top:1980;width:10;height:20" coordorigin="5262,1980" coordsize="10,20" path="m5262,1999l5271,1999,5271,1980,5262,1980,5262,1999xe" filled="true" fillcolor="#000000" stroked="false">
                <v:path arrowok="t"/>
                <v:fill type="solid"/>
              </v:shape>
            </v:group>
            <v:group style="position:absolute;left:5262;top:2061;width:10;height:20" coordorigin="5262,2061" coordsize="10,20">
              <v:shape style="position:absolute;left:5262;top:2061;width:10;height:20" coordorigin="5262,2061" coordsize="10,20" path="m5262,2081l5271,2081,5271,2061,5262,2061,5262,2081xe" filled="true" fillcolor="#000000" stroked="false">
                <v:path arrowok="t"/>
                <v:fill type="solid"/>
              </v:shape>
            </v:group>
            <v:group style="position:absolute;left:5262;top:2081;width:10;height:20" coordorigin="5262,2081" coordsize="10,20">
              <v:shape style="position:absolute;left:5262;top:2081;width:10;height:20" coordorigin="5262,2081" coordsize="10,20" path="m5262,2100l5271,2100,5271,2081,5262,2081,5262,2100xe" filled="true" fillcolor="#000000" stroked="false">
                <v:path arrowok="t"/>
                <v:fill type="solid"/>
              </v:shape>
            </v:group>
            <v:group style="position:absolute;left:5262;top:2100;width:10;height:20" coordorigin="5262,2100" coordsize="10,20">
              <v:shape style="position:absolute;left:5262;top:2100;width:10;height:20" coordorigin="5262,2100" coordsize="10,20" path="m5262,2119l5271,2119,5271,2100,5262,2100,5262,2119xe" filled="true" fillcolor="#000000" stroked="false">
                <v:path arrowok="t"/>
                <v:fill type="solid"/>
              </v:shape>
            </v:group>
            <v:group style="position:absolute;left:5262;top:2119;width:10;height:20" coordorigin="5262,2119" coordsize="10,20">
              <v:shape style="position:absolute;left:5262;top:2119;width:10;height:20" coordorigin="5262,2119" coordsize="10,20" path="m5262,2138l5271,2138,5271,2119,5262,2119,5262,2138xe" filled="true" fillcolor="#000000" stroked="false">
                <v:path arrowok="t"/>
                <v:fill type="solid"/>
              </v:shape>
            </v:group>
            <v:group style="position:absolute;left:5262;top:2138;width:10;height:20" coordorigin="5262,2138" coordsize="10,20">
              <v:shape style="position:absolute;left:5262;top:2138;width:10;height:20" coordorigin="5262,2138" coordsize="10,20" path="m5262,2157l5271,2157,5271,2138,5262,2138,5262,2157xe" filled="true" fillcolor="#000000" stroked="false">
                <v:path arrowok="t"/>
                <v:fill type="solid"/>
              </v:shape>
            </v:group>
            <v:group style="position:absolute;left:5262;top:2157;width:10;height:20" coordorigin="5262,2157" coordsize="10,20">
              <v:shape style="position:absolute;left:5262;top:2157;width:10;height:20" coordorigin="5262,2157" coordsize="10,20" path="m5262,2177l5271,2177,5271,2157,5262,2157,5262,2177xe" filled="true" fillcolor="#000000" stroked="false">
                <v:path arrowok="t"/>
                <v:fill type="solid"/>
              </v:shape>
            </v:group>
            <v:group style="position:absolute;left:5262;top:2177;width:10;height:20" coordorigin="5262,2177" coordsize="10,20">
              <v:shape style="position:absolute;left:5262;top:2177;width:10;height:20" coordorigin="5262,2177" coordsize="10,20" path="m5262,2196l5271,2196,5271,2177,5262,2177,5262,2196xe" filled="true" fillcolor="#000000" stroked="false">
                <v:path arrowok="t"/>
                <v:fill type="solid"/>
              </v:shape>
            </v:group>
            <v:group style="position:absolute;left:5262;top:2196;width:10;height:20" coordorigin="5262,2196" coordsize="10,20">
              <v:shape style="position:absolute;left:5262;top:2196;width:10;height:20" coordorigin="5262,2196" coordsize="10,20" path="m5262,2215l5271,2215,5271,2196,5262,2196,5262,2215xe" filled="true" fillcolor="#000000" stroked="false">
                <v:path arrowok="t"/>
                <v:fill type="solid"/>
              </v:shape>
            </v:group>
            <v:group style="position:absolute;left:5262;top:2215;width:10;height:20" coordorigin="5262,2215" coordsize="10,20">
              <v:shape style="position:absolute;left:5262;top:2215;width:10;height:20" coordorigin="5262,2215" coordsize="10,20" path="m5262,2234l5271,2234,5271,2215,5262,2215,5262,2234xe" filled="true" fillcolor="#000000" stroked="false">
                <v:path arrowok="t"/>
                <v:fill type="solid"/>
              </v:shape>
            </v:group>
            <v:group style="position:absolute;left:5262;top:2234;width:10;height:20" coordorigin="5262,2234" coordsize="10,20">
              <v:shape style="position:absolute;left:5262;top:2234;width:10;height:20" coordorigin="5262,2234" coordsize="10,20" path="m5262,2253l5271,2253,5271,2234,5262,2234,5262,2253xe" filled="true" fillcolor="#000000" stroked="false">
                <v:path arrowok="t"/>
                <v:fill type="solid"/>
              </v:shape>
            </v:group>
            <v:group style="position:absolute;left:5262;top:2253;width:10;height:20" coordorigin="5262,2253" coordsize="10,20">
              <v:shape style="position:absolute;left:5262;top:2253;width:10;height:20" coordorigin="5262,2253" coordsize="10,20" path="m5262,2273l5271,2273,5271,2253,5262,2253,5262,2273xe" filled="true" fillcolor="#000000" stroked="false">
                <v:path arrowok="t"/>
                <v:fill type="solid"/>
              </v:shape>
            </v:group>
            <v:group style="position:absolute;left:5262;top:2273;width:10;height:20" coordorigin="5262,2273" coordsize="10,20">
              <v:shape style="position:absolute;left:5262;top:2273;width:10;height:20" coordorigin="5262,2273" coordsize="10,20" path="m5262,2292l5271,2292,5271,2273,5262,2273,5262,2292xe" filled="true" fillcolor="#000000" stroked="false">
                <v:path arrowok="t"/>
                <v:fill type="solid"/>
              </v:shape>
            </v:group>
            <v:group style="position:absolute;left:5262;top:2292;width:10;height:20" coordorigin="5262,2292" coordsize="10,20">
              <v:shape style="position:absolute;left:5262;top:2292;width:10;height:20" coordorigin="5262,2292" coordsize="10,20" path="m5262,2311l5271,2311,5271,2292,5262,2292,5262,2311xe" filled="true" fillcolor="#000000" stroked="false">
                <v:path arrowok="t"/>
                <v:fill type="solid"/>
              </v:shape>
            </v:group>
            <v:group style="position:absolute;left:5262;top:2311;width:10;height:20" coordorigin="5262,2311" coordsize="10,20">
              <v:shape style="position:absolute;left:5262;top:2311;width:10;height:20" coordorigin="5262,2311" coordsize="10,20" path="m5262,2330l5271,2330,5271,2311,5262,2311,5262,2330xe" filled="true" fillcolor="#000000" stroked="false">
                <v:path arrowok="t"/>
                <v:fill type="solid"/>
              </v:shape>
            </v:group>
            <v:group style="position:absolute;left:5262;top:2330;width:10;height:20" coordorigin="5262,2330" coordsize="10,20">
              <v:shape style="position:absolute;left:5262;top:2330;width:10;height:20" coordorigin="5262,2330" coordsize="10,20" path="m5262,2349l5271,2349,5271,2330,5262,2330,5262,2349xe" filled="true" fillcolor="#000000" stroked="false">
                <v:path arrowok="t"/>
                <v:fill type="solid"/>
              </v:shape>
            </v:group>
            <v:group style="position:absolute;left:5262;top:2349;width:10;height:20" coordorigin="5262,2349" coordsize="10,20">
              <v:shape style="position:absolute;left:5262;top:2349;width:10;height:20" coordorigin="5262,2349" coordsize="10,20" path="m5262,2369l5271,2369,5271,2349,5262,2349,5262,2369xe" filled="true" fillcolor="#000000" stroked="false">
                <v:path arrowok="t"/>
                <v:fill type="solid"/>
              </v:shape>
            </v:group>
            <w10:wrap type="none"/>
          </v:group>
        </w:pict>
      </w:r>
      <w:r>
        <w:rPr/>
        <w:t>经营实体</w:t>
      </w: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4199"/>
        <w:gridCol w:w="4850"/>
      </w:tblGrid>
      <w:tr>
        <w:trPr>
          <w:trHeight w:val="363" w:hRule="exact"/>
        </w:trPr>
        <w:tc>
          <w:tcPr>
            <w:tcW w:w="4199" w:type="dxa"/>
            <w:tcBorders>
              <w:top w:val="single" w:sz="12" w:space="0" w:color="000000"/>
              <w:left w:val="nil" w:sz="6" w:space="0" w:color="auto"/>
              <w:bottom w:val="single" w:sz="8" w:space="0" w:color="000000"/>
              <w:right w:val="nil" w:sz="6" w:space="0" w:color="auto"/>
            </w:tcBorders>
          </w:tcPr>
          <w:p>
            <w:pPr>
              <w:pStyle w:val="TableParagraph"/>
              <w:spacing w:line="240" w:lineRule="auto" w:before="25"/>
              <w:ind w:right="621"/>
              <w:jc w:val="center"/>
              <w:rPr>
                <w:rFonts w:ascii="宋体" w:hAnsi="宋体" w:cs="宋体" w:eastAsia="宋体" w:hint="default"/>
                <w:sz w:val="18"/>
                <w:szCs w:val="18"/>
              </w:rPr>
            </w:pPr>
            <w:r>
              <w:rPr>
                <w:rFonts w:ascii="宋体" w:hAnsi="宋体" w:cs="宋体" w:eastAsia="宋体" w:hint="default"/>
                <w:sz w:val="18"/>
                <w:szCs w:val="18"/>
              </w:rPr>
              <w:t>名称</w:t>
            </w:r>
          </w:p>
        </w:tc>
        <w:tc>
          <w:tcPr>
            <w:tcW w:w="4850"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right="62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4199"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深圳金证引擎科技有限公司</w:t>
            </w:r>
          </w:p>
        </w:tc>
        <w:tc>
          <w:tcPr>
            <w:tcW w:w="485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25"/>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50" w:hRule="exact"/>
        </w:trPr>
        <w:tc>
          <w:tcPr>
            <w:tcW w:w="419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深圳市睿服科技有限公司</w:t>
            </w:r>
          </w:p>
        </w:tc>
        <w:tc>
          <w:tcPr>
            <w:tcW w:w="485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25"/>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50" w:hRule="exact"/>
        </w:trPr>
        <w:tc>
          <w:tcPr>
            <w:tcW w:w="419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齐普生信息科技（海南）有限公司</w:t>
            </w:r>
          </w:p>
        </w:tc>
        <w:tc>
          <w:tcPr>
            <w:tcW w:w="485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25"/>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50" w:hRule="exact"/>
        </w:trPr>
        <w:tc>
          <w:tcPr>
            <w:tcW w:w="4199"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深圳智泽金融服务有限公司</w:t>
            </w:r>
          </w:p>
        </w:tc>
        <w:tc>
          <w:tcPr>
            <w:tcW w:w="485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25"/>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60" w:hRule="exact"/>
        </w:trPr>
        <w:tc>
          <w:tcPr>
            <w:tcW w:w="4199" w:type="dxa"/>
            <w:tcBorders>
              <w:top w:val="single" w:sz="8" w:space="0" w:color="000000"/>
              <w:left w:val="nil" w:sz="6" w:space="0" w:color="auto"/>
              <w:bottom w:val="single" w:sz="12" w:space="0" w:color="000000"/>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深圳市知领互联信息有限公司</w:t>
            </w:r>
          </w:p>
        </w:tc>
        <w:tc>
          <w:tcPr>
            <w:tcW w:w="485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625"/>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pStyle w:val="BodyText"/>
        <w:spacing w:line="273" w:lineRule="auto"/>
        <w:ind w:left="238" w:right="215" w:firstLine="419"/>
        <w:jc w:val="left"/>
      </w:pPr>
      <w:r>
        <w:rPr/>
        <w:pict>
          <v:group style="position:absolute;margin-left:307.850006pt;margin-top:45.983677pt;width:.5pt;height:34pt;mso-position-horizontal-relative:page;mso-position-vertical-relative:paragraph;z-index:-941392" coordorigin="6157,920" coordsize="10,680">
            <v:shape style="position:absolute;left:6157;top:920;width:10;height:2" type="#_x0000_t75" stroked="false">
              <v:imagedata r:id="rId44" o:title=""/>
            </v:shape>
            <v:group style="position:absolute;left:6157;top:941;width:10;height:20" coordorigin="6157,941" coordsize="10,20">
              <v:shape style="position:absolute;left:6157;top:941;width:10;height:20" coordorigin="6157,941" coordsize="10,20" path="m6157,960l6167,960,6167,941,6157,941,6157,960xe" filled="true" fillcolor="#000000" stroked="false">
                <v:path arrowok="t"/>
                <v:fill type="solid"/>
              </v:shape>
            </v:group>
            <v:group style="position:absolute;left:6157;top:960;width:10;height:20" coordorigin="6157,960" coordsize="10,20">
              <v:shape style="position:absolute;left:6157;top:960;width:10;height:20" coordorigin="6157,960" coordsize="10,20" path="m6157,980l6167,980,6167,960,6157,960,6157,980xe" filled="true" fillcolor="#000000" stroked="false">
                <v:path arrowok="t"/>
                <v:fill type="solid"/>
              </v:shape>
            </v:group>
            <v:group style="position:absolute;left:6157;top:980;width:10;height:20" coordorigin="6157,980" coordsize="10,20">
              <v:shape style="position:absolute;left:6157;top:980;width:10;height:20" coordorigin="6157,980" coordsize="10,20" path="m6157,999l6167,999,6167,980,6157,980,6157,999xe" filled="true" fillcolor="#000000" stroked="false">
                <v:path arrowok="t"/>
                <v:fill type="solid"/>
              </v:shape>
            </v:group>
            <v:group style="position:absolute;left:6157;top:999;width:10;height:20" coordorigin="6157,999" coordsize="10,20">
              <v:shape style="position:absolute;left:6157;top:999;width:10;height:20" coordorigin="6157,999" coordsize="10,20" path="m6157,1018l6167,1018,6167,999,6157,999,6157,1018xe" filled="true" fillcolor="#000000" stroked="false">
                <v:path arrowok="t"/>
                <v:fill type="solid"/>
              </v:shape>
            </v:group>
            <v:group style="position:absolute;left:6157;top:1018;width:10;height:20" coordorigin="6157,1018" coordsize="10,20">
              <v:shape style="position:absolute;left:6157;top:1018;width:10;height:20" coordorigin="6157,1018" coordsize="10,20" path="m6157,1037l6167,1037,6167,1018,6157,1018,6157,1037xe" filled="true" fillcolor="#000000" stroked="false">
                <v:path arrowok="t"/>
                <v:fill type="solid"/>
              </v:shape>
            </v:group>
            <v:group style="position:absolute;left:6157;top:1037;width:10;height:20" coordorigin="6157,1037" coordsize="10,20">
              <v:shape style="position:absolute;left:6157;top:1037;width:10;height:20" coordorigin="6157,1037" coordsize="10,20" path="m6157,1056l6167,1056,6167,1037,6157,1037,6157,1056xe" filled="true" fillcolor="#000000" stroked="false">
                <v:path arrowok="t"/>
                <v:fill type="solid"/>
              </v:shape>
            </v:group>
            <v:group style="position:absolute;left:6157;top:1056;width:10;height:20" coordorigin="6157,1056" coordsize="10,20">
              <v:shape style="position:absolute;left:6157;top:1056;width:10;height:20" coordorigin="6157,1056" coordsize="10,20" path="m6157,1076l6167,1076,6167,1056,6157,1056,6157,1076xe" filled="true" fillcolor="#000000" stroked="false">
                <v:path arrowok="t"/>
                <v:fill type="solid"/>
              </v:shape>
            </v:group>
            <v:group style="position:absolute;left:6157;top:1076;width:10;height:20" coordorigin="6157,1076" coordsize="10,20">
              <v:shape style="position:absolute;left:6157;top:1076;width:10;height:20" coordorigin="6157,1076" coordsize="10,20" path="m6157,1095l6167,1095,6167,1076,6157,1076,6157,1095xe" filled="true" fillcolor="#000000" stroked="false">
                <v:path arrowok="t"/>
                <v:fill type="solid"/>
              </v:shape>
            </v:group>
            <v:group style="position:absolute;left:6157;top:1095;width:10;height:20" coordorigin="6157,1095" coordsize="10,20">
              <v:shape style="position:absolute;left:6157;top:1095;width:10;height:20" coordorigin="6157,1095" coordsize="10,20" path="m6157,1114l6167,1114,6167,1095,6157,1095,6157,1114xe" filled="true" fillcolor="#000000" stroked="false">
                <v:path arrowok="t"/>
                <v:fill type="solid"/>
              </v:shape>
            </v:group>
            <v:group style="position:absolute;left:6157;top:1114;width:10;height:20" coordorigin="6157,1114" coordsize="10,20">
              <v:shape style="position:absolute;left:6157;top:1114;width:10;height:20" coordorigin="6157,1114" coordsize="10,20" path="m6157,1133l6167,1133,6167,1114,6157,1114,6157,1133xe" filled="true" fillcolor="#000000" stroked="false">
                <v:path arrowok="t"/>
                <v:fill type="solid"/>
              </v:shape>
            </v:group>
            <v:group style="position:absolute;left:6157;top:1133;width:10;height:20" coordorigin="6157,1133" coordsize="10,20">
              <v:shape style="position:absolute;left:6157;top:1133;width:10;height:20" coordorigin="6157,1133" coordsize="10,20" path="m6157,1152l6167,1152,6167,1133,6157,1133,6157,1152xe" filled="true" fillcolor="#000000" stroked="false">
                <v:path arrowok="t"/>
                <v:fill type="solid"/>
              </v:shape>
            </v:group>
            <v:group style="position:absolute;left:6157;top:1152;width:10;height:20" coordorigin="6157,1152" coordsize="10,20">
              <v:shape style="position:absolute;left:6157;top:1152;width:10;height:20" coordorigin="6157,1152" coordsize="10,20" path="m6157,1172l6167,1172,6167,1152,6157,1152,6157,1172xe" filled="true" fillcolor="#000000" stroked="false">
                <v:path arrowok="t"/>
                <v:fill type="solid"/>
              </v:shape>
            </v:group>
            <v:group style="position:absolute;left:6157;top:1172;width:10;height:20" coordorigin="6157,1172" coordsize="10,20">
              <v:shape style="position:absolute;left:6157;top:1172;width:10;height:20" coordorigin="6157,1172" coordsize="10,20" path="m6157,1191l6167,1191,6167,1172,6157,1172,6157,1191xe" filled="true" fillcolor="#000000" stroked="false">
                <v:path arrowok="t"/>
                <v:fill type="solid"/>
              </v:shape>
            </v:group>
            <v:group style="position:absolute;left:6157;top:1191;width:10;height:20" coordorigin="6157,1191" coordsize="10,20">
              <v:shape style="position:absolute;left:6157;top:1191;width:10;height:20" coordorigin="6157,1191" coordsize="10,20" path="m6157,1210l6167,1210,6167,1191,6157,1191,6157,1210xe" filled="true" fillcolor="#000000" stroked="false">
                <v:path arrowok="t"/>
                <v:fill type="solid"/>
              </v:shape>
            </v:group>
            <v:group style="position:absolute;left:6157;top:1210;width:10;height:20" coordorigin="6157,1210" coordsize="10,20">
              <v:shape style="position:absolute;left:6157;top:1210;width:10;height:20" coordorigin="6157,1210" coordsize="10,20" path="m6157,1229l6167,1229,6167,1210,6157,1210,6157,1229xe" filled="true" fillcolor="#000000" stroked="false">
                <v:path arrowok="t"/>
                <v:fill type="solid"/>
              </v:shape>
            </v:group>
            <v:group style="position:absolute;left:6157;top:1292;width:10;height:20" coordorigin="6157,1292" coordsize="10,20">
              <v:shape style="position:absolute;left:6157;top:1292;width:10;height:20" coordorigin="6157,1292" coordsize="10,20" path="m6157,1311l6167,1311,6167,1292,6157,1292,6157,1311xe" filled="true" fillcolor="#000000" stroked="false">
                <v:path arrowok="t"/>
                <v:fill type="solid"/>
              </v:shape>
            </v:group>
            <v:group style="position:absolute;left:6157;top:1311;width:10;height:20" coordorigin="6157,1311" coordsize="10,20">
              <v:shape style="position:absolute;left:6157;top:1311;width:10;height:20" coordorigin="6157,1311" coordsize="10,20" path="m6157,1330l6167,1330,6167,1311,6157,1311,6157,1330xe" filled="true" fillcolor="#000000" stroked="false">
                <v:path arrowok="t"/>
                <v:fill type="solid"/>
              </v:shape>
            </v:group>
            <v:group style="position:absolute;left:6157;top:1330;width:10;height:20" coordorigin="6157,1330" coordsize="10,20">
              <v:shape style="position:absolute;left:6157;top:1330;width:10;height:20" coordorigin="6157,1330" coordsize="10,20" path="m6157,1349l6167,1349,6167,1330,6157,1330,6157,1349xe" filled="true" fillcolor="#000000" stroked="false">
                <v:path arrowok="t"/>
                <v:fill type="solid"/>
              </v:shape>
            </v:group>
            <v:group style="position:absolute;left:6157;top:1349;width:10;height:20" coordorigin="6157,1349" coordsize="10,20">
              <v:shape style="position:absolute;left:6157;top:1349;width:10;height:20" coordorigin="6157,1349" coordsize="10,20" path="m6157,1368l6167,1368,6167,1349,6157,1349,6157,1368xe" filled="true" fillcolor="#000000" stroked="false">
                <v:path arrowok="t"/>
                <v:fill type="solid"/>
              </v:shape>
            </v:group>
            <v:group style="position:absolute;left:6157;top:1368;width:10;height:20" coordorigin="6157,1368" coordsize="10,20">
              <v:shape style="position:absolute;left:6157;top:1368;width:10;height:20" coordorigin="6157,1368" coordsize="10,20" path="m6157,1388l6167,1388,6167,1368,6157,1368,6157,1388xe" filled="true" fillcolor="#000000" stroked="false">
                <v:path arrowok="t"/>
                <v:fill type="solid"/>
              </v:shape>
            </v:group>
            <v:group style="position:absolute;left:6157;top:1388;width:10;height:20" coordorigin="6157,1388" coordsize="10,20">
              <v:shape style="position:absolute;left:6157;top:1388;width:10;height:20" coordorigin="6157,1388" coordsize="10,20" path="m6157,1407l6167,1407,6167,1388,6157,1388,6157,1407xe" filled="true" fillcolor="#000000" stroked="false">
                <v:path arrowok="t"/>
                <v:fill type="solid"/>
              </v:shape>
            </v:group>
            <v:group style="position:absolute;left:6157;top:1407;width:10;height:20" coordorigin="6157,1407" coordsize="10,20">
              <v:shape style="position:absolute;left:6157;top:1407;width:10;height:20" coordorigin="6157,1407" coordsize="10,20" path="m6157,1426l6167,1426,6167,1407,6157,1407,6157,1426xe" filled="true" fillcolor="#000000" stroked="false">
                <v:path arrowok="t"/>
                <v:fill type="solid"/>
              </v:shape>
            </v:group>
            <v:group style="position:absolute;left:6157;top:1426;width:10;height:20" coordorigin="6157,1426" coordsize="10,20">
              <v:shape style="position:absolute;left:6157;top:1426;width:10;height:20" coordorigin="6157,1426" coordsize="10,20" path="m6157,1446l6167,1446,6167,1426,6157,1426,6157,1446xe" filled="true" fillcolor="#000000" stroked="false">
                <v:path arrowok="t"/>
                <v:fill type="solid"/>
              </v:shape>
            </v:group>
            <v:group style="position:absolute;left:6157;top:1446;width:10;height:20" coordorigin="6157,1446" coordsize="10,20">
              <v:shape style="position:absolute;left:6157;top:1446;width:10;height:20" coordorigin="6157,1446" coordsize="10,20" path="m6157,1465l6167,1465,6167,1446,6157,1446,6157,1465xe" filled="true" fillcolor="#000000" stroked="false">
                <v:path arrowok="t"/>
                <v:fill type="solid"/>
              </v:shape>
            </v:group>
            <v:group style="position:absolute;left:6157;top:1465;width:10;height:20" coordorigin="6157,1465" coordsize="10,20">
              <v:shape style="position:absolute;left:6157;top:1465;width:10;height:20" coordorigin="6157,1465" coordsize="10,20" path="m6157,1484l6167,1484,6167,1465,6157,1465,6157,1484xe" filled="true" fillcolor="#000000" stroked="false">
                <v:path arrowok="t"/>
                <v:fill type="solid"/>
              </v:shape>
            </v:group>
            <v:group style="position:absolute;left:6157;top:1484;width:10;height:20" coordorigin="6157,1484" coordsize="10,20">
              <v:shape style="position:absolute;left:6157;top:1484;width:10;height:20" coordorigin="6157,1484" coordsize="10,20" path="m6157,1503l6167,1503,6167,1484,6157,1484,6157,1503xe" filled="true" fillcolor="#000000" stroked="false">
                <v:path arrowok="t"/>
                <v:fill type="solid"/>
              </v:shape>
            </v:group>
            <v:group style="position:absolute;left:6157;top:1503;width:10;height:20" coordorigin="6157,1503" coordsize="10,20">
              <v:shape style="position:absolute;left:6157;top:1503;width:10;height:20" coordorigin="6157,1503" coordsize="10,20" path="m6157,1522l6167,1522,6167,1503,6157,1503,6157,1522xe" filled="true" fillcolor="#000000" stroked="false">
                <v:path arrowok="t"/>
                <v:fill type="solid"/>
              </v:shape>
            </v:group>
            <v:group style="position:absolute;left:6157;top:1522;width:10;height:20" coordorigin="6157,1522" coordsize="10,20">
              <v:shape style="position:absolute;left:6157;top:1522;width:10;height:20" coordorigin="6157,1522" coordsize="10,20" path="m6157,1542l6167,1542,6167,1522,6157,1522,6157,1542xe" filled="true" fillcolor="#000000" stroked="false">
                <v:path arrowok="t"/>
                <v:fill type="solid"/>
              </v:shape>
            </v:group>
            <v:group style="position:absolute;left:6157;top:1542;width:10;height:20" coordorigin="6157,1542" coordsize="10,20">
              <v:shape style="position:absolute;left:6157;top:1542;width:10;height:20" coordorigin="6157,1542" coordsize="10,20" path="m6157,1561l6167,1561,6167,1542,6157,1542,6157,1561xe" filled="true" fillcolor="#000000" stroked="false">
                <v:path arrowok="t"/>
                <v:fill type="solid"/>
              </v:shape>
            </v:group>
            <v:group style="position:absolute;left:6157;top:1561;width:10;height:20" coordorigin="6157,1561" coordsize="10,20">
              <v:shape style="position:absolute;left:6157;top:1561;width:10;height:20" coordorigin="6157,1561" coordsize="10,20" path="m6157,1580l6167,1580,6167,1561,6157,1561,6157,1580xe" filled="true" fillcolor="#000000" stroked="false">
                <v:path arrowok="t"/>
                <v:fill type="solid"/>
              </v:shape>
            </v:group>
            <v:group style="position:absolute;left:6157;top:1580;width:10;height:20" coordorigin="6157,1580" coordsize="10,20">
              <v:shape style="position:absolute;left:6157;top:1580;width:10;height:20" coordorigin="6157,1580" coordsize="10,20" path="m6157,1599l6167,1599,6167,1580,6157,1580,6157,1599xe" filled="true" fillcolor="#000000" stroked="false">
                <v:path arrowok="t"/>
                <v:fill type="solid"/>
              </v:shape>
            </v:group>
            <w10:wrap type="none"/>
          </v:group>
        </w:pict>
      </w:r>
      <w:r>
        <w:rPr>
          <w:rFonts w:ascii="宋体" w:hAnsi="宋体" w:cs="宋体" w:eastAsia="宋体" w:hint="default"/>
          <w:spacing w:val="-4"/>
        </w:rPr>
        <w:t>2</w:t>
      </w:r>
      <w:r>
        <w:rPr>
          <w:spacing w:val="-4"/>
        </w:rPr>
        <w:t>．本期不再纳入合并范围的子公司、特殊目的主体、通过委托经营或出租等方式丧失控制权</w:t>
      </w:r>
      <w:r>
        <w:rPr>
          <w:w w:val="100"/>
        </w:rPr>
        <w:t> </w:t>
      </w:r>
      <w:r>
        <w:rPr/>
        <w:t>的经营实体：</w:t>
      </w:r>
    </w:p>
    <w:p>
      <w:pPr>
        <w:spacing w:line="240" w:lineRule="auto" w:before="10"/>
        <w:rPr>
          <w:rFonts w:ascii="宋体" w:hAnsi="宋体" w:cs="宋体" w:eastAsia="宋体" w:hint="default"/>
          <w:sz w:val="18"/>
          <w:szCs w:val="18"/>
        </w:rPr>
      </w:pPr>
    </w:p>
    <w:tbl>
      <w:tblPr>
        <w:tblW w:w="0" w:type="auto"/>
        <w:jc w:val="left"/>
        <w:tblInd w:w="209" w:type="dxa"/>
        <w:tblLayout w:type="fixed"/>
        <w:tblCellMar>
          <w:top w:w="0" w:type="dxa"/>
          <w:left w:w="0" w:type="dxa"/>
          <w:bottom w:w="0" w:type="dxa"/>
          <w:right w:w="0" w:type="dxa"/>
        </w:tblCellMar>
        <w:tblLook w:val="01E0"/>
      </w:tblPr>
      <w:tblGrid>
        <w:gridCol w:w="4301"/>
        <w:gridCol w:w="4453"/>
        <w:gridCol w:w="137"/>
      </w:tblGrid>
      <w:tr>
        <w:trPr>
          <w:trHeight w:val="384" w:hRule="exact"/>
        </w:trPr>
        <w:tc>
          <w:tcPr>
            <w:tcW w:w="4301" w:type="dxa"/>
            <w:tcBorders>
              <w:top w:val="single" w:sz="17" w:space="0" w:color="000000"/>
              <w:left w:val="nil" w:sz="6" w:space="0" w:color="auto"/>
              <w:bottom w:val="single" w:sz="4" w:space="0" w:color="000000"/>
              <w:right w:val="nil" w:sz="6" w:space="0" w:color="auto"/>
            </w:tcBorders>
          </w:tcPr>
          <w:p>
            <w:pPr>
              <w:pStyle w:val="TableParagraph"/>
              <w:spacing w:line="240" w:lineRule="auto" w:before="39"/>
              <w:ind w:left="11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453" w:type="dxa"/>
            <w:tcBorders>
              <w:top w:val="single" w:sz="12" w:space="0" w:color="000000"/>
              <w:left w:val="nil" w:sz="6" w:space="0" w:color="auto"/>
              <w:bottom w:val="single" w:sz="8" w:space="0" w:color="000000"/>
              <w:right w:val="nil" w:sz="6" w:space="0" w:color="auto"/>
            </w:tcBorders>
          </w:tcPr>
          <w:p>
            <w:pPr>
              <w:pStyle w:val="TableParagraph"/>
              <w:spacing w:line="240" w:lineRule="auto" w:before="46"/>
              <w:ind w:right="1820"/>
              <w:jc w:val="right"/>
              <w:rPr>
                <w:rFonts w:ascii="宋体" w:hAnsi="宋体" w:cs="宋体" w:eastAsia="宋体" w:hint="default"/>
                <w:sz w:val="18"/>
                <w:szCs w:val="18"/>
              </w:rPr>
            </w:pPr>
            <w:r>
              <w:rPr>
                <w:rFonts w:ascii="宋体" w:hAnsi="宋体" w:cs="宋体" w:eastAsia="宋体" w:hint="default"/>
                <w:sz w:val="18"/>
                <w:szCs w:val="18"/>
              </w:rPr>
              <w:t>变更原因</w:t>
            </w:r>
          </w:p>
        </w:tc>
        <w:tc>
          <w:tcPr>
            <w:tcW w:w="137" w:type="dxa"/>
            <w:tcBorders>
              <w:top w:val="single" w:sz="6" w:space="0" w:color="000000"/>
              <w:left w:val="nil" w:sz="6" w:space="0" w:color="auto"/>
              <w:bottom w:val="nil" w:sz="6" w:space="0" w:color="auto"/>
              <w:right w:val="nil" w:sz="6" w:space="0" w:color="auto"/>
            </w:tcBorders>
          </w:tcPr>
          <w:p>
            <w:pPr/>
          </w:p>
        </w:tc>
      </w:tr>
      <w:tr>
        <w:trPr>
          <w:trHeight w:val="360" w:hRule="exact"/>
        </w:trPr>
        <w:tc>
          <w:tcPr>
            <w:tcW w:w="4301"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136" w:right="0"/>
              <w:jc w:val="left"/>
              <w:rPr>
                <w:rFonts w:ascii="宋体" w:hAnsi="宋体" w:cs="宋体" w:eastAsia="宋体" w:hint="default"/>
                <w:sz w:val="18"/>
                <w:szCs w:val="18"/>
              </w:rPr>
            </w:pPr>
            <w:r>
              <w:rPr>
                <w:rFonts w:ascii="宋体" w:hAnsi="宋体" w:cs="宋体" w:eastAsia="宋体" w:hint="default"/>
                <w:sz w:val="18"/>
                <w:szCs w:val="18"/>
              </w:rPr>
              <w:t>成都金证同洲科技有限公司</w:t>
            </w:r>
          </w:p>
        </w:tc>
        <w:tc>
          <w:tcPr>
            <w:tcW w:w="4453" w:type="dxa"/>
            <w:tcBorders>
              <w:top w:val="single" w:sz="8" w:space="0" w:color="000000"/>
              <w:left w:val="nil" w:sz="6" w:space="0" w:color="auto"/>
              <w:bottom w:val="single" w:sz="12" w:space="0" w:color="000000"/>
              <w:right w:val="nil" w:sz="6" w:space="0" w:color="auto"/>
            </w:tcBorders>
          </w:tcPr>
          <w:p>
            <w:pPr>
              <w:pStyle w:val="TableParagraph"/>
              <w:spacing w:line="240" w:lineRule="auto" w:before="18"/>
              <w:ind w:right="1820"/>
              <w:jc w:val="right"/>
              <w:rPr>
                <w:rFonts w:ascii="宋体" w:hAnsi="宋体" w:cs="宋体" w:eastAsia="宋体" w:hint="default"/>
                <w:sz w:val="18"/>
                <w:szCs w:val="18"/>
              </w:rPr>
            </w:pPr>
            <w:r>
              <w:rPr>
                <w:rFonts w:ascii="宋体" w:hAnsi="宋体" w:cs="宋体" w:eastAsia="宋体" w:hint="default"/>
                <w:sz w:val="18"/>
                <w:szCs w:val="18"/>
              </w:rPr>
              <w:t>股权处置</w:t>
            </w:r>
          </w:p>
        </w:tc>
        <w:tc>
          <w:tcPr>
            <w:tcW w:w="13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2" w:footer="1195" w:top="1120" w:bottom="1380" w:left="1560" w:right="1060"/>
        </w:sectPr>
      </w:pPr>
    </w:p>
    <w:p>
      <w:pPr>
        <w:spacing w:line="240" w:lineRule="auto" w:before="10"/>
        <w:rPr>
          <w:rFonts w:ascii="宋体" w:hAnsi="宋体" w:cs="宋体" w:eastAsia="宋体" w:hint="default"/>
          <w:sz w:val="26"/>
          <w:szCs w:val="26"/>
        </w:rPr>
      </w:pPr>
    </w:p>
    <w:p>
      <w:pPr>
        <w:pStyle w:val="BodyText"/>
        <w:spacing w:line="240" w:lineRule="auto" w:before="36"/>
        <w:ind w:left="558" w:right="1055"/>
        <w:jc w:val="left"/>
      </w:pPr>
      <w:r>
        <w:rPr/>
        <w:t>合并范围变更主体的具体信息详见“附注八、合并范围的变更”。</w:t>
      </w:r>
    </w:p>
    <w:p>
      <w:pPr>
        <w:pStyle w:val="Heading2"/>
        <w:tabs>
          <w:tab w:pos="977" w:val="left" w:leader="none"/>
        </w:tabs>
        <w:spacing w:line="283" w:lineRule="auto" w:before="69"/>
        <w:ind w:left="138" w:right="5937"/>
        <w:jc w:val="left"/>
        <w:rPr>
          <w:b w:val="0"/>
          <w:bCs w:val="0"/>
        </w:rPr>
      </w:pPr>
      <w:r>
        <w:rPr/>
        <w:t>四、</w:t>
        <w:tab/>
        <w:t>财务报表的编制基础</w:t>
      </w:r>
      <w:r>
        <w:rPr>
          <w:w w:val="99"/>
        </w:rPr>
        <w:t> </w:t>
      </w:r>
      <w:r>
        <w:rPr>
          <w:rFonts w:ascii="宋体" w:hAnsi="宋体" w:cs="宋体" w:eastAsia="宋体" w:hint="default"/>
        </w:rPr>
        <w:t>1.</w:t>
      </w:r>
      <w:r>
        <w:rPr>
          <w:rFonts w:ascii="宋体" w:hAnsi="宋体" w:cs="宋体" w:eastAsia="宋体" w:hint="default"/>
          <w:spacing w:val="61"/>
        </w:rPr>
        <w:t> </w:t>
      </w:r>
      <w:r>
        <w:rPr/>
        <w:t>编制基础</w:t>
      </w:r>
      <w:r>
        <w:rPr>
          <w:b w:val="0"/>
          <w:bCs w:val="0"/>
        </w:rPr>
      </w:r>
    </w:p>
    <w:p>
      <w:pPr>
        <w:pStyle w:val="BodyText"/>
        <w:spacing w:line="240" w:lineRule="auto" w:before="66"/>
        <w:ind w:left="558" w:right="0"/>
        <w:jc w:val="left"/>
      </w:pPr>
      <w:r>
        <w:rPr/>
        <w:t>本公司以持续经营为基础，根据实际发生的交易和事项，按照财政部颁布的《企业会计准则</w:t>
      </w:r>
    </w:p>
    <w:p>
      <w:pPr>
        <w:pStyle w:val="BodyText"/>
        <w:spacing w:line="302" w:lineRule="auto" w:before="85"/>
        <w:ind w:left="138" w:right="108"/>
        <w:jc w:val="both"/>
      </w:pPr>
      <w:r>
        <w:rPr>
          <w:spacing w:val="-2"/>
        </w:rPr>
        <w:t>——基本准则》和具体企业会计准则、企业会计准则应用指南、企业会计准则解释及其他相关规</w:t>
      </w:r>
      <w:r>
        <w:rPr>
          <w:spacing w:val="-26"/>
        </w:rPr>
        <w:t> </w:t>
      </w:r>
      <w:r>
        <w:rPr>
          <w:spacing w:val="-26"/>
        </w:rPr>
      </w:r>
      <w:r>
        <w:rPr>
          <w:spacing w:val="-5"/>
        </w:rPr>
        <w:t>定</w:t>
      </w:r>
      <w:r>
        <w:rPr>
          <w:rFonts w:ascii="Times New Roman" w:hAnsi="Times New Roman" w:cs="Times New Roman" w:eastAsia="Times New Roman" w:hint="default"/>
          <w:spacing w:val="-5"/>
        </w:rPr>
        <w:t>(</w:t>
      </w:r>
      <w:r>
        <w:rPr>
          <w:spacing w:val="-5"/>
        </w:rPr>
        <w:t>以下合称“企业会计准则”</w:t>
      </w:r>
      <w:r>
        <w:rPr>
          <w:rFonts w:ascii="Times New Roman" w:hAnsi="Times New Roman" w:cs="Times New Roman" w:eastAsia="Times New Roman" w:hint="default"/>
          <w:spacing w:val="-5"/>
        </w:rPr>
        <w:t>)</w:t>
      </w:r>
      <w:r>
        <w:rPr>
          <w:spacing w:val="-5"/>
        </w:rPr>
        <w:t>进行确认和计量，在此基础上，结合中国证券监督管理委员会《公</w:t>
      </w:r>
      <w:r>
        <w:rPr>
          <w:spacing w:val="-20"/>
        </w:rPr>
        <w:t> </w:t>
      </w:r>
      <w:r>
        <w:rPr>
          <w:spacing w:val="-20"/>
        </w:rPr>
      </w:r>
      <w:r>
        <w:rPr/>
        <w:t>开发行证券的公司信息披露编报规则第</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spacing w:val="-4"/>
        </w:rPr>
        <w:t>号——财务报告的一般规定》</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0"/>
        </w:rPr>
        <w:t> </w:t>
      </w:r>
      <w:r>
        <w:rPr>
          <w:spacing w:val="-6"/>
        </w:rPr>
        <w:t>年修订</w:t>
      </w:r>
      <w:r>
        <w:rPr>
          <w:rFonts w:ascii="Times New Roman" w:hAnsi="Times New Roman" w:cs="Times New Roman" w:eastAsia="Times New Roman" w:hint="default"/>
          <w:spacing w:val="-6"/>
        </w:rPr>
        <w:t>)</w:t>
      </w:r>
      <w:r>
        <w:rPr>
          <w:spacing w:val="-6"/>
        </w:rPr>
        <w:t>的规定，编</w:t>
      </w:r>
      <w:r>
        <w:rPr>
          <w:spacing w:val="-100"/>
        </w:rPr>
        <w:t> </w:t>
      </w:r>
      <w:r>
        <w:rPr>
          <w:spacing w:val="-100"/>
        </w:rPr>
      </w:r>
      <w:r>
        <w:rPr/>
        <w:t>制财务报表。</w:t>
      </w:r>
    </w:p>
    <w:p>
      <w:pPr>
        <w:pStyle w:val="Heading2"/>
        <w:spacing w:line="240" w:lineRule="auto" w:before="38"/>
        <w:ind w:left="138" w:right="0"/>
        <w:jc w:val="both"/>
        <w:rPr>
          <w:b w:val="0"/>
          <w:bCs w:val="0"/>
        </w:rPr>
      </w:pPr>
      <w:r>
        <w:rPr>
          <w:rFonts w:ascii="宋体" w:hAnsi="宋体" w:cs="宋体" w:eastAsia="宋体" w:hint="default"/>
        </w:rPr>
        <w:t>2.</w:t>
      </w:r>
      <w:r>
        <w:rPr>
          <w:rFonts w:ascii="宋体" w:hAnsi="宋体" w:cs="宋体" w:eastAsia="宋体" w:hint="default"/>
          <w:spacing w:val="61"/>
        </w:rPr>
        <w:t> </w:t>
      </w:r>
      <w:r>
        <w:rPr/>
        <w:t>持续经营</w:t>
      </w:r>
      <w:r>
        <w:rPr>
          <w:b w:val="0"/>
          <w:bCs w:val="0"/>
        </w:rPr>
      </w:r>
    </w:p>
    <w:p>
      <w:pPr>
        <w:pStyle w:val="BodyText"/>
        <w:spacing w:line="240" w:lineRule="auto" w:before="86"/>
        <w:ind w:left="138" w:right="0"/>
        <w:jc w:val="both"/>
      </w:pPr>
      <w:r>
        <w:rPr/>
        <w:t>√适用</w:t>
      </w:r>
      <w:r>
        <w:rPr>
          <w:spacing w:val="104"/>
        </w:rPr>
        <w:t> </w:t>
      </w:r>
      <w:r>
        <w:rPr/>
        <w:t>□不适用</w:t>
      </w:r>
    </w:p>
    <w:p>
      <w:pPr>
        <w:pStyle w:val="BodyText"/>
        <w:spacing w:line="312" w:lineRule="auto" w:before="61"/>
        <w:ind w:left="138" w:right="0" w:firstLine="419"/>
        <w:jc w:val="left"/>
      </w:pPr>
      <w:r>
        <w:rPr>
          <w:spacing w:val="-2"/>
          <w:w w:val="100"/>
        </w:rPr>
        <w:t>本公司对报告期末起</w:t>
      </w:r>
      <w:r>
        <w:rPr>
          <w:spacing w:val="-44"/>
          <w:w w:val="100"/>
        </w:rPr>
        <w:t> </w:t>
      </w:r>
      <w:r>
        <w:rPr>
          <w:rFonts w:ascii="宋体" w:hAnsi="宋体" w:cs="宋体" w:eastAsia="宋体" w:hint="default"/>
          <w:w w:val="100"/>
        </w:rPr>
        <w:t>12</w:t>
      </w:r>
      <w:r>
        <w:rPr>
          <w:rFonts w:ascii="宋体" w:hAnsi="宋体" w:cs="宋体" w:eastAsia="宋体" w:hint="default"/>
          <w:spacing w:val="-47"/>
          <w:w w:val="100"/>
        </w:rPr>
        <w:t> </w:t>
      </w:r>
      <w:r>
        <w:rPr>
          <w:spacing w:val="-5"/>
          <w:w w:val="100"/>
        </w:rPr>
        <w:t>个月的持续经营能力进行了评价，未发现对持续经营能力产生重大怀</w:t>
      </w:r>
      <w:r>
        <w:rPr>
          <w:w w:val="100"/>
        </w:rPr>
        <w:t> </w:t>
      </w:r>
      <w:r>
        <w:rPr/>
        <w:t>疑的事项或情况。因此，本财务报表系在持续经营假设的基础上编制。</w:t>
      </w:r>
    </w:p>
    <w:p>
      <w:pPr>
        <w:pStyle w:val="Heading2"/>
        <w:spacing w:line="240" w:lineRule="auto" w:before="30"/>
        <w:ind w:left="138" w:right="0"/>
        <w:jc w:val="both"/>
        <w:rPr>
          <w:b w:val="0"/>
          <w:bCs w:val="0"/>
        </w:rPr>
      </w:pPr>
      <w:r>
        <w:rPr/>
        <w:t>五、 </w:t>
      </w:r>
      <w:r>
        <w:rPr>
          <w:spacing w:val="113"/>
        </w:rPr>
        <w:t> </w:t>
      </w:r>
      <w:r>
        <w:rPr/>
        <w:t>重要会计政策及会计估计</w:t>
      </w:r>
      <w:r>
        <w:rPr>
          <w:b w:val="0"/>
          <w:bCs w:val="0"/>
        </w:rPr>
      </w:r>
    </w:p>
    <w:p>
      <w:pPr>
        <w:pStyle w:val="BodyText"/>
        <w:spacing w:line="240" w:lineRule="auto" w:before="85"/>
        <w:ind w:left="138" w:right="0"/>
        <w:jc w:val="both"/>
      </w:pPr>
      <w:r>
        <w:rPr/>
        <w:t>具体会计政策和会计估计提示：</w:t>
      </w:r>
    </w:p>
    <w:p>
      <w:pPr>
        <w:pStyle w:val="BodyText"/>
        <w:spacing w:line="240" w:lineRule="auto" w:before="37"/>
        <w:ind w:left="138" w:right="0"/>
        <w:jc w:val="both"/>
      </w:pPr>
      <w:r>
        <w:rPr/>
        <w:t>□适用√不适用</w:t>
      </w:r>
    </w:p>
    <w:p>
      <w:pPr>
        <w:pStyle w:val="Heading2"/>
        <w:spacing w:line="240" w:lineRule="auto" w:before="69"/>
        <w:ind w:left="138" w:right="0"/>
        <w:jc w:val="both"/>
        <w:rPr>
          <w:b w:val="0"/>
          <w:bCs w:val="0"/>
        </w:rPr>
      </w:pPr>
      <w:r>
        <w:rPr>
          <w:rFonts w:ascii="宋体" w:hAnsi="宋体" w:cs="宋体" w:eastAsia="宋体" w:hint="default"/>
        </w:rPr>
        <w:t>1.</w:t>
      </w:r>
      <w:r>
        <w:rPr>
          <w:rFonts w:ascii="宋体" w:hAnsi="宋体" w:cs="宋体" w:eastAsia="宋体" w:hint="default"/>
          <w:spacing w:val="58"/>
        </w:rPr>
        <w:t> </w:t>
      </w:r>
      <w:r>
        <w:rPr/>
        <w:t>遵循企业会计准则的声明</w:t>
      </w:r>
      <w:r>
        <w:rPr>
          <w:b w:val="0"/>
          <w:bCs w:val="0"/>
        </w:rPr>
      </w:r>
    </w:p>
    <w:p>
      <w:pPr>
        <w:pStyle w:val="BodyText"/>
        <w:spacing w:line="408" w:lineRule="auto" w:before="162"/>
        <w:ind w:left="138" w:right="0" w:firstLine="419"/>
        <w:jc w:val="left"/>
      </w:pPr>
      <w:r>
        <w:rPr>
          <w:spacing w:val="-2"/>
        </w:rPr>
        <w:t>本公司所编制的财务报表符合企业会计准则的要求，真实、完整地反映了公司的财务状况、</w:t>
      </w:r>
      <w:r>
        <w:rPr>
          <w:w w:val="100"/>
        </w:rPr>
        <w:t> </w:t>
      </w:r>
      <w:r>
        <w:rPr/>
        <w:t>经营成果、现金流量等有关信息。</w:t>
      </w:r>
    </w:p>
    <w:p>
      <w:pPr>
        <w:pStyle w:val="Heading2"/>
        <w:spacing w:line="240" w:lineRule="auto" w:before="1"/>
        <w:ind w:left="138" w:right="0"/>
        <w:jc w:val="both"/>
        <w:rPr>
          <w:b w:val="0"/>
          <w:bCs w:val="0"/>
        </w:rPr>
      </w:pPr>
      <w:r>
        <w:rPr>
          <w:rFonts w:ascii="宋体" w:hAnsi="宋体" w:cs="宋体" w:eastAsia="宋体" w:hint="default"/>
        </w:rPr>
        <w:t>2.</w:t>
      </w:r>
      <w:r>
        <w:rPr>
          <w:rFonts w:ascii="宋体" w:hAnsi="宋体" w:cs="宋体" w:eastAsia="宋体" w:hint="default"/>
          <w:spacing w:val="61"/>
        </w:rPr>
        <w:t> </w:t>
      </w:r>
      <w:r>
        <w:rPr/>
        <w:t>会计期间</w:t>
      </w:r>
      <w:r>
        <w:rPr>
          <w:b w:val="0"/>
          <w:bCs w:val="0"/>
        </w:rPr>
      </w:r>
    </w:p>
    <w:p>
      <w:pPr>
        <w:pStyle w:val="BodyText"/>
        <w:spacing w:line="240" w:lineRule="auto" w:before="85"/>
        <w:ind w:left="138" w:right="0"/>
        <w:jc w:val="both"/>
      </w:pPr>
      <w:r>
        <w:rPr/>
        <w:t>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日止为一个会计年度。</w:t>
      </w:r>
    </w:p>
    <w:p>
      <w:pPr>
        <w:pStyle w:val="Heading2"/>
        <w:spacing w:line="240" w:lineRule="auto" w:before="69"/>
        <w:ind w:left="138" w:right="0"/>
        <w:jc w:val="both"/>
        <w:rPr>
          <w:b w:val="0"/>
          <w:bCs w:val="0"/>
        </w:rPr>
      </w:pPr>
      <w:r>
        <w:rPr>
          <w:rFonts w:ascii="宋体" w:hAnsi="宋体" w:cs="宋体" w:eastAsia="宋体" w:hint="default"/>
        </w:rPr>
        <w:t>3.</w:t>
      </w:r>
      <w:r>
        <w:rPr>
          <w:rFonts w:ascii="宋体" w:hAnsi="宋体" w:cs="宋体" w:eastAsia="宋体" w:hint="default"/>
          <w:spacing w:val="61"/>
        </w:rPr>
        <w:t> </w:t>
      </w:r>
      <w:r>
        <w:rPr/>
        <w:t>营业周期</w:t>
      </w:r>
      <w:r>
        <w:rPr>
          <w:b w:val="0"/>
          <w:bCs w:val="0"/>
        </w:rPr>
      </w:r>
    </w:p>
    <w:p>
      <w:pPr>
        <w:pStyle w:val="BodyText"/>
        <w:spacing w:line="273" w:lineRule="auto" w:before="85"/>
        <w:ind w:left="138" w:right="6311"/>
        <w:jc w:val="left"/>
      </w:pPr>
      <w:r>
        <w:rPr/>
        <w:t>√适用□不适用</w:t>
      </w:r>
      <w:r>
        <w:rPr>
          <w:spacing w:val="-103"/>
        </w:rPr>
        <w:t> </w:t>
      </w:r>
      <w:r>
        <w:rPr>
          <w:spacing w:val="-103"/>
        </w:rPr>
      </w:r>
      <w:r>
        <w:rPr/>
        <w:t>本公司营业周期为</w:t>
      </w:r>
      <w:r>
        <w:rPr>
          <w:spacing w:val="-52"/>
        </w:rPr>
        <w:t> </w:t>
      </w:r>
      <w:r>
        <w:rPr>
          <w:rFonts w:ascii="宋体" w:hAnsi="宋体" w:cs="宋体" w:eastAsia="宋体" w:hint="default"/>
        </w:rPr>
        <w:t>12</w:t>
      </w:r>
      <w:r>
        <w:rPr>
          <w:rFonts w:ascii="宋体" w:hAnsi="宋体" w:cs="宋体" w:eastAsia="宋体" w:hint="default"/>
          <w:spacing w:val="-52"/>
        </w:rPr>
        <w:t> </w:t>
      </w:r>
      <w:r>
        <w:rPr>
          <w:spacing w:val="-3"/>
        </w:rPr>
        <w:t>个月。</w:t>
      </w:r>
      <w:r>
        <w:rPr/>
      </w:r>
    </w:p>
    <w:p>
      <w:pPr>
        <w:pStyle w:val="Heading2"/>
        <w:spacing w:line="240" w:lineRule="auto" w:before="40"/>
        <w:ind w:left="138" w:right="0"/>
        <w:jc w:val="both"/>
        <w:rPr>
          <w:b w:val="0"/>
          <w:bCs w:val="0"/>
        </w:rPr>
      </w:pPr>
      <w:r>
        <w:rPr>
          <w:rFonts w:ascii="宋体" w:hAnsi="宋体" w:cs="宋体" w:eastAsia="宋体" w:hint="default"/>
        </w:rPr>
        <w:t>4.</w:t>
      </w:r>
      <w:r>
        <w:rPr>
          <w:rFonts w:ascii="宋体" w:hAnsi="宋体" w:cs="宋体" w:eastAsia="宋体" w:hint="default"/>
          <w:spacing w:val="60"/>
        </w:rPr>
        <w:t> </w:t>
      </w:r>
      <w:r>
        <w:rPr/>
        <w:t>记账本位币</w:t>
      </w:r>
      <w:r>
        <w:rPr>
          <w:b w:val="0"/>
          <w:bCs w:val="0"/>
        </w:rPr>
      </w:r>
    </w:p>
    <w:p>
      <w:pPr>
        <w:pStyle w:val="BodyText"/>
        <w:spacing w:line="240" w:lineRule="auto" w:before="85"/>
        <w:ind w:left="138" w:right="0"/>
        <w:jc w:val="both"/>
      </w:pPr>
      <w:r>
        <w:rPr/>
        <w:t>采用人民币为记账本位币。</w:t>
      </w:r>
    </w:p>
    <w:p>
      <w:pPr>
        <w:pStyle w:val="Heading2"/>
        <w:spacing w:line="240" w:lineRule="auto" w:before="69"/>
        <w:ind w:left="138" w:right="0"/>
        <w:jc w:val="both"/>
        <w:rPr>
          <w:b w:val="0"/>
          <w:bCs w:val="0"/>
        </w:rPr>
      </w:pPr>
      <w:r>
        <w:rPr>
          <w:rFonts w:ascii="宋体" w:hAnsi="宋体" w:cs="宋体" w:eastAsia="宋体" w:hint="default"/>
        </w:rPr>
        <w:t>5.</w:t>
      </w:r>
      <w:r>
        <w:rPr>
          <w:rFonts w:ascii="宋体" w:hAnsi="宋体" w:cs="宋体" w:eastAsia="宋体" w:hint="default"/>
          <w:spacing w:val="57"/>
        </w:rPr>
        <w:t> </w:t>
      </w:r>
      <w:r>
        <w:rPr/>
        <w:t>同一控制下和非同一控制下企业合并的会计处理方法</w:t>
      </w:r>
      <w:r>
        <w:rPr>
          <w:b w:val="0"/>
          <w:bCs w:val="0"/>
        </w:rPr>
      </w:r>
    </w:p>
    <w:p>
      <w:pPr>
        <w:pStyle w:val="BodyText"/>
        <w:spacing w:line="292" w:lineRule="auto" w:before="86"/>
        <w:ind w:left="558" w:right="0" w:hanging="420"/>
        <w:jc w:val="left"/>
      </w:pPr>
      <w:r>
        <w:rPr/>
        <w:t>√适用□不适用</w:t>
      </w:r>
      <w:r>
        <w:rPr>
          <w:spacing w:val="-103"/>
        </w:rPr>
        <w:t> </w:t>
      </w:r>
      <w:r>
        <w:rPr>
          <w:spacing w:val="-103"/>
        </w:rPr>
      </w:r>
      <w:r>
        <w:rPr>
          <w:rFonts w:ascii="宋体" w:hAnsi="宋体" w:cs="宋体" w:eastAsia="宋体" w:hint="default"/>
          <w:spacing w:val="-4"/>
        </w:rPr>
        <w:t>1</w:t>
      </w:r>
      <w:r>
        <w:rPr>
          <w:spacing w:val="-4"/>
        </w:rPr>
        <w:t>）．分步实现企业合并过程中的各项交易的条款、条件以及经济影响符合以下一种或多种情</w:t>
      </w:r>
    </w:p>
    <w:p>
      <w:pPr>
        <w:pStyle w:val="BodyText"/>
        <w:spacing w:line="314" w:lineRule="auto" w:before="36"/>
        <w:ind w:left="138" w:right="117"/>
        <w:jc w:val="both"/>
      </w:pPr>
      <w:r>
        <w:rPr>
          <w:spacing w:val="-2"/>
        </w:rPr>
        <w:t>况，将多次交易事项作为一揽子交易进行会计处理：这些交易是同时或者在考虑了彼此影响的情</w:t>
      </w:r>
      <w:r>
        <w:rPr>
          <w:spacing w:val="-25"/>
        </w:rPr>
        <w:t> </w:t>
      </w:r>
      <w:r>
        <w:rPr>
          <w:spacing w:val="-25"/>
        </w:rPr>
      </w:r>
      <w:r>
        <w:rPr>
          <w:spacing w:val="-2"/>
        </w:rPr>
        <w:t>况下订立的；这些交易整体才能达成一项完整的商业结果；一项交易的发生取决于其他至少一项</w:t>
      </w:r>
      <w:r>
        <w:rPr>
          <w:spacing w:val="-25"/>
        </w:rPr>
        <w:t> </w:t>
      </w:r>
      <w:r>
        <w:rPr>
          <w:spacing w:val="-25"/>
        </w:rPr>
      </w:r>
      <w:r>
        <w:rPr/>
        <w:t>交易的发生；一项交易单独看是不经济的，但是和其他交易一并考虑时是经济的。</w:t>
      </w:r>
    </w:p>
    <w:p>
      <w:pPr>
        <w:pStyle w:val="BodyText"/>
        <w:spacing w:line="312" w:lineRule="auto" w:before="20"/>
        <w:ind w:left="558" w:right="0"/>
        <w:jc w:val="left"/>
      </w:pPr>
      <w:r>
        <w:rPr>
          <w:rFonts w:ascii="宋体" w:hAnsi="宋体" w:cs="宋体" w:eastAsia="宋体" w:hint="default"/>
        </w:rPr>
        <w:t>2</w:t>
      </w:r>
      <w:r>
        <w:rPr/>
        <w:t>）</w:t>
      </w:r>
      <w:r>
        <w:rPr>
          <w:rFonts w:ascii="宋体" w:hAnsi="宋体" w:cs="宋体" w:eastAsia="宋体" w:hint="default"/>
        </w:rPr>
        <w:t>.</w:t>
      </w:r>
      <w:r>
        <w:rPr/>
        <w:t>同一控制下的企业合并</w:t>
      </w:r>
      <w:r>
        <w:rPr>
          <w:w w:val="100"/>
        </w:rPr>
        <w:t> </w:t>
      </w:r>
      <w:r>
        <w:rPr>
          <w:spacing w:val="-2"/>
        </w:rPr>
        <w:t>本公司在企业合并中取得的资产和负债，按照合并日在被合并方资产、负债（包括最终控制</w:t>
      </w:r>
    </w:p>
    <w:p>
      <w:pPr>
        <w:pStyle w:val="BodyText"/>
        <w:spacing w:line="314" w:lineRule="auto" w:before="22"/>
        <w:ind w:left="138" w:right="117"/>
        <w:jc w:val="both"/>
      </w:pPr>
      <w:r>
        <w:rPr>
          <w:spacing w:val="-2"/>
        </w:rPr>
        <w:t>方收购被合并方而形成的商誉）在最终控制方合并财务报表中的账面价值计量。在合并中取得的</w:t>
      </w:r>
      <w:r>
        <w:rPr>
          <w:spacing w:val="-25"/>
        </w:rPr>
        <w:t> </w:t>
      </w:r>
      <w:r>
        <w:rPr>
          <w:spacing w:val="-25"/>
        </w:rPr>
      </w:r>
      <w:r>
        <w:rPr>
          <w:spacing w:val="-2"/>
        </w:rPr>
        <w:t>净资产账面价值与支付的合并对价账面价值（或发行股份面值总额）的差额，调整资本公积中的</w:t>
      </w:r>
      <w:r>
        <w:rPr>
          <w:spacing w:val="-25"/>
        </w:rPr>
        <w:t> </w:t>
      </w:r>
      <w:r>
        <w:rPr>
          <w:spacing w:val="-25"/>
        </w:rPr>
      </w:r>
      <w:r>
        <w:rPr/>
        <w:t>股本溢价，资本公积中的股本溢价不足冲减的，调整留存收益。</w:t>
      </w:r>
    </w:p>
    <w:p>
      <w:pPr>
        <w:spacing w:after="0" w:line="314" w:lineRule="auto"/>
        <w:jc w:val="both"/>
        <w:sectPr>
          <w:pgSz w:w="11910" w:h="16840"/>
          <w:pgMar w:header="882" w:footer="1195" w:top="1120" w:bottom="1380" w:left="1660" w:right="1160"/>
        </w:sectPr>
      </w:pPr>
    </w:p>
    <w:p>
      <w:pPr>
        <w:spacing w:line="240" w:lineRule="auto" w:before="8"/>
        <w:rPr>
          <w:rFonts w:ascii="宋体" w:hAnsi="宋体" w:cs="宋体" w:eastAsia="宋体" w:hint="default"/>
          <w:sz w:val="28"/>
          <w:szCs w:val="28"/>
        </w:rPr>
      </w:pPr>
    </w:p>
    <w:p>
      <w:pPr>
        <w:pStyle w:val="BodyText"/>
        <w:spacing w:line="314" w:lineRule="auto" w:before="36"/>
        <w:ind w:left="138" w:right="117" w:firstLine="419"/>
        <w:jc w:val="both"/>
      </w:pPr>
      <w:r>
        <w:rPr>
          <w:spacing w:val="-2"/>
        </w:rPr>
        <w:t>如果存在或有对价并需要确认预计负债或资产，该预计负债或资产金额与后续或有对价结算</w:t>
      </w:r>
      <w:r>
        <w:rPr>
          <w:w w:val="100"/>
        </w:rPr>
        <w:t> </w:t>
      </w:r>
      <w:r>
        <w:rPr/>
        <w:t>金额的差额，调整资本公积（资本溢价或股本溢价），资本公积不足的，调整留存收益。</w:t>
      </w:r>
    </w:p>
    <w:p>
      <w:pPr>
        <w:pStyle w:val="BodyText"/>
        <w:spacing w:line="314" w:lineRule="auto" w:before="17"/>
        <w:ind w:left="138" w:right="117" w:firstLine="419"/>
        <w:jc w:val="both"/>
      </w:pPr>
      <w:r>
        <w:rPr>
          <w:spacing w:val="-2"/>
        </w:rPr>
        <w:t>对于通过多次交易最终实现企业合并的，属于一揽子交易的，将各项交易作为一项取得控制</w:t>
      </w:r>
      <w:r>
        <w:rPr>
          <w:w w:val="100"/>
        </w:rPr>
        <w:t> </w:t>
      </w:r>
      <w:r>
        <w:rPr>
          <w:spacing w:val="-2"/>
        </w:rPr>
        <w:t>权的交易进行会计处理；不属于一揽子交易的，在取得控制权日，长期股权投资初始投资成本，</w:t>
      </w:r>
      <w:r>
        <w:rPr>
          <w:spacing w:val="-25"/>
        </w:rPr>
        <w:t> </w:t>
      </w:r>
      <w:r>
        <w:rPr>
          <w:spacing w:val="-25"/>
        </w:rPr>
      </w:r>
      <w:r>
        <w:rPr>
          <w:spacing w:val="-2"/>
        </w:rPr>
        <w:t>与达到合并前的长期股权投资账面价值加上合并日进一步取得股份新支付对价的账面价值之和的</w:t>
      </w:r>
      <w:r>
        <w:rPr>
          <w:spacing w:val="-25"/>
        </w:rPr>
        <w:t> </w:t>
      </w:r>
      <w:r>
        <w:rPr>
          <w:spacing w:val="-25"/>
        </w:rPr>
      </w:r>
      <w:r>
        <w:rPr>
          <w:spacing w:val="-2"/>
        </w:rPr>
        <w:t>差额，调整资本公积；资本公积不足冲减的，调整留存收益。对于合并日之前持有的股权投资，</w:t>
      </w:r>
      <w:r>
        <w:rPr>
          <w:spacing w:val="-25"/>
        </w:rPr>
        <w:t> </w:t>
      </w:r>
      <w:r>
        <w:rPr>
          <w:spacing w:val="-25"/>
        </w:rPr>
      </w:r>
      <w:r>
        <w:rPr>
          <w:spacing w:val="-2"/>
        </w:rPr>
        <w:t>因采用权益法核算或金融工具确认和计量准则核算而确认的其他综合收益，暂不进行会计处理，</w:t>
      </w:r>
      <w:r>
        <w:rPr>
          <w:spacing w:val="-25"/>
        </w:rPr>
        <w:t> </w:t>
      </w:r>
      <w:r>
        <w:rPr>
          <w:spacing w:val="-25"/>
        </w:rPr>
      </w:r>
      <w:r>
        <w:rPr>
          <w:spacing w:val="-2"/>
        </w:rPr>
        <w:t>直至处置该项投资时采用与被投资单位直接处置相关资产或负债相同的基础进行会计处理；因采</w:t>
      </w:r>
      <w:r>
        <w:rPr>
          <w:spacing w:val="-26"/>
        </w:rPr>
        <w:t> </w:t>
      </w:r>
      <w:r>
        <w:rPr>
          <w:spacing w:val="-26"/>
        </w:rPr>
      </w:r>
      <w:r>
        <w:rPr>
          <w:spacing w:val="-2"/>
        </w:rPr>
        <w:t>用权益法核算而确认的被投资单位净资产中除净损益、其他综合收益和利润分配以外的所有者权</w:t>
      </w:r>
      <w:r>
        <w:rPr>
          <w:spacing w:val="-25"/>
        </w:rPr>
        <w:t> </w:t>
      </w:r>
      <w:r>
        <w:rPr>
          <w:spacing w:val="-25"/>
        </w:rPr>
      </w:r>
      <w:r>
        <w:rPr/>
        <w:t>益其他变动，暂不进行会计处理，直至处置该项投资时转入当期损益。</w:t>
      </w:r>
    </w:p>
    <w:p>
      <w:pPr>
        <w:pStyle w:val="BodyText"/>
        <w:spacing w:line="314" w:lineRule="auto" w:before="17"/>
        <w:ind w:left="558" w:right="0"/>
        <w:jc w:val="left"/>
      </w:pPr>
      <w:r>
        <w:rPr>
          <w:rFonts w:ascii="宋体" w:hAnsi="宋体" w:cs="宋体" w:eastAsia="宋体" w:hint="default"/>
        </w:rPr>
        <w:t>3</w:t>
      </w:r>
      <w:r>
        <w:rPr/>
        <w:t>）</w:t>
      </w:r>
      <w:r>
        <w:rPr>
          <w:rFonts w:ascii="宋体" w:hAnsi="宋体" w:cs="宋体" w:eastAsia="宋体" w:hint="default"/>
        </w:rPr>
        <w:t>.</w:t>
      </w:r>
      <w:r>
        <w:rPr/>
        <w:t>非同一控制下的企业合并</w:t>
      </w:r>
      <w:r>
        <w:rPr>
          <w:w w:val="100"/>
        </w:rPr>
        <w:t> </w:t>
      </w:r>
      <w:r>
        <w:rPr>
          <w:spacing w:val="-2"/>
        </w:rPr>
        <w:t>购买日是指本公司实际取得对被购买方控制权的日期，即被购买方的净资产或生产经营决策</w:t>
      </w:r>
    </w:p>
    <w:p>
      <w:pPr>
        <w:pStyle w:val="BodyText"/>
        <w:spacing w:line="240" w:lineRule="auto" w:before="17"/>
        <w:ind w:left="138" w:right="0"/>
        <w:jc w:val="left"/>
      </w:pPr>
      <w:r>
        <w:rPr/>
        <w:t>的控制权转移给本公司的日期。同时满足下列条件时，本公司一般认为实现了控制权的转移：</w:t>
      </w:r>
    </w:p>
    <w:p>
      <w:pPr>
        <w:pStyle w:val="BodyText"/>
        <w:spacing w:line="240" w:lineRule="auto" w:before="85"/>
        <w:ind w:left="558" w:right="1055"/>
        <w:jc w:val="left"/>
      </w:pPr>
      <w:r>
        <w:rPr/>
        <w:t>①企业合并合同或协议已获本公司内部权力机构通过。</w:t>
      </w:r>
    </w:p>
    <w:p>
      <w:pPr>
        <w:pStyle w:val="BodyText"/>
        <w:spacing w:line="240" w:lineRule="auto" w:before="82"/>
        <w:ind w:left="558" w:right="1055"/>
        <w:jc w:val="left"/>
      </w:pPr>
      <w:r>
        <w:rPr/>
        <w:t>②企业合并事项需要经过国家有关主管部门审批的，已获得批准。</w:t>
      </w:r>
    </w:p>
    <w:p>
      <w:pPr>
        <w:pStyle w:val="BodyText"/>
        <w:spacing w:line="240" w:lineRule="auto" w:before="85"/>
        <w:ind w:left="558" w:right="1055"/>
        <w:jc w:val="left"/>
      </w:pPr>
      <w:r>
        <w:rPr/>
        <w:t>③已办理了必要的财产权转移手续。</w:t>
      </w:r>
    </w:p>
    <w:p>
      <w:pPr>
        <w:pStyle w:val="BodyText"/>
        <w:spacing w:line="240" w:lineRule="auto" w:before="82"/>
        <w:ind w:left="558" w:right="1055"/>
        <w:jc w:val="left"/>
      </w:pPr>
      <w:r>
        <w:rPr/>
        <w:t>④本公司已支付了合并价款的大部分，并且有能力、有计划支付剩余款项。</w:t>
      </w:r>
    </w:p>
    <w:p>
      <w:pPr>
        <w:pStyle w:val="BodyText"/>
        <w:spacing w:line="312" w:lineRule="auto" w:before="85"/>
        <w:ind w:left="138" w:right="117" w:firstLine="419"/>
        <w:jc w:val="both"/>
      </w:pPr>
      <w:r>
        <w:rPr>
          <w:spacing w:val="-2"/>
        </w:rPr>
        <w:t>⑤本公司实际上已经控制了被购买方的财务和经营政策，并享有相应的利益、承担相应的风</w:t>
      </w:r>
      <w:r>
        <w:rPr>
          <w:w w:val="100"/>
        </w:rPr>
        <w:t> </w:t>
      </w:r>
      <w:r>
        <w:rPr/>
        <w:t>险。</w:t>
      </w:r>
    </w:p>
    <w:p>
      <w:pPr>
        <w:pStyle w:val="BodyText"/>
        <w:spacing w:line="312" w:lineRule="auto" w:before="22"/>
        <w:ind w:left="138" w:right="117" w:firstLine="419"/>
        <w:jc w:val="both"/>
      </w:pPr>
      <w:r>
        <w:rPr>
          <w:spacing w:val="-2"/>
        </w:rPr>
        <w:t>本公司在购买日对作为企业合并对价付出的资产、发生或承担的负债按照公允价值计量，公</w:t>
      </w:r>
      <w:r>
        <w:rPr>
          <w:w w:val="100"/>
        </w:rPr>
        <w:t> </w:t>
      </w:r>
      <w:r>
        <w:rPr/>
        <w:t>允价值与其账面价值的差额，计入当期损益。</w:t>
      </w:r>
    </w:p>
    <w:p>
      <w:pPr>
        <w:pStyle w:val="BodyText"/>
        <w:spacing w:line="314" w:lineRule="auto" w:before="22"/>
        <w:ind w:left="138" w:right="117" w:firstLine="419"/>
        <w:jc w:val="both"/>
      </w:pPr>
      <w:r>
        <w:rPr>
          <w:spacing w:val="-2"/>
        </w:rPr>
        <w:t>本公司对合并成本大于合并中取得的被购买方可辨认净资产公允价值份额的差额，确认为商</w:t>
      </w:r>
      <w:r>
        <w:rPr>
          <w:w w:val="100"/>
        </w:rPr>
        <w:t> </w:t>
      </w:r>
      <w:r>
        <w:rPr>
          <w:spacing w:val="-2"/>
        </w:rPr>
        <w:t>誉；合并成本小于合并中取得的被购买方可辨认净资产公允价值份额的差额，经复核后，计入当</w:t>
      </w:r>
      <w:r>
        <w:rPr>
          <w:spacing w:val="-25"/>
        </w:rPr>
        <w:t> </w:t>
      </w:r>
      <w:r>
        <w:rPr>
          <w:spacing w:val="-25"/>
        </w:rPr>
      </w:r>
      <w:r>
        <w:rPr/>
        <w:t>期损益。</w:t>
      </w:r>
    </w:p>
    <w:p>
      <w:pPr>
        <w:pStyle w:val="BodyText"/>
        <w:spacing w:line="314" w:lineRule="auto" w:before="17"/>
        <w:ind w:left="138" w:right="117" w:firstLine="419"/>
        <w:jc w:val="both"/>
      </w:pPr>
      <w:r>
        <w:rPr>
          <w:spacing w:val="-2"/>
        </w:rPr>
        <w:t>通过多次交换交易分步实现的非同一控制下企业合并，属于一揽子交易的，将各项交易作为</w:t>
      </w:r>
      <w:r>
        <w:rPr>
          <w:w w:val="100"/>
        </w:rPr>
        <w:t> </w:t>
      </w:r>
      <w:r>
        <w:rPr>
          <w:spacing w:val="-2"/>
        </w:rPr>
        <w:t>一项取得控制权的交易进行会计处理；不属于一揽子交易的，合并日之前持有的股权投资采用权</w:t>
      </w:r>
      <w:r>
        <w:rPr>
          <w:spacing w:val="-25"/>
        </w:rPr>
        <w:t> </w:t>
      </w:r>
      <w:r>
        <w:rPr>
          <w:spacing w:val="-25"/>
        </w:rPr>
      </w:r>
      <w:r>
        <w:rPr>
          <w:spacing w:val="-2"/>
        </w:rPr>
        <w:t>益法核算的，以购买日之前所持被购买方的股权投资的账面价值与购买日新增投资成本之和，作</w:t>
      </w:r>
      <w:r>
        <w:rPr>
          <w:spacing w:val="-25"/>
        </w:rPr>
        <w:t> </w:t>
      </w:r>
      <w:r>
        <w:rPr>
          <w:spacing w:val="-25"/>
        </w:rPr>
      </w:r>
      <w:r>
        <w:rPr>
          <w:spacing w:val="-2"/>
        </w:rPr>
        <w:t>为该项投资的初始投资成本；购买日之前持有的股权投资因采用权益法核算而确认的其他综合收</w:t>
      </w:r>
      <w:r>
        <w:rPr>
          <w:spacing w:val="-25"/>
        </w:rPr>
        <w:t> </w:t>
      </w:r>
      <w:r>
        <w:rPr>
          <w:spacing w:val="-25"/>
        </w:rPr>
      </w:r>
      <w:r>
        <w:rPr>
          <w:spacing w:val="-2"/>
        </w:rPr>
        <w:t>益，在处置该项投资时采用与被投资单位直接处置相关资产或负债相同的基础进行会计处理。合</w:t>
      </w:r>
      <w:r>
        <w:rPr>
          <w:spacing w:val="-25"/>
        </w:rPr>
        <w:t> </w:t>
      </w:r>
      <w:r>
        <w:rPr>
          <w:spacing w:val="-25"/>
        </w:rPr>
      </w:r>
      <w:r>
        <w:rPr>
          <w:spacing w:val="-2"/>
        </w:rPr>
        <w:t>并日之前持有的股权投资采用金融工具确认和计量准则核算的，以该股权投资在合并日的公允价</w:t>
      </w:r>
      <w:r>
        <w:rPr>
          <w:spacing w:val="-25"/>
        </w:rPr>
        <w:t> </w:t>
      </w:r>
      <w:r>
        <w:rPr>
          <w:spacing w:val="-25"/>
        </w:rPr>
      </w:r>
      <w:r>
        <w:rPr>
          <w:spacing w:val="-2"/>
        </w:rPr>
        <w:t>值加上新增投资成本之和，作为合并日的初始投资成本。原持有股权的公允价值与账面价值之间</w:t>
      </w:r>
      <w:r>
        <w:rPr>
          <w:spacing w:val="-25"/>
        </w:rPr>
        <w:t> </w:t>
      </w:r>
      <w:r>
        <w:rPr>
          <w:spacing w:val="-25"/>
        </w:rPr>
      </w:r>
      <w:r>
        <w:rPr/>
        <w:t>的差额以及原计入其他综合收益的累计公允价值变动应全部转入合并日当期的投资收益。</w:t>
      </w:r>
    </w:p>
    <w:p>
      <w:pPr>
        <w:pStyle w:val="BodyText"/>
        <w:spacing w:line="314" w:lineRule="auto" w:before="17"/>
        <w:ind w:left="558" w:right="0"/>
        <w:jc w:val="left"/>
      </w:pPr>
      <w:r>
        <w:rPr>
          <w:rFonts w:ascii="宋体" w:hAnsi="宋体" w:cs="宋体" w:eastAsia="宋体" w:hint="default"/>
        </w:rPr>
        <w:t>4</w:t>
      </w:r>
      <w:r>
        <w:rPr/>
        <w:t>）</w:t>
      </w:r>
      <w:r>
        <w:rPr>
          <w:rFonts w:ascii="宋体" w:hAnsi="宋体" w:cs="宋体" w:eastAsia="宋体" w:hint="default"/>
        </w:rPr>
        <w:t>.</w:t>
      </w:r>
      <w:r>
        <w:rPr/>
        <w:t>为合并发生的相关费用</w:t>
      </w:r>
      <w:r>
        <w:rPr>
          <w:w w:val="100"/>
        </w:rPr>
        <w:t> </w:t>
      </w:r>
      <w:r>
        <w:rPr>
          <w:spacing w:val="-2"/>
        </w:rPr>
        <w:t>为企业合并发生的审计、法律服务、评估咨询等中介费用以及其他直接相关费用，于发生时</w:t>
      </w:r>
    </w:p>
    <w:p>
      <w:pPr>
        <w:pStyle w:val="BodyText"/>
        <w:spacing w:line="314" w:lineRule="auto" w:before="17"/>
        <w:ind w:left="138" w:right="0"/>
        <w:jc w:val="left"/>
      </w:pPr>
      <w:r>
        <w:rPr>
          <w:spacing w:val="-2"/>
        </w:rPr>
        <w:t>计入当期损益；为企业合并而发行权益性证券的交易费用，可直接归属于权益性交易的从权益中</w:t>
      </w:r>
      <w:r>
        <w:rPr>
          <w:spacing w:val="-25"/>
        </w:rPr>
        <w:t> </w:t>
      </w:r>
      <w:r>
        <w:rPr>
          <w:spacing w:val="-25"/>
        </w:rPr>
      </w:r>
      <w:r>
        <w:rPr/>
        <w:t>扣减。</w:t>
      </w:r>
    </w:p>
    <w:p>
      <w:pPr>
        <w:spacing w:after="0" w:line="314" w:lineRule="auto"/>
        <w:jc w:val="left"/>
        <w:sectPr>
          <w:pgSz w:w="11910" w:h="16840"/>
          <w:pgMar w:header="882" w:footer="1195" w:top="1120" w:bottom="1380" w:left="1660" w:right="1160"/>
        </w:sectPr>
      </w:pPr>
    </w:p>
    <w:p>
      <w:pPr>
        <w:spacing w:line="240" w:lineRule="auto" w:before="5"/>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6.</w:t>
      </w:r>
      <w:r>
        <w:rPr>
          <w:rFonts w:ascii="宋体" w:hAnsi="宋体" w:cs="宋体" w:eastAsia="宋体" w:hint="default"/>
          <w:spacing w:val="58"/>
        </w:rPr>
        <w:t> </w:t>
      </w:r>
      <w:r>
        <w:rPr/>
        <w:t>合并财务报表的编制方法</w:t>
      </w:r>
      <w:r>
        <w:rPr>
          <w:b w:val="0"/>
          <w:bCs w:val="0"/>
        </w:rPr>
      </w:r>
    </w:p>
    <w:p>
      <w:pPr>
        <w:pStyle w:val="BodyText"/>
        <w:spacing w:line="292" w:lineRule="auto" w:before="85"/>
        <w:ind w:left="138" w:right="7665"/>
        <w:jc w:val="left"/>
      </w:pPr>
      <w:r>
        <w:rPr>
          <w:spacing w:val="-1"/>
        </w:rPr>
        <w:t>√适用□不适用</w:t>
      </w:r>
      <w:r>
        <w:rPr>
          <w:spacing w:val="-96"/>
        </w:rPr>
        <w:t> </w:t>
      </w:r>
      <w:r>
        <w:rPr>
          <w:spacing w:val="-96"/>
        </w:rPr>
      </w:r>
      <w:r>
        <w:rPr/>
        <w:t>合并范围</w:t>
      </w:r>
    </w:p>
    <w:p>
      <w:pPr>
        <w:pStyle w:val="BodyText"/>
        <w:spacing w:line="312" w:lineRule="auto" w:before="39"/>
        <w:ind w:left="138" w:right="317" w:firstLine="419"/>
        <w:jc w:val="both"/>
      </w:pPr>
      <w:r>
        <w:rPr>
          <w:spacing w:val="-2"/>
        </w:rPr>
        <w:t>本公司合并财务报表的合并范围以控制为基础确定，所有子公司（包括本公司所控制的单独</w:t>
      </w:r>
      <w:r>
        <w:rPr>
          <w:w w:val="100"/>
        </w:rPr>
        <w:t> </w:t>
      </w:r>
      <w:r>
        <w:rPr/>
        <w:t>主体）均纳入合并财务报表。</w:t>
      </w:r>
    </w:p>
    <w:p>
      <w:pPr>
        <w:pStyle w:val="BodyText"/>
        <w:spacing w:line="312" w:lineRule="auto" w:before="22"/>
        <w:ind w:left="558" w:right="215"/>
        <w:jc w:val="left"/>
      </w:pPr>
      <w:r>
        <w:rPr/>
        <w:t>合并程序</w:t>
      </w:r>
      <w:r>
        <w:rPr>
          <w:w w:val="100"/>
        </w:rPr>
        <w:t> </w:t>
      </w:r>
      <w:r>
        <w:rPr>
          <w:spacing w:val="-2"/>
        </w:rPr>
        <w:t>本公司以自身和各子公司的财务报表为基础，根据其他有关资料，编制合并财务报表。本公</w:t>
      </w:r>
    </w:p>
    <w:p>
      <w:pPr>
        <w:pStyle w:val="BodyText"/>
        <w:spacing w:line="312" w:lineRule="auto" w:before="22"/>
        <w:ind w:left="138" w:right="317"/>
        <w:jc w:val="both"/>
      </w:pP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p>
    <w:p>
      <w:pPr>
        <w:pStyle w:val="BodyText"/>
        <w:spacing w:line="314" w:lineRule="auto" w:before="22"/>
        <w:ind w:left="138" w:right="317" w:firstLine="419"/>
        <w:jc w:val="both"/>
      </w:pPr>
      <w:r>
        <w:rPr>
          <w:spacing w:val="-2"/>
        </w:rPr>
        <w:t>所有纳入合并财务报表合并范围的子公司所采用的会计政策、会计期间与本公司一致，如子</w:t>
      </w:r>
      <w:r>
        <w:rPr>
          <w:w w:val="100"/>
        </w:rPr>
        <w:t> </w:t>
      </w:r>
      <w:r>
        <w:rPr>
          <w:spacing w:val="-2"/>
        </w:rPr>
        <w:t>公司采用的会计政策、会计期间与本公司不一致的，在编制合并财务报表时，按本公司的会计政</w:t>
      </w:r>
      <w:r>
        <w:rPr>
          <w:spacing w:val="-25"/>
        </w:rPr>
        <w:t> </w:t>
      </w:r>
      <w:r>
        <w:rPr>
          <w:spacing w:val="-25"/>
        </w:rPr>
      </w:r>
      <w:r>
        <w:rPr/>
        <w:t>策、会计期间进行必要的调整。</w:t>
      </w:r>
    </w:p>
    <w:p>
      <w:pPr>
        <w:pStyle w:val="BodyText"/>
        <w:spacing w:line="314" w:lineRule="auto" w:before="17"/>
        <w:ind w:left="138" w:right="317" w:firstLine="419"/>
        <w:jc w:val="both"/>
      </w:pPr>
      <w:r>
        <w:rPr>
          <w:spacing w:val="-2"/>
        </w:rPr>
        <w:t>合并财务报表时抵销本公司与各子公司、各子公司相互之间发生的内部交易对合并资产负债</w:t>
      </w:r>
      <w:r>
        <w:rPr>
          <w:w w:val="100"/>
        </w:rPr>
        <w:t> </w:t>
      </w:r>
      <w:r>
        <w:rPr>
          <w:spacing w:val="-2"/>
        </w:rPr>
        <w:t>表、合并利润表、合并现金流量表、合并股东权益变动表的影响。如果站在企业集团合并财务报</w:t>
      </w:r>
      <w:r>
        <w:rPr>
          <w:spacing w:val="-25"/>
        </w:rPr>
        <w:t> </w:t>
      </w:r>
      <w:r>
        <w:rPr>
          <w:spacing w:val="-25"/>
        </w:rPr>
      </w:r>
      <w:r>
        <w:rPr>
          <w:spacing w:val="-2"/>
        </w:rPr>
        <w:t>表角度与以本公司或子公司为会计主体对同一交易的认定不同时，从企业集团的角度对该交易予</w:t>
      </w:r>
      <w:r>
        <w:rPr>
          <w:spacing w:val="-25"/>
        </w:rPr>
        <w:t> </w:t>
      </w:r>
      <w:r>
        <w:rPr>
          <w:spacing w:val="-25"/>
        </w:rPr>
      </w:r>
      <w:r>
        <w:rPr/>
        <w:t>以调整。</w:t>
      </w:r>
    </w:p>
    <w:p>
      <w:pPr>
        <w:pStyle w:val="BodyText"/>
        <w:spacing w:line="314" w:lineRule="auto" w:before="17"/>
        <w:ind w:left="138" w:right="317" w:firstLine="419"/>
        <w:jc w:val="both"/>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p>
    <w:p>
      <w:pPr>
        <w:pStyle w:val="BodyText"/>
        <w:spacing w:line="314" w:lineRule="auto" w:before="17"/>
        <w:ind w:left="138" w:right="215" w:firstLine="419"/>
        <w:jc w:val="left"/>
      </w:pPr>
      <w:r>
        <w:rPr>
          <w:spacing w:val="-2"/>
        </w:rPr>
        <w:t>对于同一控制下企业合并取得的子公司，以其资产、负债（包括最终控制方收购该子公司而</w:t>
      </w:r>
      <w:r>
        <w:rPr>
          <w:w w:val="100"/>
        </w:rPr>
        <w:t> </w:t>
      </w:r>
      <w:r>
        <w:rPr/>
        <w:t>形成的商誉）在最终控制方财务报表中的账面价值为基础对其财务报表进行调整。</w:t>
      </w:r>
      <w:r>
        <w:rPr>
          <w:w w:val="100"/>
        </w:rPr>
        <w:t> </w:t>
      </w:r>
      <w:r>
        <w:rPr>
          <w:spacing w:val="-2"/>
        </w:rPr>
        <w:t>对于非同一控制下企业合并取得的子公司，以购买日可辨认净资产公允价值为基础对其财务报表</w:t>
      </w:r>
      <w:r>
        <w:rPr>
          <w:spacing w:val="-25"/>
        </w:rPr>
        <w:t> </w:t>
      </w:r>
      <w:r>
        <w:rPr>
          <w:spacing w:val="-25"/>
        </w:rPr>
      </w:r>
      <w:r>
        <w:rPr/>
        <w:t>进行调整</w:t>
      </w:r>
    </w:p>
    <w:p>
      <w:pPr>
        <w:pStyle w:val="BodyText"/>
        <w:spacing w:line="314" w:lineRule="auto" w:before="17"/>
        <w:ind w:left="558" w:right="215"/>
        <w:jc w:val="left"/>
      </w:pPr>
      <w:r>
        <w:rPr>
          <w:rFonts w:ascii="宋体" w:hAnsi="宋体" w:cs="宋体" w:eastAsia="宋体" w:hint="default"/>
        </w:rPr>
        <w:t>(1)</w:t>
      </w:r>
      <w:r>
        <w:rPr/>
        <w:t>增加子公司或业务</w:t>
      </w:r>
      <w:r>
        <w:rPr>
          <w:w w:val="100"/>
        </w:rPr>
        <w:t> </w:t>
      </w:r>
      <w:r>
        <w:rPr>
          <w:spacing w:val="-2"/>
        </w:rPr>
        <w:t>在报告期内，若因同一控制下企业合并增加子公司或业务的，则调整合并资产负债表的期初</w:t>
      </w:r>
    </w:p>
    <w:p>
      <w:pPr>
        <w:pStyle w:val="BodyText"/>
        <w:spacing w:line="314" w:lineRule="auto" w:before="17"/>
        <w:ind w:left="138" w:right="317"/>
        <w:jc w:val="both"/>
      </w:pP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r>
        <w:rPr>
          <w:spacing w:val="-25"/>
        </w:rPr>
        <w:t> </w:t>
      </w:r>
      <w:r>
        <w:rPr>
          <w:spacing w:val="-25"/>
        </w:rPr>
      </w:r>
      <w:r>
        <w:rPr/>
        <w:t>调整，视同合并后的报告主体自最终控制方开始控制时点起一直存在。</w:t>
      </w:r>
    </w:p>
    <w:p>
      <w:pPr>
        <w:pStyle w:val="BodyText"/>
        <w:spacing w:line="312" w:lineRule="auto" w:before="20"/>
        <w:ind w:left="138" w:right="123" w:firstLine="419"/>
        <w:jc w:val="left"/>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r>
        <w:rPr>
          <w:w w:val="100"/>
        </w:rPr>
        <w:t> </w:t>
      </w:r>
      <w:r>
        <w:rPr>
          <w:spacing w:val="-2"/>
        </w:rPr>
        <w:t>取得原股权之日与合并方和被合并方同处于同一控制之日孰晚日起至合并日之间已确认有关损益、</w:t>
      </w:r>
      <w:r>
        <w:rPr>
          <w:spacing w:val="-13"/>
        </w:rPr>
        <w:t> </w:t>
      </w:r>
      <w:r>
        <w:rPr>
          <w:spacing w:val="-13"/>
        </w:rPr>
      </w:r>
      <w:r>
        <w:rPr/>
        <w:t>其他综合收益以及其他净资产变动，分别冲减比较报表期间的期初留存收益或当期损益。</w:t>
      </w:r>
    </w:p>
    <w:p>
      <w:pPr>
        <w:pStyle w:val="BodyText"/>
        <w:spacing w:line="314" w:lineRule="auto" w:before="22"/>
        <w:ind w:left="138" w:right="317" w:firstLine="419"/>
        <w:jc w:val="both"/>
      </w:pPr>
      <w:r>
        <w:rPr>
          <w:spacing w:val="-2"/>
        </w:rPr>
        <w:t>在报告期内，若因非同一控制下企业合并增加子公司或业务的，则不调整合并资产负债表期</w:t>
      </w:r>
      <w:r>
        <w:rPr>
          <w:w w:val="100"/>
        </w:rPr>
        <w:t> </w:t>
      </w:r>
      <w:r>
        <w:rPr>
          <w:spacing w:val="-2"/>
        </w:rPr>
        <w:t>初数；将该子公司或业务自购买日至报告期末的收入、费用、利润纳入合并利润表；该子公司或</w:t>
      </w:r>
      <w:r>
        <w:rPr>
          <w:spacing w:val="-25"/>
        </w:rPr>
        <w:t> </w:t>
      </w:r>
      <w:r>
        <w:rPr>
          <w:spacing w:val="-25"/>
        </w:rPr>
      </w:r>
      <w:r>
        <w:rPr/>
        <w:t>业务自购买日至报告期末的现金流量纳入合并现金流量表。</w:t>
      </w:r>
    </w:p>
    <w:p>
      <w:pPr>
        <w:pStyle w:val="BodyText"/>
        <w:spacing w:line="314" w:lineRule="auto" w:before="18"/>
        <w:ind w:left="138" w:right="317" w:firstLine="419"/>
        <w:jc w:val="both"/>
      </w:pPr>
      <w:r>
        <w:rPr>
          <w:spacing w:val="-2"/>
        </w:rPr>
        <w:t>因追加投资等原因能够对非同一控制下的被投资方实施控制的，对于购买日之前持有的被购</w:t>
      </w:r>
      <w:r>
        <w:rPr>
          <w:w w:val="100"/>
        </w:rPr>
        <w:t> </w:t>
      </w:r>
      <w:r>
        <w:rPr>
          <w:spacing w:val="-2"/>
        </w:rPr>
        <w:t>买方的股权，本公司按照该股权在购买日的公允价值进行重新计量，公允价值与其账面价值的差</w:t>
      </w:r>
    </w:p>
    <w:p>
      <w:pPr>
        <w:spacing w:after="0" w:line="314" w:lineRule="auto"/>
        <w:jc w:val="both"/>
        <w:sectPr>
          <w:footerReference w:type="default" r:id="rId46"/>
          <w:pgSz w:w="11910" w:h="16840"/>
          <w:pgMar w:footer="1195" w:header="882" w:top="1120" w:bottom="1380" w:left="1660" w:right="960"/>
        </w:sectPr>
      </w:pPr>
    </w:p>
    <w:p>
      <w:pPr>
        <w:spacing w:line="240" w:lineRule="auto" w:before="8"/>
        <w:rPr>
          <w:rFonts w:ascii="宋体" w:hAnsi="宋体" w:cs="宋体" w:eastAsia="宋体" w:hint="default"/>
          <w:sz w:val="28"/>
          <w:szCs w:val="28"/>
        </w:rPr>
      </w:pPr>
    </w:p>
    <w:p>
      <w:pPr>
        <w:pStyle w:val="BodyText"/>
        <w:spacing w:line="314" w:lineRule="auto" w:before="36"/>
        <w:ind w:left="138" w:right="217"/>
        <w:jc w:val="both"/>
      </w:pPr>
      <w:r>
        <w:rPr>
          <w:spacing w:val="-2"/>
        </w:rPr>
        <w:t>额计入当期投资收益。购买日之前持有的被购买方的股权涉及权益法核算下的其他综合收益以及</w:t>
      </w:r>
      <w:r>
        <w:rPr>
          <w:spacing w:val="-25"/>
        </w:rPr>
        <w:t> </w:t>
      </w:r>
      <w:r>
        <w:rPr>
          <w:spacing w:val="-25"/>
        </w:rPr>
      </w:r>
      <w:r>
        <w:rPr>
          <w:spacing w:val="-2"/>
        </w:rPr>
        <w:t>除净损益、其他综合收益和利润分配之外的其他所有者权益变动的，与其相关的其他综合收益、</w:t>
      </w:r>
      <w:r>
        <w:rPr>
          <w:spacing w:val="-25"/>
        </w:rPr>
        <w:t> </w:t>
      </w:r>
      <w:r>
        <w:rPr>
          <w:spacing w:val="-25"/>
        </w:rPr>
      </w:r>
      <w:r>
        <w:rPr>
          <w:spacing w:val="-2"/>
        </w:rPr>
        <w:t>其他所有者权益变动转为购买日所属当期投资收益，由于被投资方重新计量设定受益计划净负债</w:t>
      </w:r>
      <w:r>
        <w:rPr>
          <w:spacing w:val="-25"/>
        </w:rPr>
        <w:t> </w:t>
      </w:r>
      <w:r>
        <w:rPr>
          <w:spacing w:val="-25"/>
        </w:rPr>
      </w:r>
      <w:r>
        <w:rPr/>
        <w:t>或净资产变动而产生的其他综合收益除外。</w:t>
      </w:r>
    </w:p>
    <w:p>
      <w:pPr>
        <w:pStyle w:val="BodyText"/>
        <w:spacing w:line="314" w:lineRule="auto" w:before="17"/>
        <w:ind w:left="558" w:right="5100"/>
        <w:jc w:val="left"/>
      </w:pPr>
      <w:r>
        <w:rPr>
          <w:rFonts w:ascii="宋体" w:hAnsi="宋体" w:cs="宋体" w:eastAsia="宋体" w:hint="default"/>
          <w:spacing w:val="-2"/>
        </w:rPr>
        <w:t>(2)</w:t>
      </w:r>
      <w:r>
        <w:rPr>
          <w:spacing w:val="-2"/>
        </w:rPr>
        <w:t>处置子公司或业务</w:t>
      </w:r>
      <w:r>
        <w:rPr>
          <w:spacing w:val="-84"/>
        </w:rPr>
        <w:t> </w:t>
      </w:r>
      <w:r>
        <w:rPr>
          <w:spacing w:val="-84"/>
        </w:rPr>
      </w:r>
      <w:r>
        <w:rPr>
          <w:rFonts w:ascii="宋体" w:hAnsi="宋体" w:cs="宋体" w:eastAsia="宋体" w:hint="default"/>
        </w:rPr>
        <w:t>1</w:t>
      </w:r>
      <w:r>
        <w:rPr/>
        <w:t>）一般处理方法</w:t>
      </w:r>
    </w:p>
    <w:p>
      <w:pPr>
        <w:pStyle w:val="BodyText"/>
        <w:spacing w:line="314" w:lineRule="auto" w:before="17"/>
        <w:ind w:left="138" w:right="101" w:firstLine="419"/>
        <w:jc w:val="left"/>
      </w:pPr>
      <w:r>
        <w:rPr>
          <w:spacing w:val="-2"/>
        </w:rPr>
        <w:t>在报告期内，本公司处置子公司或业务，则该子公司或业务期初至处置日的收入、费用、利</w:t>
      </w:r>
      <w:r>
        <w:rPr>
          <w:w w:val="100"/>
        </w:rPr>
        <w:t> </w:t>
      </w:r>
      <w:r>
        <w:rPr/>
        <w:t>润纳入合并利润表；该子公司或业务期初至处置日的现金流量纳入合并现金流量表。</w:t>
      </w:r>
    </w:p>
    <w:p>
      <w:pPr>
        <w:pStyle w:val="BodyText"/>
        <w:spacing w:line="314" w:lineRule="auto" w:before="17"/>
        <w:ind w:left="138" w:right="217" w:firstLine="419"/>
        <w:jc w:val="both"/>
      </w:pPr>
      <w:r>
        <w:rPr>
          <w:spacing w:val="-2"/>
        </w:rPr>
        <w:t>因处置部分股权投资或其他原因丧失了对被投资方控制权时，对于处置后的剩余股权投资，</w:t>
      </w:r>
      <w:r>
        <w:rPr>
          <w:w w:val="100"/>
        </w:rPr>
        <w:t> </w:t>
      </w:r>
      <w:r>
        <w:rPr>
          <w:spacing w:val="-2"/>
        </w:rPr>
        <w:t>本公司按照其在丧失控制权日的公允价值进行重新计量。处置股权取得的对价与剩余股权公允价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值之和，减去按原持股比例计算应享有原有子公司自购买日或合并日开始持续计算的净资产的份</w:t>
      </w:r>
      <w:r>
        <w:rPr>
          <w:spacing w:val="-25"/>
        </w:rPr>
        <w:t> </w:t>
      </w:r>
      <w:r>
        <w:rPr>
          <w:spacing w:val="-25"/>
        </w:rPr>
      </w:r>
      <w:r>
        <w:rPr>
          <w:spacing w:val="-2"/>
        </w:rPr>
        <w:t>额与商誉之和的差额，计入丧失控制权当期的投资收益。与原有子公司股权投资相关的其他综合</w:t>
      </w:r>
      <w:r>
        <w:rPr>
          <w:spacing w:val="-25"/>
        </w:rPr>
        <w:t> </w:t>
      </w:r>
      <w:r>
        <w:rPr>
          <w:spacing w:val="-25"/>
        </w:rPr>
      </w:r>
      <w:r>
        <w:rPr>
          <w:spacing w:val="-2"/>
        </w:rPr>
        <w:t>收益或除净损益、其他综合收益及利润分配之外的其他所有者权益变动，在丧失控制权时转为当</w:t>
      </w:r>
      <w:r>
        <w:rPr>
          <w:spacing w:val="-25"/>
        </w:rPr>
        <w:t> </w:t>
      </w:r>
      <w:r>
        <w:rPr>
          <w:spacing w:val="-25"/>
        </w:rPr>
      </w:r>
      <w:r>
        <w:rPr>
          <w:spacing w:val="-2"/>
        </w:rPr>
        <w:t>期投资收益，由于被投资方重新计量设定受益计划净负债或净资产变动而产生的其他综合收益除</w:t>
      </w:r>
      <w:r>
        <w:rPr>
          <w:spacing w:val="-25"/>
        </w:rPr>
        <w:t> </w:t>
      </w:r>
      <w:r>
        <w:rPr>
          <w:spacing w:val="-25"/>
        </w:rPr>
      </w:r>
      <w:r>
        <w:rPr/>
        <w:t>外。</w:t>
      </w:r>
    </w:p>
    <w:p>
      <w:pPr>
        <w:pStyle w:val="BodyText"/>
        <w:spacing w:line="312" w:lineRule="auto" w:before="20"/>
        <w:ind w:left="558" w:right="101"/>
        <w:jc w:val="left"/>
      </w:pPr>
      <w:r>
        <w:rPr>
          <w:rFonts w:ascii="宋体" w:hAnsi="宋体" w:cs="宋体" w:eastAsia="宋体" w:hint="default"/>
        </w:rPr>
        <w:t>2</w:t>
      </w:r>
      <w:r>
        <w:rPr/>
        <w:t>）分步处置子公司</w:t>
      </w:r>
      <w:r>
        <w:rPr>
          <w:w w:val="100"/>
        </w:rPr>
        <w:t> </w:t>
      </w:r>
      <w:r>
        <w:rPr>
          <w:spacing w:val="-2"/>
        </w:rPr>
        <w:t>通过多次交易分步处置对子公司股权投资直至丧失控制权的，处置对子公司股权投资的各项</w:t>
      </w:r>
    </w:p>
    <w:p>
      <w:pPr>
        <w:pStyle w:val="BodyText"/>
        <w:spacing w:line="312" w:lineRule="auto" w:before="22"/>
        <w:ind w:left="138" w:right="217"/>
        <w:jc w:val="both"/>
      </w:pPr>
      <w:r>
        <w:rPr>
          <w:spacing w:val="-2"/>
        </w:rPr>
        <w:t>交易的条款、条件以及经济影响符合以下一种或多种情况，通常表明应将多次交易事项作为一揽</w:t>
      </w:r>
      <w:r>
        <w:rPr>
          <w:spacing w:val="-25"/>
        </w:rPr>
        <w:t> </w:t>
      </w:r>
      <w:r>
        <w:rPr>
          <w:spacing w:val="-25"/>
        </w:rPr>
      </w:r>
      <w:r>
        <w:rPr/>
        <w:t>子交易进行会计处理：</w:t>
      </w:r>
    </w:p>
    <w:p>
      <w:pPr>
        <w:pStyle w:val="BodyText"/>
        <w:spacing w:line="314" w:lineRule="auto" w:before="22"/>
        <w:ind w:left="558" w:right="101"/>
        <w:jc w:val="left"/>
      </w:pPr>
      <w:r>
        <w:rPr>
          <w:rFonts w:ascii="宋体" w:hAnsi="宋体" w:cs="宋体" w:eastAsia="宋体" w:hint="default"/>
        </w:rPr>
        <w:t>A.</w:t>
      </w:r>
      <w:r>
        <w:rPr/>
        <w:t>这些交易是同时或者在考虑了彼此影响的情况下订立的；</w:t>
      </w:r>
      <w:r>
        <w:rPr>
          <w:w w:val="100"/>
        </w:rPr>
        <w:t> </w:t>
      </w:r>
      <w:r>
        <w:rPr>
          <w:rFonts w:ascii="宋体" w:hAnsi="宋体" w:cs="宋体" w:eastAsia="宋体" w:hint="default"/>
        </w:rPr>
        <w:t>B.</w:t>
      </w:r>
      <w:r>
        <w:rPr/>
        <w:t>这些交易整体才能达成一项完整的商业结果；</w:t>
      </w:r>
      <w:r>
        <w:rPr>
          <w:w w:val="100"/>
        </w:rPr>
        <w:t> </w:t>
      </w:r>
      <w:r>
        <w:rPr>
          <w:rFonts w:ascii="宋体" w:hAnsi="宋体" w:cs="宋体" w:eastAsia="宋体" w:hint="default"/>
        </w:rPr>
        <w:t>C.</w:t>
      </w:r>
      <w:r>
        <w:rPr/>
        <w:t>一项交易的发生取决于其他至少一项交易的发生；</w:t>
      </w:r>
      <w:r>
        <w:rPr>
          <w:w w:val="100"/>
        </w:rPr>
        <w:t> </w:t>
      </w:r>
      <w:r>
        <w:rPr>
          <w:rFonts w:ascii="宋体" w:hAnsi="宋体" w:cs="宋体" w:eastAsia="宋体" w:hint="default"/>
        </w:rPr>
        <w:t>D.</w:t>
      </w:r>
      <w:r>
        <w:rPr/>
        <w:t>一项交易单独看是不经济的，但是和其他交易一并考虑时是经济的。</w:t>
      </w:r>
      <w:r>
        <w:rPr>
          <w:w w:val="100"/>
        </w:rPr>
        <w:t> </w:t>
      </w:r>
      <w:r>
        <w:rPr>
          <w:spacing w:val="-2"/>
        </w:rPr>
        <w:t>处置对子公司股权投资直至丧失控制权的各项交易属于一揽子交易的，本公司将各项交易作</w:t>
      </w:r>
    </w:p>
    <w:p>
      <w:pPr>
        <w:pStyle w:val="BodyText"/>
        <w:spacing w:line="314" w:lineRule="auto" w:before="17"/>
        <w:ind w:left="138" w:right="217"/>
        <w:jc w:val="both"/>
      </w:pP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p>
    <w:p>
      <w:pPr>
        <w:pStyle w:val="BodyText"/>
        <w:spacing w:line="314" w:lineRule="auto" w:before="20"/>
        <w:ind w:left="138" w:right="101" w:firstLine="419"/>
        <w:jc w:val="left"/>
      </w:pPr>
      <w:r>
        <w:rPr>
          <w:spacing w:val="-4"/>
          <w:w w:val="100"/>
        </w:rPr>
        <w:t>处置对子公司股权投资直至丧失控制权的各项交易不属于一揽子交易的，在丧失控制权之前，</w:t>
      </w:r>
      <w:r>
        <w:rPr>
          <w:w w:val="100"/>
        </w:rPr>
        <w:t> </w:t>
      </w:r>
      <w:r>
        <w:rPr/>
        <w:t>按不丧失控制权的情况下部分处置对子公司的股权投资的相关政策进行会计处理；在丧失控制权</w:t>
      </w:r>
      <w:r>
        <w:rPr>
          <w:w w:val="100"/>
        </w:rPr>
        <w:t> </w:t>
      </w:r>
      <w:r>
        <w:rPr/>
        <w:t>时，按处置子公司一般处理方法进行会计处理。</w:t>
      </w:r>
    </w:p>
    <w:p>
      <w:pPr>
        <w:pStyle w:val="BodyText"/>
        <w:spacing w:line="314" w:lineRule="auto" w:before="17"/>
        <w:ind w:left="558" w:right="101"/>
        <w:jc w:val="left"/>
      </w:pPr>
      <w:r>
        <w:rPr>
          <w:rFonts w:ascii="宋体" w:hAnsi="宋体" w:cs="宋体" w:eastAsia="宋体" w:hint="default"/>
        </w:rPr>
        <w:t>(3)</w:t>
      </w:r>
      <w:r>
        <w:rPr/>
        <w:t>购买子公司少数股权</w:t>
      </w:r>
      <w:r>
        <w:rPr>
          <w:w w:val="100"/>
        </w:rPr>
        <w:t> </w:t>
      </w:r>
      <w:r>
        <w:rPr>
          <w:spacing w:val="-2"/>
        </w:rPr>
        <w:t>本公司因购买少数股权新取得的长期股权投资与按照新增持股比例计算应享有子公司自购买</w:t>
      </w:r>
    </w:p>
    <w:p>
      <w:pPr>
        <w:pStyle w:val="BodyText"/>
        <w:spacing w:line="314" w:lineRule="auto" w:before="17"/>
        <w:ind w:left="138" w:right="217"/>
        <w:jc w:val="both"/>
      </w:pPr>
      <w:r>
        <w:rPr>
          <w:spacing w:val="-2"/>
        </w:rPr>
        <w:t>日（或合并日）开始持续计算的净资产份额之间的差额，调整合并资产负债表中的资本公积中的</w:t>
      </w:r>
      <w:r>
        <w:rPr>
          <w:spacing w:val="-25"/>
        </w:rPr>
        <w:t> </w:t>
      </w:r>
      <w:r>
        <w:rPr>
          <w:spacing w:val="-25"/>
        </w:rPr>
      </w:r>
      <w:r>
        <w:rPr/>
        <w:t>股本溢价，资本公积中的股本溢价不足冲减的，调整留存收益。</w:t>
      </w:r>
    </w:p>
    <w:p>
      <w:pPr>
        <w:pStyle w:val="BodyText"/>
        <w:spacing w:line="314" w:lineRule="auto" w:before="17"/>
        <w:ind w:left="558" w:right="101"/>
        <w:jc w:val="left"/>
      </w:pPr>
      <w:r>
        <w:rPr>
          <w:rFonts w:ascii="宋体" w:hAnsi="宋体" w:cs="宋体" w:eastAsia="宋体"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w:t>
      </w:r>
    </w:p>
    <w:p>
      <w:pPr>
        <w:pStyle w:val="BodyText"/>
        <w:spacing w:line="314" w:lineRule="auto" w:before="18"/>
        <w:ind w:left="138" w:right="217"/>
        <w:jc w:val="both"/>
      </w:pPr>
      <w:r>
        <w:rPr>
          <w:spacing w:val="-2"/>
        </w:rPr>
        <w:t>股权投资相对应享有子公司自购买日或合并日开始持续计算的净资产份额之间的差额，调整合并</w:t>
      </w:r>
      <w:r>
        <w:rPr>
          <w:spacing w:val="-25"/>
        </w:rPr>
        <w:t> </w:t>
      </w:r>
      <w:r>
        <w:rPr>
          <w:spacing w:val="-25"/>
        </w:rPr>
      </w:r>
      <w:r>
        <w:rPr/>
        <w:t>资产负债表中的资本公积中的股本溢价，资本公积中的股本溢价不足冲减的，调整留存收益。</w:t>
      </w:r>
    </w:p>
    <w:p>
      <w:pPr>
        <w:spacing w:after="0" w:line="314" w:lineRule="auto"/>
        <w:jc w:val="both"/>
        <w:sectPr>
          <w:footerReference w:type="default" r:id="rId47"/>
          <w:pgSz w:w="11910" w:h="16840"/>
          <w:pgMar w:footer="1195" w:header="882" w:top="1120" w:bottom="1380" w:left="1660" w:right="1060"/>
          <w:pgNumType w:start="8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138" w:right="1055"/>
        <w:jc w:val="left"/>
        <w:rPr>
          <w:b w:val="0"/>
          <w:bCs w:val="0"/>
        </w:rPr>
      </w:pPr>
      <w:r>
        <w:rPr>
          <w:rFonts w:ascii="宋体" w:hAnsi="宋体" w:cs="宋体" w:eastAsia="宋体" w:hint="default"/>
        </w:rPr>
        <w:t>7.</w:t>
      </w:r>
      <w:r>
        <w:rPr>
          <w:rFonts w:ascii="宋体" w:hAnsi="宋体" w:cs="宋体" w:eastAsia="宋体" w:hint="default"/>
          <w:spacing w:val="59"/>
        </w:rPr>
        <w:t> </w:t>
      </w:r>
      <w:r>
        <w:rPr/>
        <w:t>合营安排分类及共同经营会计处理方法</w:t>
      </w:r>
      <w:r>
        <w:rPr>
          <w:b w:val="0"/>
          <w:bCs w:val="0"/>
        </w:rPr>
      </w:r>
    </w:p>
    <w:p>
      <w:pPr>
        <w:pStyle w:val="BodyText"/>
        <w:spacing w:line="338" w:lineRule="auto" w:before="85"/>
        <w:ind w:left="138" w:right="7465"/>
        <w:jc w:val="left"/>
      </w:pPr>
      <w:r>
        <w:rPr>
          <w:spacing w:val="-1"/>
        </w:rPr>
        <w:t>√适用□不适用</w:t>
      </w:r>
      <w:r>
        <w:rPr>
          <w:spacing w:val="-96"/>
        </w:rPr>
        <w:t> </w:t>
      </w:r>
      <w:r>
        <w:rPr>
          <w:spacing w:val="-96"/>
        </w:rPr>
      </w:r>
      <w:r>
        <w:rPr>
          <w:spacing w:val="-1"/>
        </w:rPr>
        <w:t>合营安排的分类</w:t>
      </w:r>
    </w:p>
    <w:p>
      <w:pPr>
        <w:pStyle w:val="BodyText"/>
        <w:spacing w:line="314" w:lineRule="auto" w:before="54"/>
        <w:ind w:left="138" w:right="117" w:firstLine="419"/>
        <w:jc w:val="both"/>
      </w:pPr>
      <w:r>
        <w:rPr>
          <w:spacing w:val="-2"/>
        </w:rPr>
        <w:t>本公司根据合营安排的结构、法律形式以及合营安排中约定的条款、其他相关事实和情况等</w:t>
      </w:r>
      <w:r>
        <w:rPr>
          <w:w w:val="100"/>
        </w:rPr>
        <w:t> </w:t>
      </w:r>
      <w:r>
        <w:rPr/>
        <w:t>因素，将合营安排分为共同经营和合营企业。</w:t>
      </w:r>
    </w:p>
    <w:p>
      <w:pPr>
        <w:pStyle w:val="BodyText"/>
        <w:spacing w:line="314" w:lineRule="auto" w:before="17"/>
        <w:ind w:left="138" w:right="117" w:firstLine="419"/>
        <w:jc w:val="both"/>
      </w:pPr>
      <w:r>
        <w:rPr>
          <w:spacing w:val="-2"/>
        </w:rPr>
        <w:t>未通过单独主体达成的合营安排，划分为共同经营；通过单独主体达成的合营安排，通常划</w:t>
      </w:r>
      <w:r>
        <w:rPr>
          <w:w w:val="100"/>
        </w:rPr>
        <w:t> </w:t>
      </w:r>
      <w:r>
        <w:rPr>
          <w:spacing w:val="-2"/>
        </w:rPr>
        <w:t>分为合营企业；但有确凿证据表明满足下列任一条件并且符合相关法律法规规定的合营安排划分</w:t>
      </w:r>
      <w:r>
        <w:rPr>
          <w:spacing w:val="-25"/>
        </w:rPr>
        <w:t> </w:t>
      </w:r>
      <w:r>
        <w:rPr>
          <w:spacing w:val="-25"/>
        </w:rPr>
      </w:r>
      <w:r>
        <w:rPr/>
        <w:t>为共同经营：</w:t>
      </w:r>
    </w:p>
    <w:p>
      <w:pPr>
        <w:pStyle w:val="BodyText"/>
        <w:spacing w:line="314" w:lineRule="auto" w:before="20"/>
        <w:ind w:left="138" w:right="0" w:firstLine="419"/>
        <w:jc w:val="left"/>
      </w:pPr>
      <w:r>
        <w:rPr>
          <w:spacing w:val="-2"/>
        </w:rPr>
        <w:t>合营安排的法律形式表明，合营方对该安排中的相关资产和负债分别享有权利和承担义务。</w:t>
      </w:r>
      <w:r>
        <w:rPr>
          <w:w w:val="100"/>
        </w:rPr>
        <w:t> </w:t>
      </w:r>
      <w:r>
        <w:rPr/>
        <w:t>合营安排的合同条款约定，合营方对该安排中的相关资产和负债分别享有权利和承担义务。</w:t>
      </w:r>
      <w:r>
        <w:rPr>
          <w:w w:val="100"/>
        </w:rPr>
        <w:t> </w:t>
      </w:r>
      <w:r>
        <w:rPr>
          <w:spacing w:val="-2"/>
        </w:rPr>
        <w:t>其他相关事实和情况表明，合营方对该安排中的相关资产和负债分别享有权利和承担义务，如合</w:t>
      </w:r>
      <w:r>
        <w:rPr>
          <w:spacing w:val="-25"/>
        </w:rPr>
        <w:t> </w:t>
      </w:r>
      <w:r>
        <w:rPr>
          <w:spacing w:val="-25"/>
        </w:rPr>
      </w:r>
      <w:r>
        <w:rPr>
          <w:spacing w:val="-2"/>
        </w:rPr>
        <w:t>营方享有与合营安排相关的几乎所有产出，并且该安排中负债的清偿持续依赖于合营方的支持。</w:t>
      </w:r>
      <w:r>
        <w:rPr>
          <w:spacing w:val="-25"/>
        </w:rPr>
        <w:t> </w:t>
      </w:r>
      <w:r>
        <w:rPr>
          <w:spacing w:val="-25"/>
        </w:rPr>
      </w:r>
      <w:r>
        <w:rPr/>
        <w:t>共同经营会计处理方法</w:t>
      </w:r>
    </w:p>
    <w:p>
      <w:pPr>
        <w:pStyle w:val="BodyText"/>
        <w:spacing w:line="314" w:lineRule="auto" w:before="17"/>
        <w:ind w:left="138" w:right="117" w:firstLine="419"/>
        <w:jc w:val="both"/>
      </w:pPr>
      <w:r>
        <w:rPr>
          <w:spacing w:val="-2"/>
        </w:rPr>
        <w:t>本公司确认共同经营中利益份额中与本公司相关的下列项目，并按照相关企业会计准则的规</w:t>
      </w:r>
      <w:r>
        <w:rPr>
          <w:w w:val="100"/>
        </w:rPr>
        <w:t> </w:t>
      </w:r>
      <w:r>
        <w:rPr/>
        <w:t>定进行会计处理：</w:t>
      </w:r>
    </w:p>
    <w:p>
      <w:pPr>
        <w:pStyle w:val="BodyText"/>
        <w:spacing w:line="314" w:lineRule="auto" w:before="17"/>
        <w:ind w:left="138" w:right="117" w:firstLine="419"/>
        <w:jc w:val="both"/>
      </w:pPr>
      <w:r>
        <w:rPr>
          <w:spacing w:val="-2"/>
        </w:rPr>
        <w:t>确认单独所持有的资产，以及按其份额确认共同持有的资产；确认单独所承担的负债，以及</w:t>
      </w:r>
      <w:r>
        <w:rPr>
          <w:w w:val="100"/>
        </w:rPr>
        <w:t> </w:t>
      </w:r>
      <w:r>
        <w:rPr>
          <w:spacing w:val="-2"/>
        </w:rPr>
        <w:t>按其份额确认共同承担的负债；确认出售其享有的共同经营产出份额所产生的收入；按其份额确</w:t>
      </w:r>
      <w:r>
        <w:rPr>
          <w:spacing w:val="-25"/>
        </w:rPr>
        <w:t> </w:t>
      </w:r>
      <w:r>
        <w:rPr>
          <w:spacing w:val="-25"/>
        </w:rPr>
      </w:r>
      <w:r>
        <w:rPr>
          <w:spacing w:val="-2"/>
        </w:rPr>
        <w:t>认共同经营因出售产出所产生的收入；确认单独所发生的费用，以及按其份额确认共同经营发生</w:t>
      </w:r>
      <w:r>
        <w:rPr>
          <w:spacing w:val="-25"/>
        </w:rPr>
        <w:t> </w:t>
      </w:r>
      <w:r>
        <w:rPr>
          <w:spacing w:val="-25"/>
        </w:rPr>
      </w:r>
      <w:r>
        <w:rPr/>
        <w:t>的费用。</w:t>
      </w:r>
    </w:p>
    <w:p>
      <w:pPr>
        <w:pStyle w:val="BodyText"/>
        <w:spacing w:line="314" w:lineRule="auto" w:before="17"/>
        <w:ind w:left="138" w:right="117" w:firstLine="419"/>
        <w:jc w:val="both"/>
      </w:pPr>
      <w:r>
        <w:rPr>
          <w:spacing w:val="-2"/>
        </w:rPr>
        <w:t>本公司向共同经营投出或出售资产等（该资产构成业务的除外），在该资产等由共同经营出</w:t>
      </w:r>
      <w:r>
        <w:rPr>
          <w:w w:val="100"/>
        </w:rPr>
        <w:t> </w:t>
      </w:r>
      <w:r>
        <w:rPr>
          <w:spacing w:val="-2"/>
        </w:rPr>
        <w:t>售给第三方之前，仅确认因该交易产生的损益中归属于共同经营其他参与方的部分。投出或出售</w:t>
      </w:r>
      <w:r>
        <w:rPr>
          <w:spacing w:val="-25"/>
        </w:rPr>
        <w:t> </w:t>
      </w:r>
      <w:r>
        <w:rPr>
          <w:spacing w:val="-25"/>
        </w:rPr>
      </w:r>
      <w:r>
        <w:rPr/>
        <w:t>的资产发生符合《企业会计准则第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号——资产减值》等规定的资产减值损失的，本公司全额确</w:t>
      </w:r>
      <w:r>
        <w:rPr>
          <w:w w:val="100"/>
        </w:rPr>
        <w:t> </w:t>
      </w:r>
      <w:r>
        <w:rPr/>
        <w:t>认该损失。</w:t>
      </w:r>
    </w:p>
    <w:p>
      <w:pPr>
        <w:pStyle w:val="BodyText"/>
        <w:spacing w:line="314" w:lineRule="auto" w:before="17"/>
        <w:ind w:left="138" w:right="108" w:firstLine="419"/>
        <w:jc w:val="right"/>
      </w:pPr>
      <w:r>
        <w:rPr>
          <w:spacing w:val="-7"/>
        </w:rPr>
        <w:t>本公司自共同经营购买资产等（该资产构成业务的除外），在将该资产等出售给第三方之前，</w:t>
      </w:r>
      <w:r>
        <w:rPr>
          <w:w w:val="100"/>
        </w:rPr>
        <w:t> </w:t>
      </w:r>
      <w:r>
        <w:rPr>
          <w:spacing w:val="-2"/>
        </w:rPr>
        <w:t>仅确认因该交易产生的损益中归属于共同经营其他参与方的部分。购入的资产发生符合《企业会</w:t>
      </w:r>
      <w:r>
        <w:rPr>
          <w:spacing w:val="-52"/>
        </w:rPr>
        <w:t> </w:t>
      </w:r>
      <w:r>
        <w:rPr>
          <w:spacing w:val="-52"/>
        </w:rPr>
      </w:r>
      <w:r>
        <w:rPr/>
        <w:t>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号——资产减值》等规定的资产减值损失的，本公司按承担的份额确认该部分损失。</w:t>
      </w:r>
      <w:r>
        <w:rPr>
          <w:w w:val="100"/>
        </w:rPr>
        <w:t> </w:t>
      </w:r>
      <w:r>
        <w:rPr>
          <w:spacing w:val="-2"/>
        </w:rPr>
        <w:t>本公司对共同经营不享有共同控制，如果本公司享有该共同经营相关资产且承担该共同经营</w:t>
      </w:r>
      <w:r>
        <w:rPr>
          <w:w w:val="100"/>
        </w:rPr>
        <w:t> </w:t>
      </w:r>
      <w:r>
        <w:rPr>
          <w:spacing w:val="-2"/>
        </w:rPr>
        <w:t>相关负债的，仍按上述原则进行会计处理，否则，应当按照相关企业会计准则的规定进行会计处</w:t>
      </w:r>
    </w:p>
    <w:p>
      <w:pPr>
        <w:pStyle w:val="BodyText"/>
        <w:spacing w:line="240" w:lineRule="auto" w:before="20"/>
        <w:ind w:left="138" w:right="1055"/>
        <w:jc w:val="left"/>
      </w:pPr>
      <w:r>
        <w:rPr/>
        <w:t>理。</w:t>
      </w:r>
    </w:p>
    <w:p>
      <w:pPr>
        <w:pStyle w:val="Heading2"/>
        <w:spacing w:line="240" w:lineRule="auto" w:before="91"/>
        <w:ind w:left="138" w:right="1055"/>
        <w:jc w:val="left"/>
        <w:rPr>
          <w:b w:val="0"/>
          <w:bCs w:val="0"/>
        </w:rPr>
      </w:pPr>
      <w:r>
        <w:rPr>
          <w:rFonts w:ascii="宋体" w:hAnsi="宋体" w:cs="宋体" w:eastAsia="宋体" w:hint="default"/>
        </w:rPr>
        <w:t>8.</w:t>
      </w:r>
      <w:r>
        <w:rPr>
          <w:rFonts w:ascii="宋体" w:hAnsi="宋体" w:cs="宋体" w:eastAsia="宋体" w:hint="default"/>
          <w:spacing w:val="58"/>
        </w:rPr>
        <w:t> </w:t>
      </w:r>
      <w:r>
        <w:rPr/>
        <w:t>现金及现金等价物的确定标准</w:t>
      </w:r>
      <w:r>
        <w:rPr>
          <w:b w:val="0"/>
          <w:bCs w:val="0"/>
        </w:rPr>
      </w:r>
    </w:p>
    <w:p>
      <w:pPr>
        <w:pStyle w:val="BodyText"/>
        <w:spacing w:line="314" w:lineRule="auto" w:before="109"/>
        <w:ind w:left="138" w:right="117" w:firstLine="419"/>
        <w:jc w:val="both"/>
      </w:pPr>
      <w:r>
        <w:rPr>
          <w:spacing w:val="-2"/>
        </w:rPr>
        <w:t>在编制现金流量表时，将本公司库存现金以及可以随时用于支付的存款确认为现金。将同时</w:t>
      </w:r>
      <w:r>
        <w:rPr>
          <w:w w:val="100"/>
        </w:rPr>
        <w:t> </w:t>
      </w:r>
      <w:r>
        <w:rPr>
          <w:spacing w:val="-2"/>
        </w:rPr>
        <w:t>具备期限短（一般从购买日起，三个月内到期）、流动性强、易于转换为已知金额的现金、价值</w:t>
      </w:r>
      <w:r>
        <w:rPr>
          <w:spacing w:val="-25"/>
        </w:rPr>
        <w:t> </w:t>
      </w:r>
      <w:r>
        <w:rPr>
          <w:spacing w:val="-25"/>
        </w:rPr>
      </w:r>
      <w:r>
        <w:rPr/>
        <w:t>变动风险很小四个条件的投资，确定为现金等价物。</w:t>
      </w:r>
    </w:p>
    <w:p>
      <w:pPr>
        <w:pStyle w:val="Heading2"/>
        <w:spacing w:line="240" w:lineRule="auto" w:before="28"/>
        <w:ind w:left="138" w:right="1055"/>
        <w:jc w:val="left"/>
        <w:rPr>
          <w:b w:val="0"/>
          <w:bCs w:val="0"/>
        </w:rPr>
      </w:pPr>
      <w:r>
        <w:rPr>
          <w:rFonts w:ascii="宋体" w:hAnsi="宋体" w:cs="宋体" w:eastAsia="宋体" w:hint="default"/>
        </w:rPr>
        <w:t>9.</w:t>
      </w:r>
      <w:r>
        <w:rPr>
          <w:rFonts w:ascii="宋体" w:hAnsi="宋体" w:cs="宋体" w:eastAsia="宋体" w:hint="default"/>
          <w:spacing w:val="58"/>
        </w:rPr>
        <w:t> </w:t>
      </w:r>
      <w:r>
        <w:rPr/>
        <w:t>外币业务和外币报表折算</w:t>
      </w:r>
      <w:r>
        <w:rPr>
          <w:b w:val="0"/>
          <w:bCs w:val="0"/>
        </w:rPr>
      </w:r>
    </w:p>
    <w:p>
      <w:pPr>
        <w:pStyle w:val="BodyText"/>
        <w:spacing w:line="292" w:lineRule="auto" w:before="85"/>
        <w:ind w:left="558" w:right="7465" w:hanging="420"/>
        <w:jc w:val="left"/>
      </w:pPr>
      <w:r>
        <w:rPr>
          <w:spacing w:val="-1"/>
        </w:rPr>
        <w:t>√适用□不适用</w:t>
      </w:r>
      <w:r>
        <w:rPr>
          <w:spacing w:val="-96"/>
        </w:rPr>
        <w:t> </w:t>
      </w:r>
      <w:r>
        <w:rPr>
          <w:spacing w:val="-96"/>
        </w:rPr>
      </w:r>
      <w:r>
        <w:rPr/>
        <w:t>外币业务</w:t>
      </w:r>
    </w:p>
    <w:p>
      <w:pPr>
        <w:pStyle w:val="BodyText"/>
        <w:spacing w:line="240" w:lineRule="auto" w:before="36"/>
        <w:ind w:left="558" w:right="0"/>
        <w:jc w:val="left"/>
      </w:pPr>
      <w:r>
        <w:rPr/>
        <w:t>外币业务交易在初始确认时，采用交易发生日的即期汇率作为折算汇率折合成人民币记账。</w:t>
      </w:r>
    </w:p>
    <w:p>
      <w:pPr>
        <w:spacing w:after="0" w:line="240" w:lineRule="auto"/>
        <w:jc w:val="left"/>
        <w:sectPr>
          <w:pgSz w:w="11910" w:h="16840"/>
          <w:pgMar w:header="882" w:footer="1195" w:top="1120" w:bottom="1380" w:left="1660" w:right="1160"/>
        </w:sectPr>
      </w:pPr>
    </w:p>
    <w:p>
      <w:pPr>
        <w:spacing w:line="240" w:lineRule="auto" w:before="8"/>
        <w:rPr>
          <w:rFonts w:ascii="宋体" w:hAnsi="宋体" w:cs="宋体" w:eastAsia="宋体" w:hint="default"/>
          <w:sz w:val="28"/>
          <w:szCs w:val="28"/>
        </w:rPr>
      </w:pPr>
    </w:p>
    <w:p>
      <w:pPr>
        <w:pStyle w:val="BodyText"/>
        <w:spacing w:line="314" w:lineRule="auto" w:before="36"/>
        <w:ind w:left="138" w:right="108"/>
        <w:jc w:val="both"/>
      </w:pPr>
      <w:r>
        <w:rPr>
          <w:spacing w:val="-2"/>
        </w:rPr>
        <w:t>资产负债表日，外币货币性项目按资产负债表日即期汇率折算，由此产生的汇兑差额，除属于与</w:t>
      </w:r>
      <w:r>
        <w:rPr>
          <w:spacing w:val="-25"/>
        </w:rPr>
        <w:t> </w:t>
      </w:r>
      <w:r>
        <w:rPr>
          <w:spacing w:val="-25"/>
        </w:rPr>
      </w:r>
      <w:r>
        <w:rPr>
          <w:spacing w:val="-2"/>
        </w:rPr>
        <w:t>购建符合资本化条件的资产相关的外币专门借款产生的汇兑差额按照借款费用资本化的原则处理</w:t>
      </w:r>
      <w:r>
        <w:rPr>
          <w:spacing w:val="-25"/>
        </w:rPr>
        <w:t> </w:t>
      </w:r>
      <w:r>
        <w:rPr>
          <w:spacing w:val="-25"/>
        </w:rPr>
      </w:r>
      <w:r>
        <w:rPr>
          <w:spacing w:val="-6"/>
        </w:rPr>
        <w:t>外，均计入当期损益。以历史成本计量的外币非货币性项目，仍采用交易发生日的即期汇率折算，</w:t>
      </w:r>
      <w:r>
        <w:rPr>
          <w:spacing w:val="-54"/>
        </w:rPr>
        <w:t> </w:t>
      </w:r>
      <w:r>
        <w:rPr>
          <w:spacing w:val="-54"/>
        </w:rPr>
      </w:r>
      <w:r>
        <w:rPr/>
        <w:t>不改变其记账本位币金额。</w:t>
      </w:r>
    </w:p>
    <w:p>
      <w:pPr>
        <w:pStyle w:val="BodyText"/>
        <w:spacing w:line="314" w:lineRule="auto" w:before="17"/>
        <w:ind w:left="138" w:right="117" w:firstLine="419"/>
        <w:jc w:val="both"/>
      </w:pPr>
      <w:r>
        <w:rPr>
          <w:spacing w:val="-2"/>
        </w:rPr>
        <w:t>以公允价值计量的外币非货币性项目，采用公允价值确定日的即期汇率折算，由此产生的汇</w:t>
      </w:r>
      <w:r>
        <w:rPr>
          <w:w w:val="100"/>
        </w:rPr>
        <w:t> </w:t>
      </w:r>
      <w:r>
        <w:rPr>
          <w:spacing w:val="-2"/>
        </w:rPr>
        <w:t>兑差额作为公允价值变动损益计入当期损益。如属于可供出售外币非货币性项目的，形成的汇兑</w:t>
      </w:r>
      <w:r>
        <w:rPr>
          <w:spacing w:val="-25"/>
        </w:rPr>
        <w:t> </w:t>
      </w:r>
      <w:r>
        <w:rPr>
          <w:spacing w:val="-25"/>
        </w:rPr>
      </w:r>
      <w:r>
        <w:rPr/>
        <w:t>差额计入其他综合收益。</w:t>
      </w:r>
    </w:p>
    <w:p>
      <w:pPr>
        <w:pStyle w:val="BodyText"/>
        <w:spacing w:line="312" w:lineRule="auto" w:before="20"/>
        <w:ind w:left="558" w:right="0"/>
        <w:jc w:val="left"/>
      </w:pPr>
      <w:r>
        <w:rPr/>
        <w:t>外币财务报表的折算</w:t>
      </w:r>
      <w:r>
        <w:rPr>
          <w:w w:val="100"/>
        </w:rPr>
        <w:t> </w:t>
      </w:r>
      <w:r>
        <w:rPr>
          <w:spacing w:val="-7"/>
        </w:rPr>
        <w:t>资产负债表中的资产和负债项目，采用资产负债表日的即期汇率折算；所有者权益项目除“未</w:t>
      </w:r>
    </w:p>
    <w:p>
      <w:pPr>
        <w:pStyle w:val="BodyText"/>
        <w:spacing w:line="312" w:lineRule="auto" w:before="22"/>
        <w:ind w:left="138" w:right="117"/>
        <w:jc w:val="both"/>
      </w:pPr>
      <w:r>
        <w:rPr>
          <w:spacing w:val="-2"/>
        </w:rPr>
        <w:t>分配利润”项目外，其他项目采用发生时的即期汇率折算。利润表中的收入和费用项目，采用交</w:t>
      </w:r>
      <w:r>
        <w:rPr>
          <w:spacing w:val="-25"/>
        </w:rPr>
        <w:t> </w:t>
      </w:r>
      <w:r>
        <w:rPr>
          <w:spacing w:val="-25"/>
        </w:rPr>
      </w:r>
      <w:r>
        <w:rPr/>
        <w:t>易发生日的即期汇率折算。按照上述折算产生的外币财务报表折算差额计入其他综合收益。</w:t>
      </w:r>
    </w:p>
    <w:p>
      <w:pPr>
        <w:pStyle w:val="BodyText"/>
        <w:spacing w:line="314" w:lineRule="auto" w:before="22"/>
        <w:ind w:left="138" w:right="117" w:firstLine="419"/>
        <w:jc w:val="both"/>
      </w:pPr>
      <w:r>
        <w:rPr>
          <w:spacing w:val="-2"/>
        </w:rPr>
        <w:t>处置境外经营时，将资产负债表中其他综合收益项目中列示的、与该境外经营相关的外币财</w:t>
      </w:r>
      <w:r>
        <w:rPr>
          <w:w w:val="100"/>
        </w:rPr>
        <w:t> </w:t>
      </w:r>
      <w:r>
        <w:rPr>
          <w:spacing w:val="-2"/>
        </w:rPr>
        <w:t>务报表折算差额，自其他综合收益项目转入处置当期损益；部分处置境外经营的，按处置的比例</w:t>
      </w:r>
      <w:r>
        <w:rPr>
          <w:spacing w:val="-25"/>
        </w:rPr>
        <w:t> </w:t>
      </w:r>
      <w:r>
        <w:rPr>
          <w:spacing w:val="-25"/>
        </w:rPr>
      </w:r>
      <w:r>
        <w:rPr/>
        <w:t>计算处置部分的外币财务报表折算差额，转入处置当期损益。</w:t>
      </w:r>
    </w:p>
    <w:p>
      <w:pPr>
        <w:pStyle w:val="Heading2"/>
        <w:spacing w:line="240" w:lineRule="auto"/>
        <w:ind w:left="138" w:right="1055"/>
        <w:jc w:val="left"/>
        <w:rPr>
          <w:b w:val="0"/>
          <w:bCs w:val="0"/>
        </w:rPr>
      </w:pPr>
      <w:r>
        <w:rPr>
          <w:rFonts w:ascii="宋体" w:hAnsi="宋体" w:cs="宋体" w:eastAsia="宋体" w:hint="default"/>
        </w:rPr>
        <w:t>10.</w:t>
      </w:r>
      <w:r>
        <w:rPr>
          <w:rFonts w:ascii="宋体" w:hAnsi="宋体" w:cs="宋体" w:eastAsia="宋体" w:hint="default"/>
          <w:spacing w:val="-60"/>
        </w:rPr>
        <w:t> </w:t>
      </w:r>
      <w:r>
        <w:rPr/>
        <w:t>金融工具</w:t>
      </w:r>
      <w:r>
        <w:rPr>
          <w:b w:val="0"/>
          <w:bCs w:val="0"/>
        </w:rPr>
      </w:r>
    </w:p>
    <w:p>
      <w:pPr>
        <w:pStyle w:val="BodyText"/>
        <w:spacing w:line="304" w:lineRule="auto" w:before="85"/>
        <w:ind w:left="558" w:right="3130" w:hanging="420"/>
        <w:jc w:val="left"/>
      </w:pPr>
      <w:r>
        <w:rPr/>
        <w:t>√适用□不适用</w:t>
      </w:r>
      <w:r>
        <w:rPr>
          <w:spacing w:val="-103"/>
        </w:rPr>
        <w:t> </w:t>
      </w:r>
      <w:r>
        <w:rPr>
          <w:spacing w:val="-103"/>
        </w:rPr>
      </w:r>
      <w:r>
        <w:rPr>
          <w:spacing w:val="-2"/>
        </w:rPr>
        <w:t>金融工具包括金融资产、金融负债和权益工具。</w:t>
      </w:r>
      <w:r>
        <w:rPr>
          <w:w w:val="100"/>
        </w:rPr>
        <w:t> </w:t>
      </w:r>
      <w:r>
        <w:rPr/>
        <w:t>金融工具的分类</w:t>
      </w:r>
    </w:p>
    <w:p>
      <w:pPr>
        <w:pStyle w:val="BodyText"/>
        <w:spacing w:line="314" w:lineRule="auto" w:before="26"/>
        <w:ind w:left="138" w:right="117" w:firstLine="419"/>
        <w:jc w:val="both"/>
      </w:pPr>
      <w:r>
        <w:rPr>
          <w:spacing w:val="-2"/>
        </w:rPr>
        <w:t>本公司根据所发行金融工具的合同条款及其所反映的经济实质而非仅以法律形式，结合取得</w:t>
      </w:r>
      <w:r>
        <w:rPr>
          <w:w w:val="100"/>
        </w:rPr>
        <w:t> </w:t>
      </w:r>
      <w:r>
        <w:rPr>
          <w:spacing w:val="-2"/>
        </w:rPr>
        <w:t>持有金融资产和承担金融负债的目的，在初始确认时将金融资产和金融负债分为不同类别：以公</w:t>
      </w:r>
      <w:r>
        <w:rPr>
          <w:spacing w:val="-25"/>
        </w:rPr>
        <w:t> </w:t>
      </w:r>
      <w:r>
        <w:rPr>
          <w:spacing w:val="-25"/>
        </w:rPr>
      </w:r>
      <w:r>
        <w:rPr>
          <w:spacing w:val="-2"/>
        </w:rPr>
        <w:t>允价值计量且其变动计入当期损益的金融资产（或金融负债）；持有至到期投资；应收款项；可</w:t>
      </w:r>
      <w:r>
        <w:rPr>
          <w:spacing w:val="-25"/>
        </w:rPr>
        <w:t> </w:t>
      </w:r>
      <w:r>
        <w:rPr>
          <w:spacing w:val="-25"/>
        </w:rPr>
      </w:r>
      <w:r>
        <w:rPr/>
        <w:t>供出售金融资产；其他金融负债等。</w:t>
      </w:r>
    </w:p>
    <w:p>
      <w:pPr>
        <w:pStyle w:val="BodyText"/>
        <w:spacing w:line="314" w:lineRule="auto" w:before="17"/>
        <w:ind w:left="558" w:right="0"/>
        <w:jc w:val="left"/>
      </w:pPr>
      <w:r>
        <w:rPr/>
        <w:t>金融工具的确认依据和计量方法</w:t>
      </w:r>
      <w:r>
        <w:rPr>
          <w:w w:val="100"/>
        </w:rPr>
        <w:t> </w:t>
      </w:r>
      <w:r>
        <w:rPr/>
        <w:t>以公允价值计量且其变动计入当期损益的金融资产（金融负债）</w:t>
      </w:r>
      <w:r>
        <w:rPr>
          <w:w w:val="100"/>
        </w:rPr>
        <w:t> </w:t>
      </w:r>
      <w:r>
        <w:rPr>
          <w:spacing w:val="-2"/>
        </w:rPr>
        <w:t>以公允价值计量且其变动计入当期损益的金融资产或金融负债，包括交易性金融资产或金融</w:t>
      </w:r>
    </w:p>
    <w:p>
      <w:pPr>
        <w:pStyle w:val="BodyText"/>
        <w:spacing w:line="314" w:lineRule="auto" w:before="20"/>
        <w:ind w:left="558" w:right="1055" w:hanging="420"/>
        <w:jc w:val="left"/>
      </w:pPr>
      <w:r>
        <w:rPr>
          <w:spacing w:val="-2"/>
        </w:rPr>
        <w:t>负债和直接指定为以公允价值计量且其变动计入当期损益的金融资产或金融负债。</w:t>
      </w:r>
      <w:r>
        <w:rPr>
          <w:spacing w:val="-35"/>
        </w:rPr>
        <w:t> </w:t>
      </w:r>
      <w:r>
        <w:rPr>
          <w:spacing w:val="-35"/>
        </w:rPr>
      </w:r>
      <w:r>
        <w:rPr/>
        <w:t>交易性金融资产或金融负债是指满足下列条件之一的金融资产或金融负债：</w:t>
      </w:r>
      <w:r>
        <w:rPr>
          <w:w w:val="100"/>
        </w:rPr>
        <w:t> </w:t>
      </w:r>
      <w:r>
        <w:rPr>
          <w:rFonts w:ascii="宋体" w:hAnsi="宋体" w:cs="宋体" w:eastAsia="宋体" w:hint="default"/>
        </w:rPr>
        <w:t>1</w:t>
      </w:r>
      <w:r>
        <w:rPr/>
        <w:t>）取得该金融资产或金融负债的目的是为了在短期内出售、回购或赎回；</w:t>
      </w:r>
    </w:p>
    <w:p>
      <w:pPr>
        <w:pStyle w:val="BodyText"/>
        <w:spacing w:line="314" w:lineRule="auto" w:before="17"/>
        <w:ind w:left="138" w:right="108" w:firstLine="419"/>
        <w:jc w:val="both"/>
      </w:pPr>
      <w:r>
        <w:rPr>
          <w:rFonts w:ascii="宋体" w:hAnsi="宋体" w:cs="宋体" w:eastAsia="宋体" w:hint="default"/>
          <w:spacing w:val="-4"/>
        </w:rPr>
        <w:t>2</w:t>
      </w:r>
      <w:r>
        <w:rPr>
          <w:spacing w:val="-4"/>
        </w:rPr>
        <w:t>）属于进行集中管理的可辨认金融工具组合的一部分，且有客观证据表明本公司近期采用短</w:t>
      </w:r>
      <w:r>
        <w:rPr>
          <w:w w:val="100"/>
        </w:rPr>
        <w:t> </w:t>
      </w:r>
      <w:r>
        <w:rPr/>
        <w:t>期获利方式对该组合进行管理；</w:t>
      </w:r>
    </w:p>
    <w:p>
      <w:pPr>
        <w:pStyle w:val="BodyText"/>
        <w:spacing w:line="314" w:lineRule="auto" w:before="17"/>
        <w:ind w:left="138" w:right="108" w:firstLine="419"/>
        <w:jc w:val="both"/>
      </w:pPr>
      <w:r>
        <w:rPr>
          <w:rFonts w:ascii="宋体" w:hAnsi="宋体" w:cs="宋体" w:eastAsia="宋体" w:hint="default"/>
          <w:spacing w:val="-4"/>
        </w:rPr>
        <w:t>3</w:t>
      </w:r>
      <w:r>
        <w:rPr>
          <w:spacing w:val="-4"/>
        </w:rPr>
        <w:t>）属于衍生金融工具，但是被指定为有效套期工具的衍生工具、属于财务担保合同的衍生工</w:t>
      </w:r>
      <w:r>
        <w:rPr>
          <w:w w:val="100"/>
        </w:rPr>
        <w:t> </w:t>
      </w:r>
      <w:r>
        <w:rPr>
          <w:spacing w:val="-2"/>
        </w:rPr>
        <w:t>具、与在活跃市场中没有报价且其公允价值不能可靠计量的权益工具投资挂钩并须通过交付该权</w:t>
      </w:r>
      <w:r>
        <w:rPr>
          <w:spacing w:val="-25"/>
        </w:rPr>
        <w:t> </w:t>
      </w:r>
      <w:r>
        <w:rPr>
          <w:spacing w:val="-25"/>
        </w:rPr>
      </w:r>
      <w:r>
        <w:rPr/>
        <w:t>益工具结算的衍生工具除外。</w:t>
      </w:r>
    </w:p>
    <w:p>
      <w:pPr>
        <w:pStyle w:val="BodyText"/>
        <w:spacing w:line="312" w:lineRule="auto" w:before="20"/>
        <w:ind w:left="138" w:right="117" w:firstLine="419"/>
        <w:jc w:val="both"/>
      </w:pPr>
      <w:r>
        <w:rPr>
          <w:spacing w:val="-2"/>
        </w:rPr>
        <w:t>只有符合以下条件之一，金融资产或金融负债才可在初始计量时指定为以公允价值计量且其</w:t>
      </w:r>
      <w:r>
        <w:rPr>
          <w:w w:val="100"/>
        </w:rPr>
        <w:t> </w:t>
      </w:r>
      <w:r>
        <w:rPr/>
        <w:t>变动计入损益的金融资产或金融负债：</w:t>
      </w:r>
    </w:p>
    <w:p>
      <w:pPr>
        <w:pStyle w:val="BodyText"/>
        <w:spacing w:line="312" w:lineRule="auto" w:before="22"/>
        <w:ind w:left="138" w:right="108" w:firstLine="419"/>
        <w:jc w:val="both"/>
      </w:pPr>
      <w:r>
        <w:rPr>
          <w:rFonts w:ascii="宋体" w:hAnsi="宋体" w:cs="宋体" w:eastAsia="宋体" w:hint="default"/>
          <w:spacing w:val="-4"/>
          <w:w w:val="100"/>
        </w:rPr>
        <w:t>1</w:t>
      </w:r>
      <w:r>
        <w:rPr>
          <w:spacing w:val="-4"/>
          <w:w w:val="100"/>
        </w:rPr>
        <w:t>）该项指定可以消除或明显减少由于金融资产或金融负债的计量基础不同所导致的相关利得</w:t>
      </w:r>
      <w:r>
        <w:rPr>
          <w:w w:val="100"/>
        </w:rPr>
        <w:t> </w:t>
      </w:r>
      <w:r>
        <w:rPr/>
        <w:t>或损失在确认或计量方面不一致的情况；</w:t>
      </w:r>
    </w:p>
    <w:p>
      <w:pPr>
        <w:spacing w:after="0" w:line="312" w:lineRule="auto"/>
        <w:jc w:val="both"/>
        <w:sectPr>
          <w:pgSz w:w="11910" w:h="16840"/>
          <w:pgMar w:header="882" w:footer="1195" w:top="1120" w:bottom="1380" w:left="1660" w:right="1160"/>
        </w:sectPr>
      </w:pPr>
    </w:p>
    <w:p>
      <w:pPr>
        <w:spacing w:line="240" w:lineRule="auto" w:before="8"/>
        <w:rPr>
          <w:rFonts w:ascii="宋体" w:hAnsi="宋体" w:cs="宋体" w:eastAsia="宋体" w:hint="default"/>
          <w:sz w:val="28"/>
          <w:szCs w:val="28"/>
        </w:rPr>
      </w:pPr>
    </w:p>
    <w:p>
      <w:pPr>
        <w:pStyle w:val="BodyText"/>
        <w:spacing w:line="314" w:lineRule="auto" w:before="36"/>
        <w:ind w:left="138" w:right="208" w:firstLine="419"/>
        <w:jc w:val="both"/>
      </w:pPr>
      <w:r>
        <w:rPr>
          <w:rFonts w:ascii="宋体" w:hAnsi="宋体" w:cs="宋体" w:eastAsia="宋体" w:hint="default"/>
          <w:spacing w:val="-4"/>
        </w:rPr>
        <w:t>2</w:t>
      </w:r>
      <w:r>
        <w:rPr>
          <w:spacing w:val="-4"/>
        </w:rPr>
        <w:t>）风险管理或投资策略的正式书面文件已载明，该金融资产组合、该金融负债组合、或该金</w:t>
      </w:r>
      <w:r>
        <w:rPr>
          <w:w w:val="100"/>
        </w:rPr>
        <w:t> </w:t>
      </w:r>
      <w:r>
        <w:rPr/>
        <w:t>融资产和金融负债组合，以公允价值为基础进行管理、评价并向关键管理人员报告；</w:t>
      </w:r>
    </w:p>
    <w:p>
      <w:pPr>
        <w:pStyle w:val="BodyText"/>
        <w:spacing w:line="314" w:lineRule="auto" w:before="17"/>
        <w:ind w:left="138" w:right="208" w:firstLine="419"/>
        <w:jc w:val="both"/>
      </w:pPr>
      <w:r>
        <w:rPr>
          <w:rFonts w:ascii="宋体" w:hAnsi="宋体" w:cs="宋体" w:eastAsia="宋体" w:hint="default"/>
          <w:spacing w:val="-4"/>
        </w:rPr>
        <w:t>3</w:t>
      </w:r>
      <w:r>
        <w:rPr>
          <w:spacing w:val="-4"/>
        </w:rPr>
        <w:t>）包含一项或多项嵌入衍生工具的混合工具，除非嵌入衍生工具对混合工具的现金流量没有</w:t>
      </w:r>
      <w:r>
        <w:rPr>
          <w:w w:val="100"/>
        </w:rPr>
        <w:t> </w:t>
      </w:r>
      <w:r>
        <w:rPr/>
        <w:t>重大改变，或所嵌入的衍生工具明显不应当从相关混合工具中分拆；</w:t>
      </w:r>
    </w:p>
    <w:p>
      <w:pPr>
        <w:pStyle w:val="BodyText"/>
        <w:spacing w:line="314" w:lineRule="auto" w:before="17"/>
        <w:ind w:left="138" w:right="208" w:firstLine="419"/>
        <w:jc w:val="both"/>
      </w:pPr>
      <w:r>
        <w:rPr>
          <w:rFonts w:ascii="宋体" w:hAnsi="宋体" w:cs="宋体" w:eastAsia="宋体" w:hint="default"/>
          <w:spacing w:val="-4"/>
          <w:w w:val="100"/>
        </w:rPr>
        <w:t>4</w:t>
      </w:r>
      <w:r>
        <w:rPr>
          <w:spacing w:val="-4"/>
          <w:w w:val="100"/>
        </w:rPr>
        <w:t>）包含需要分拆但无法在取得时或后续的资产负债表日对其进行单独计量的嵌入衍生工具的</w:t>
      </w:r>
      <w:r>
        <w:rPr>
          <w:w w:val="100"/>
        </w:rPr>
        <w:t> </w:t>
      </w:r>
      <w:r>
        <w:rPr/>
        <w:t>混合工具。</w:t>
      </w:r>
    </w:p>
    <w:p>
      <w:pPr>
        <w:pStyle w:val="BodyText"/>
        <w:spacing w:line="314" w:lineRule="auto" w:before="17"/>
        <w:ind w:left="138" w:right="208" w:firstLine="419"/>
        <w:jc w:val="both"/>
      </w:pPr>
      <w:r>
        <w:rPr>
          <w:spacing w:val="-2"/>
        </w:rPr>
        <w:t>本公司对以公允价值计量且其变动计入当期损益的金融资产或金融负债，在取得时以公允价</w:t>
      </w:r>
      <w:r>
        <w:rPr>
          <w:w w:val="100"/>
        </w:rPr>
        <w:t> </w:t>
      </w:r>
      <w:r>
        <w:rPr>
          <w:spacing w:val="-6"/>
          <w:w w:val="100"/>
        </w:rPr>
        <w:t>值（扣除已宣告但尚未发放的现金股利或已到付息期但尚未领取的债券利息）作为初始确认金额，</w:t>
      </w:r>
      <w:r>
        <w:rPr>
          <w:w w:val="100"/>
        </w:rPr>
        <w:t> </w:t>
      </w:r>
      <w:r>
        <w:rPr>
          <w:spacing w:val="-2"/>
        </w:rPr>
        <w:t>相关的交易费用计入当期损益。持有期间将取得的利息或现金股利确认为投资收益，期末将公允</w:t>
      </w:r>
      <w:r>
        <w:rPr>
          <w:spacing w:val="-25"/>
        </w:rPr>
        <w:t> </w:t>
      </w:r>
      <w:r>
        <w:rPr>
          <w:spacing w:val="-25"/>
        </w:rPr>
      </w:r>
      <w:r>
        <w:rPr>
          <w:spacing w:val="-2"/>
        </w:rPr>
        <w:t>价值变动计入当期损益。处置时，其公允价值与初始入账金额之间的差额确认为投资收益，同时</w:t>
      </w:r>
      <w:r>
        <w:rPr>
          <w:spacing w:val="-25"/>
        </w:rPr>
        <w:t> </w:t>
      </w:r>
      <w:r>
        <w:rPr>
          <w:spacing w:val="-25"/>
        </w:rPr>
      </w:r>
      <w:r>
        <w:rPr/>
        <w:t>调整公允价值变动损益。</w:t>
      </w:r>
    </w:p>
    <w:p>
      <w:pPr>
        <w:pStyle w:val="BodyText"/>
        <w:spacing w:line="314" w:lineRule="auto" w:before="20"/>
        <w:ind w:left="558" w:right="266"/>
        <w:jc w:val="left"/>
      </w:pPr>
      <w:r>
        <w:rPr/>
        <w:t>应收款项</w:t>
      </w:r>
      <w:r>
        <w:rPr>
          <w:w w:val="100"/>
        </w:rPr>
        <w:t> </w:t>
      </w:r>
      <w:r>
        <w:rPr/>
        <w:t>应收款项是指在活跃市场中没有报价、回收金额固定或可确定的非衍生金融资产。</w:t>
      </w:r>
      <w:r>
        <w:rPr>
          <w:w w:val="100"/>
        </w:rPr>
        <w:t> </w:t>
      </w:r>
      <w:r>
        <w:rPr>
          <w:spacing w:val="-2"/>
        </w:rPr>
        <w:t>本公司对外销售商品或提供劳务形成的应收债权，以及公司持有的其他企业的债权（不包括</w:t>
      </w:r>
    </w:p>
    <w:p>
      <w:pPr>
        <w:pStyle w:val="BodyText"/>
        <w:spacing w:line="314" w:lineRule="auto" w:before="17"/>
        <w:ind w:left="138" w:right="217"/>
        <w:jc w:val="both"/>
      </w:pPr>
      <w:r>
        <w:rPr>
          <w:spacing w:val="-2"/>
        </w:rPr>
        <w:t>在活跃市场上有报价的债务工具），包括应收账款、其他应收款、应收票据、预付款项、长期应</w:t>
      </w:r>
      <w:r>
        <w:rPr>
          <w:spacing w:val="-25"/>
        </w:rPr>
        <w:t> </w:t>
      </w:r>
      <w:r>
        <w:rPr>
          <w:spacing w:val="-25"/>
        </w:rPr>
      </w:r>
      <w:r>
        <w:rPr>
          <w:spacing w:val="-2"/>
        </w:rPr>
        <w:t>收款等，以向购货方应收的合同或协议价款作为初始确认金额；具有融资性质的，按其现值进行</w:t>
      </w:r>
      <w:r>
        <w:rPr>
          <w:spacing w:val="-25"/>
        </w:rPr>
        <w:t> </w:t>
      </w:r>
      <w:r>
        <w:rPr>
          <w:spacing w:val="-25"/>
        </w:rPr>
      </w:r>
      <w:r>
        <w:rPr/>
        <w:t>初始确认。</w:t>
      </w:r>
    </w:p>
    <w:p>
      <w:pPr>
        <w:pStyle w:val="BodyText"/>
        <w:spacing w:line="314" w:lineRule="auto" w:before="20"/>
        <w:ind w:left="558" w:right="101"/>
        <w:jc w:val="left"/>
      </w:pPr>
      <w:r>
        <w:rPr/>
        <w:t>收回或处置时，将取得的价款与该应收款项账面价值之间的差额计入当期损益。</w:t>
      </w:r>
      <w:r>
        <w:rPr>
          <w:w w:val="100"/>
        </w:rPr>
        <w:t> </w:t>
      </w:r>
      <w:r>
        <w:rPr/>
        <w:t>持有至到期投资</w:t>
      </w:r>
      <w:r>
        <w:rPr>
          <w:spacing w:val="-103"/>
        </w:rPr>
        <w:t> </w:t>
      </w:r>
      <w:r>
        <w:rPr>
          <w:spacing w:val="-103"/>
        </w:rPr>
      </w:r>
      <w:r>
        <w:rPr>
          <w:spacing w:val="-2"/>
        </w:rPr>
        <w:t>持有至到期投资是指到期日固定、回收金额固定或可确定，且本公司有明确意图和能力持有</w:t>
      </w:r>
    </w:p>
    <w:p>
      <w:pPr>
        <w:pStyle w:val="BodyText"/>
        <w:spacing w:line="314" w:lineRule="auto" w:before="17"/>
        <w:ind w:left="558" w:right="101" w:hanging="420"/>
        <w:jc w:val="left"/>
      </w:pPr>
      <w:r>
        <w:rPr/>
        <w:t>至到期的非衍生性金融资产。</w:t>
      </w:r>
      <w:r>
        <w:rPr>
          <w:w w:val="100"/>
        </w:rPr>
        <w:t> </w:t>
      </w:r>
      <w:r>
        <w:rPr>
          <w:spacing w:val="-2"/>
        </w:rPr>
        <w:t>本公司对持有至到期投资，在取得时按公允价值（扣除已到付息期但尚未领取的债券利息）</w:t>
      </w:r>
    </w:p>
    <w:p>
      <w:pPr>
        <w:pStyle w:val="BodyText"/>
        <w:spacing w:line="314" w:lineRule="auto" w:before="17"/>
        <w:ind w:left="138" w:right="217"/>
        <w:jc w:val="both"/>
      </w:pPr>
      <w:r>
        <w:rPr>
          <w:spacing w:val="-2"/>
        </w:rPr>
        <w:t>和相关交易费用之和作为初始确认金额。持有期间按照摊余成本和实际利率计算确认利息收入，</w:t>
      </w:r>
      <w:r>
        <w:rPr>
          <w:spacing w:val="-25"/>
        </w:rPr>
        <w:t> </w:t>
      </w:r>
      <w:r>
        <w:rPr>
          <w:spacing w:val="-25"/>
        </w:rPr>
      </w:r>
      <w:r>
        <w:rPr>
          <w:spacing w:val="-2"/>
        </w:rPr>
        <w:t>计入投资收益。实际利率在取得时确定，在该预期存续期间或适用的更短期间内保持不变。处置</w:t>
      </w:r>
      <w:r>
        <w:rPr>
          <w:spacing w:val="-25"/>
        </w:rPr>
        <w:t> </w:t>
      </w:r>
      <w:r>
        <w:rPr>
          <w:spacing w:val="-25"/>
        </w:rPr>
      </w:r>
      <w:r>
        <w:rPr/>
        <w:t>时，将所取得价款与该投资账面价值之间的差额计入投资收益。</w:t>
      </w:r>
    </w:p>
    <w:p>
      <w:pPr>
        <w:pStyle w:val="BodyText"/>
        <w:spacing w:line="314" w:lineRule="auto" w:before="20"/>
        <w:ind w:left="138" w:right="209" w:firstLine="419"/>
        <w:jc w:val="both"/>
      </w:pPr>
      <w:r>
        <w:rPr>
          <w:spacing w:val="-2"/>
        </w:rPr>
        <w:t>如果持有至到期投资处置或重分类为其他类金融资产的金额，相对于本公司全部持有至到期</w:t>
      </w:r>
      <w:r>
        <w:rPr>
          <w:w w:val="100"/>
        </w:rPr>
        <w:t> </w:t>
      </w:r>
      <w:r>
        <w:rPr>
          <w:spacing w:val="-2"/>
        </w:rPr>
        <w:t>投资在出售或重分类前的总额较大，在处置或重分类后应立即将其剩余的持有至到期投资重分类</w:t>
      </w:r>
      <w:r>
        <w:rPr>
          <w:spacing w:val="-25"/>
        </w:rPr>
        <w:t> </w:t>
      </w:r>
      <w:r>
        <w:rPr>
          <w:spacing w:val="-25"/>
        </w:rPr>
      </w:r>
      <w:r>
        <w:rPr>
          <w:spacing w:val="-6"/>
          <w:w w:val="100"/>
        </w:rPr>
        <w:t>为可供出售金融资产；重分类日，该投资的账面价值与其公允价值之间的差额计入其他综合收益，</w:t>
      </w:r>
      <w:r>
        <w:rPr>
          <w:w w:val="100"/>
        </w:rPr>
        <w:t> </w:t>
      </w:r>
      <w:r>
        <w:rPr>
          <w:spacing w:val="-2"/>
        </w:rPr>
        <w:t>在该可供出售金融资产发生减值或终止确认时转出，计入当期损益。但是，遇到下列情况可以除</w:t>
      </w:r>
      <w:r>
        <w:rPr>
          <w:spacing w:val="-25"/>
        </w:rPr>
        <w:t> </w:t>
      </w:r>
      <w:r>
        <w:rPr>
          <w:spacing w:val="-25"/>
        </w:rPr>
      </w:r>
      <w:r>
        <w:rPr/>
        <w:t>外：</w:t>
      </w:r>
    </w:p>
    <w:p>
      <w:pPr>
        <w:pStyle w:val="BodyText"/>
        <w:spacing w:line="314" w:lineRule="auto" w:before="17"/>
        <w:ind w:left="138" w:right="207" w:firstLine="419"/>
        <w:jc w:val="both"/>
      </w:pPr>
      <w:r>
        <w:rPr>
          <w:rFonts w:ascii="宋体" w:hAnsi="宋体" w:cs="宋体" w:eastAsia="宋体" w:hint="default"/>
          <w:spacing w:val="-4"/>
        </w:rPr>
        <w:t>1</w:t>
      </w:r>
      <w:r>
        <w:rPr>
          <w:spacing w:val="-4"/>
        </w:rPr>
        <w:t>）出售日或重分类日距离该项投资到期日或赎回日较近</w:t>
      </w:r>
      <w:r>
        <w:rPr>
          <w:rFonts w:ascii="宋体" w:hAnsi="宋体" w:cs="宋体" w:eastAsia="宋体" w:hint="default"/>
          <w:spacing w:val="-4"/>
        </w:rPr>
        <w:t>(</w:t>
      </w:r>
      <w:r>
        <w:rPr>
          <w:spacing w:val="-4"/>
        </w:rPr>
        <w:t>如到期前三个月内</w:t>
      </w:r>
      <w:r>
        <w:rPr>
          <w:rFonts w:ascii="宋体" w:hAnsi="宋体" w:cs="宋体" w:eastAsia="宋体" w:hint="default"/>
          <w:spacing w:val="-4"/>
        </w:rPr>
        <w:t>)</w:t>
      </w:r>
      <w:r>
        <w:rPr>
          <w:spacing w:val="-4"/>
        </w:rPr>
        <w:t>，且市场利率变</w:t>
      </w:r>
      <w:r>
        <w:rPr>
          <w:w w:val="100"/>
        </w:rPr>
        <w:t> </w:t>
      </w:r>
      <w:r>
        <w:rPr/>
        <w:t>化对该项投资的公允价值没有显著影响。</w:t>
      </w:r>
    </w:p>
    <w:p>
      <w:pPr>
        <w:pStyle w:val="BodyText"/>
        <w:spacing w:line="240" w:lineRule="auto" w:before="17"/>
        <w:ind w:left="558" w:right="101"/>
        <w:jc w:val="left"/>
      </w:pPr>
      <w:r>
        <w:rPr>
          <w:rFonts w:ascii="宋体" w:hAnsi="宋体" w:cs="宋体" w:eastAsia="宋体" w:hint="default"/>
        </w:rPr>
        <w:t>2</w:t>
      </w:r>
      <w:r>
        <w:rPr/>
        <w:t>）根据合同约定的偿付方式，企业已收回几乎所有初始本金。</w:t>
      </w:r>
    </w:p>
    <w:p>
      <w:pPr>
        <w:pStyle w:val="BodyText"/>
        <w:spacing w:line="314" w:lineRule="auto" w:before="85"/>
        <w:ind w:left="558" w:right="101"/>
        <w:jc w:val="left"/>
      </w:pPr>
      <w:r>
        <w:rPr>
          <w:rFonts w:ascii="宋体" w:hAnsi="宋体" w:cs="宋体" w:eastAsia="宋体" w:hint="default"/>
          <w:spacing w:val="-7"/>
          <w:w w:val="100"/>
        </w:rPr>
        <w:t>3</w:t>
      </w:r>
      <w:r>
        <w:rPr>
          <w:spacing w:val="-7"/>
          <w:w w:val="100"/>
        </w:rPr>
        <w:t>）出售或重分类是由于企业无法控制、预期不会重复发生且难以合理预计的独立事件所引起。</w:t>
      </w:r>
      <w:r>
        <w:rPr>
          <w:spacing w:val="-70"/>
          <w:w w:val="100"/>
        </w:rPr>
        <w:t> </w:t>
      </w:r>
      <w:r>
        <w:rPr>
          <w:spacing w:val="-70"/>
          <w:w w:val="100"/>
        </w:rPr>
      </w:r>
      <w:r>
        <w:rPr/>
        <w:t>可供出售金融资产</w:t>
      </w:r>
      <w:r>
        <w:rPr>
          <w:w w:val="100"/>
        </w:rPr>
        <w:t> </w:t>
      </w:r>
      <w:r>
        <w:rPr/>
        <w:t>可供出售金融资产，是指初始确认时即指定为可供出售的非衍生金融资产，以及除其他金融</w:t>
      </w:r>
    </w:p>
    <w:p>
      <w:pPr>
        <w:pStyle w:val="BodyText"/>
        <w:spacing w:line="240" w:lineRule="auto" w:before="18"/>
        <w:ind w:left="138" w:right="0"/>
        <w:jc w:val="both"/>
      </w:pPr>
      <w:r>
        <w:rPr/>
        <w:t>资产类别以外的金融资产。</w:t>
      </w:r>
    </w:p>
    <w:p>
      <w:pPr>
        <w:spacing w:after="0" w:line="240" w:lineRule="auto"/>
        <w:jc w:val="both"/>
        <w:sectPr>
          <w:pgSz w:w="11910" w:h="16840"/>
          <w:pgMar w:header="882" w:footer="1195" w:top="1120" w:bottom="1380" w:left="1660" w:right="1060"/>
        </w:sectPr>
      </w:pPr>
    </w:p>
    <w:p>
      <w:pPr>
        <w:spacing w:line="240" w:lineRule="auto" w:before="8"/>
        <w:rPr>
          <w:rFonts w:ascii="宋体" w:hAnsi="宋体" w:cs="宋体" w:eastAsia="宋体" w:hint="default"/>
          <w:sz w:val="28"/>
          <w:szCs w:val="28"/>
        </w:rPr>
      </w:pPr>
    </w:p>
    <w:p>
      <w:pPr>
        <w:pStyle w:val="BodyText"/>
        <w:spacing w:line="314" w:lineRule="auto" w:before="36"/>
        <w:ind w:left="138" w:right="208" w:firstLine="419"/>
        <w:jc w:val="both"/>
      </w:pPr>
      <w:r>
        <w:rPr>
          <w:spacing w:val="-2"/>
        </w:rPr>
        <w:t>本公司对可供出售金融资产，在取得时按公允价值（扣除已宣告但尚未发放的现金股利或已</w:t>
      </w:r>
      <w:r>
        <w:rPr>
          <w:w w:val="100"/>
        </w:rPr>
        <w:t> </w:t>
      </w:r>
      <w:r>
        <w:rPr>
          <w:spacing w:val="-2"/>
        </w:rPr>
        <w:t>到付息期但尚未领取的债券利息）和相关交易费用之和作为初始确认金额。持有期间将取得的利</w:t>
      </w:r>
      <w:r>
        <w:rPr>
          <w:spacing w:val="-25"/>
        </w:rPr>
        <w:t> </w:t>
      </w:r>
      <w:r>
        <w:rPr>
          <w:spacing w:val="-25"/>
        </w:rPr>
      </w:r>
      <w:r>
        <w:rPr>
          <w:spacing w:val="-2"/>
        </w:rPr>
        <w:t>息或现金股利确认为投资收益。可供出售金融资产的公允价值变动形成的利得或损失，除减值损</w:t>
      </w:r>
      <w:r>
        <w:rPr>
          <w:spacing w:val="-25"/>
        </w:rPr>
        <w:t> </w:t>
      </w:r>
      <w:r>
        <w:rPr>
          <w:spacing w:val="-25"/>
        </w:rPr>
      </w:r>
      <w:r>
        <w:rPr>
          <w:spacing w:val="-6"/>
          <w:w w:val="100"/>
        </w:rPr>
        <w:t>失和外币货币性金融资产形成的汇兑差额外，直接计入其他综合收益。处置可供出售金融资产时，</w:t>
      </w:r>
      <w:r>
        <w:rPr>
          <w:w w:val="100"/>
        </w:rPr>
        <w:t> </w:t>
      </w:r>
      <w:r>
        <w:rPr>
          <w:spacing w:val="-2"/>
        </w:rPr>
        <w:t>将取得的价款与该金融资产账面价值之间的差额，计入投资损益；同时，将原直接计入其他综合</w:t>
      </w:r>
      <w:r>
        <w:rPr>
          <w:spacing w:val="-25"/>
        </w:rPr>
        <w:t> </w:t>
      </w:r>
      <w:r>
        <w:rPr>
          <w:spacing w:val="-25"/>
        </w:rPr>
      </w:r>
      <w:r>
        <w:rPr/>
        <w:t>收益的公允价值变动累计额对应处置部分的金额转出，计入投资损益。</w:t>
      </w:r>
    </w:p>
    <w:p>
      <w:pPr>
        <w:pStyle w:val="BodyText"/>
        <w:spacing w:line="314" w:lineRule="auto" w:before="17"/>
        <w:ind w:left="138" w:right="217" w:firstLine="419"/>
        <w:jc w:val="both"/>
      </w:pPr>
      <w:r>
        <w:rPr>
          <w:spacing w:val="-2"/>
        </w:rPr>
        <w:t>本公司对在活跃市场中没有报价且其公允价值不能可靠计量的权益工具投资，以及与该权益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14" w:lineRule="auto" w:before="17"/>
        <w:ind w:left="558" w:right="101"/>
        <w:jc w:val="left"/>
      </w:pPr>
      <w:r>
        <w:rPr/>
        <w:t>其他金融负债</w:t>
      </w:r>
      <w:r>
        <w:rPr>
          <w:w w:val="100"/>
        </w:rPr>
        <w:t> </w:t>
      </w:r>
      <w:r>
        <w:rPr>
          <w:spacing w:val="-2"/>
        </w:rPr>
        <w:t>按其公允价值和相关交易费用之和作为初始确认金额。采用摊余成本进行后续计量。</w:t>
      </w:r>
    </w:p>
    <w:p>
      <w:pPr>
        <w:pStyle w:val="BodyText"/>
        <w:spacing w:line="240" w:lineRule="auto" w:before="17"/>
        <w:ind w:left="558" w:right="101"/>
        <w:jc w:val="left"/>
      </w:pPr>
      <w:r>
        <w:rPr/>
        <w:t>（</w:t>
      </w:r>
      <w:r>
        <w:rPr>
          <w:rFonts w:ascii="宋体" w:hAnsi="宋体" w:cs="宋体" w:eastAsia="宋体" w:hint="default"/>
        </w:rPr>
        <w:t>6</w:t>
      </w:r>
      <w:r>
        <w:rPr/>
        <w:t>）</w:t>
      </w:r>
      <w:r>
        <w:rPr>
          <w:rFonts w:ascii="宋体" w:hAnsi="宋体" w:cs="宋体" w:eastAsia="宋体" w:hint="default"/>
        </w:rPr>
        <w:t>BT</w:t>
      </w:r>
      <w:r>
        <w:rPr>
          <w:rFonts w:ascii="宋体" w:hAnsi="宋体" w:cs="宋体" w:eastAsia="宋体" w:hint="default"/>
          <w:spacing w:val="-55"/>
        </w:rPr>
        <w:t> </w:t>
      </w:r>
      <w:r>
        <w:rPr/>
        <w:t>项目会计核算方法</w:t>
      </w:r>
    </w:p>
    <w:p>
      <w:pPr>
        <w:pStyle w:val="BodyText"/>
        <w:spacing w:line="312" w:lineRule="auto" w:before="85"/>
        <w:ind w:left="138" w:right="101" w:firstLine="419"/>
        <w:jc w:val="left"/>
      </w:pPr>
      <w:r>
        <w:rPr/>
        <w:t>本公司</w:t>
      </w:r>
      <w:r>
        <w:rPr>
          <w:spacing w:val="-55"/>
        </w:rPr>
        <w:t> </w:t>
      </w:r>
      <w:r>
        <w:rPr>
          <w:rFonts w:ascii="宋体" w:hAnsi="宋体" w:cs="宋体" w:eastAsia="宋体" w:hint="default"/>
        </w:rPr>
        <w:t>BT</w:t>
      </w:r>
      <w:r>
        <w:rPr>
          <w:rFonts w:ascii="宋体" w:hAnsi="宋体" w:cs="宋体" w:eastAsia="宋体" w:hint="default"/>
          <w:spacing w:val="-57"/>
        </w:rPr>
        <w:t> </w:t>
      </w:r>
      <w:r>
        <w:rPr/>
        <w:t>项目的经营方式为“建造</w:t>
      </w:r>
      <w:r>
        <w:rPr>
          <w:rFonts w:ascii="宋体" w:hAnsi="宋体" w:cs="宋体" w:eastAsia="宋体" w:hint="default"/>
        </w:rPr>
        <w:t>-</w:t>
      </w:r>
      <w:r>
        <w:rPr/>
        <w:t>转移（</w:t>
      </w:r>
      <w:r>
        <w:rPr>
          <w:rFonts w:ascii="宋体" w:hAnsi="宋体" w:cs="宋体" w:eastAsia="宋体" w:hint="default"/>
        </w:rPr>
        <w:t>Build-Transfer</w:t>
      </w:r>
      <w:r>
        <w:rPr/>
        <w:t>）”，即政府或其代理公司与本</w:t>
      </w:r>
      <w:r>
        <w:rPr>
          <w:w w:val="100"/>
        </w:rPr>
        <w:t> </w:t>
      </w:r>
      <w:r>
        <w:rPr>
          <w:spacing w:val="-4"/>
          <w:w w:val="100"/>
        </w:rPr>
        <w:t>公司签订政府工程的投资建设回购协议，并授权本公司代理其实施投融资职能进行政府工程建设，</w:t>
      </w:r>
      <w:r>
        <w:rPr>
          <w:spacing w:val="-86"/>
          <w:w w:val="100"/>
        </w:rPr>
        <w:t> </w:t>
      </w:r>
      <w:r>
        <w:rPr>
          <w:spacing w:val="-86"/>
          <w:w w:val="100"/>
        </w:rPr>
      </w:r>
      <w:r>
        <w:rPr/>
        <w:t>工程完工后移交政府或其代理公司，政府或其代理公司根据回购协议在规定的期限内支付本公司</w:t>
      </w:r>
      <w:r>
        <w:rPr>
          <w:w w:val="100"/>
        </w:rPr>
        <w:t> </w:t>
      </w:r>
      <w:r>
        <w:rPr/>
        <w:t>回购资金（含投资回报及资金占用费）。</w:t>
      </w:r>
    </w:p>
    <w:p>
      <w:pPr>
        <w:pStyle w:val="BodyText"/>
        <w:spacing w:line="312" w:lineRule="auto" w:before="22"/>
        <w:ind w:left="138" w:right="210" w:firstLine="419"/>
        <w:jc w:val="both"/>
      </w:pPr>
      <w:r>
        <w:rPr/>
        <w:t>本公司 </w:t>
      </w:r>
      <w:r>
        <w:rPr>
          <w:rFonts w:ascii="宋体" w:hAnsi="宋体" w:cs="宋体" w:eastAsia="宋体" w:hint="default"/>
        </w:rPr>
        <w:t>BT</w:t>
      </w:r>
      <w:r>
        <w:rPr>
          <w:rFonts w:ascii="宋体" w:hAnsi="宋体" w:cs="宋体" w:eastAsia="宋体" w:hint="default"/>
          <w:spacing w:val="-43"/>
        </w:rPr>
        <w:t> </w:t>
      </w:r>
      <w:r>
        <w:rPr>
          <w:spacing w:val="-5"/>
        </w:rPr>
        <w:t>项目未提供建造服务，按照建造过程中支付的工程价款等考虑合同规定，确认长期</w:t>
      </w:r>
      <w:r>
        <w:rPr>
          <w:w w:val="100"/>
        </w:rPr>
        <w:t> </w:t>
      </w:r>
      <w:r>
        <w:rPr/>
        <w:t>应收款。</w:t>
      </w:r>
    </w:p>
    <w:p>
      <w:pPr>
        <w:pStyle w:val="BodyText"/>
        <w:spacing w:line="314" w:lineRule="auto" w:before="22"/>
        <w:ind w:left="138" w:right="207" w:firstLine="419"/>
        <w:jc w:val="both"/>
      </w:pPr>
      <w:r>
        <w:rPr>
          <w:rFonts w:ascii="宋体" w:hAnsi="宋体" w:cs="宋体" w:eastAsia="宋体" w:hint="default"/>
        </w:rPr>
        <w:t>BT</w:t>
      </w:r>
      <w:r>
        <w:rPr>
          <w:rFonts w:ascii="宋体" w:hAnsi="宋体" w:cs="宋体" w:eastAsia="宋体" w:hint="default"/>
          <w:spacing w:val="-3"/>
        </w:rPr>
        <w:t> </w:t>
      </w:r>
      <w:r>
        <w:rPr>
          <w:spacing w:val="-3"/>
        </w:rPr>
        <w:t>项目建设期本公司按照与政府或其代理公司签订的回购协议约定的利率，按期确认资金占</w:t>
      </w:r>
      <w:r>
        <w:rPr>
          <w:w w:val="100"/>
        </w:rPr>
        <w:t> </w:t>
      </w:r>
      <w:r>
        <w:rPr>
          <w:spacing w:val="-6"/>
        </w:rPr>
        <w:t>用费计入利息收入；进入</w:t>
      </w:r>
      <w:r>
        <w:rPr>
          <w:spacing w:val="-31"/>
        </w:rPr>
        <w:t> </w:t>
      </w:r>
      <w:r>
        <w:rPr>
          <w:rFonts w:ascii="宋体" w:hAnsi="宋体" w:cs="宋体" w:eastAsia="宋体" w:hint="default"/>
        </w:rPr>
        <w:t>BT</w:t>
      </w:r>
      <w:r>
        <w:rPr>
          <w:rFonts w:ascii="宋体" w:hAnsi="宋体" w:cs="宋体" w:eastAsia="宋体" w:hint="default"/>
          <w:spacing w:val="-31"/>
        </w:rPr>
        <w:t> </w:t>
      </w:r>
      <w:r>
        <w:rPr>
          <w:spacing w:val="-3"/>
        </w:rPr>
        <w:t>项目回购期后，回购期内长期应收款采用摊余成本计量并按期确认利</w:t>
      </w:r>
      <w:r>
        <w:rPr>
          <w:spacing w:val="-96"/>
        </w:rPr>
        <w:t> </w:t>
      </w:r>
      <w:r>
        <w:rPr>
          <w:spacing w:val="-96"/>
        </w:rPr>
      </w:r>
      <w:r>
        <w:rPr/>
        <w:t>息收入，实际利率在预期的长期应收款存续期间内一般保持不变。</w:t>
      </w:r>
    </w:p>
    <w:p>
      <w:pPr>
        <w:pStyle w:val="BodyText"/>
        <w:spacing w:line="314" w:lineRule="auto" w:before="17"/>
        <w:ind w:left="558" w:right="101"/>
        <w:jc w:val="left"/>
      </w:pPr>
      <w:r>
        <w:rPr/>
        <w:t>金融资产转移的确认依据和计量方法</w:t>
      </w:r>
      <w:r>
        <w:rPr>
          <w:w w:val="100"/>
        </w:rPr>
        <w:t> </w:t>
      </w:r>
      <w:r>
        <w:rPr>
          <w:spacing w:val="-2"/>
        </w:rPr>
        <w:t>公司发生金融资产转移时，如已将金融资产所有权上几乎所有的风险和报酬转移给转入方，</w:t>
      </w:r>
    </w:p>
    <w:p>
      <w:pPr>
        <w:pStyle w:val="BodyText"/>
        <w:spacing w:line="314" w:lineRule="auto" w:before="17"/>
        <w:ind w:left="138" w:right="101"/>
        <w:jc w:val="left"/>
      </w:pPr>
      <w:r>
        <w:rPr>
          <w:spacing w:val="-2"/>
        </w:rPr>
        <w:t>则终止确认该金融资产；如保留了金融资产所有权上几乎所有的风险和报酬的，则不终止确认该</w:t>
      </w:r>
      <w:r>
        <w:rPr>
          <w:spacing w:val="-25"/>
        </w:rPr>
        <w:t> </w:t>
      </w:r>
      <w:r>
        <w:rPr>
          <w:spacing w:val="-25"/>
        </w:rPr>
      </w:r>
      <w:r>
        <w:rPr/>
        <w:t>金融资产。</w:t>
      </w:r>
    </w:p>
    <w:p>
      <w:pPr>
        <w:pStyle w:val="BodyText"/>
        <w:spacing w:line="314" w:lineRule="auto" w:before="17"/>
        <w:ind w:left="138" w:right="101" w:firstLine="419"/>
        <w:jc w:val="left"/>
      </w:pPr>
      <w:r>
        <w:rPr/>
        <w:t>在判断金融资产转移是否满足上述金融资产终止确认条件时，采用实质重于形式的原则。公</w:t>
      </w:r>
      <w:r>
        <w:rPr>
          <w:w w:val="100"/>
        </w:rPr>
        <w:t> </w:t>
      </w: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p>
    <w:p>
      <w:pPr>
        <w:pStyle w:val="BodyText"/>
        <w:spacing w:line="240" w:lineRule="auto" w:before="20"/>
        <w:ind w:left="558" w:right="101"/>
        <w:jc w:val="left"/>
      </w:pPr>
      <w:r>
        <w:rPr/>
        <w:t>（</w:t>
      </w:r>
      <w:r>
        <w:rPr>
          <w:rFonts w:ascii="宋体" w:hAnsi="宋体" w:cs="宋体" w:eastAsia="宋体" w:hint="default"/>
        </w:rPr>
        <w:t>1</w:t>
      </w:r>
      <w:r>
        <w:rPr/>
        <w:t>）所转移金融资产的账面价值；</w:t>
      </w:r>
    </w:p>
    <w:p>
      <w:pPr>
        <w:pStyle w:val="BodyText"/>
        <w:spacing w:line="314" w:lineRule="auto" w:before="82"/>
        <w:ind w:left="138" w:right="208" w:firstLine="419"/>
        <w:jc w:val="both"/>
      </w:pPr>
      <w:r>
        <w:rPr>
          <w:spacing w:val="-4"/>
        </w:rPr>
        <w:t>（</w:t>
      </w:r>
      <w:r>
        <w:rPr>
          <w:rFonts w:ascii="宋体" w:hAnsi="宋体" w:cs="宋体" w:eastAsia="宋体" w:hint="default"/>
          <w:spacing w:val="-4"/>
        </w:rPr>
        <w:t>2</w:t>
      </w:r>
      <w:r>
        <w:rPr>
          <w:spacing w:val="-4"/>
        </w:rPr>
        <w:t>）因转移而收到的对价，与原直接计入所有者权益的公允价值变动累计额（涉及转移的金</w:t>
      </w:r>
      <w:r>
        <w:rPr>
          <w:w w:val="100"/>
        </w:rPr>
        <w:t> </w:t>
      </w:r>
      <w:r>
        <w:rPr/>
        <w:t>融资产为可供出售金融资产的情形）之和。</w:t>
      </w:r>
    </w:p>
    <w:p>
      <w:pPr>
        <w:pStyle w:val="BodyText"/>
        <w:spacing w:line="314" w:lineRule="auto" w:before="17"/>
        <w:ind w:left="138" w:right="217" w:firstLine="419"/>
        <w:jc w:val="both"/>
      </w:pPr>
      <w:r>
        <w:rPr>
          <w:spacing w:val="-2"/>
        </w:rPr>
        <w:t>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w:t>
      </w:r>
      <w:r>
        <w:rPr>
          <w:spacing w:val="-25"/>
        </w:rPr>
        <w:t> </w:t>
      </w:r>
      <w:r>
        <w:rPr>
          <w:spacing w:val="-25"/>
        </w:rPr>
      </w:r>
      <w:r>
        <w:rPr/>
        <w:t>期损益：</w:t>
      </w:r>
    </w:p>
    <w:p>
      <w:pPr>
        <w:pStyle w:val="BodyText"/>
        <w:spacing w:line="240" w:lineRule="auto" w:before="20"/>
        <w:ind w:left="558" w:right="101"/>
        <w:jc w:val="left"/>
      </w:pPr>
      <w:r>
        <w:rPr/>
        <w:t>（</w:t>
      </w:r>
      <w:r>
        <w:rPr>
          <w:rFonts w:ascii="宋体" w:hAnsi="宋体" w:cs="宋体" w:eastAsia="宋体" w:hint="default"/>
        </w:rPr>
        <w:t>1</w:t>
      </w:r>
      <w:r>
        <w:rPr/>
        <w:t>）终止确认部分的账面价值；</w:t>
      </w:r>
    </w:p>
    <w:p>
      <w:pPr>
        <w:pStyle w:val="BodyText"/>
        <w:spacing w:line="314" w:lineRule="auto" w:before="82"/>
        <w:ind w:left="138" w:right="208" w:firstLine="419"/>
        <w:jc w:val="both"/>
      </w:pPr>
      <w:r>
        <w:rPr>
          <w:spacing w:val="-4"/>
        </w:rPr>
        <w:t>（</w:t>
      </w:r>
      <w:r>
        <w:rPr>
          <w:rFonts w:ascii="宋体" w:hAnsi="宋体" w:cs="宋体" w:eastAsia="宋体" w:hint="default"/>
          <w:spacing w:val="-4"/>
        </w:rPr>
        <w:t>2</w:t>
      </w:r>
      <w:r>
        <w:rPr>
          <w:spacing w:val="-4"/>
        </w:rPr>
        <w:t>）终止确认部分的对价，与原直接计入所有者权益的公允价值变动累计额中对应终止确认</w:t>
      </w:r>
      <w:r>
        <w:rPr>
          <w:w w:val="100"/>
        </w:rPr>
        <w:t> </w:t>
      </w:r>
      <w:r>
        <w:rPr/>
        <w:t>部分的金额（涉及转移的金融资产为可供出售金融资产的情形）之和。</w:t>
      </w:r>
    </w:p>
    <w:p>
      <w:pPr>
        <w:pStyle w:val="BodyText"/>
        <w:spacing w:line="314" w:lineRule="auto" w:before="18"/>
        <w:ind w:left="138" w:right="217" w:firstLine="419"/>
        <w:jc w:val="both"/>
      </w:pPr>
      <w:r>
        <w:rPr>
          <w:spacing w:val="-2"/>
        </w:rPr>
        <w:t>金融资产转移不满足终止确认条件的，继续确认该金融资产，所收到的对价确认为一项金融</w:t>
      </w:r>
      <w:r>
        <w:rPr>
          <w:w w:val="100"/>
        </w:rPr>
        <w:t> </w:t>
      </w:r>
      <w:r>
        <w:rPr/>
        <w:t>负债。</w:t>
      </w:r>
    </w:p>
    <w:p>
      <w:pPr>
        <w:spacing w:after="0" w:line="314" w:lineRule="auto"/>
        <w:jc w:val="both"/>
        <w:sectPr>
          <w:pgSz w:w="11910" w:h="16840"/>
          <w:pgMar w:header="882" w:footer="1195" w:top="1120" w:bottom="1380" w:left="1660" w:right="1060"/>
        </w:sectPr>
      </w:pPr>
    </w:p>
    <w:p>
      <w:pPr>
        <w:spacing w:line="240" w:lineRule="auto" w:before="8"/>
        <w:rPr>
          <w:rFonts w:ascii="宋体" w:hAnsi="宋体" w:cs="宋体" w:eastAsia="宋体" w:hint="default"/>
          <w:sz w:val="28"/>
          <w:szCs w:val="28"/>
        </w:rPr>
      </w:pPr>
    </w:p>
    <w:p>
      <w:pPr>
        <w:pStyle w:val="BodyText"/>
        <w:spacing w:line="314" w:lineRule="auto" w:before="36"/>
        <w:ind w:left="558" w:right="101"/>
        <w:jc w:val="left"/>
      </w:pPr>
      <w:r>
        <w:rPr/>
        <w:t>金融负债终止确认条件</w:t>
      </w:r>
      <w:r>
        <w:rPr>
          <w:w w:val="100"/>
        </w:rPr>
        <w:t> </w:t>
      </w:r>
      <w:r>
        <w:rPr>
          <w:spacing w:val="-2"/>
        </w:rPr>
        <w:t>金融负债的的现时义务全部或部分已经解除的，则终止确认该金融负债或其一部分；本公司</w:t>
      </w:r>
    </w:p>
    <w:p>
      <w:pPr>
        <w:pStyle w:val="BodyText"/>
        <w:spacing w:line="314" w:lineRule="auto" w:before="17"/>
        <w:ind w:left="138" w:right="101"/>
        <w:jc w:val="left"/>
      </w:pPr>
      <w:r>
        <w:rPr>
          <w:spacing w:val="-2"/>
        </w:rPr>
        <w:t>若与债权人签定协议，以承担新金融负债方式替换现存金融负债，且新金融负债与现存金融负债</w:t>
      </w:r>
      <w:r>
        <w:rPr>
          <w:spacing w:val="-25"/>
        </w:rPr>
        <w:t> </w:t>
      </w:r>
      <w:r>
        <w:rPr>
          <w:spacing w:val="-25"/>
        </w:rPr>
      </w:r>
      <w:r>
        <w:rPr/>
        <w:t>的合同条款实质上不同的，则终止确认现存金融负债，并同时确认新金融负债。</w:t>
      </w:r>
    </w:p>
    <w:p>
      <w:pPr>
        <w:pStyle w:val="BodyText"/>
        <w:spacing w:line="314" w:lineRule="auto" w:before="17"/>
        <w:ind w:left="138" w:right="101" w:firstLine="419"/>
        <w:jc w:val="left"/>
      </w:pPr>
      <w:r>
        <w:rPr>
          <w:spacing w:val="-2"/>
        </w:rPr>
        <w:t>对现存金融负债全部或部分合同条款作出实质性修改的，则终止确认现存金融负债或其一部</w:t>
      </w:r>
      <w:r>
        <w:rPr>
          <w:w w:val="100"/>
        </w:rPr>
        <w:t> </w:t>
      </w:r>
      <w:r>
        <w:rPr/>
        <w:t>分，同时将修改条款后的金融负债确认为一项新金融负债。</w:t>
      </w:r>
    </w:p>
    <w:p>
      <w:pPr>
        <w:pStyle w:val="BodyText"/>
        <w:spacing w:line="314" w:lineRule="auto" w:before="17"/>
        <w:ind w:left="138" w:right="101" w:firstLine="419"/>
        <w:jc w:val="left"/>
      </w:pPr>
      <w:r>
        <w:rPr>
          <w:spacing w:val="-2"/>
        </w:rPr>
        <w:t>金融负债全部或部分终止确认时，终止确认的金融负债账面价值与支付对价（包括转出的非</w:t>
      </w:r>
      <w:r>
        <w:rPr>
          <w:w w:val="100"/>
        </w:rPr>
        <w:t> </w:t>
      </w:r>
      <w:r>
        <w:rPr/>
        <w:t>现金资产或承担的新金融负债）之间的差额，计入当期损益。</w:t>
      </w:r>
    </w:p>
    <w:p>
      <w:pPr>
        <w:pStyle w:val="BodyText"/>
        <w:spacing w:line="314" w:lineRule="auto" w:before="17"/>
        <w:ind w:left="138" w:right="101" w:firstLine="419"/>
        <w:jc w:val="left"/>
      </w:pPr>
      <w:r>
        <w:rPr>
          <w:spacing w:val="-4"/>
          <w:w w:val="100"/>
        </w:rPr>
        <w:t>本公司若回购部分金融负债的，在回购日按照继续确认部分与终止确认部分的相对公允价值，</w:t>
      </w:r>
      <w:r>
        <w:rPr>
          <w:w w:val="100"/>
        </w:rPr>
        <w:t> </w:t>
      </w:r>
      <w:r>
        <w:rPr/>
        <w:t>将该金融负债整体的账面价值进行分配。分配给终止确认部分的账面价值与支付的对价（包括转</w:t>
      </w:r>
      <w:r>
        <w:rPr>
          <w:w w:val="100"/>
        </w:rPr>
        <w:t> </w:t>
      </w:r>
      <w:r>
        <w:rPr/>
        <w:t>出的非现金资产或承担的新金融负债）之间的差额，计入当期损益。</w:t>
      </w:r>
    </w:p>
    <w:p>
      <w:pPr>
        <w:pStyle w:val="BodyText"/>
        <w:spacing w:line="312" w:lineRule="auto" w:before="20"/>
        <w:ind w:left="558" w:right="101"/>
        <w:jc w:val="left"/>
      </w:pPr>
      <w:r>
        <w:rPr/>
        <w:t>金融资产和金融负债公允价值的确定方法</w:t>
      </w:r>
      <w:r>
        <w:rPr>
          <w:w w:val="100"/>
        </w:rPr>
        <w:t> </w:t>
      </w:r>
      <w:r>
        <w:rPr>
          <w:spacing w:val="-2"/>
        </w:rPr>
        <w:t>存在活跃市场的金融资产或金融负债，以活跃市场的报价确定其公允价值；活跃市场的报价</w:t>
      </w:r>
    </w:p>
    <w:p>
      <w:pPr>
        <w:pStyle w:val="BodyText"/>
        <w:spacing w:line="312" w:lineRule="auto" w:before="22"/>
        <w:ind w:left="138" w:right="101"/>
        <w:jc w:val="left"/>
      </w:pPr>
      <w:r>
        <w:rPr>
          <w:spacing w:val="-2"/>
        </w:rPr>
        <w:t>包括易于且可定期从交易所、交易商、经纪人、行业集团、定价机构或监管机构等获得相关资产</w:t>
      </w:r>
      <w:r>
        <w:rPr>
          <w:spacing w:val="-25"/>
        </w:rPr>
        <w:t> </w:t>
      </w:r>
      <w:r>
        <w:rPr>
          <w:spacing w:val="-25"/>
        </w:rPr>
      </w:r>
      <w:r>
        <w:rPr/>
        <w:t>或负债的报价，且能代表在公平交易基础上实际并经常发生的市场交易。</w:t>
      </w:r>
    </w:p>
    <w:p>
      <w:pPr>
        <w:pStyle w:val="BodyText"/>
        <w:spacing w:line="312" w:lineRule="auto" w:before="22"/>
        <w:ind w:left="558" w:right="101"/>
        <w:jc w:val="left"/>
      </w:pPr>
      <w:r>
        <w:rPr>
          <w:spacing w:val="-4"/>
          <w:w w:val="100"/>
        </w:rPr>
        <w:t>初始取得或衍生的金融资产或承担的金融负债，以市场交易价格作为确定其公允价值的基础。</w:t>
      </w:r>
      <w:r>
        <w:rPr>
          <w:spacing w:val="-93"/>
          <w:w w:val="100"/>
        </w:rPr>
        <w:t> </w:t>
      </w:r>
      <w:r>
        <w:rPr>
          <w:spacing w:val="-93"/>
          <w:w w:val="100"/>
        </w:rPr>
      </w:r>
      <w:r>
        <w:rPr/>
        <w:t>不存在活跃市场的金融资产或金融负债，采用估值技术确定其公允价值。在估值时，本公司</w:t>
      </w:r>
    </w:p>
    <w:p>
      <w:pPr>
        <w:pStyle w:val="BodyText"/>
        <w:spacing w:line="312" w:lineRule="auto" w:before="22"/>
        <w:ind w:left="138" w:right="101"/>
        <w:jc w:val="left"/>
      </w:pPr>
      <w:r>
        <w:rPr>
          <w:spacing w:val="-2"/>
        </w:rPr>
        <w:t>采用在当前情况下适用并且有足够可利用数据和其他信息支持的估值技术，选择与市场参与者在</w:t>
      </w:r>
      <w:r>
        <w:rPr>
          <w:spacing w:val="-25"/>
        </w:rPr>
        <w:t> </w:t>
      </w:r>
      <w:r>
        <w:rPr>
          <w:spacing w:val="-25"/>
        </w:rPr>
      </w:r>
      <w:r>
        <w:rPr>
          <w:spacing w:val="-2"/>
        </w:rPr>
        <w:t>相关资产或负债的交易中所考虑的资产或负债特征相一致的输入值，并尽可能优先使用相关可观</w:t>
      </w:r>
      <w:r>
        <w:rPr>
          <w:spacing w:val="-25"/>
        </w:rPr>
        <w:t> </w:t>
      </w:r>
      <w:r>
        <w:rPr>
          <w:spacing w:val="-25"/>
        </w:rPr>
      </w:r>
      <w:r>
        <w:rPr/>
        <w:t>察输入值。在相关可观察输入值无法取得或取得不切实可行的情况下，使用不可观察输入值。</w:t>
      </w:r>
      <w:r>
        <w:rPr>
          <w:w w:val="100"/>
        </w:rPr>
        <w:t> </w:t>
      </w:r>
      <w:r>
        <w:rPr/>
        <w:t>金融资产（不含应收款项）减值准备计提</w:t>
      </w:r>
    </w:p>
    <w:p>
      <w:pPr>
        <w:pStyle w:val="BodyText"/>
        <w:spacing w:line="312" w:lineRule="auto" w:before="22"/>
        <w:ind w:left="138" w:right="101" w:firstLine="419"/>
        <w:jc w:val="left"/>
      </w:pPr>
      <w:r>
        <w:rPr>
          <w:spacing w:val="-2"/>
        </w:rPr>
        <w:t>资产负债表日对以公允价值计量且其变动计入当期损益的金融资产以外的金融资产的账面价</w:t>
      </w:r>
      <w:r>
        <w:rPr>
          <w:w w:val="100"/>
        </w:rPr>
        <w:t> </w:t>
      </w:r>
      <w:r>
        <w:rPr/>
        <w:t>值进行检查，如有客观证据表明该金融资产发生减值的，计提减值准备。</w:t>
      </w:r>
    </w:p>
    <w:p>
      <w:pPr>
        <w:pStyle w:val="BodyText"/>
        <w:spacing w:line="312" w:lineRule="auto" w:before="22"/>
        <w:ind w:left="558" w:right="101"/>
        <w:jc w:val="left"/>
      </w:pPr>
      <w:r>
        <w:rPr/>
        <w:t>金融资产发生减值的客观证据，包括但不限于：</w:t>
      </w:r>
      <w:r>
        <w:rPr>
          <w:w w:val="100"/>
        </w:rPr>
        <w:t> </w:t>
      </w:r>
      <w:r>
        <w:rPr>
          <w:spacing w:val="-2"/>
        </w:rPr>
        <w:t>发行方或债务人发生严重财务困难；债务人违反了合同条款，如偿付利息或本金发生违约或</w:t>
      </w:r>
    </w:p>
    <w:p>
      <w:pPr>
        <w:pStyle w:val="BodyText"/>
        <w:spacing w:line="314" w:lineRule="auto" w:before="22"/>
        <w:ind w:left="138" w:right="217"/>
        <w:jc w:val="both"/>
      </w:pPr>
      <w:r>
        <w:rPr>
          <w:spacing w:val="-2"/>
        </w:rPr>
        <w:t>逾期等；债权人出于经济或法律等方面因素的考虑，对发生财务困难的债务人作出让步；债务人</w:t>
      </w:r>
      <w:r>
        <w:rPr>
          <w:spacing w:val="-25"/>
        </w:rPr>
        <w:t> </w:t>
      </w:r>
      <w:r>
        <w:rPr>
          <w:spacing w:val="-25"/>
        </w:rPr>
      </w:r>
      <w:r>
        <w:rPr>
          <w:spacing w:val="-2"/>
        </w:rPr>
        <w:t>很可能倒闭或进行其他财务重组；因发行方发生重大财务困难，该金融资产无法在活跃市场继续</w:t>
      </w:r>
      <w:r>
        <w:rPr>
          <w:spacing w:val="-25"/>
        </w:rPr>
        <w:t> </w:t>
      </w:r>
      <w:r>
        <w:rPr>
          <w:spacing w:val="-25"/>
        </w:rPr>
      </w:r>
      <w:r>
        <w:rPr>
          <w:spacing w:val="-2"/>
        </w:rPr>
        <w:t>交易；无法辨认一组金融资产中的某项资产的现金流量是否已经减少，但根据公开的数据对其进</w:t>
      </w:r>
      <w:r>
        <w:rPr>
          <w:spacing w:val="-25"/>
        </w:rPr>
        <w:t> </w:t>
      </w:r>
      <w:r>
        <w:rPr>
          <w:spacing w:val="-25"/>
        </w:rPr>
      </w:r>
      <w:r>
        <w:rPr>
          <w:spacing w:val="-2"/>
        </w:rPr>
        <w:t>行总体评价后发现，该组金融资产自初始确认以来的预计未来现金流量确已减少且可计量，如该</w:t>
      </w:r>
      <w:r>
        <w:rPr>
          <w:spacing w:val="-25"/>
        </w:rPr>
        <w:t> </w:t>
      </w:r>
      <w:r>
        <w:rPr>
          <w:spacing w:val="-25"/>
        </w:rPr>
      </w:r>
      <w:r>
        <w:rPr>
          <w:spacing w:val="-2"/>
        </w:rPr>
        <w:t>组金融资产的债务人支付能力逐步恶化，或债务人所在国家或地区失业率提高、担保物在其所在</w:t>
      </w:r>
      <w:r>
        <w:rPr>
          <w:spacing w:val="-25"/>
        </w:rPr>
        <w:t> </w:t>
      </w:r>
      <w:r>
        <w:rPr>
          <w:spacing w:val="-25"/>
        </w:rPr>
      </w:r>
      <w:r>
        <w:rPr>
          <w:spacing w:val="-2"/>
        </w:rPr>
        <w:t>地区的价格明显下降、所处行业不景气等；权益工具发行方经营所处的技术、市场、经济或法律</w:t>
      </w:r>
      <w:r>
        <w:rPr>
          <w:spacing w:val="-25"/>
        </w:rPr>
        <w:t> </w:t>
      </w:r>
      <w:r>
        <w:rPr>
          <w:spacing w:val="-25"/>
        </w:rPr>
      </w:r>
      <w:r>
        <w:rPr>
          <w:spacing w:val="-2"/>
        </w:rPr>
        <w:t>环境等发生重大不利变化，使权益工具投资人可能无法收回投资成本；权益工具投资的公允价值</w:t>
      </w:r>
      <w:r>
        <w:rPr>
          <w:spacing w:val="-25"/>
        </w:rPr>
        <w:t> </w:t>
      </w:r>
      <w:r>
        <w:rPr>
          <w:spacing w:val="-25"/>
        </w:rPr>
      </w:r>
      <w:r>
        <w:rPr/>
        <w:t>发生严重或非暂时性下跌。</w:t>
      </w:r>
    </w:p>
    <w:p>
      <w:pPr>
        <w:pStyle w:val="BodyText"/>
        <w:spacing w:line="240" w:lineRule="auto" w:before="20"/>
        <w:ind w:left="558" w:right="101"/>
        <w:jc w:val="left"/>
      </w:pPr>
      <w:r>
        <w:rPr/>
        <w:t>金融资产的具体减值方法如下：</w:t>
      </w:r>
    </w:p>
    <w:p>
      <w:pPr>
        <w:pStyle w:val="BodyText"/>
        <w:spacing w:line="314" w:lineRule="auto" w:before="82"/>
        <w:ind w:left="558" w:right="101"/>
        <w:jc w:val="left"/>
      </w:pPr>
      <w:r>
        <w:rPr/>
        <w:t>（</w:t>
      </w:r>
      <w:r>
        <w:rPr>
          <w:rFonts w:ascii="宋体" w:hAnsi="宋体" w:cs="宋体" w:eastAsia="宋体" w:hint="default"/>
        </w:rPr>
        <w:t>1</w:t>
      </w:r>
      <w:r>
        <w:rPr/>
        <w:t>）可供出售金融资产的减值准备</w:t>
      </w:r>
      <w:r>
        <w:rPr>
          <w:w w:val="100"/>
        </w:rPr>
        <w:t> </w:t>
      </w:r>
      <w:r>
        <w:rPr>
          <w:spacing w:val="-2"/>
        </w:rPr>
        <w:t>本公司于资产负债表日对各项可供出售权益工具投资单独进行检查，若该权益工具投资于资</w:t>
      </w:r>
    </w:p>
    <w:p>
      <w:pPr>
        <w:pStyle w:val="BodyText"/>
        <w:spacing w:line="314" w:lineRule="auto" w:before="18"/>
        <w:ind w:left="138" w:right="106"/>
        <w:jc w:val="left"/>
      </w:pPr>
      <w:r>
        <w:rPr/>
        <w:t>产负债表日的公允价值低于其成本超过</w:t>
      </w:r>
      <w:r>
        <w:rPr>
          <w:spacing w:val="-54"/>
        </w:rPr>
        <w:t> </w:t>
      </w:r>
      <w:r>
        <w:rPr>
          <w:rFonts w:ascii="宋体" w:hAnsi="宋体" w:cs="宋体" w:eastAsia="宋体" w:hint="default"/>
        </w:rPr>
        <w:t>50%</w:t>
      </w:r>
      <w:r>
        <w:rPr/>
        <w:t>（含</w:t>
      </w:r>
      <w:r>
        <w:rPr>
          <w:spacing w:val="-54"/>
        </w:rPr>
        <w:t> </w:t>
      </w:r>
      <w:r>
        <w:rPr>
          <w:rFonts w:ascii="宋体" w:hAnsi="宋体" w:cs="宋体" w:eastAsia="宋体" w:hint="default"/>
        </w:rPr>
        <w:t>50%</w:t>
      </w:r>
      <w:r>
        <w:rPr/>
        <w:t>）或低于其成本持续时间超过一年（含一年）</w:t>
      </w:r>
      <w:r>
        <w:rPr>
          <w:w w:val="100"/>
        </w:rPr>
        <w:t> </w:t>
      </w:r>
      <w:r>
        <w:rPr>
          <w:spacing w:val="-2"/>
        </w:rPr>
        <w:t>的，则表明其发生减值；若该权益工具投资于资产负债表日的公允价值低于其成本超过</w:t>
      </w:r>
      <w:r>
        <w:rPr>
          <w:spacing w:val="25"/>
        </w:rPr>
        <w:t> </w:t>
      </w:r>
      <w:r>
        <w:rPr>
          <w:rFonts w:ascii="宋体" w:hAnsi="宋体" w:cs="宋体" w:eastAsia="宋体" w:hint="default"/>
          <w:spacing w:val="-1"/>
        </w:rPr>
        <w:t>20%</w:t>
      </w:r>
      <w:r>
        <w:rPr>
          <w:spacing w:val="-1"/>
        </w:rPr>
        <w:t>（含</w:t>
      </w:r>
    </w:p>
    <w:p>
      <w:pPr>
        <w:spacing w:after="0" w:line="314" w:lineRule="auto"/>
        <w:jc w:val="left"/>
        <w:sectPr>
          <w:footerReference w:type="default" r:id="rId48"/>
          <w:pgSz w:w="11910" w:h="16840"/>
          <w:pgMar w:footer="1195" w:header="882" w:top="1120" w:bottom="1380" w:left="1660" w:right="1060"/>
          <w:pgNumType w:start="86"/>
        </w:sectPr>
      </w:pPr>
    </w:p>
    <w:p>
      <w:pPr>
        <w:spacing w:line="240" w:lineRule="auto" w:before="8"/>
        <w:rPr>
          <w:rFonts w:ascii="宋体" w:hAnsi="宋体" w:cs="宋体" w:eastAsia="宋体" w:hint="default"/>
          <w:sz w:val="28"/>
          <w:szCs w:val="28"/>
        </w:rPr>
      </w:pPr>
    </w:p>
    <w:p>
      <w:pPr>
        <w:pStyle w:val="BodyText"/>
        <w:spacing w:line="314" w:lineRule="auto" w:before="36"/>
        <w:ind w:right="215"/>
        <w:jc w:val="left"/>
      </w:pPr>
      <w:r>
        <w:rPr>
          <w:rFonts w:ascii="宋体" w:hAnsi="宋体" w:cs="宋体" w:eastAsia="宋体" w:hint="default"/>
          <w:spacing w:val="-3"/>
        </w:rPr>
        <w:t>20%</w:t>
      </w:r>
      <w:r>
        <w:rPr>
          <w:spacing w:val="-3"/>
        </w:rPr>
        <w:t>）但尚未达到 </w:t>
      </w:r>
      <w:r>
        <w:rPr>
          <w:rFonts w:ascii="宋体" w:hAnsi="宋体" w:cs="宋体" w:eastAsia="宋体" w:hint="default"/>
          <w:spacing w:val="-3"/>
        </w:rPr>
        <w:t>50%</w:t>
      </w:r>
      <w:r>
        <w:rPr>
          <w:spacing w:val="-3"/>
        </w:rPr>
        <w:t>的，本公司会综合考虑其他相关因素诸如价格波动率等，判断该权益工具投</w:t>
      </w:r>
      <w:r>
        <w:rPr>
          <w:spacing w:val="-70"/>
        </w:rPr>
        <w:t> </w:t>
      </w:r>
      <w:r>
        <w:rPr>
          <w:spacing w:val="-70"/>
        </w:rPr>
      </w:r>
      <w:r>
        <w:rPr/>
        <w:t>资是否发生减值。</w:t>
      </w:r>
    </w:p>
    <w:p>
      <w:pPr>
        <w:pStyle w:val="BodyText"/>
        <w:spacing w:line="314" w:lineRule="auto" w:before="17"/>
        <w:ind w:right="237" w:firstLine="419"/>
        <w:jc w:val="both"/>
      </w:pPr>
      <w:r>
        <w:rPr>
          <w:spacing w:val="-2"/>
        </w:rPr>
        <w:t>上段所述成本按照可供出售权益工具投资的初始取得成本扣除已收回本金和已摊销金额、原</w:t>
      </w:r>
      <w:r>
        <w:rPr>
          <w:w w:val="100"/>
        </w:rPr>
        <w:t> </w:t>
      </w:r>
      <w:r>
        <w:rPr>
          <w:spacing w:val="-2"/>
        </w:rPr>
        <w:t>已计入损益的减值损失确定；不存在活跃市场的可供出售权益工具投资的公允价值，按照类似金</w:t>
      </w:r>
      <w:r>
        <w:rPr>
          <w:spacing w:val="-25"/>
        </w:rPr>
        <w:t> </w:t>
      </w:r>
      <w:r>
        <w:rPr>
          <w:spacing w:val="-25"/>
        </w:rPr>
      </w:r>
      <w:r>
        <w:rPr>
          <w:spacing w:val="-2"/>
        </w:rPr>
        <w:t>融资产当时市场收益率对未来现金流量折现确定的现值确定；在活跃市场有报价的可供出售权益</w:t>
      </w:r>
      <w:r>
        <w:rPr>
          <w:spacing w:val="-25"/>
        </w:rPr>
        <w:t> </w:t>
      </w:r>
      <w:r>
        <w:rPr>
          <w:spacing w:val="-25"/>
        </w:rPr>
      </w:r>
      <w:r>
        <w:rPr>
          <w:spacing w:val="-2"/>
        </w:rPr>
        <w:t>工具投资的公允价值根据证券交易所期末收盘价确定，除非该项可供出售权益工具投资存在限售</w:t>
      </w:r>
      <w:r>
        <w:rPr>
          <w:spacing w:val="-25"/>
        </w:rPr>
        <w:t> </w:t>
      </w:r>
      <w:r>
        <w:rPr>
          <w:spacing w:val="-25"/>
        </w:rPr>
      </w:r>
      <w:r>
        <w:rPr>
          <w:spacing w:val="-2"/>
        </w:rPr>
        <w:t>期。对于存在限售期的可供出售权益工具投资，按照证券交易所期末收盘价扣除市场参与者因承</w:t>
      </w:r>
      <w:r>
        <w:rPr>
          <w:spacing w:val="-25"/>
        </w:rPr>
        <w:t> </w:t>
      </w:r>
      <w:r>
        <w:rPr>
          <w:spacing w:val="-25"/>
        </w:rPr>
      </w:r>
      <w:r>
        <w:rPr/>
        <w:t>担指定期间内无法在公开市场上出售该权益工具的风险而要求获得的补偿金额后确定。</w:t>
      </w:r>
    </w:p>
    <w:p>
      <w:pPr>
        <w:pStyle w:val="BodyText"/>
        <w:spacing w:line="314" w:lineRule="auto" w:before="17"/>
        <w:ind w:right="237" w:firstLine="419"/>
        <w:jc w:val="both"/>
      </w:pPr>
      <w:r>
        <w:rPr>
          <w:spacing w:val="-2"/>
        </w:rPr>
        <w:t>可供出售金融资产发生减值时，即使该金融资产没有终止确认，本公司将原直接计入其他综</w:t>
      </w:r>
      <w:r>
        <w:rPr>
          <w:w w:val="100"/>
        </w:rPr>
        <w:t> </w:t>
      </w:r>
      <w:r>
        <w:rPr>
          <w:spacing w:val="-2"/>
        </w:rPr>
        <w:t>合收益的因公允价值下降形成的累计损失从其他综合收益转出，计入当期损益。该转出的累计损</w:t>
      </w:r>
      <w:r>
        <w:rPr>
          <w:spacing w:val="-25"/>
        </w:rPr>
        <w:t> </w:t>
      </w:r>
      <w:r>
        <w:rPr>
          <w:spacing w:val="-25"/>
        </w:rPr>
      </w:r>
      <w:r>
        <w:rPr>
          <w:spacing w:val="-2"/>
        </w:rPr>
        <w:t>失，等于可供出售金融资产的初始取得成本扣除已收回本金和已摊余金额、当前公允价值和原已</w:t>
      </w:r>
      <w:r>
        <w:rPr>
          <w:spacing w:val="-25"/>
        </w:rPr>
        <w:t> </w:t>
      </w:r>
      <w:r>
        <w:rPr>
          <w:spacing w:val="-25"/>
        </w:rPr>
      </w:r>
      <w:r>
        <w:rPr/>
        <w:t>计入损益的减值损失后的余额。</w:t>
      </w:r>
    </w:p>
    <w:p>
      <w:pPr>
        <w:pStyle w:val="BodyText"/>
        <w:spacing w:line="314" w:lineRule="auto" w:before="17"/>
        <w:ind w:right="237" w:firstLine="419"/>
        <w:jc w:val="both"/>
      </w:pPr>
      <w:r>
        <w:rPr>
          <w:spacing w:val="-2"/>
        </w:rPr>
        <w:t>对于已确认减值损失的可供出售债务工具，在随后的会计期间公允价值已上升且客观上与确</w:t>
      </w:r>
      <w:r>
        <w:rPr>
          <w:w w:val="100"/>
        </w:rPr>
        <w:t> </w:t>
      </w:r>
      <w:r>
        <w:rPr>
          <w:spacing w:val="-2"/>
        </w:rPr>
        <w:t>认原减值损失后发生的事项有关的，原确认的减值损失予以转回计入当期损益；对于可供出售权</w:t>
      </w:r>
      <w:r>
        <w:rPr>
          <w:spacing w:val="-25"/>
        </w:rPr>
        <w:t> </w:t>
      </w:r>
      <w:r>
        <w:rPr>
          <w:spacing w:val="-25"/>
        </w:rPr>
      </w:r>
      <w:r>
        <w:rPr>
          <w:spacing w:val="-2"/>
        </w:rPr>
        <w:t>益工具投资发生的减值损失，在该权益工具价值回升时通过权益转回；但在活跃市场中没有报价</w:t>
      </w:r>
      <w:r>
        <w:rPr>
          <w:spacing w:val="-25"/>
        </w:rPr>
        <w:t> </w:t>
      </w:r>
      <w:r>
        <w:rPr>
          <w:spacing w:val="-25"/>
        </w:rPr>
      </w:r>
      <w:r>
        <w:rPr>
          <w:spacing w:val="-2"/>
        </w:rPr>
        <w:t>且其公允价值不能可靠计量的权益工具投资，或与该权益工具挂钩并须通过交付该权益工具结算</w:t>
      </w:r>
      <w:r>
        <w:rPr>
          <w:spacing w:val="-25"/>
        </w:rPr>
        <w:t> </w:t>
      </w:r>
      <w:r>
        <w:rPr>
          <w:spacing w:val="-25"/>
        </w:rPr>
      </w:r>
      <w:r>
        <w:rPr/>
        <w:t>的衍生金融资产发生的减值损失，不得转回。</w:t>
      </w:r>
    </w:p>
    <w:p>
      <w:pPr>
        <w:pStyle w:val="BodyText"/>
        <w:spacing w:line="312" w:lineRule="auto" w:before="20"/>
        <w:ind w:left="638" w:right="215"/>
        <w:jc w:val="left"/>
      </w:pPr>
      <w:r>
        <w:rPr/>
        <w:t>（</w:t>
      </w:r>
      <w:r>
        <w:rPr>
          <w:rFonts w:ascii="宋体" w:hAnsi="宋体" w:cs="宋体" w:eastAsia="宋体" w:hint="default"/>
        </w:rPr>
        <w:t>2</w:t>
      </w:r>
      <w:r>
        <w:rPr/>
        <w:t>）持有至到期投资的减值准备</w:t>
      </w:r>
      <w:r>
        <w:rPr>
          <w:w w:val="100"/>
        </w:rPr>
        <w:t> </w:t>
      </w:r>
      <w:r>
        <w:rPr>
          <w:spacing w:val="-2"/>
        </w:rPr>
        <w:t>对于持有至到期投资，有客观证据表明其发生了减值的，根据其账面价值与预计未来现金流</w:t>
      </w:r>
    </w:p>
    <w:p>
      <w:pPr>
        <w:pStyle w:val="BodyText"/>
        <w:spacing w:line="314" w:lineRule="auto" w:before="22"/>
        <w:ind w:right="237"/>
        <w:jc w:val="both"/>
      </w:pPr>
      <w:r>
        <w:rPr>
          <w:spacing w:val="-2"/>
        </w:rPr>
        <w:t>量现值之间差额计算确认减值损失；计提后如有证据表明其价值已恢复，原确认的减值损失可予</w:t>
      </w:r>
      <w:r>
        <w:rPr>
          <w:spacing w:val="-25"/>
        </w:rPr>
        <w:t> </w:t>
      </w:r>
      <w:r>
        <w:rPr>
          <w:spacing w:val="-25"/>
        </w:rPr>
      </w:r>
      <w:r>
        <w:rPr>
          <w:spacing w:val="-2"/>
        </w:rPr>
        <w:t>以转回，记入当期损益，但该转回的账面价值不超过假定不计提减值准备情况下该金融资产在转</w:t>
      </w:r>
      <w:r>
        <w:rPr>
          <w:spacing w:val="-25"/>
        </w:rPr>
        <w:t> </w:t>
      </w:r>
      <w:r>
        <w:rPr>
          <w:spacing w:val="-25"/>
        </w:rPr>
      </w:r>
      <w:r>
        <w:rPr/>
        <w:t>回日的摊余成本。</w:t>
      </w:r>
    </w:p>
    <w:p>
      <w:pPr>
        <w:pStyle w:val="BodyText"/>
        <w:spacing w:line="314" w:lineRule="auto" w:before="17"/>
        <w:ind w:left="638" w:right="215"/>
        <w:jc w:val="left"/>
      </w:pPr>
      <w:r>
        <w:rPr/>
        <w:t>金融资产及金融负债的抵销</w:t>
      </w:r>
      <w:r>
        <w:rPr>
          <w:w w:val="100"/>
        </w:rPr>
        <w:t> </w:t>
      </w:r>
      <w:r>
        <w:rPr>
          <w:spacing w:val="-7"/>
        </w:rPr>
        <w:t>金融资产和金融负债在资产负债表内分别列示，没有相互抵销。但是，同时满足下列条件的，</w:t>
      </w:r>
    </w:p>
    <w:p>
      <w:pPr>
        <w:pStyle w:val="BodyText"/>
        <w:spacing w:line="240" w:lineRule="auto" w:before="17"/>
        <w:ind w:right="0"/>
        <w:jc w:val="both"/>
      </w:pPr>
      <w:r>
        <w:rPr/>
        <w:t>以相互抵销后的净额在资产负债表内列示：</w:t>
      </w:r>
    </w:p>
    <w:p>
      <w:pPr>
        <w:pStyle w:val="BodyText"/>
        <w:spacing w:line="240" w:lineRule="auto" w:before="85"/>
        <w:ind w:left="638" w:right="215"/>
        <w:jc w:val="left"/>
      </w:pPr>
      <w:r>
        <w:rPr/>
        <w:t>（</w:t>
      </w:r>
      <w:r>
        <w:rPr>
          <w:rFonts w:ascii="宋体" w:hAnsi="宋体" w:cs="宋体" w:eastAsia="宋体" w:hint="default"/>
        </w:rPr>
        <w:t>1</w:t>
      </w:r>
      <w:r>
        <w:rPr/>
        <w:t>）本公司具有抵销已确认金额的法定权利，且该种法定权利是当前可执行的；</w:t>
      </w:r>
    </w:p>
    <w:p>
      <w:pPr>
        <w:pStyle w:val="BodyText"/>
        <w:spacing w:line="240" w:lineRule="auto" w:before="82"/>
        <w:ind w:left="638" w:right="215"/>
        <w:jc w:val="left"/>
      </w:pPr>
      <w:r>
        <w:rPr/>
        <w:t>（</w:t>
      </w:r>
      <w:r>
        <w:rPr>
          <w:rFonts w:ascii="宋体" w:hAnsi="宋体" w:cs="宋体" w:eastAsia="宋体" w:hint="default"/>
        </w:rPr>
        <w:t>2</w:t>
      </w:r>
      <w:r>
        <w:rPr/>
        <w:t>）本公司计划以净额结算，或同时变现该金融资产和清偿该金融负债。</w:t>
      </w:r>
    </w:p>
    <w:p>
      <w:pPr>
        <w:pStyle w:val="Heading2"/>
        <w:spacing w:line="240" w:lineRule="auto" w:before="94"/>
        <w:ind w:right="0"/>
        <w:jc w:val="both"/>
        <w:rPr>
          <w:b w:val="0"/>
          <w:bCs w:val="0"/>
        </w:rPr>
      </w:pPr>
      <w:r>
        <w:rPr>
          <w:rFonts w:ascii="宋体" w:hAnsi="宋体" w:cs="宋体" w:eastAsia="宋体" w:hint="default"/>
        </w:rPr>
        <w:t>11.</w:t>
      </w:r>
      <w:r>
        <w:rPr>
          <w:rFonts w:ascii="宋体" w:hAnsi="宋体" w:cs="宋体" w:eastAsia="宋体" w:hint="default"/>
          <w:spacing w:val="-60"/>
        </w:rPr>
        <w:t> </w:t>
      </w:r>
      <w:r>
        <w:rPr/>
        <w:t>应收款项</w:t>
      </w:r>
      <w:r>
        <w:rPr>
          <w:b w:val="0"/>
          <w:bCs w:val="0"/>
        </w:rPr>
      </w:r>
    </w:p>
    <w:p>
      <w:pPr>
        <w:pStyle w:val="Heading2"/>
        <w:spacing w:line="240" w:lineRule="auto" w:before="58"/>
        <w:ind w:right="0"/>
        <w:jc w:val="both"/>
        <w:rPr>
          <w:b w:val="0"/>
          <w:bCs w:val="0"/>
        </w:rPr>
      </w:pPr>
      <w:r>
        <w:rPr>
          <w:rFonts w:ascii="宋体" w:hAnsi="宋体" w:cs="宋体" w:eastAsia="宋体" w:hint="default"/>
        </w:rPr>
        <w:t>(1). </w:t>
      </w:r>
      <w:r>
        <w:rPr>
          <w:rFonts w:ascii="宋体" w:hAnsi="宋体" w:cs="宋体" w:eastAsia="宋体" w:hint="default"/>
          <w:spacing w:val="111"/>
        </w:rPr>
        <w:t> </w:t>
      </w:r>
      <w:r>
        <w:rPr/>
        <w:t>单项金额重大并单独计提坏账准备的应收款项</w:t>
      </w:r>
      <w:r>
        <w:rPr>
          <w:b w:val="0"/>
          <w:bCs w:val="0"/>
        </w:rPr>
      </w:r>
    </w:p>
    <w:p>
      <w:pPr>
        <w:pStyle w:val="BodyText"/>
        <w:spacing w:line="240" w:lineRule="auto" w:before="85"/>
        <w:ind w:right="0"/>
        <w:jc w:val="both"/>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63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占应收款项余额</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％以上且金额在</w:t>
            </w:r>
            <w:r>
              <w:rPr>
                <w:rFonts w:ascii="宋体" w:hAnsi="宋体" w:cs="宋体" w:eastAsia="宋体" w:hint="default"/>
                <w:spacing w:val="-56"/>
                <w:sz w:val="21"/>
                <w:szCs w:val="21"/>
              </w:rPr>
              <w:t> </w:t>
            </w:r>
            <w:r>
              <w:rPr>
                <w:rFonts w:ascii="宋体" w:hAnsi="宋体" w:cs="宋体" w:eastAsia="宋体" w:hint="default"/>
                <w:sz w:val="21"/>
                <w:szCs w:val="21"/>
              </w:rPr>
              <w:t>500</w:t>
            </w:r>
            <w:r>
              <w:rPr>
                <w:rFonts w:ascii="宋体" w:hAnsi="宋体" w:cs="宋体" w:eastAsia="宋体" w:hint="default"/>
                <w:spacing w:val="-56"/>
                <w:sz w:val="21"/>
                <w:szCs w:val="21"/>
              </w:rPr>
              <w:t> </w:t>
            </w:r>
            <w:r>
              <w:rPr>
                <w:rFonts w:ascii="宋体" w:hAnsi="宋体" w:cs="宋体" w:eastAsia="宋体" w:hint="default"/>
                <w:sz w:val="21"/>
                <w:szCs w:val="21"/>
              </w:rPr>
              <w:t>万元以</w:t>
            </w:r>
            <w:r>
              <w:rPr>
                <w:rFonts w:ascii="宋体" w:hAnsi="宋体" w:cs="宋体" w:eastAsia="宋体" w:hint="default"/>
                <w:w w:val="100"/>
                <w:sz w:val="21"/>
                <w:szCs w:val="21"/>
              </w:rPr>
              <w:t> </w:t>
            </w:r>
            <w:r>
              <w:rPr>
                <w:rFonts w:ascii="宋体" w:hAnsi="宋体" w:cs="宋体" w:eastAsia="宋体" w:hint="default"/>
                <w:sz w:val="21"/>
                <w:szCs w:val="21"/>
              </w:rPr>
              <w:t>上的应收款项。</w:t>
            </w:r>
          </w:p>
        </w:tc>
      </w:tr>
      <w:tr>
        <w:trPr>
          <w:trHeight w:val="125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单独进行减值测试，按预计未来现金流量现值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低于其账面价值的差额计提坏账准备，计入当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期损益。单独测试未发生减值的应收款项，将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其归入相应组合计提坏账准备。</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215"/>
        <w:jc w:val="left"/>
        <w:rPr>
          <w:b w:val="0"/>
          <w:bCs w:val="0"/>
        </w:rPr>
      </w:pPr>
      <w:r>
        <w:rPr>
          <w:rFonts w:ascii="宋体" w:hAnsi="宋体" w:cs="宋体" w:eastAsia="宋体" w:hint="default"/>
        </w:rPr>
        <w:t>(2).</w:t>
        <w:tab/>
      </w:r>
      <w:r>
        <w:rPr/>
        <w:t>按信用风险特征组合计提坏账准备的应收款项：</w:t>
      </w:r>
      <w:r>
        <w:rPr>
          <w:b w:val="0"/>
          <w:bCs w:val="0"/>
        </w:rPr>
      </w:r>
    </w:p>
    <w:p>
      <w:pPr>
        <w:pStyle w:val="BodyText"/>
        <w:spacing w:line="240" w:lineRule="auto" w:before="85"/>
        <w:ind w:right="215"/>
        <w:jc w:val="left"/>
      </w:pPr>
      <w:r>
        <w:rPr/>
        <w:t>√适用□不适用</w:t>
      </w:r>
    </w:p>
    <w:p>
      <w:pPr>
        <w:spacing w:after="0" w:line="240" w:lineRule="auto"/>
        <w:jc w:val="left"/>
        <w:sectPr>
          <w:footerReference w:type="default" r:id="rId49"/>
          <w:pgSz w:w="11910" w:h="16840"/>
          <w:pgMar w:footer="1195" w:header="882" w:top="1120" w:bottom="1380" w:left="1580" w:right="1040"/>
          <w:pgNumType w:start="87"/>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4582"/>
        <w:gridCol w:w="4467"/>
      </w:tblGrid>
      <w:tr>
        <w:trPr>
          <w:trHeight w:val="32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4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355" w:lineRule="auto" w:before="36"/>
        <w:ind w:left="658" w:right="0"/>
        <w:jc w:val="left"/>
      </w:pPr>
      <w:r>
        <w:rPr/>
        <w:t>信用风险特征组合的确定依据</w:t>
      </w:r>
      <w:r>
        <w:rPr>
          <w:w w:val="100"/>
        </w:rPr>
        <w:t> </w:t>
      </w:r>
      <w:r>
        <w:rPr>
          <w:spacing w:val="-2"/>
        </w:rPr>
        <w:t>对于单项金额不重大的应收款项，与经单独测试后未减值的单项金额重大的应收款项一起按</w:t>
      </w:r>
    </w:p>
    <w:p>
      <w:pPr>
        <w:pStyle w:val="BodyText"/>
        <w:spacing w:line="355" w:lineRule="auto" w:before="34"/>
        <w:ind w:left="238" w:right="0"/>
        <w:jc w:val="left"/>
      </w:pPr>
      <w:r>
        <w:rPr>
          <w:spacing w:val="-2"/>
        </w:rPr>
        <w:t>信用风险特征划分为若干组合，根据以前年度与之具有类似信用风险特征的应收款项组合的实际</w:t>
      </w:r>
      <w:r>
        <w:rPr>
          <w:spacing w:val="-25"/>
        </w:rPr>
        <w:t> </w:t>
      </w:r>
      <w:r>
        <w:rPr>
          <w:spacing w:val="-25"/>
        </w:rPr>
      </w:r>
      <w:r>
        <w:rPr/>
        <w:t>损失率为基础，结合现时情况确定应计提的坏账准备。</w:t>
      </w:r>
    </w:p>
    <w:p>
      <w:pPr>
        <w:pStyle w:val="BodyText"/>
        <w:spacing w:line="240" w:lineRule="auto" w:before="32"/>
        <w:ind w:left="658" w:right="0"/>
        <w:jc w:val="left"/>
      </w:pPr>
      <w:r>
        <w:rPr/>
        <w:pict>
          <v:shape style="position:absolute;margin-left:167.660004pt;margin-top:25.143682pt;width:.48pt;height:.12pt;mso-position-horizontal-relative:page;mso-position-vertical-relative:paragraph;z-index:-941368" type="#_x0000_t75" stroked="false">
            <v:imagedata r:id="rId44" o:title=""/>
          </v:shape>
        </w:pict>
      </w:r>
      <w:r>
        <w:rPr/>
        <w:pict>
          <v:shape style="position:absolute;margin-left:281.209991pt;margin-top:25.143682pt;width:.47998pt;height:.12pt;mso-position-horizontal-relative:page;mso-position-vertical-relative:paragraph;z-index:-941344" type="#_x0000_t75" stroked="false">
            <v:imagedata r:id="rId44" o:title=""/>
          </v:shape>
        </w:pict>
      </w:r>
      <w:r>
        <w:rPr/>
        <w:pict>
          <v:group style="position:absolute;margin-left:84.503998pt;margin-top:42.213703pt;width:426.45pt;height:.5pt;mso-position-horizontal-relative:page;mso-position-vertical-relative:paragraph;z-index:-941320" coordorigin="1690,844" coordsize="8529,10">
            <v:shape style="position:absolute;left:1690;top:844;width:1663;height:10" type="#_x0000_t75" stroked="false">
              <v:imagedata r:id="rId50" o:title=""/>
            </v:shape>
            <v:shape style="position:absolute;left:3348;top:844;width:2276;height:10" type="#_x0000_t75" stroked="false">
              <v:imagedata r:id="rId51" o:title=""/>
            </v:shape>
            <v:shape style="position:absolute;left:5619;top:844;width:4599;height:10" type="#_x0000_t75" stroked="false">
              <v:imagedata r:id="rId52" o:title=""/>
            </v:shape>
            <w10:wrap type="none"/>
          </v:group>
        </w:pict>
      </w:r>
      <w:r>
        <w:rPr/>
        <w:t>确定组合的依据：</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682"/>
        <w:gridCol w:w="2271"/>
        <w:gridCol w:w="4590"/>
      </w:tblGrid>
      <w:tr>
        <w:trPr>
          <w:trHeight w:val="334" w:hRule="exact"/>
        </w:trPr>
        <w:tc>
          <w:tcPr>
            <w:tcW w:w="1682" w:type="dxa"/>
            <w:tcBorders>
              <w:top w:val="single" w:sz="12" w:space="0" w:color="000000"/>
              <w:left w:val="nil" w:sz="6" w:space="0" w:color="auto"/>
              <w:bottom w:val="nil" w:sz="6" w:space="0" w:color="auto"/>
              <w:right w:val="single" w:sz="4" w:space="0" w:color="000000"/>
            </w:tcBorders>
          </w:tcPr>
          <w:p>
            <w:pPr>
              <w:pStyle w:val="TableParagraph"/>
              <w:spacing w:line="240" w:lineRule="auto" w:before="25"/>
              <w:ind w:left="48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27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c>
          <w:tcPr>
            <w:tcW w:w="4590" w:type="dxa"/>
            <w:tcBorders>
              <w:top w:val="single" w:sz="12" w:space="0" w:color="000000"/>
              <w:left w:val="single" w:sz="4" w:space="0" w:color="000000"/>
              <w:bottom w:val="nil" w:sz="6" w:space="0" w:color="auto"/>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503" w:hRule="exact"/>
        </w:trPr>
        <w:tc>
          <w:tcPr>
            <w:tcW w:w="1682" w:type="dxa"/>
            <w:tcBorders>
              <w:top w:val="nil" w:sz="6" w:space="0" w:color="auto"/>
              <w:left w:val="nil" w:sz="6" w:space="0" w:color="auto"/>
              <w:bottom w:val="nil" w:sz="6" w:space="0" w:color="auto"/>
              <w:right w:val="single" w:sz="4" w:space="0" w:color="000000"/>
            </w:tcBorders>
          </w:tcPr>
          <w:p>
            <w:pPr>
              <w:pStyle w:val="TableParagraph"/>
              <w:spacing w:line="232" w:lineRule="exact" w:before="28"/>
              <w:ind w:left="122" w:right="113"/>
              <w:jc w:val="left"/>
              <w:rPr>
                <w:rFonts w:ascii="宋体" w:hAnsi="宋体" w:cs="宋体" w:eastAsia="宋体" w:hint="default"/>
                <w:sz w:val="18"/>
                <w:szCs w:val="18"/>
              </w:rPr>
            </w:pPr>
            <w:r>
              <w:rPr>
                <w:rFonts w:ascii="宋体" w:hAnsi="宋体" w:cs="宋体" w:eastAsia="宋体" w:hint="default"/>
                <w:sz w:val="18"/>
                <w:szCs w:val="18"/>
              </w:rPr>
              <w:t>同一集团内关联方 组合</w:t>
            </w: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c>
          <w:tcPr>
            <w:tcW w:w="4590"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同一集团公司内关联方应收款项确定为一类组合</w:t>
            </w:r>
          </w:p>
        </w:tc>
      </w:tr>
      <w:tr>
        <w:trPr>
          <w:trHeight w:val="488" w:hRule="exact"/>
        </w:trPr>
        <w:tc>
          <w:tcPr>
            <w:tcW w:w="1682"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2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590" w:type="dxa"/>
            <w:tcBorders>
              <w:top w:val="nil" w:sz="6" w:space="0" w:color="auto"/>
              <w:left w:val="single" w:sz="4" w:space="0" w:color="000000"/>
              <w:bottom w:val="single" w:sz="12"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本公司根据以往的历史经验对应收款项计提比例作出最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佳估计，参考应收款项的账龄进行信用风险组合分类</w:t>
            </w:r>
          </w:p>
        </w:tc>
      </w:tr>
    </w:tbl>
    <w:p>
      <w:pPr>
        <w:spacing w:line="240" w:lineRule="auto" w:before="12"/>
        <w:rPr>
          <w:rFonts w:ascii="宋体" w:hAnsi="宋体" w:cs="宋体" w:eastAsia="宋体" w:hint="default"/>
          <w:sz w:val="22"/>
          <w:szCs w:val="22"/>
        </w:rPr>
      </w:pPr>
    </w:p>
    <w:p>
      <w:pPr>
        <w:pStyle w:val="BodyText"/>
        <w:spacing w:line="240" w:lineRule="auto"/>
        <w:ind w:left="238" w:right="0"/>
        <w:jc w:val="left"/>
      </w:pPr>
      <w:r>
        <w:rPr/>
        <w:pict>
          <v:group style="position:absolute;margin-left:84.503998pt;margin-top:-40.296337pt;width:426.45pt;height:.5pt;mso-position-horizontal-relative:page;mso-position-vertical-relative:paragraph;z-index:-941296" coordorigin="1690,-806" coordsize="8529,10">
            <v:shape style="position:absolute;left:1690;top:-806;width:1663;height:10" type="#_x0000_t75" stroked="false">
              <v:imagedata r:id="rId50" o:title=""/>
            </v:shape>
            <v:shape style="position:absolute;left:3348;top:-806;width:2276;height:10" type="#_x0000_t75" stroked="false">
              <v:imagedata r:id="rId53" o:title=""/>
            </v:shape>
            <v:shape style="position:absolute;left:5619;top:-806;width:4599;height:10" type="#_x0000_t75" stroked="false">
              <v:imagedata r:id="rId54" o:title=""/>
            </v:shape>
            <w10:wrap type="none"/>
          </v:group>
        </w:pict>
      </w:r>
      <w:r>
        <w:rPr/>
        <w:t>组合中，采用账龄分析法计提坏账准备的</w:t>
      </w:r>
    </w:p>
    <w:p>
      <w:pPr>
        <w:pStyle w:val="BodyText"/>
        <w:spacing w:line="240" w:lineRule="auto" w:before="37"/>
        <w:ind w:left="238" w:right="0"/>
        <w:jc w:val="left"/>
      </w:pPr>
      <w:r>
        <w:rPr/>
        <w:t>√适用□不适用</w:t>
      </w: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123"/>
        <w:gridCol w:w="2962"/>
        <w:gridCol w:w="296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5</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8</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38" w:right="0"/>
        <w:jc w:val="left"/>
      </w:pPr>
      <w:r>
        <w:rPr/>
        <w:t>组合中，采用余额百分比法计提坏账准备的</w:t>
      </w:r>
    </w:p>
    <w:p>
      <w:pPr>
        <w:pStyle w:val="BodyText"/>
        <w:spacing w:line="273" w:lineRule="auto" w:before="37"/>
        <w:ind w:left="238" w:right="4082"/>
        <w:jc w:val="left"/>
      </w:pPr>
      <w:r>
        <w:rPr/>
        <w:t>□适用√不适用</w:t>
      </w:r>
      <w:r>
        <w:rPr>
          <w:w w:val="100"/>
        </w:rPr>
        <w:t> </w:t>
      </w:r>
      <w:r>
        <w:rPr>
          <w:spacing w:val="-2"/>
        </w:rPr>
        <w:t>组合中，采用其他方法计提坏账准备的</w:t>
      </w:r>
    </w:p>
    <w:p>
      <w:pPr>
        <w:pStyle w:val="BodyText"/>
        <w:spacing w:line="240" w:lineRule="auto" w:before="8"/>
        <w:ind w:left="238" w:right="0"/>
        <w:jc w:val="left"/>
      </w:pPr>
      <w:r>
        <w:rPr/>
        <w:t>□适用√不适用</w:t>
      </w:r>
    </w:p>
    <w:p>
      <w:pPr>
        <w:pStyle w:val="Heading2"/>
        <w:tabs>
          <w:tab w:pos="1077" w:val="left" w:leader="none"/>
        </w:tabs>
        <w:spacing w:line="240" w:lineRule="auto" w:before="69"/>
        <w:ind w:left="238" w:right="0"/>
        <w:jc w:val="left"/>
        <w:rPr>
          <w:b w:val="0"/>
          <w:bCs w:val="0"/>
        </w:rPr>
      </w:pPr>
      <w:r>
        <w:rPr>
          <w:rFonts w:ascii="宋体" w:hAnsi="宋体" w:cs="宋体" w:eastAsia="宋体" w:hint="default"/>
        </w:rPr>
        <w:t>(3).</w:t>
        <w:tab/>
      </w:r>
      <w:r>
        <w:rPr/>
        <w:t>单项金额不重大但单独计提坏账准备的应收款项：</w:t>
      </w:r>
      <w:r>
        <w:rPr>
          <w:b w:val="0"/>
          <w:bCs w:val="0"/>
        </w:rPr>
      </w:r>
    </w:p>
    <w:p>
      <w:pPr>
        <w:pStyle w:val="BodyText"/>
        <w:spacing w:line="240" w:lineRule="auto" w:before="85"/>
        <w:ind w:left="238" w:right="0"/>
        <w:jc w:val="left"/>
      </w:pPr>
      <w:r>
        <w:rPr/>
        <w:t>√适用□不适用</w:t>
      </w: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804"/>
        <w:gridCol w:w="6246"/>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存在客观证据表明本公司将无法按应收款项的原有条款收回款项。</w:t>
            </w:r>
          </w:p>
        </w:tc>
      </w:tr>
      <w:tr>
        <w:trPr>
          <w:trHeight w:val="63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7"/>
              <w:jc w:val="left"/>
              <w:rPr>
                <w:rFonts w:ascii="宋体" w:hAnsi="宋体" w:cs="宋体" w:eastAsia="宋体" w:hint="default"/>
                <w:sz w:val="21"/>
                <w:szCs w:val="21"/>
              </w:rPr>
            </w:pPr>
            <w:r>
              <w:rPr>
                <w:rFonts w:ascii="宋体" w:hAnsi="宋体" w:cs="宋体" w:eastAsia="宋体" w:hint="default"/>
                <w:spacing w:val="-2"/>
                <w:sz w:val="21"/>
                <w:szCs w:val="21"/>
              </w:rPr>
              <w:t>根据应收款项的预计未来现金流量现值低于其账面价值的差额进</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行计提。</w:t>
            </w:r>
          </w:p>
        </w:tc>
      </w:tr>
    </w:tbl>
    <w:p>
      <w:pPr>
        <w:spacing w:line="240" w:lineRule="auto" w:before="5"/>
        <w:rPr>
          <w:rFonts w:ascii="宋体" w:hAnsi="宋体" w:cs="宋体" w:eastAsia="宋体" w:hint="default"/>
          <w:sz w:val="23"/>
          <w:szCs w:val="23"/>
        </w:rPr>
      </w:pPr>
    </w:p>
    <w:p>
      <w:pPr>
        <w:pStyle w:val="Heading2"/>
        <w:spacing w:line="240" w:lineRule="auto"/>
        <w:ind w:left="238" w:right="0"/>
        <w:jc w:val="left"/>
        <w:rPr>
          <w:b w:val="0"/>
          <w:bCs w:val="0"/>
        </w:rPr>
      </w:pPr>
      <w:r>
        <w:rPr>
          <w:rFonts w:ascii="宋体" w:hAnsi="宋体" w:cs="宋体" w:eastAsia="宋体" w:hint="default"/>
        </w:rPr>
        <w:t>12.</w:t>
      </w:r>
      <w:r>
        <w:rPr>
          <w:rFonts w:ascii="宋体" w:hAnsi="宋体" w:cs="宋体" w:eastAsia="宋体" w:hint="default"/>
          <w:spacing w:val="-58"/>
        </w:rPr>
        <w:t> </w:t>
      </w:r>
      <w:r>
        <w:rPr/>
        <w:t>存货</w:t>
      </w:r>
      <w:r>
        <w:rPr>
          <w:b w:val="0"/>
          <w:bCs w:val="0"/>
        </w:rPr>
      </w:r>
    </w:p>
    <w:p>
      <w:pPr>
        <w:pStyle w:val="BodyText"/>
        <w:spacing w:line="340" w:lineRule="auto" w:before="85"/>
        <w:ind w:left="658" w:right="7578" w:hanging="420"/>
        <w:jc w:val="left"/>
      </w:pPr>
      <w:r>
        <w:rPr>
          <w:spacing w:val="-1"/>
        </w:rPr>
        <w:t>√适用□不适用</w:t>
      </w:r>
      <w:r>
        <w:rPr>
          <w:spacing w:val="-96"/>
        </w:rPr>
        <w:t> </w:t>
      </w:r>
      <w:r>
        <w:rPr>
          <w:spacing w:val="-96"/>
        </w:rPr>
      </w:r>
      <w:r>
        <w:rPr/>
        <w:t>存货的分类</w:t>
      </w:r>
    </w:p>
    <w:p>
      <w:pPr>
        <w:spacing w:after="0" w:line="340" w:lineRule="auto"/>
        <w:jc w:val="left"/>
        <w:sectPr>
          <w:pgSz w:w="11910" w:h="16840"/>
          <w:pgMar w:header="882" w:footer="1195" w:top="1120" w:bottom="1380" w:left="1560" w:right="1040"/>
        </w:sectPr>
      </w:pPr>
    </w:p>
    <w:p>
      <w:pPr>
        <w:spacing w:line="240" w:lineRule="auto" w:before="8"/>
        <w:rPr>
          <w:rFonts w:ascii="宋体" w:hAnsi="宋体" w:cs="宋体" w:eastAsia="宋体" w:hint="default"/>
          <w:sz w:val="28"/>
          <w:szCs w:val="28"/>
        </w:rPr>
      </w:pPr>
    </w:p>
    <w:p>
      <w:pPr>
        <w:pStyle w:val="BodyText"/>
        <w:spacing w:line="314" w:lineRule="auto" w:before="36"/>
        <w:ind w:left="138" w:right="217" w:firstLine="419"/>
        <w:jc w:val="both"/>
      </w:pPr>
      <w:r>
        <w:rPr>
          <w:spacing w:val="-2"/>
        </w:rPr>
        <w:t>存货是指本公司在日常活动中持有以备出售的产成品或商品、处在生产过程中的在产品、在</w:t>
      </w:r>
      <w:r>
        <w:rPr>
          <w:w w:val="100"/>
        </w:rPr>
        <w:t> </w:t>
      </w:r>
      <w:r>
        <w:rPr>
          <w:spacing w:val="-2"/>
        </w:rPr>
        <w:t>生产过程或提供劳务过程中耗用的材料和物料等。主要包括库存商品、发出商品、工程成本等。</w:t>
      </w:r>
    </w:p>
    <w:p>
      <w:pPr>
        <w:pStyle w:val="BodyText"/>
        <w:spacing w:line="314" w:lineRule="auto" w:before="17"/>
        <w:ind w:left="558" w:right="101"/>
        <w:jc w:val="left"/>
      </w:pPr>
      <w:r>
        <w:rPr/>
        <w:t>存货的计价方法</w:t>
      </w:r>
      <w:r>
        <w:rPr>
          <w:spacing w:val="-103"/>
        </w:rPr>
        <w:t> </w:t>
      </w:r>
      <w:r>
        <w:rPr>
          <w:spacing w:val="-103"/>
        </w:rPr>
      </w:r>
      <w:r>
        <w:rPr>
          <w:spacing w:val="-2"/>
        </w:rPr>
        <w:t>存货在取得时，按成本进行初始计量，包括采购成本、加工成本和其他成本。存货发出时按</w:t>
      </w:r>
    </w:p>
    <w:p>
      <w:pPr>
        <w:pStyle w:val="BodyText"/>
        <w:spacing w:line="314" w:lineRule="auto" w:before="17"/>
        <w:ind w:left="558" w:right="3424" w:hanging="420"/>
        <w:jc w:val="left"/>
      </w:pPr>
      <w:r>
        <w:rPr/>
        <w:t>加权平均法计价。</w:t>
      </w:r>
      <w:r>
        <w:rPr>
          <w:w w:val="100"/>
        </w:rPr>
        <w:t> </w:t>
      </w:r>
      <w:r>
        <w:rPr>
          <w:spacing w:val="-2"/>
        </w:rPr>
        <w:t>存货可变现净值的确定依据及存货跌价准备的计提方法</w:t>
      </w:r>
    </w:p>
    <w:p>
      <w:pPr>
        <w:pStyle w:val="BodyText"/>
        <w:spacing w:line="314" w:lineRule="auto" w:before="17"/>
        <w:ind w:left="138" w:right="208" w:firstLine="419"/>
        <w:jc w:val="both"/>
      </w:pPr>
      <w:r>
        <w:rPr>
          <w:spacing w:val="-2"/>
        </w:rPr>
        <w:t>期末对存货进行全面清查后，按存货的成本与可变现净值孰低提取或调整存货跌价准备。产</w:t>
      </w:r>
      <w:r>
        <w:rPr>
          <w:w w:val="100"/>
        </w:rPr>
        <w:t> </w:t>
      </w:r>
      <w:r>
        <w:rPr>
          <w:spacing w:val="-2"/>
        </w:rPr>
        <w:t>成品、库存商品和用于出售的材料等直接用于出售的商品存货，在正常生产经营过程中，以该存</w:t>
      </w:r>
      <w:r>
        <w:rPr>
          <w:spacing w:val="-25"/>
        </w:rPr>
        <w:t> </w:t>
      </w:r>
      <w:r>
        <w:rPr>
          <w:spacing w:val="-25"/>
        </w:rPr>
      </w:r>
      <w:r>
        <w:rPr>
          <w:spacing w:val="-2"/>
        </w:rPr>
        <w:t>货的估计售价减去估计的销售费用和相关税费后的金额，确定其可变现净值；需要经过加工的材</w:t>
      </w:r>
      <w:r>
        <w:rPr>
          <w:spacing w:val="-25"/>
        </w:rPr>
        <w:t> </w:t>
      </w:r>
      <w:r>
        <w:rPr>
          <w:spacing w:val="-25"/>
        </w:rPr>
      </w:r>
      <w:r>
        <w:rPr>
          <w:spacing w:val="-2"/>
        </w:rPr>
        <w:t>料存货，在正常生产经营过程中，以所生产的产成品的估计售价减去至完工时估计将要发生的成</w:t>
      </w:r>
      <w:r>
        <w:rPr>
          <w:spacing w:val="-25"/>
        </w:rPr>
        <w:t> </w:t>
      </w:r>
      <w:r>
        <w:rPr>
          <w:spacing w:val="-25"/>
        </w:rPr>
      </w:r>
      <w:r>
        <w:rPr>
          <w:spacing w:val="-2"/>
        </w:rPr>
        <w:t>本、估计的销售费用和相关税费后的金额，确定其可变现净值；为执行销售合同或者劳务合同而</w:t>
      </w:r>
      <w:r>
        <w:rPr>
          <w:spacing w:val="-25"/>
        </w:rPr>
        <w:t> </w:t>
      </w:r>
      <w:r>
        <w:rPr>
          <w:spacing w:val="-25"/>
        </w:rPr>
      </w:r>
      <w:r>
        <w:rPr>
          <w:spacing w:val="-6"/>
          <w:w w:val="100"/>
        </w:rPr>
        <w:t>持有的存货，其可变现净值以合同价格为基础计算，若持有存货的数量多于销售合同订购数量的，</w:t>
      </w:r>
      <w:r>
        <w:rPr>
          <w:w w:val="100"/>
        </w:rPr>
        <w:t> </w:t>
      </w:r>
      <w:r>
        <w:rPr/>
        <w:t>超出部分的存货的可变现净值以一般销售价格为基础计算。</w:t>
      </w:r>
    </w:p>
    <w:p>
      <w:pPr>
        <w:pStyle w:val="BodyText"/>
        <w:spacing w:line="314" w:lineRule="auto" w:before="20"/>
        <w:ind w:left="138" w:right="217" w:firstLine="419"/>
        <w:jc w:val="both"/>
      </w:pPr>
      <w:r>
        <w:rPr>
          <w:spacing w:val="-2"/>
        </w:rPr>
        <w:t>期末按照单个存货项目计提存货跌价准备；但对于数量繁多、单价较低的存货，按照存货类</w:t>
      </w:r>
      <w:r>
        <w:rPr>
          <w:w w:val="100"/>
        </w:rPr>
        <w:t> </w:t>
      </w:r>
      <w:r>
        <w:rPr>
          <w:spacing w:val="-2"/>
        </w:rPr>
        <w:t>别计提存货跌价准备；与在同一地区生产和销售的产品系列相关、具有相同或类似最终用途或目</w:t>
      </w:r>
      <w:r>
        <w:rPr>
          <w:spacing w:val="-25"/>
        </w:rPr>
        <w:t> </w:t>
      </w:r>
      <w:r>
        <w:rPr>
          <w:spacing w:val="-25"/>
        </w:rPr>
      </w:r>
      <w:r>
        <w:rPr/>
        <w:t>的，且难以与其他项目分开计量的存货，则合并计提存货跌价准备。</w:t>
      </w:r>
    </w:p>
    <w:p>
      <w:pPr>
        <w:pStyle w:val="BodyText"/>
        <w:spacing w:line="314" w:lineRule="auto" w:before="17"/>
        <w:ind w:left="138" w:right="217" w:firstLine="419"/>
        <w:jc w:val="both"/>
      </w:pPr>
      <w:r>
        <w:rPr>
          <w:spacing w:val="-2"/>
        </w:rPr>
        <w:t>以前减记存货价值的影响因素已经消失的，减记的金额予以恢复，并在原已计提的存货跌价</w:t>
      </w:r>
      <w:r>
        <w:rPr>
          <w:w w:val="100"/>
        </w:rPr>
        <w:t> </w:t>
      </w:r>
      <w:r>
        <w:rPr/>
        <w:t>准备金额内转回，转回的金额计入当期损益。</w:t>
      </w:r>
    </w:p>
    <w:p>
      <w:pPr>
        <w:pStyle w:val="BodyText"/>
        <w:spacing w:line="314" w:lineRule="auto" w:before="18"/>
        <w:ind w:left="558" w:right="7145"/>
        <w:jc w:val="left"/>
      </w:pPr>
      <w:r>
        <w:rPr>
          <w:spacing w:val="-1"/>
        </w:rPr>
        <w:t>存货的盘存制度</w:t>
      </w:r>
      <w:r>
        <w:rPr>
          <w:spacing w:val="-96"/>
        </w:rPr>
        <w:t> </w:t>
      </w:r>
      <w:r>
        <w:rPr>
          <w:spacing w:val="-96"/>
        </w:rPr>
      </w:r>
      <w:r>
        <w:rPr>
          <w:spacing w:val="-1"/>
        </w:rPr>
        <w:t>采用永续盘存制</w:t>
      </w:r>
    </w:p>
    <w:p>
      <w:pPr>
        <w:pStyle w:val="Heading2"/>
        <w:spacing w:line="240" w:lineRule="auto"/>
        <w:ind w:left="138" w:right="101"/>
        <w:jc w:val="left"/>
        <w:rPr>
          <w:b w:val="0"/>
          <w:bCs w:val="0"/>
        </w:rPr>
      </w:pPr>
      <w:r>
        <w:rPr>
          <w:rFonts w:ascii="宋体" w:hAnsi="宋体" w:cs="宋体" w:eastAsia="宋体" w:hint="default"/>
        </w:rPr>
        <w:t>13.</w:t>
      </w:r>
      <w:r>
        <w:rPr>
          <w:rFonts w:ascii="宋体" w:hAnsi="宋体" w:cs="宋体" w:eastAsia="宋体" w:hint="default"/>
          <w:spacing w:val="-62"/>
        </w:rPr>
        <w:t> </w:t>
      </w:r>
      <w:r>
        <w:rPr/>
        <w:t>持有待售资产</w:t>
      </w:r>
      <w:r>
        <w:rPr>
          <w:b w:val="0"/>
          <w:bCs w:val="0"/>
        </w:rPr>
      </w:r>
    </w:p>
    <w:p>
      <w:pPr>
        <w:pStyle w:val="BodyText"/>
        <w:spacing w:line="240" w:lineRule="auto" w:before="85"/>
        <w:ind w:left="138" w:right="101"/>
        <w:jc w:val="left"/>
      </w:pPr>
      <w:r>
        <w:rPr/>
        <w:t>√适用□不适用</w:t>
      </w:r>
    </w:p>
    <w:p>
      <w:pPr>
        <w:spacing w:line="259" w:lineRule="auto" w:before="15"/>
        <w:ind w:left="558" w:right="10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划分为持有待售确认标准</w:t>
      </w:r>
      <w:r>
        <w:rPr>
          <w:rFonts w:ascii="宋体" w:hAnsi="宋体" w:cs="宋体" w:eastAsia="宋体" w:hint="default"/>
          <w:b/>
          <w:bCs/>
          <w:w w:val="100"/>
          <w:sz w:val="21"/>
          <w:szCs w:val="21"/>
        </w:rPr>
        <w:t> </w:t>
      </w:r>
      <w:r>
        <w:rPr>
          <w:rFonts w:ascii="宋体" w:hAnsi="宋体" w:cs="宋体" w:eastAsia="宋体" w:hint="default"/>
          <w:b/>
          <w:bCs/>
          <w:spacing w:val="-7"/>
          <w:w w:val="100"/>
          <w:sz w:val="21"/>
          <w:szCs w:val="21"/>
        </w:rPr>
        <w:t>错误！未找到引用源。</w:t>
      </w:r>
      <w:r>
        <w:rPr>
          <w:rFonts w:ascii="宋体" w:hAnsi="宋体" w:cs="宋体" w:eastAsia="宋体" w:hint="default"/>
          <w:spacing w:val="-7"/>
          <w:w w:val="100"/>
          <w:sz w:val="21"/>
          <w:szCs w:val="21"/>
        </w:rPr>
        <w:t>将同时满足下列条件的非流动资产或处置组确认为持有待售组成部分：</w:t>
      </w:r>
    </w:p>
    <w:p>
      <w:pPr>
        <w:pStyle w:val="BodyText"/>
        <w:spacing w:line="240" w:lineRule="auto" w:before="20"/>
        <w:ind w:left="558" w:right="101"/>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56" w:lineRule="auto" w:before="23"/>
        <w:ind w:left="138" w:right="208" w:firstLine="419"/>
        <w:jc w:val="both"/>
      </w:pPr>
      <w:r>
        <w:rPr>
          <w:spacing w:val="-4"/>
        </w:rPr>
        <w:t>（</w:t>
      </w:r>
      <w:r>
        <w:rPr>
          <w:rFonts w:ascii="Times New Roman" w:hAnsi="Times New Roman" w:cs="Times New Roman" w:eastAsia="Times New Roman" w:hint="default"/>
          <w:spacing w:val="-4"/>
        </w:rPr>
        <w:t>2</w:t>
      </w:r>
      <w:r>
        <w:rPr>
          <w:spacing w:val="-4"/>
        </w:rPr>
        <w:t>）出售极可能发生，即</w:t>
      </w:r>
      <w:r>
        <w:rPr>
          <w:rFonts w:ascii="宋体" w:hAnsi="宋体" w:cs="宋体" w:eastAsia="宋体" w:hint="default"/>
          <w:b/>
          <w:bCs/>
          <w:spacing w:val="-4"/>
        </w:rPr>
        <w:t>错误！未找到引用源。</w:t>
      </w:r>
      <w:r>
        <w:rPr>
          <w:spacing w:val="-4"/>
        </w:rPr>
        <w:t>已经就一项出售计划作出决议，且获得确定</w:t>
      </w:r>
      <w:r>
        <w:rPr>
          <w:w w:val="100"/>
        </w:rPr>
        <w:t> </w:t>
      </w:r>
      <w:r>
        <w:rPr/>
        <w:t>的购买承诺，预计出售将在一年内完成。</w:t>
      </w:r>
    </w:p>
    <w:p>
      <w:pPr>
        <w:pStyle w:val="BodyText"/>
        <w:spacing w:line="273" w:lineRule="auto" w:before="25"/>
        <w:ind w:left="138" w:right="210" w:firstLine="419"/>
        <w:jc w:val="both"/>
      </w:pPr>
      <w:r>
        <w:rPr>
          <w:spacing w:val="-2"/>
        </w:rPr>
        <w:t>确定的购买承诺，是指</w:t>
      </w:r>
      <w:r>
        <w:rPr>
          <w:rFonts w:ascii="宋体" w:hAnsi="宋体" w:cs="宋体" w:eastAsia="宋体" w:hint="default"/>
          <w:b/>
          <w:bCs/>
          <w:spacing w:val="-2"/>
        </w:rPr>
        <w:t>错误！未找到引用源。</w:t>
      </w:r>
      <w:r>
        <w:rPr>
          <w:spacing w:val="-2"/>
        </w:rPr>
        <w:t>与其他方签订的具有法律约束力的购买协议，</w:t>
      </w:r>
      <w:r>
        <w:rPr>
          <w:w w:val="100"/>
        </w:rPr>
        <w:t> </w:t>
      </w:r>
      <w:r>
        <w:rPr>
          <w:spacing w:val="-2"/>
        </w:rPr>
        <w:t>该协议包含交易价格、时间和足够严厉的违约惩罚等重要条款，使协议出现重大调整或者撤销的</w:t>
      </w:r>
      <w:r>
        <w:rPr>
          <w:spacing w:val="-25"/>
        </w:rPr>
        <w:t> </w:t>
      </w:r>
      <w:r>
        <w:rPr>
          <w:spacing w:val="-25"/>
        </w:rPr>
      </w:r>
      <w:r>
        <w:rPr/>
        <w:t>可能性极小。</w:t>
      </w:r>
    </w:p>
    <w:p>
      <w:pPr>
        <w:spacing w:line="259" w:lineRule="auto" w:before="7"/>
        <w:ind w:left="558" w:right="10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划分为持有待售核算方法</w:t>
      </w:r>
      <w:r>
        <w:rPr>
          <w:rFonts w:ascii="宋体" w:hAnsi="宋体" w:cs="宋体" w:eastAsia="宋体" w:hint="default"/>
          <w:b/>
          <w:bCs/>
          <w:w w:val="100"/>
          <w:sz w:val="21"/>
          <w:szCs w:val="21"/>
        </w:rPr>
        <w:t> </w:t>
      </w:r>
      <w:r>
        <w:rPr>
          <w:rFonts w:ascii="宋体" w:hAnsi="宋体" w:cs="宋体" w:eastAsia="宋体" w:hint="default"/>
          <w:b/>
          <w:bCs/>
          <w:spacing w:val="-2"/>
          <w:sz w:val="21"/>
          <w:szCs w:val="21"/>
        </w:rPr>
        <w:t>错误！未找到引用源。</w:t>
      </w:r>
      <w:r>
        <w:rPr>
          <w:rFonts w:ascii="宋体" w:hAnsi="宋体" w:cs="宋体" w:eastAsia="宋体" w:hint="default"/>
          <w:spacing w:val="-2"/>
          <w:sz w:val="21"/>
          <w:szCs w:val="21"/>
        </w:rPr>
        <w:t>对于持有待售的非流动资产或处置组不计提折旧或摊销，其账面价值</w:t>
      </w:r>
    </w:p>
    <w:p>
      <w:pPr>
        <w:pStyle w:val="BodyText"/>
        <w:spacing w:line="273" w:lineRule="auto" w:before="20"/>
        <w:ind w:left="138" w:right="101"/>
        <w:jc w:val="left"/>
      </w:pPr>
      <w:r>
        <w:rPr>
          <w:spacing w:val="-4"/>
          <w:w w:val="100"/>
        </w:rPr>
        <w:t>高于公允价值减去出售费用后的净额的，应当将账面价值减记至公允价值减去出售费用后的净额，</w:t>
      </w:r>
      <w:r>
        <w:rPr>
          <w:spacing w:val="-86"/>
          <w:w w:val="100"/>
        </w:rPr>
        <w:t> </w:t>
      </w:r>
      <w:r>
        <w:rPr>
          <w:spacing w:val="-86"/>
          <w:w w:val="100"/>
        </w:rPr>
      </w:r>
      <w:r>
        <w:rPr/>
        <w:t>减记的金额确认为资产减值损失，计入当期损益，同时计提持有待售资产减值准备。</w:t>
      </w:r>
    </w:p>
    <w:p>
      <w:pPr>
        <w:pStyle w:val="BodyText"/>
        <w:spacing w:line="273" w:lineRule="auto" w:before="7"/>
        <w:ind w:left="138" w:right="217" w:firstLine="419"/>
        <w:jc w:val="both"/>
      </w:pPr>
      <w:r>
        <w:rPr>
          <w:spacing w:val="-2"/>
        </w:rPr>
        <w:t>对于取得日划分为持有待售类别的非流动资产或处置组，在初始计量时比较假定其不划分为</w:t>
      </w:r>
      <w:r>
        <w:rPr>
          <w:w w:val="100"/>
        </w:rPr>
        <w:t> </w:t>
      </w:r>
      <w:r>
        <w:rPr/>
        <w:t>持有待售类别情况下的初始计量金额和公允价值减去出售费用后的净额，以两者孰低计量。</w:t>
      </w:r>
    </w:p>
    <w:p>
      <w:pPr>
        <w:pStyle w:val="BodyText"/>
        <w:spacing w:line="314" w:lineRule="auto" w:before="53"/>
        <w:ind w:left="138" w:right="101" w:firstLine="419"/>
        <w:jc w:val="left"/>
      </w:pPr>
      <w:r>
        <w:rPr>
          <w:spacing w:val="-4"/>
          <w:w w:val="100"/>
        </w:rPr>
        <w:t>上述原则适用于所有非流动资产，但不包括采用公允价值模式进行后续计量的投资性房地产、</w:t>
      </w:r>
      <w:r>
        <w:rPr>
          <w:w w:val="100"/>
        </w:rPr>
        <w:t> </w:t>
      </w:r>
      <w:r>
        <w:rPr/>
        <w:t>采用公允价值减去出售费用后的净额计量的生物资产、职工薪酬形成的资产、递延所得税资产、</w:t>
      </w:r>
      <w:r>
        <w:rPr>
          <w:w w:val="100"/>
        </w:rPr>
        <w:t> </w:t>
      </w:r>
      <w:r>
        <w:rPr/>
        <w:t>由金融工具相关会计准则规范的金融资产、由保险合同相关会计准则规范的保险合同所产生的权</w:t>
      </w:r>
      <w:r>
        <w:rPr>
          <w:w w:val="100"/>
        </w:rPr>
        <w:t> </w:t>
      </w:r>
      <w:r>
        <w:rPr/>
        <w:t>利。</w:t>
      </w:r>
    </w:p>
    <w:p>
      <w:pPr>
        <w:spacing w:after="0" w:line="314" w:lineRule="auto"/>
        <w:jc w:val="left"/>
        <w:sectPr>
          <w:pgSz w:w="11910" w:h="16840"/>
          <w:pgMar w:header="882" w:footer="1195" w:top="1120" w:bottom="1380" w:left="1660" w:right="1060"/>
        </w:sectPr>
      </w:pPr>
    </w:p>
    <w:p>
      <w:pPr>
        <w:spacing w:line="240" w:lineRule="auto" w:before="5"/>
        <w:rPr>
          <w:rFonts w:ascii="宋体" w:hAnsi="宋体" w:cs="宋体" w:eastAsia="宋体" w:hint="default"/>
          <w:sz w:val="25"/>
          <w:szCs w:val="25"/>
        </w:rPr>
      </w:pPr>
    </w:p>
    <w:p>
      <w:pPr>
        <w:pStyle w:val="Heading2"/>
        <w:spacing w:line="240" w:lineRule="auto"/>
        <w:ind w:left="138" w:right="215"/>
        <w:jc w:val="left"/>
        <w:rPr>
          <w:b w:val="0"/>
          <w:bCs w:val="0"/>
        </w:rPr>
      </w:pPr>
      <w:r>
        <w:rPr>
          <w:rFonts w:ascii="宋体" w:hAnsi="宋体" w:cs="宋体" w:eastAsia="宋体" w:hint="default"/>
        </w:rPr>
        <w:t>14.</w:t>
      </w:r>
      <w:r>
        <w:rPr>
          <w:rFonts w:ascii="宋体" w:hAnsi="宋体" w:cs="宋体" w:eastAsia="宋体" w:hint="default"/>
          <w:spacing w:val="-62"/>
        </w:rPr>
        <w:t> </w:t>
      </w:r>
      <w:r>
        <w:rPr/>
        <w:t>长期股权投资</w:t>
      </w:r>
      <w:r>
        <w:rPr>
          <w:b w:val="0"/>
          <w:bCs w:val="0"/>
        </w:rPr>
      </w:r>
    </w:p>
    <w:p>
      <w:pPr>
        <w:pStyle w:val="BodyText"/>
        <w:spacing w:line="292" w:lineRule="auto" w:before="85"/>
        <w:ind w:left="558" w:right="6827" w:hanging="420"/>
        <w:jc w:val="left"/>
      </w:pPr>
      <w:r>
        <w:rPr/>
        <w:t>√适用□不适用</w:t>
      </w:r>
      <w:r>
        <w:rPr>
          <w:spacing w:val="-103"/>
        </w:rPr>
        <w:t> </w:t>
      </w:r>
      <w:r>
        <w:rPr>
          <w:spacing w:val="-103"/>
        </w:rPr>
      </w:r>
      <w:r>
        <w:rPr>
          <w:spacing w:val="-1"/>
        </w:rPr>
        <w:t>初始投资成本的确定</w:t>
      </w:r>
    </w:p>
    <w:p>
      <w:pPr>
        <w:pStyle w:val="BodyText"/>
        <w:spacing w:line="312" w:lineRule="auto" w:before="39"/>
        <w:ind w:left="138" w:right="308" w:firstLine="419"/>
        <w:jc w:val="both"/>
      </w:pPr>
      <w:r>
        <w:rPr>
          <w:spacing w:val="-4"/>
        </w:rPr>
        <w:t>（</w:t>
      </w:r>
      <w:r>
        <w:rPr>
          <w:rFonts w:ascii="宋体" w:hAnsi="宋体" w:cs="宋体" w:eastAsia="宋体" w:hint="default"/>
          <w:spacing w:val="-4"/>
        </w:rPr>
        <w:t>1</w:t>
      </w:r>
      <w:r>
        <w:rPr>
          <w:spacing w:val="-4"/>
        </w:rPr>
        <w:t>）企业合并形成的长期股权投资，具体会计政策详见本附注四／（五）同一控制下和非同</w:t>
      </w:r>
      <w:r>
        <w:rPr>
          <w:w w:val="100"/>
        </w:rPr>
        <w:t> </w:t>
      </w:r>
      <w:r>
        <w:rPr/>
        <w:t>一控制下企业合并的会计处理方法</w:t>
      </w:r>
    </w:p>
    <w:p>
      <w:pPr>
        <w:pStyle w:val="BodyText"/>
        <w:spacing w:line="312" w:lineRule="auto" w:before="22"/>
        <w:ind w:left="558" w:right="215"/>
        <w:jc w:val="left"/>
      </w:pPr>
      <w:r>
        <w:rPr/>
        <w:t>（</w:t>
      </w:r>
      <w:r>
        <w:rPr>
          <w:rFonts w:ascii="宋体" w:hAnsi="宋体" w:cs="宋体" w:eastAsia="宋体" w:hint="default"/>
        </w:rPr>
        <w:t>2</w:t>
      </w:r>
      <w:r>
        <w:rPr/>
        <w:t>）其他方式取得的长期股权投资</w:t>
      </w:r>
      <w:r>
        <w:rPr>
          <w:w w:val="100"/>
        </w:rPr>
        <w:t> </w:t>
      </w:r>
      <w:r>
        <w:rPr>
          <w:spacing w:val="-2"/>
        </w:rPr>
        <w:t>以支付现金方式取得的长期股权投资，按照实际支付的购买价款作为初始投资成本。初始投</w:t>
      </w:r>
    </w:p>
    <w:p>
      <w:pPr>
        <w:pStyle w:val="BodyText"/>
        <w:spacing w:line="312" w:lineRule="auto" w:before="22"/>
        <w:ind w:left="558" w:right="123" w:hanging="420"/>
        <w:jc w:val="left"/>
      </w:pPr>
      <w:r>
        <w:rPr/>
        <w:t>资成本包括与取得长期股权投资直接相关的费用、税金及其他必要支出。</w:t>
      </w:r>
      <w:r>
        <w:rPr>
          <w:w w:val="100"/>
        </w:rPr>
        <w:t> </w:t>
      </w:r>
      <w:r>
        <w:rPr>
          <w:spacing w:val="-4"/>
          <w:w w:val="100"/>
        </w:rPr>
        <w:t>以发行权益性证券取得的长期股权投资，按照发行权益性证券的公允价值作为初始投资成本；</w:t>
      </w:r>
    </w:p>
    <w:p>
      <w:pPr>
        <w:pStyle w:val="BodyText"/>
        <w:spacing w:line="312" w:lineRule="auto" w:before="22"/>
        <w:ind w:left="558" w:right="0" w:hanging="420"/>
        <w:jc w:val="left"/>
      </w:pPr>
      <w:r>
        <w:rPr/>
        <w:t>发行或取得自身权益工具时发生的交易费用，可直接归属于权益性交易的从权益中扣减。</w:t>
      </w:r>
      <w:r>
        <w:rPr>
          <w:w w:val="100"/>
        </w:rPr>
        <w:t> </w:t>
      </w:r>
      <w:r>
        <w:rPr>
          <w:spacing w:val="-1"/>
        </w:rPr>
        <w:t>在非货币性资产交换具备商业实质和换入资产或换出资产的公允价值能够可靠计量的前提下，</w:t>
      </w:r>
    </w:p>
    <w:p>
      <w:pPr>
        <w:pStyle w:val="BodyText"/>
        <w:spacing w:line="314" w:lineRule="auto" w:before="22"/>
        <w:ind w:left="138" w:right="317"/>
        <w:jc w:val="both"/>
      </w:pPr>
      <w:r>
        <w:rPr>
          <w:spacing w:val="-2"/>
        </w:rPr>
        <w:t>非货币性资产交换换入的长期股权投资以换出资产的公允价值为基础确定其初始投资成本，除非</w:t>
      </w:r>
      <w:r>
        <w:rPr>
          <w:spacing w:val="-25"/>
        </w:rPr>
        <w:t> </w:t>
      </w:r>
      <w:r>
        <w:rPr>
          <w:spacing w:val="-25"/>
        </w:rPr>
      </w:r>
      <w:r>
        <w:rPr>
          <w:spacing w:val="-2"/>
        </w:rPr>
        <w:t>有确凿证据表明换入资产的公允价值更加可靠；不满足上述前提的非货币性资产交换，以换出资</w:t>
      </w:r>
      <w:r>
        <w:rPr>
          <w:spacing w:val="-25"/>
        </w:rPr>
        <w:t> </w:t>
      </w:r>
      <w:r>
        <w:rPr>
          <w:spacing w:val="-25"/>
        </w:rPr>
      </w:r>
      <w:r>
        <w:rPr/>
        <w:t>产的账面价值和应支付的相关税费作为换入长期股权投资的初始投资成本。</w:t>
      </w:r>
    </w:p>
    <w:p>
      <w:pPr>
        <w:pStyle w:val="BodyText"/>
        <w:spacing w:line="314" w:lineRule="auto" w:before="17"/>
        <w:ind w:left="558" w:right="215"/>
        <w:jc w:val="left"/>
      </w:pPr>
      <w:r>
        <w:rPr>
          <w:spacing w:val="-2"/>
        </w:rPr>
        <w:t>通过债务重组取得的长期股权投资，其初始投资成本按照公允价值为基础确定。</w:t>
      </w:r>
      <w:r>
        <w:rPr>
          <w:spacing w:val="-38"/>
        </w:rPr>
        <w:t> </w:t>
      </w:r>
      <w:r>
        <w:rPr>
          <w:spacing w:val="-38"/>
        </w:rPr>
      </w:r>
      <w:r>
        <w:rPr/>
        <w:t>后续计量及损益确认</w:t>
      </w:r>
    </w:p>
    <w:p>
      <w:pPr>
        <w:pStyle w:val="BodyText"/>
        <w:spacing w:line="314" w:lineRule="auto" w:before="17"/>
        <w:ind w:left="558" w:right="215"/>
        <w:jc w:val="left"/>
      </w:pPr>
      <w:r>
        <w:rPr/>
        <w:t>（</w:t>
      </w:r>
      <w:r>
        <w:rPr>
          <w:rFonts w:ascii="宋体" w:hAnsi="宋体" w:cs="宋体" w:eastAsia="宋体" w:hint="default"/>
        </w:rPr>
        <w:t>1</w:t>
      </w:r>
      <w:r>
        <w:rPr/>
        <w:t>）成本法</w:t>
      </w:r>
      <w:r>
        <w:rPr>
          <w:w w:val="100"/>
        </w:rPr>
        <w:t> </w:t>
      </w:r>
      <w:r>
        <w:rPr>
          <w:spacing w:val="-2"/>
        </w:rPr>
        <w:t>本公司能够对被投资单位实施控制的长期股权投资采用成本法核算，并按照初始投资成本计</w:t>
      </w:r>
    </w:p>
    <w:p>
      <w:pPr>
        <w:pStyle w:val="BodyText"/>
        <w:spacing w:line="314" w:lineRule="auto" w:before="18"/>
        <w:ind w:left="558" w:right="215" w:hanging="420"/>
        <w:jc w:val="left"/>
      </w:pPr>
      <w:r>
        <w:rPr/>
        <w:t>价，追加或收回投资调整长期股权投资的成本。</w:t>
      </w:r>
      <w:r>
        <w:rPr>
          <w:w w:val="100"/>
        </w:rPr>
        <w:t> </w:t>
      </w:r>
      <w:r>
        <w:rPr>
          <w:spacing w:val="-2"/>
        </w:rPr>
        <w:t>除取得投资时实际支付的价款或对价中包含的已宣告但尚未发放的现金股利或利润外，本公</w:t>
      </w:r>
    </w:p>
    <w:p>
      <w:pPr>
        <w:pStyle w:val="BodyText"/>
        <w:spacing w:line="240" w:lineRule="auto" w:before="17"/>
        <w:ind w:left="138" w:right="215"/>
        <w:jc w:val="left"/>
      </w:pPr>
      <w:r>
        <w:rPr/>
        <w:t>司按照享有被投资单位宣告分派的现金股利或利润确认为当期投资收益。</w:t>
      </w:r>
    </w:p>
    <w:p>
      <w:pPr>
        <w:pStyle w:val="BodyText"/>
        <w:spacing w:line="312" w:lineRule="auto" w:before="85"/>
        <w:ind w:left="558" w:right="215"/>
        <w:jc w:val="left"/>
      </w:pPr>
      <w:r>
        <w:rPr/>
        <w:t>（</w:t>
      </w:r>
      <w:r>
        <w:rPr>
          <w:rFonts w:ascii="宋体" w:hAnsi="宋体" w:cs="宋体" w:eastAsia="宋体" w:hint="default"/>
        </w:rPr>
        <w:t>2</w:t>
      </w:r>
      <w:r>
        <w:rPr/>
        <w:t>）权益法</w:t>
      </w:r>
      <w:r>
        <w:rPr>
          <w:w w:val="100"/>
        </w:rPr>
        <w:t> </w:t>
      </w:r>
      <w:r>
        <w:rPr>
          <w:spacing w:val="-2"/>
        </w:rPr>
        <w:t>本公司对联营企业和合营企业的长期股权投资采用权益法核算；对于其中一部分通过风险投</w:t>
      </w:r>
    </w:p>
    <w:p>
      <w:pPr>
        <w:pStyle w:val="BodyText"/>
        <w:spacing w:line="312" w:lineRule="auto" w:before="22"/>
        <w:ind w:left="138" w:right="317"/>
        <w:jc w:val="both"/>
      </w:pPr>
      <w:r>
        <w:rPr>
          <w:spacing w:val="-2"/>
        </w:rPr>
        <w:t>资机构、共同基金、信托公司或包括投连险基金在内的类似主体间接持有的联营企业的权益性投</w:t>
      </w:r>
      <w:r>
        <w:rPr>
          <w:spacing w:val="-25"/>
        </w:rPr>
        <w:t> </w:t>
      </w:r>
      <w:r>
        <w:rPr>
          <w:spacing w:val="-25"/>
        </w:rPr>
      </w:r>
      <w:r>
        <w:rPr/>
        <w:t>资，采用公允价值计量且其变动计入损益。</w:t>
      </w:r>
    </w:p>
    <w:p>
      <w:pPr>
        <w:pStyle w:val="BodyText"/>
        <w:spacing w:line="314" w:lineRule="auto" w:before="22"/>
        <w:ind w:left="138" w:right="317" w:firstLine="419"/>
        <w:jc w:val="both"/>
      </w:pPr>
      <w:r>
        <w:rPr>
          <w:spacing w:val="-2"/>
        </w:rPr>
        <w:t>长期股权投资的初始投资成本大于投资时应享有被投资单位可辨认净资产公允价值份额的差</w:t>
      </w:r>
      <w:r>
        <w:rPr>
          <w:w w:val="100"/>
        </w:rPr>
        <w:t> </w:t>
      </w:r>
      <w:r>
        <w:rPr>
          <w:spacing w:val="-2"/>
        </w:rPr>
        <w:t>额，不调整长期股权投资的初始投资成本；初始投资成本小于投资时应享有被投资单位可辨认净</w:t>
      </w:r>
      <w:r>
        <w:rPr>
          <w:spacing w:val="-25"/>
        </w:rPr>
        <w:t> </w:t>
      </w:r>
      <w:r>
        <w:rPr>
          <w:spacing w:val="-25"/>
        </w:rPr>
      </w:r>
      <w:r>
        <w:rPr/>
        <w:t>资产公允价值份额的差额，计入当期损益。</w:t>
      </w:r>
    </w:p>
    <w:p>
      <w:pPr>
        <w:pStyle w:val="BodyText"/>
        <w:spacing w:line="314" w:lineRule="auto" w:before="17"/>
        <w:ind w:left="138" w:right="317" w:firstLine="419"/>
        <w:jc w:val="both"/>
      </w:pPr>
      <w:r>
        <w:rPr>
          <w:spacing w:val="-2"/>
        </w:rPr>
        <w:t>本公司取得长期股权投资后，按照应享有或应分担的被投资单位实现的净损益和其他综合收</w:t>
      </w:r>
      <w:r>
        <w:rPr>
          <w:w w:val="100"/>
        </w:rPr>
        <w:t> </w:t>
      </w:r>
      <w:r>
        <w:rPr>
          <w:spacing w:val="-2"/>
        </w:rPr>
        <w:t>益的份额，分别确认投资收益和其他综合收益，同时调整长期股权投资的账面价值；并按照被投</w:t>
      </w:r>
      <w:r>
        <w:rPr>
          <w:spacing w:val="-25"/>
        </w:rPr>
        <w:t> </w:t>
      </w:r>
      <w:r>
        <w:rPr>
          <w:spacing w:val="-25"/>
        </w:rPr>
      </w:r>
      <w:r>
        <w:rPr>
          <w:spacing w:val="-2"/>
        </w:rPr>
        <w:t>资单位宣告分派的利润或现金股利计算应享有的部分，相应减少长期股权投资的账面价值；对于</w:t>
      </w:r>
      <w:r>
        <w:rPr>
          <w:spacing w:val="-25"/>
        </w:rPr>
        <w:t> </w:t>
      </w:r>
      <w:r>
        <w:rPr>
          <w:spacing w:val="-25"/>
        </w:rPr>
      </w:r>
      <w:r>
        <w:rPr>
          <w:spacing w:val="-2"/>
        </w:rPr>
        <w:t>被投资单位除净损益、其他综合收益和利润分配以外所有者权益的其他变动，调整长期股权投资</w:t>
      </w:r>
      <w:r>
        <w:rPr>
          <w:spacing w:val="-25"/>
        </w:rPr>
        <w:t> </w:t>
      </w:r>
      <w:r>
        <w:rPr>
          <w:spacing w:val="-25"/>
        </w:rPr>
      </w:r>
      <w:r>
        <w:rPr/>
        <w:t>的账面价值并计入所有者权益。</w:t>
      </w:r>
    </w:p>
    <w:p>
      <w:pPr>
        <w:pStyle w:val="BodyText"/>
        <w:spacing w:line="312" w:lineRule="auto" w:before="20"/>
        <w:ind w:left="138" w:right="317" w:firstLine="419"/>
        <w:jc w:val="both"/>
      </w:pPr>
      <w:r>
        <w:rPr>
          <w:spacing w:val="-2"/>
        </w:rPr>
        <w:t>本公司在确认应享有被投资单位净损益的份额时，以取得投资时被投资单位各项可辨认资产</w:t>
      </w:r>
      <w:r>
        <w:rPr>
          <w:w w:val="100"/>
        </w:rPr>
        <w:t> </w:t>
      </w:r>
      <w:r>
        <w:rPr>
          <w:spacing w:val="-2"/>
        </w:rPr>
        <w:t>等的公允价值为基础，对被投资单位的净利润进行调整后确认。本公司与联营企业、合营企业之</w:t>
      </w:r>
      <w:r>
        <w:rPr>
          <w:spacing w:val="-25"/>
        </w:rPr>
        <w:t> </w:t>
      </w:r>
      <w:r>
        <w:rPr>
          <w:spacing w:val="-25"/>
        </w:rPr>
      </w:r>
      <w:r>
        <w:rPr>
          <w:spacing w:val="-2"/>
        </w:rPr>
        <w:t>间发生的未实现内部交易损益按照应享有的比例计算归属于本公司的部分予以抵销，在此基础上</w:t>
      </w:r>
      <w:r>
        <w:rPr>
          <w:spacing w:val="-25"/>
        </w:rPr>
        <w:t> </w:t>
      </w:r>
      <w:r>
        <w:rPr>
          <w:spacing w:val="-25"/>
        </w:rPr>
      </w:r>
      <w:r>
        <w:rPr/>
        <w:t>确认投资损益。</w:t>
      </w:r>
    </w:p>
    <w:p>
      <w:pPr>
        <w:spacing w:after="0" w:line="312" w:lineRule="auto"/>
        <w:jc w:val="both"/>
        <w:sectPr>
          <w:footerReference w:type="default" r:id="rId55"/>
          <w:pgSz w:w="11910" w:h="16840"/>
          <w:pgMar w:footer="1195" w:header="882" w:top="1120" w:bottom="1380" w:left="1660" w:right="960"/>
        </w:sectPr>
      </w:pPr>
    </w:p>
    <w:p>
      <w:pPr>
        <w:spacing w:line="240" w:lineRule="auto" w:before="8"/>
        <w:rPr>
          <w:rFonts w:ascii="宋体" w:hAnsi="宋体" w:cs="宋体" w:eastAsia="宋体" w:hint="default"/>
          <w:sz w:val="28"/>
          <w:szCs w:val="28"/>
        </w:rPr>
      </w:pPr>
    </w:p>
    <w:p>
      <w:pPr>
        <w:pStyle w:val="BodyText"/>
        <w:spacing w:line="314" w:lineRule="auto" w:before="36"/>
        <w:ind w:left="138" w:right="217" w:firstLine="419"/>
        <w:jc w:val="both"/>
      </w:pPr>
      <w:r>
        <w:rPr>
          <w:spacing w:val="-2"/>
        </w:rPr>
        <w:t>本公司确认应分担被投资单位发生的亏损时，按照以下顺序进行处理：首先，冲减长期股权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6"/>
        </w:rPr>
        <w:t> </w:t>
      </w:r>
      <w:r>
        <w:rPr>
          <w:spacing w:val="-26"/>
        </w:rPr>
      </w:r>
      <w:r>
        <w:rPr>
          <w:spacing w:val="-2"/>
        </w:rPr>
        <w:t>位净投资的长期权益账面价值为限继续确认投资损失，冲减长期应收项目等的账面价值。最后，</w:t>
      </w:r>
      <w:r>
        <w:rPr>
          <w:spacing w:val="-25"/>
        </w:rPr>
        <w:t> </w:t>
      </w:r>
      <w:r>
        <w:rPr>
          <w:spacing w:val="-25"/>
        </w:rPr>
      </w:r>
      <w:r>
        <w:rPr>
          <w:spacing w:val="-2"/>
        </w:rPr>
        <w:t>经过上述处理，按照投资合同或协议约定企业仍承担额外义务的，按预计承担的义务确认预计负</w:t>
      </w:r>
      <w:r>
        <w:rPr>
          <w:spacing w:val="-25"/>
        </w:rPr>
        <w:t> </w:t>
      </w:r>
      <w:r>
        <w:rPr>
          <w:spacing w:val="-25"/>
        </w:rPr>
      </w:r>
      <w:r>
        <w:rPr/>
        <w:t>债，计入当期投资损失。</w:t>
      </w:r>
    </w:p>
    <w:p>
      <w:pPr>
        <w:pStyle w:val="BodyText"/>
        <w:spacing w:line="314" w:lineRule="auto" w:before="20"/>
        <w:ind w:left="138" w:right="217" w:firstLine="419"/>
        <w:jc w:val="both"/>
      </w:pPr>
      <w:r>
        <w:rPr>
          <w:spacing w:val="-2"/>
        </w:rPr>
        <w:t>被投资单位以后期间实现盈利的，公司在扣除未确认的亏损分担额后，按与上述相反的顺序</w:t>
      </w:r>
      <w:r>
        <w:rPr>
          <w:w w:val="100"/>
        </w:rPr>
        <w:t> </w:t>
      </w:r>
      <w:r>
        <w:rPr>
          <w:spacing w:val="-2"/>
        </w:rPr>
        <w:t>处理，减记已确认预计负债的账面余额、恢复其他实质上构成对被投资单位净投资的长期权益及</w:t>
      </w:r>
      <w:r>
        <w:rPr>
          <w:spacing w:val="-25"/>
        </w:rPr>
        <w:t> </w:t>
      </w:r>
      <w:r>
        <w:rPr>
          <w:spacing w:val="-25"/>
        </w:rPr>
      </w:r>
      <w:r>
        <w:rPr/>
        <w:t>长期股权投资的账面价值后，恢复确认投资收益。</w:t>
      </w:r>
    </w:p>
    <w:p>
      <w:pPr>
        <w:pStyle w:val="BodyText"/>
        <w:spacing w:line="314" w:lineRule="auto" w:before="17"/>
        <w:ind w:left="558" w:right="3424"/>
        <w:jc w:val="left"/>
      </w:pPr>
      <w:r>
        <w:rPr>
          <w:spacing w:val="-2"/>
        </w:rPr>
        <w:t>长期股权投资核算方法的转换</w:t>
      </w:r>
      <w:r>
        <w:rPr>
          <w:spacing w:val="-79"/>
        </w:rPr>
        <w:t> </w:t>
      </w:r>
      <w:r>
        <w:rPr>
          <w:spacing w:val="-79"/>
        </w:rPr>
      </w:r>
      <w:r>
        <w:rPr/>
        <w:t>公允价值计量转权益法核算</w:t>
      </w:r>
    </w:p>
    <w:p>
      <w:pPr>
        <w:pStyle w:val="BodyText"/>
        <w:spacing w:line="314" w:lineRule="auto" w:before="17"/>
        <w:ind w:left="138" w:right="101" w:firstLine="419"/>
        <w:jc w:val="left"/>
      </w:pPr>
      <w:r>
        <w:rPr>
          <w:spacing w:val="-2"/>
        </w:rPr>
        <w:t>本公司原持有的对被投资单位不具有控制、共同控制或重大影响的按金融工具确认和计量准</w:t>
      </w:r>
      <w:r>
        <w:rPr>
          <w:w w:val="100"/>
        </w:rPr>
        <w:t> </w:t>
      </w:r>
      <w:r>
        <w:rPr>
          <w:spacing w:val="-2"/>
        </w:rPr>
        <w:t>则进行会计处理的权益性投资，因追加投资等原因能够对被投资单位施加重大影响或实施共同控</w:t>
      </w:r>
      <w:r>
        <w:rPr>
          <w:spacing w:val="-25"/>
        </w:rPr>
        <w:t> </w:t>
      </w:r>
      <w:r>
        <w:rPr>
          <w:spacing w:val="-25"/>
        </w:rPr>
      </w:r>
      <w:r>
        <w:rPr>
          <w:spacing w:val="-5"/>
        </w:rPr>
        <w:t>制但不构成控制的，按照《企业会计准则第</w:t>
      </w:r>
      <w:r>
        <w:rPr>
          <w:spacing w:val="-26"/>
        </w:rPr>
        <w:t> </w:t>
      </w:r>
      <w:r>
        <w:rPr>
          <w:rFonts w:ascii="宋体" w:hAnsi="宋体" w:cs="宋体" w:eastAsia="宋体" w:hint="default"/>
        </w:rPr>
        <w:t>22</w:t>
      </w:r>
      <w:r>
        <w:rPr>
          <w:rFonts w:ascii="宋体" w:hAnsi="宋体" w:cs="宋体" w:eastAsia="宋体" w:hint="default"/>
          <w:spacing w:val="-29"/>
        </w:rPr>
        <w:t> </w:t>
      </w:r>
      <w:r>
        <w:rPr>
          <w:spacing w:val="-3"/>
        </w:rPr>
        <w:t>号——金融工具确认和计量》确定的原持有的股权</w:t>
      </w:r>
      <w:r>
        <w:rPr>
          <w:spacing w:val="-95"/>
        </w:rPr>
        <w:t> </w:t>
      </w:r>
      <w:r>
        <w:rPr>
          <w:spacing w:val="-95"/>
        </w:rPr>
      </w:r>
      <w:r>
        <w:rPr/>
        <w:t>投资的公允价值加上新增投资成本之和，作为改按权益法核算的初始投资成本。</w:t>
      </w:r>
      <w:r>
        <w:rPr>
          <w:w w:val="100"/>
        </w:rPr>
        <w:t> </w:t>
      </w:r>
      <w:r>
        <w:rPr>
          <w:spacing w:val="-2"/>
        </w:rPr>
        <w:t>原持有的股权投资分类为可供出售金融资产的，其公允价值与账面价值之间的差额，以及原计入</w:t>
      </w:r>
      <w:r>
        <w:rPr>
          <w:spacing w:val="-25"/>
        </w:rPr>
        <w:t> </w:t>
      </w:r>
      <w:r>
        <w:rPr>
          <w:spacing w:val="-25"/>
        </w:rPr>
      </w:r>
      <w:r>
        <w:rPr/>
        <w:t>其他综合收益的累计公允价值变动转入改按权益法核算的当期损益。</w:t>
      </w:r>
    </w:p>
    <w:p>
      <w:pPr>
        <w:pStyle w:val="BodyText"/>
        <w:spacing w:line="314" w:lineRule="auto" w:before="17"/>
        <w:ind w:left="138" w:right="217" w:firstLine="419"/>
        <w:jc w:val="both"/>
      </w:pPr>
      <w:r>
        <w:rPr>
          <w:spacing w:val="-2"/>
        </w:rPr>
        <w:t>按权益法核算的初始投资成本小于按照追加投资后全新的持股比例计算确定的应享有被投资</w:t>
      </w:r>
      <w:r>
        <w:rPr>
          <w:w w:val="100"/>
        </w:rPr>
        <w:t> </w:t>
      </w:r>
      <w:r>
        <w:rPr>
          <w:spacing w:val="-2"/>
        </w:rPr>
        <w:t>单位在追加投资日可辨认净资产公允价值份额之间的差额，调整长期股权投资的账面价值，并计</w:t>
      </w:r>
      <w:r>
        <w:rPr>
          <w:spacing w:val="-25"/>
        </w:rPr>
        <w:t> </w:t>
      </w:r>
      <w:r>
        <w:rPr>
          <w:spacing w:val="-25"/>
        </w:rPr>
      </w:r>
      <w:r>
        <w:rPr/>
        <w:t>入当期营业外收入。</w:t>
      </w:r>
    </w:p>
    <w:p>
      <w:pPr>
        <w:pStyle w:val="BodyText"/>
        <w:spacing w:line="312" w:lineRule="auto" w:before="20"/>
        <w:ind w:left="558" w:right="101"/>
        <w:jc w:val="left"/>
      </w:pPr>
      <w:r>
        <w:rPr/>
        <w:t>公允价值计量或权益法核算转成本法核算</w:t>
      </w:r>
      <w:r>
        <w:rPr>
          <w:w w:val="100"/>
        </w:rPr>
        <w:t> </w:t>
      </w:r>
      <w:r>
        <w:rPr>
          <w:spacing w:val="-2"/>
        </w:rPr>
        <w:t>本公司原持有的对被投资单位不具有控制、共同控制或重大影响的按金融工具确认和计量准</w:t>
      </w:r>
    </w:p>
    <w:p>
      <w:pPr>
        <w:pStyle w:val="BodyText"/>
        <w:spacing w:line="314" w:lineRule="auto" w:before="22"/>
        <w:ind w:left="138" w:right="217"/>
        <w:jc w:val="both"/>
      </w:pPr>
      <w:r>
        <w:rPr>
          <w:spacing w:val="-2"/>
        </w:rPr>
        <w:t>则进行会计处理的权益性投资，或原持有对联营企业、合营企业的长期股权投资，因追加投资等</w:t>
      </w:r>
      <w:r>
        <w:rPr>
          <w:spacing w:val="-25"/>
        </w:rPr>
        <w:t> </w:t>
      </w:r>
      <w:r>
        <w:rPr>
          <w:spacing w:val="-25"/>
        </w:rPr>
      </w:r>
      <w:r>
        <w:rPr>
          <w:spacing w:val="-2"/>
        </w:rPr>
        <w:t>原因能够对非同一控制下的被投资单位实施控制的，在编制个别财务报表时，按照原持有的股权</w:t>
      </w:r>
      <w:r>
        <w:rPr>
          <w:spacing w:val="-25"/>
        </w:rPr>
        <w:t> </w:t>
      </w:r>
      <w:r>
        <w:rPr>
          <w:spacing w:val="-25"/>
        </w:rPr>
      </w:r>
      <w:r>
        <w:rPr/>
        <w:t>投资账面价值加上新增投资成本之和，作为改按成本法核算的初始投资成本。</w:t>
      </w:r>
    </w:p>
    <w:p>
      <w:pPr>
        <w:pStyle w:val="BodyText"/>
        <w:spacing w:line="314" w:lineRule="auto" w:before="17"/>
        <w:ind w:left="138" w:right="217" w:firstLine="419"/>
        <w:jc w:val="both"/>
      </w:pPr>
      <w:r>
        <w:rPr>
          <w:spacing w:val="-2"/>
        </w:rPr>
        <w:t>购买日之前持有的股权投资因采用权益法核算而确认的其他综合收益，在处置该项投资时采</w:t>
      </w:r>
      <w:r>
        <w:rPr>
          <w:w w:val="100"/>
        </w:rPr>
        <w:t> </w:t>
      </w:r>
      <w:r>
        <w:rPr/>
        <w:t>用与被投资单位直接处置相关资产或负债相同的基础进行会计处理。</w:t>
      </w:r>
    </w:p>
    <w:p>
      <w:pPr>
        <w:pStyle w:val="BodyText"/>
        <w:spacing w:line="314" w:lineRule="auto" w:before="17"/>
        <w:ind w:left="138" w:right="101" w:firstLine="419"/>
        <w:jc w:val="left"/>
      </w:pPr>
      <w:r>
        <w:rPr>
          <w:spacing w:val="-4"/>
        </w:rPr>
        <w:t>购买日之前持有的股权投资按照《企业会计准则第 </w:t>
      </w:r>
      <w:r>
        <w:rPr>
          <w:rFonts w:ascii="宋体" w:hAnsi="宋体" w:cs="宋体" w:eastAsia="宋体" w:hint="default"/>
        </w:rPr>
        <w:t>22</w:t>
      </w:r>
      <w:r>
        <w:rPr>
          <w:rFonts w:ascii="宋体" w:hAnsi="宋体" w:cs="宋体" w:eastAsia="宋体" w:hint="default"/>
          <w:spacing w:val="-68"/>
        </w:rPr>
        <w:t> </w:t>
      </w:r>
      <w:r>
        <w:rPr>
          <w:spacing w:val="-5"/>
        </w:rPr>
        <w:t>号——金融工具确认和计量》的有关规</w:t>
      </w:r>
      <w:r>
        <w:rPr>
          <w:w w:val="100"/>
        </w:rPr>
        <w:t> </w:t>
      </w:r>
      <w:r>
        <w:rPr>
          <w:spacing w:val="-4"/>
          <w:w w:val="100"/>
        </w:rPr>
        <w:t>定进行会计处理的，原计入其他综合收益的累计公允价值变动在改按成本法核算时转入当期损益。</w:t>
      </w:r>
      <w:r>
        <w:rPr>
          <w:spacing w:val="-89"/>
          <w:w w:val="100"/>
        </w:rPr>
        <w:t> </w:t>
      </w:r>
      <w:r>
        <w:rPr>
          <w:spacing w:val="-89"/>
          <w:w w:val="100"/>
        </w:rPr>
      </w:r>
      <w:r>
        <w:rPr/>
        <w:t>权益法核算转公允价值计量</w:t>
      </w:r>
    </w:p>
    <w:p>
      <w:pPr>
        <w:pStyle w:val="BodyText"/>
        <w:spacing w:line="314" w:lineRule="auto" w:before="20"/>
        <w:ind w:left="138" w:right="208" w:firstLine="419"/>
        <w:jc w:val="both"/>
      </w:pPr>
      <w:r>
        <w:rPr>
          <w:spacing w:val="-2"/>
        </w:rPr>
        <w:t>本公司因处置部分股权投资等原因丧失了对被投资单位的共同控制或重大影响的，处置后的</w:t>
      </w:r>
      <w:r>
        <w:rPr>
          <w:w w:val="100"/>
        </w:rPr>
        <w:t> </w:t>
      </w:r>
      <w:r>
        <w:rPr>
          <w:spacing w:val="-4"/>
        </w:rPr>
        <w:t>剩余股权改按《企业会计准则第</w:t>
      </w:r>
      <w:r>
        <w:rPr>
          <w:spacing w:val="-26"/>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号——金融工具确认和计量》核算，其在丧失共同控制或重大</w:t>
      </w:r>
      <w:r>
        <w:rPr>
          <w:spacing w:val="-94"/>
        </w:rPr>
        <w:t> </w:t>
      </w:r>
      <w:r>
        <w:rPr>
          <w:spacing w:val="-94"/>
        </w:rPr>
      </w:r>
      <w:r>
        <w:rPr/>
        <w:t>影响之日的公允价值与账面价值之间的差额计入当期损益。</w:t>
      </w:r>
    </w:p>
    <w:p>
      <w:pPr>
        <w:pStyle w:val="BodyText"/>
        <w:spacing w:line="314" w:lineRule="auto" w:before="17"/>
        <w:ind w:left="138" w:right="217" w:firstLine="419"/>
        <w:jc w:val="both"/>
      </w:pPr>
      <w:r>
        <w:rPr>
          <w:spacing w:val="-2"/>
        </w:rPr>
        <w:t>原股权投资因采用权益法核算而确认的其他综合收益，在终止采用权益法核算时采用与被投</w:t>
      </w:r>
      <w:r>
        <w:rPr>
          <w:w w:val="100"/>
        </w:rPr>
        <w:t> </w:t>
      </w:r>
      <w:r>
        <w:rPr/>
        <w:t>资单位直接处置相关资产或负债相同的基础进行会计处理。</w:t>
      </w:r>
    </w:p>
    <w:p>
      <w:pPr>
        <w:pStyle w:val="BodyText"/>
        <w:spacing w:line="314" w:lineRule="auto" w:before="17"/>
        <w:ind w:left="558" w:right="101"/>
        <w:jc w:val="left"/>
      </w:pPr>
      <w:r>
        <w:rPr/>
        <w:t>成本法转权益法</w:t>
      </w:r>
      <w:r>
        <w:rPr>
          <w:spacing w:val="-103"/>
        </w:rPr>
        <w:t> </w:t>
      </w:r>
      <w:r>
        <w:rPr>
          <w:spacing w:val="-103"/>
        </w:rPr>
      </w:r>
      <w:r>
        <w:rPr>
          <w:spacing w:val="-4"/>
          <w:w w:val="100"/>
        </w:rPr>
        <w:t>本公司因处置部分权益性投资等原因丧失了对被投资单位的控制的，在编制个别财务报表时，</w:t>
      </w:r>
    </w:p>
    <w:p>
      <w:pPr>
        <w:pStyle w:val="BodyText"/>
        <w:spacing w:line="314" w:lineRule="auto" w:before="18"/>
        <w:ind w:left="138" w:right="217"/>
        <w:jc w:val="both"/>
      </w:pPr>
      <w:r>
        <w:rPr>
          <w:spacing w:val="-2"/>
        </w:rPr>
        <w:t>处置后的剩余股权能够对被投资单位实施共同控制或施加重大影响的，改按权益法核算，并对该</w:t>
      </w:r>
      <w:r>
        <w:rPr>
          <w:spacing w:val="-25"/>
        </w:rPr>
        <w:t> </w:t>
      </w:r>
      <w:r>
        <w:rPr>
          <w:spacing w:val="-25"/>
        </w:rPr>
      </w:r>
      <w:r>
        <w:rPr/>
        <w:t>剩余股权视同自取得时即采用权益法核算进行调整。</w:t>
      </w:r>
    </w:p>
    <w:p>
      <w:pPr>
        <w:spacing w:after="0" w:line="314" w:lineRule="auto"/>
        <w:jc w:val="both"/>
        <w:sectPr>
          <w:footerReference w:type="default" r:id="rId56"/>
          <w:pgSz w:w="11910" w:h="16840"/>
          <w:pgMar w:footer="1195" w:header="882" w:top="1120" w:bottom="1380" w:left="1660" w:right="1060"/>
          <w:pgNumType w:start="91"/>
        </w:sectPr>
      </w:pPr>
    </w:p>
    <w:p>
      <w:pPr>
        <w:spacing w:line="240" w:lineRule="auto" w:before="8"/>
        <w:rPr>
          <w:rFonts w:ascii="宋体" w:hAnsi="宋体" w:cs="宋体" w:eastAsia="宋体" w:hint="default"/>
          <w:sz w:val="28"/>
          <w:szCs w:val="28"/>
        </w:rPr>
      </w:pPr>
    </w:p>
    <w:p>
      <w:pPr>
        <w:pStyle w:val="BodyText"/>
        <w:spacing w:line="314" w:lineRule="auto" w:before="36"/>
        <w:ind w:left="558" w:right="101"/>
        <w:jc w:val="left"/>
      </w:pPr>
      <w:r>
        <w:rPr/>
        <w:t>成本法转公允价值计量</w:t>
      </w:r>
      <w:r>
        <w:rPr>
          <w:w w:val="100"/>
        </w:rPr>
        <w:t> </w:t>
      </w:r>
      <w:r>
        <w:rPr>
          <w:spacing w:val="-4"/>
          <w:w w:val="100"/>
        </w:rPr>
        <w:t>本公司因处置部分权益性投资等原因丧失了对被投资单位的控制的，在编制个别财务报表时，</w:t>
      </w:r>
    </w:p>
    <w:p>
      <w:pPr>
        <w:pStyle w:val="BodyText"/>
        <w:spacing w:line="314" w:lineRule="auto" w:before="17"/>
        <w:ind w:left="138" w:right="208"/>
        <w:jc w:val="both"/>
      </w:pPr>
      <w:r>
        <w:rPr>
          <w:spacing w:val="-3"/>
        </w:rPr>
        <w:t>处置后的剩余股权不能对被投资单位实施共同控制或施加重大影响的，改按《企业会计准则第 </w:t>
      </w:r>
      <w:r>
        <w:rPr>
          <w:rFonts w:ascii="宋体" w:hAnsi="宋体" w:cs="宋体" w:eastAsia="宋体" w:hint="default"/>
        </w:rPr>
        <w:t>22</w:t>
      </w:r>
      <w:r>
        <w:rPr>
          <w:rFonts w:ascii="宋体" w:hAnsi="宋体" w:cs="宋体" w:eastAsia="宋体" w:hint="default"/>
          <w:spacing w:val="-80"/>
        </w:rPr>
        <w:t> </w:t>
      </w:r>
      <w:r>
        <w:rPr>
          <w:spacing w:val="-2"/>
        </w:rPr>
        <w:t>号——金融工具确认和计量》的有关规定进行会计处理，其在丧失控制之日的公允价值与账面价</w:t>
      </w:r>
      <w:r>
        <w:rPr>
          <w:spacing w:val="-26"/>
        </w:rPr>
        <w:t> </w:t>
      </w:r>
      <w:r>
        <w:rPr>
          <w:spacing w:val="-26"/>
        </w:rPr>
      </w:r>
      <w:r>
        <w:rPr/>
        <w:t>值间的差额计入当期损益。</w:t>
      </w:r>
    </w:p>
    <w:p>
      <w:pPr>
        <w:pStyle w:val="BodyText"/>
        <w:spacing w:line="312" w:lineRule="auto" w:before="20"/>
        <w:ind w:left="558" w:right="101"/>
        <w:jc w:val="left"/>
      </w:pPr>
      <w:r>
        <w:rPr/>
        <w:t>长期股权投资的处置</w:t>
      </w:r>
      <w:r>
        <w:rPr>
          <w:w w:val="100"/>
        </w:rPr>
        <w:t> </w:t>
      </w:r>
      <w:r>
        <w:rPr>
          <w:spacing w:val="-2"/>
        </w:rPr>
        <w:t>处置长期股权投资，其账面价值与实际取得价款之间的差额，应当计入当期损益。采用权益</w:t>
      </w:r>
    </w:p>
    <w:p>
      <w:pPr>
        <w:pStyle w:val="BodyText"/>
        <w:spacing w:line="312" w:lineRule="auto" w:before="22"/>
        <w:ind w:left="138" w:right="217"/>
        <w:jc w:val="both"/>
      </w:pPr>
      <w:r>
        <w:rPr>
          <w:spacing w:val="-2"/>
        </w:rPr>
        <w:t>法核算的长期股权投资，在处置该项投资时，采用与被投资单位直接处置相关资产或负债相同的</w:t>
      </w:r>
      <w:r>
        <w:rPr>
          <w:spacing w:val="-25"/>
        </w:rPr>
        <w:t> </w:t>
      </w:r>
      <w:r>
        <w:rPr>
          <w:spacing w:val="-25"/>
        </w:rPr>
      </w:r>
      <w:r>
        <w:rPr/>
        <w:t>基础，按相应比例对原计入其他综合收益的部分进行会计处理。</w:t>
      </w:r>
    </w:p>
    <w:p>
      <w:pPr>
        <w:pStyle w:val="BodyText"/>
        <w:spacing w:line="312" w:lineRule="auto" w:before="22"/>
        <w:ind w:left="138" w:right="217" w:firstLine="419"/>
        <w:jc w:val="both"/>
      </w:pPr>
      <w:r>
        <w:rPr>
          <w:spacing w:val="-2"/>
        </w:rPr>
        <w:t>处置对子公司股权投资的各项交易的条款、条件以及经济影响符合以下一种或多种情况，将</w:t>
      </w:r>
      <w:r>
        <w:rPr>
          <w:w w:val="100"/>
        </w:rPr>
        <w:t> </w:t>
      </w:r>
      <w:r>
        <w:rPr/>
        <w:t>多次交易事项作为一揽子交易进行会计处理：</w:t>
      </w:r>
    </w:p>
    <w:p>
      <w:pPr>
        <w:pStyle w:val="BodyText"/>
        <w:spacing w:line="314" w:lineRule="auto" w:before="22"/>
        <w:ind w:left="558" w:right="101"/>
        <w:jc w:val="left"/>
      </w:pPr>
      <w:r>
        <w:rPr/>
        <w:t>这些交易是同时或者在考虑了彼此影响的情况下订立的；</w:t>
      </w:r>
      <w:r>
        <w:rPr>
          <w:w w:val="100"/>
        </w:rPr>
        <w:t> </w:t>
      </w:r>
      <w:r>
        <w:rPr/>
        <w:t>这些交易整体才能达成一项完整的商业结果；</w:t>
      </w:r>
      <w:r>
        <w:rPr>
          <w:w w:val="100"/>
        </w:rPr>
        <w:t> </w:t>
      </w:r>
      <w:r>
        <w:rPr/>
        <w:t>一项交易的发生取决于其他至少一项交易的发生；</w:t>
      </w:r>
      <w:r>
        <w:rPr>
          <w:w w:val="100"/>
        </w:rPr>
        <w:t> </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w:t>
      </w:r>
    </w:p>
    <w:p>
      <w:pPr>
        <w:pStyle w:val="BodyText"/>
        <w:spacing w:line="240" w:lineRule="auto" w:before="17"/>
        <w:ind w:left="138" w:right="0"/>
        <w:jc w:val="both"/>
      </w:pPr>
      <w:r>
        <w:rPr/>
        <w:t>个别财务报表和合并财务报表进行相关会计处理：</w:t>
      </w:r>
    </w:p>
    <w:p>
      <w:pPr>
        <w:pStyle w:val="BodyText"/>
        <w:spacing w:line="314" w:lineRule="auto" w:before="85"/>
        <w:ind w:left="138" w:right="208" w:firstLine="419"/>
        <w:jc w:val="both"/>
      </w:pPr>
      <w:r>
        <w:rPr>
          <w:spacing w:val="-4"/>
        </w:rPr>
        <w:t>（</w:t>
      </w:r>
      <w:r>
        <w:rPr>
          <w:rFonts w:ascii="宋体" w:hAnsi="宋体" w:cs="宋体" w:eastAsia="宋体" w:hint="default"/>
          <w:spacing w:val="-4"/>
        </w:rPr>
        <w:t>1</w:t>
      </w:r>
      <w:r>
        <w:rPr>
          <w:spacing w:val="-4"/>
        </w:rPr>
        <w:t>）在个别财务报表中，对于处置的股权，其账面价值与实际取得价款之间的差额计入当期</w:t>
      </w:r>
      <w:r>
        <w:rPr>
          <w:w w:val="100"/>
        </w:rPr>
        <w:t> </w:t>
      </w:r>
      <w:r>
        <w:rPr>
          <w:spacing w:val="-2"/>
        </w:rPr>
        <w:t>损益。处置后的剩余股权能够对被投资单位实施共同控制或施加重大影响的，改按权益法核算，</w:t>
      </w:r>
      <w:r>
        <w:rPr>
          <w:spacing w:val="-25"/>
        </w:rPr>
        <w:t> </w:t>
      </w:r>
      <w:r>
        <w:rPr>
          <w:spacing w:val="-25"/>
        </w:rPr>
      </w:r>
      <w:r>
        <w:rPr>
          <w:spacing w:val="-2"/>
        </w:rPr>
        <w:t>并对该剩余股权视同自取得时即采用权益法核算进行调整；处置后的剩余股权不能对被投资单位</w:t>
      </w:r>
      <w:r>
        <w:rPr>
          <w:spacing w:val="-25"/>
        </w:rPr>
        <w:t> </w:t>
      </w:r>
      <w:r>
        <w:rPr>
          <w:spacing w:val="-25"/>
        </w:rPr>
      </w:r>
      <w:r>
        <w:rPr>
          <w:spacing w:val="-4"/>
        </w:rPr>
        <w:t>实施共同控制或施加重大影响的，改按《企业会计准则第</w:t>
      </w:r>
      <w:r>
        <w:rPr>
          <w:spacing w:val="-25"/>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号——金融工具确认和计量》的有关</w:t>
      </w:r>
      <w:r>
        <w:rPr>
          <w:spacing w:val="-95"/>
        </w:rPr>
        <w:t> </w:t>
      </w:r>
      <w:r>
        <w:rPr>
          <w:spacing w:val="-95"/>
        </w:rPr>
      </w:r>
      <w:r>
        <w:rPr/>
        <w:t>规定进行会计处理，其在丧失控制之日的公允价值与账面价值间的差额计入当期损益。</w:t>
      </w:r>
    </w:p>
    <w:p>
      <w:pPr>
        <w:pStyle w:val="BodyText"/>
        <w:spacing w:line="314" w:lineRule="auto" w:before="17"/>
        <w:ind w:left="138" w:right="208" w:firstLine="419"/>
        <w:jc w:val="both"/>
      </w:pPr>
      <w:r>
        <w:rPr>
          <w:spacing w:val="-4"/>
        </w:rPr>
        <w:t>（</w:t>
      </w:r>
      <w:r>
        <w:rPr>
          <w:rFonts w:ascii="宋体" w:hAnsi="宋体" w:cs="宋体" w:eastAsia="宋体" w:hint="default"/>
          <w:spacing w:val="-4"/>
        </w:rPr>
        <w:t>2</w:t>
      </w:r>
      <w:r>
        <w:rPr>
          <w:spacing w:val="-4"/>
        </w:rPr>
        <w:t>）在合并财务报表中，对于在丧失对子公司控制权以前的各项交易，处置价款与处置长期</w:t>
      </w:r>
      <w:r>
        <w:rPr>
          <w:w w:val="100"/>
        </w:rPr>
        <w:t> </w:t>
      </w:r>
      <w:r>
        <w:rPr>
          <w:spacing w:val="-2"/>
        </w:rPr>
        <w:t>股权投资相应对享有子公司自购买日或合并日开始持续计算的净资产份额之间的差额，调整资本</w:t>
      </w:r>
      <w:r>
        <w:rPr>
          <w:spacing w:val="-25"/>
        </w:rPr>
        <w:t> </w:t>
      </w:r>
      <w:r>
        <w:rPr>
          <w:spacing w:val="-25"/>
        </w:rPr>
      </w:r>
      <w:r>
        <w:rPr>
          <w:spacing w:val="-2"/>
        </w:rPr>
        <w:t>公积（股本溢价），资本公积不足冲减的，调整留存收益；在丧失对子公司控制权时，对于剩余</w:t>
      </w:r>
      <w:r>
        <w:rPr>
          <w:spacing w:val="-25"/>
        </w:rPr>
        <w:t> </w:t>
      </w:r>
      <w:r>
        <w:rPr>
          <w:spacing w:val="-25"/>
        </w:rPr>
      </w:r>
      <w:r>
        <w:rPr>
          <w:spacing w:val="-2"/>
        </w:rPr>
        <w:t>股权，按照其在丧失控制权日的公允价值进行重新计量。处置股权取得的对价与剩余股权公允价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值之和，减去按原持股比例计算应享有原有子公司自购买日开始持续计算的净资产的份额之间的</w:t>
      </w:r>
      <w:r>
        <w:rPr>
          <w:spacing w:val="-25"/>
        </w:rPr>
        <w:t> </w:t>
      </w:r>
      <w:r>
        <w:rPr>
          <w:spacing w:val="-25"/>
        </w:rPr>
      </w:r>
      <w:r>
        <w:rPr>
          <w:spacing w:val="-2"/>
        </w:rPr>
        <w:t>差额，计入丧失控制权当期的投资收益，同时冲减商誉。与原有子公司股权投资相关的其他综合</w:t>
      </w:r>
      <w:r>
        <w:rPr>
          <w:spacing w:val="-25"/>
        </w:rPr>
        <w:t> </w:t>
      </w:r>
      <w:r>
        <w:rPr>
          <w:spacing w:val="-25"/>
        </w:rPr>
      </w:r>
      <w:r>
        <w:rPr/>
        <w:t>收益等，在丧失控制权时转为当期投资收益。</w:t>
      </w:r>
    </w:p>
    <w:p>
      <w:pPr>
        <w:pStyle w:val="BodyText"/>
        <w:spacing w:line="314" w:lineRule="auto" w:before="20"/>
        <w:ind w:left="138" w:right="217" w:firstLine="419"/>
        <w:jc w:val="both"/>
      </w:pPr>
      <w:r>
        <w:rPr>
          <w:spacing w:val="-2"/>
        </w:rPr>
        <w:t>处置对子公司股权投资直至丧失控制权的各项交易属于一揽子交易的，将各项交易作为一项</w:t>
      </w:r>
      <w:r>
        <w:rPr>
          <w:w w:val="100"/>
        </w:rPr>
        <w:t> </w:t>
      </w:r>
      <w:r>
        <w:rPr>
          <w:spacing w:val="-2"/>
        </w:rPr>
        <w:t>处置子公司股权投资并丧失控制权的交易进行会计处理，区分个别财务报表和合并财务报表进行</w:t>
      </w:r>
      <w:r>
        <w:rPr>
          <w:spacing w:val="-25"/>
        </w:rPr>
        <w:t> </w:t>
      </w:r>
      <w:r>
        <w:rPr>
          <w:spacing w:val="-25"/>
        </w:rPr>
      </w:r>
      <w:r>
        <w:rPr/>
        <w:t>相关会计处理：</w:t>
      </w:r>
    </w:p>
    <w:p>
      <w:pPr>
        <w:pStyle w:val="BodyText"/>
        <w:spacing w:line="314" w:lineRule="auto" w:before="17"/>
        <w:ind w:left="138" w:right="208" w:firstLine="419"/>
        <w:jc w:val="both"/>
      </w:pPr>
      <w:r>
        <w:rPr>
          <w:spacing w:val="-4"/>
        </w:rPr>
        <w:t>（</w:t>
      </w:r>
      <w:r>
        <w:rPr>
          <w:rFonts w:ascii="宋体" w:hAnsi="宋体" w:cs="宋体" w:eastAsia="宋体" w:hint="default"/>
          <w:spacing w:val="-4"/>
        </w:rPr>
        <w:t>1</w:t>
      </w:r>
      <w:r>
        <w:rPr>
          <w:spacing w:val="-4"/>
        </w:rPr>
        <w:t>）在个别财务报表中，在丧失控制权之前每一次处置价款与处置的股权对应的长期股权投</w:t>
      </w:r>
      <w:r>
        <w:rPr>
          <w:w w:val="100"/>
        </w:rPr>
        <w:t> </w:t>
      </w:r>
      <w:r>
        <w:rPr>
          <w:spacing w:val="-6"/>
          <w:w w:val="100"/>
        </w:rPr>
        <w:t>资账面价值之间的差额，确认为其他综合收益，在丧失控制权时一并转入丧失控制权当期的损益。</w:t>
      </w:r>
    </w:p>
    <w:p>
      <w:pPr>
        <w:pStyle w:val="BodyText"/>
        <w:spacing w:line="314" w:lineRule="auto" w:before="17"/>
        <w:ind w:left="138" w:right="101" w:firstLine="419"/>
        <w:jc w:val="left"/>
      </w:pPr>
      <w:r>
        <w:rPr>
          <w:spacing w:val="-4"/>
        </w:rPr>
        <w:t>（</w:t>
      </w:r>
      <w:r>
        <w:rPr>
          <w:rFonts w:ascii="宋体" w:hAnsi="宋体" w:cs="宋体" w:eastAsia="宋体" w:hint="default"/>
          <w:spacing w:val="-4"/>
        </w:rPr>
        <w:t>2</w:t>
      </w:r>
      <w:r>
        <w:rPr>
          <w:spacing w:val="-4"/>
        </w:rPr>
        <w:t>）在合并财务报表中，在丧失控制权之前每一次处置价款与处置投资对应的享有该子公司</w:t>
      </w:r>
      <w:r>
        <w:rPr>
          <w:w w:val="100"/>
        </w:rPr>
        <w:t> </w:t>
      </w:r>
      <w:r>
        <w:rPr/>
        <w:t>净资产份额的差额，确认为其他综合收益，在丧失控制权时一并转入丧失控制权当期的损益。</w:t>
      </w:r>
      <w:r>
        <w:rPr>
          <w:w w:val="100"/>
        </w:rPr>
        <w:t> </w:t>
      </w:r>
      <w:r>
        <w:rPr/>
        <w:t>共同控制、重大影响的判断标准</w:t>
      </w:r>
    </w:p>
    <w:p>
      <w:pPr>
        <w:spacing w:after="0" w:line="314" w:lineRule="auto"/>
        <w:jc w:val="left"/>
        <w:sectPr>
          <w:pgSz w:w="11910" w:h="16840"/>
          <w:pgMar w:header="882" w:footer="1195" w:top="1120" w:bottom="1380" w:left="1660" w:right="1060"/>
        </w:sectPr>
      </w:pPr>
    </w:p>
    <w:p>
      <w:pPr>
        <w:spacing w:line="240" w:lineRule="auto" w:before="8"/>
        <w:rPr>
          <w:rFonts w:ascii="宋体" w:hAnsi="宋体" w:cs="宋体" w:eastAsia="宋体" w:hint="default"/>
          <w:sz w:val="28"/>
          <w:szCs w:val="28"/>
        </w:rPr>
      </w:pPr>
    </w:p>
    <w:p>
      <w:pPr>
        <w:pStyle w:val="BodyText"/>
        <w:spacing w:line="314" w:lineRule="auto" w:before="36"/>
        <w:ind w:left="138" w:right="217" w:firstLine="419"/>
        <w:jc w:val="both"/>
      </w:pPr>
      <w:r>
        <w:rPr>
          <w:spacing w:val="-2"/>
        </w:rPr>
        <w:t>如果本公司按照相关约定与其他参与方集体控制某项安排，并且对该安排回报具有重大影响</w:t>
      </w:r>
      <w:r>
        <w:rPr>
          <w:w w:val="100"/>
        </w:rPr>
        <w:t> </w:t>
      </w:r>
      <w:r>
        <w:rPr>
          <w:spacing w:val="-2"/>
        </w:rPr>
        <w:t>的活动决策，需要经过分享控制权的参与方一致同意时才存在，则视为本公司与其他参与方共同</w:t>
      </w:r>
      <w:r>
        <w:rPr>
          <w:spacing w:val="-25"/>
        </w:rPr>
        <w:t> </w:t>
      </w:r>
      <w:r>
        <w:rPr>
          <w:spacing w:val="-25"/>
        </w:rPr>
      </w:r>
      <w:r>
        <w:rPr/>
        <w:t>控制某项安排，该安排即属于合营安排。</w:t>
      </w:r>
    </w:p>
    <w:p>
      <w:pPr>
        <w:pStyle w:val="BodyText"/>
        <w:spacing w:line="312" w:lineRule="auto" w:before="20"/>
        <w:ind w:left="138" w:right="101" w:firstLine="419"/>
        <w:jc w:val="left"/>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r>
        <w:rPr>
          <w:w w:val="100"/>
        </w:rPr>
        <w:t> </w:t>
      </w:r>
      <w:r>
        <w:rPr/>
        <w:t>净资产享有权利时，该单独主体作为共同经营，本公司确认与共同经营利益份额相关的项目，并</w:t>
      </w:r>
      <w:r>
        <w:rPr>
          <w:w w:val="100"/>
        </w:rPr>
        <w:t> </w:t>
      </w:r>
      <w:r>
        <w:rPr/>
        <w:t>按照相关企业会计准则的规定进行会计处理。</w:t>
      </w:r>
    </w:p>
    <w:p>
      <w:pPr>
        <w:pStyle w:val="BodyText"/>
        <w:spacing w:line="314" w:lineRule="auto" w:before="22"/>
        <w:ind w:left="138" w:right="208" w:firstLine="419"/>
        <w:jc w:val="both"/>
      </w:pPr>
      <w:r>
        <w:rPr>
          <w:spacing w:val="-2"/>
        </w:rPr>
        <w:t>重大影响，是指投资方对被投资单位的财务和经营政策有参与决策的权力，但并不能够控制</w:t>
      </w:r>
      <w:r>
        <w:rPr>
          <w:w w:val="100"/>
        </w:rPr>
        <w:t> </w:t>
      </w:r>
      <w:r>
        <w:rPr>
          <w:spacing w:val="-2"/>
        </w:rPr>
        <w:t>或者与其他方一起共同控制这些政策的制定。本公司通过以下一种或多种情形，并综合考虑所有</w:t>
      </w:r>
      <w:r>
        <w:rPr>
          <w:spacing w:val="-25"/>
        </w:rPr>
        <w:t> </w:t>
      </w:r>
      <w:r>
        <w:rPr>
          <w:spacing w:val="-25"/>
        </w:rPr>
      </w:r>
      <w:r>
        <w:rPr>
          <w:spacing w:val="-4"/>
        </w:rPr>
        <w:t>事实和情况后，判断对被投资单位具有重大影响。（</w:t>
      </w:r>
      <w:r>
        <w:rPr>
          <w:rFonts w:ascii="宋体" w:hAnsi="宋体" w:cs="宋体" w:eastAsia="宋体" w:hint="default"/>
          <w:spacing w:val="-4"/>
        </w:rPr>
        <w:t>1</w:t>
      </w:r>
      <w:r>
        <w:rPr>
          <w:spacing w:val="-4"/>
        </w:rPr>
        <w:t>）在被投资单位的董事会或类似权力机构中</w:t>
      </w:r>
      <w:r>
        <w:rPr>
          <w:spacing w:val="-33"/>
        </w:rPr>
        <w:t> </w:t>
      </w:r>
      <w:r>
        <w:rPr>
          <w:spacing w:val="-33"/>
        </w:rPr>
      </w:r>
      <w:r>
        <w:rPr>
          <w:spacing w:val="-2"/>
        </w:rPr>
        <w:t>派有代表；（</w:t>
      </w:r>
      <w:r>
        <w:rPr>
          <w:rFonts w:ascii="宋体" w:hAnsi="宋体" w:cs="宋体" w:eastAsia="宋体" w:hint="default"/>
          <w:spacing w:val="-2"/>
        </w:rPr>
        <w:t>2</w:t>
      </w:r>
      <w:r>
        <w:rPr>
          <w:spacing w:val="-2"/>
        </w:rPr>
        <w:t>）参与被投资单位财务和经营政策制定过程；（</w:t>
      </w:r>
      <w:r>
        <w:rPr>
          <w:rFonts w:ascii="宋体" w:hAnsi="宋体" w:cs="宋体" w:eastAsia="宋体" w:hint="default"/>
          <w:spacing w:val="-2"/>
        </w:rPr>
        <w:t>3</w:t>
      </w:r>
      <w:r>
        <w:rPr>
          <w:spacing w:val="-2"/>
        </w:rPr>
        <w:t>）与被投资单位之间发生重要交</w:t>
      </w:r>
      <w:r>
        <w:rPr>
          <w:spacing w:val="-30"/>
        </w:rPr>
        <w:t> </w:t>
      </w:r>
      <w:r>
        <w:rPr>
          <w:spacing w:val="-30"/>
        </w:rPr>
      </w:r>
      <w:r>
        <w:rPr/>
        <w:t>易；（</w:t>
      </w:r>
      <w:r>
        <w:rPr>
          <w:rFonts w:ascii="宋体" w:hAnsi="宋体" w:cs="宋体" w:eastAsia="宋体" w:hint="default"/>
        </w:rPr>
        <w:t>4</w:t>
      </w:r>
      <w:r>
        <w:rPr/>
        <w:t>）向被投资单位派出管理人员；（</w:t>
      </w:r>
      <w:r>
        <w:rPr>
          <w:rFonts w:ascii="宋体" w:hAnsi="宋体" w:cs="宋体" w:eastAsia="宋体" w:hint="default"/>
        </w:rPr>
        <w:t>5</w:t>
      </w:r>
      <w:r>
        <w:rPr/>
        <w:t>）向被投资单位提供关键技术资料。</w:t>
      </w:r>
    </w:p>
    <w:p>
      <w:pPr>
        <w:pStyle w:val="Heading2"/>
        <w:spacing w:line="240" w:lineRule="auto"/>
        <w:ind w:left="138" w:right="101"/>
        <w:jc w:val="left"/>
        <w:rPr>
          <w:b w:val="0"/>
          <w:bCs w:val="0"/>
        </w:rPr>
      </w:pPr>
      <w:r>
        <w:rPr>
          <w:rFonts w:ascii="宋体" w:hAnsi="宋体" w:cs="宋体" w:eastAsia="宋体" w:hint="default"/>
        </w:rPr>
        <w:t>15.</w:t>
      </w:r>
      <w:r>
        <w:rPr>
          <w:rFonts w:ascii="宋体" w:hAnsi="宋体" w:cs="宋体" w:eastAsia="宋体" w:hint="default"/>
          <w:spacing w:val="-62"/>
        </w:rPr>
        <w:t> </w:t>
      </w:r>
      <w:r>
        <w:rPr/>
        <w:t>投资性房地产</w:t>
      </w:r>
      <w:r>
        <w:rPr>
          <w:b w:val="0"/>
          <w:bCs w:val="0"/>
        </w:rPr>
      </w:r>
    </w:p>
    <w:p>
      <w:pPr>
        <w:pStyle w:val="BodyText"/>
        <w:spacing w:line="240" w:lineRule="auto" w:before="85"/>
        <w:ind w:left="138" w:right="101"/>
        <w:jc w:val="left"/>
      </w:pPr>
      <w:r>
        <w:rPr/>
        <w:t>不适用</w:t>
      </w:r>
    </w:p>
    <w:p>
      <w:pPr>
        <w:pStyle w:val="Heading2"/>
        <w:spacing w:line="240" w:lineRule="auto" w:before="69"/>
        <w:ind w:left="138" w:right="101"/>
        <w:jc w:val="left"/>
        <w:rPr>
          <w:b w:val="0"/>
          <w:bCs w:val="0"/>
        </w:rPr>
      </w:pPr>
      <w:r>
        <w:rPr>
          <w:rFonts w:ascii="宋体" w:hAnsi="宋体" w:cs="宋体" w:eastAsia="宋体" w:hint="default"/>
        </w:rPr>
        <w:t>16.</w:t>
      </w:r>
      <w:r>
        <w:rPr>
          <w:rFonts w:ascii="宋体" w:hAnsi="宋体" w:cs="宋体" w:eastAsia="宋体" w:hint="default"/>
          <w:spacing w:val="-60"/>
        </w:rPr>
        <w:t> </w:t>
      </w:r>
      <w:r>
        <w:rPr/>
        <w:t>固定资产</w:t>
      </w:r>
      <w:r>
        <w:rPr>
          <w:b w:val="0"/>
          <w:bCs w:val="0"/>
        </w:rPr>
      </w:r>
    </w:p>
    <w:p>
      <w:pPr>
        <w:pStyle w:val="Heading2"/>
        <w:tabs>
          <w:tab w:pos="977" w:val="left" w:leader="none"/>
        </w:tabs>
        <w:spacing w:line="240" w:lineRule="auto" w:before="58"/>
        <w:ind w:left="138" w:right="101"/>
        <w:jc w:val="left"/>
        <w:rPr>
          <w:b w:val="0"/>
          <w:bCs w:val="0"/>
        </w:rPr>
      </w:pPr>
      <w:r>
        <w:rPr>
          <w:rFonts w:ascii="宋体" w:hAnsi="宋体" w:cs="宋体" w:eastAsia="宋体" w:hint="default"/>
        </w:rPr>
        <w:t>(1).</w:t>
        <w:tab/>
      </w:r>
      <w:r>
        <w:rPr/>
        <w:t>确认条件</w:t>
      </w:r>
      <w:r>
        <w:rPr>
          <w:b w:val="0"/>
          <w:bCs w:val="0"/>
        </w:rPr>
      </w:r>
    </w:p>
    <w:p>
      <w:pPr>
        <w:pStyle w:val="BodyText"/>
        <w:spacing w:line="292" w:lineRule="auto" w:before="85"/>
        <w:ind w:left="558" w:right="6832" w:hanging="420"/>
        <w:jc w:val="left"/>
      </w:pPr>
      <w:r>
        <w:rPr/>
        <w:t>√适用□不适用</w:t>
      </w:r>
      <w:r>
        <w:rPr>
          <w:spacing w:val="-103"/>
        </w:rPr>
        <w:t> </w:t>
      </w:r>
      <w:r>
        <w:rPr>
          <w:spacing w:val="-103"/>
        </w:rPr>
      </w:r>
      <w:r>
        <w:rPr>
          <w:spacing w:val="-2"/>
        </w:rPr>
        <w:t>固定资产确认条件</w:t>
      </w:r>
    </w:p>
    <w:p>
      <w:pPr>
        <w:pStyle w:val="BodyText"/>
        <w:spacing w:line="312" w:lineRule="auto" w:before="39"/>
        <w:ind w:left="138" w:right="217" w:firstLine="419"/>
        <w:jc w:val="both"/>
      </w:pPr>
      <w:r>
        <w:rPr>
          <w:spacing w:val="-2"/>
        </w:rPr>
        <w:t>固定资产指为生产商品、提供劳务、出租或经营管理而持有，并且使用寿命超过一个会计年</w:t>
      </w:r>
      <w:r>
        <w:rPr>
          <w:w w:val="100"/>
        </w:rPr>
        <w:t> </w:t>
      </w:r>
      <w:r>
        <w:rPr/>
        <w:t>度的有形资产。固定资产在同时满足下列条件时予以确认：</w:t>
      </w:r>
    </w:p>
    <w:p>
      <w:pPr>
        <w:pStyle w:val="BodyText"/>
        <w:spacing w:line="240" w:lineRule="auto" w:before="22"/>
        <w:ind w:left="558" w:right="101"/>
        <w:jc w:val="left"/>
      </w:pPr>
      <w:r>
        <w:rPr/>
        <w:t>（</w:t>
      </w:r>
      <w:r>
        <w:rPr>
          <w:rFonts w:ascii="宋体" w:hAnsi="宋体" w:cs="宋体" w:eastAsia="宋体" w:hint="default"/>
        </w:rPr>
        <w:t>1</w:t>
      </w:r>
      <w:r>
        <w:rPr/>
        <w:t>）与该固定资产有关的经济利益很可能流入企业；</w:t>
      </w:r>
    </w:p>
    <w:p>
      <w:pPr>
        <w:pStyle w:val="BodyText"/>
        <w:spacing w:line="314" w:lineRule="auto" w:before="82"/>
        <w:ind w:left="558" w:right="3424"/>
        <w:jc w:val="left"/>
      </w:pPr>
      <w:r>
        <w:rPr>
          <w:spacing w:val="-2"/>
        </w:rPr>
        <w:t>（</w:t>
      </w:r>
      <w:r>
        <w:rPr>
          <w:rFonts w:ascii="宋体" w:hAnsi="宋体" w:cs="宋体" w:eastAsia="宋体" w:hint="default"/>
          <w:spacing w:val="-2"/>
        </w:rPr>
        <w:t>2</w:t>
      </w:r>
      <w:r>
        <w:rPr>
          <w:spacing w:val="-2"/>
        </w:rPr>
        <w:t>）该固定资产的成本能够可靠地计量。</w:t>
      </w:r>
      <w:r>
        <w:rPr>
          <w:spacing w:val="-69"/>
        </w:rPr>
        <w:t> </w:t>
      </w:r>
      <w:r>
        <w:rPr>
          <w:spacing w:val="-69"/>
        </w:rPr>
      </w:r>
      <w:r>
        <w:rPr/>
        <w:t>固定资产初始计量</w:t>
      </w:r>
    </w:p>
    <w:p>
      <w:pPr>
        <w:pStyle w:val="BodyText"/>
        <w:spacing w:line="314" w:lineRule="auto" w:before="17"/>
        <w:ind w:left="138" w:right="217" w:firstLine="419"/>
        <w:jc w:val="both"/>
      </w:pPr>
      <w:r>
        <w:rPr>
          <w:spacing w:val="-2"/>
        </w:rPr>
        <w:t>本公司固定资产按成本进行初始计量。其中，外购的固定资产的成本包括买价、进口关税等</w:t>
      </w:r>
      <w:r>
        <w:rPr>
          <w:w w:val="100"/>
        </w:rPr>
        <w:t> </w:t>
      </w:r>
      <w:r>
        <w:rPr>
          <w:spacing w:val="-2"/>
        </w:rPr>
        <w:t>相关税费，以及为使固定资产达到预定可使用状态前所发生的可直接归属于该资产的其他支出。</w:t>
      </w:r>
      <w:r>
        <w:rPr>
          <w:spacing w:val="-25"/>
        </w:rPr>
        <w:t> </w:t>
      </w:r>
      <w:r>
        <w:rPr>
          <w:spacing w:val="-25"/>
        </w:rPr>
      </w:r>
      <w:r>
        <w:rPr>
          <w:spacing w:val="-2"/>
        </w:rPr>
        <w:t>自行建造固定资产的成本，由建造该项资产达到预定可使用状态前所发生的必要支出构成。投资</w:t>
      </w:r>
      <w:r>
        <w:rPr>
          <w:spacing w:val="-25"/>
        </w:rPr>
        <w:t> </w:t>
      </w:r>
      <w:r>
        <w:rPr>
          <w:spacing w:val="-25"/>
        </w:rPr>
      </w:r>
      <w:r>
        <w:rPr>
          <w:spacing w:val="-2"/>
        </w:rPr>
        <w:t>者投入的固定资产，按投资合同或协议约定的价值作为入账价值，但合同或协议约定价值不公允</w:t>
      </w:r>
      <w:r>
        <w:rPr>
          <w:spacing w:val="-26"/>
        </w:rPr>
        <w:t> </w:t>
      </w:r>
      <w:r>
        <w:rPr>
          <w:spacing w:val="-26"/>
        </w:rPr>
      </w:r>
      <w:r>
        <w:rPr>
          <w:spacing w:val="-2"/>
        </w:rPr>
        <w:t>的按公允价值入账。购买固定资产的价款超过正常信用条件延期支付，实质上具有融资性质的，</w:t>
      </w:r>
      <w:r>
        <w:rPr>
          <w:spacing w:val="-25"/>
        </w:rPr>
        <w:t> </w:t>
      </w:r>
      <w:r>
        <w:rPr>
          <w:spacing w:val="-25"/>
        </w:rPr>
      </w:r>
      <w:r>
        <w:rPr>
          <w:spacing w:val="-2"/>
        </w:rPr>
        <w:t>固定资产的成本以购买价款的现值为基础确定。实际支付的价款与购买价款的现值之间的差额，</w:t>
      </w:r>
      <w:r>
        <w:rPr>
          <w:spacing w:val="-26"/>
        </w:rPr>
        <w:t> </w:t>
      </w:r>
      <w:r>
        <w:rPr>
          <w:spacing w:val="-26"/>
        </w:rPr>
      </w:r>
      <w:r>
        <w:rPr/>
        <w:t>除应予资本化的以外，在信用期间内计入当期损益。</w:t>
      </w:r>
    </w:p>
    <w:p>
      <w:pPr>
        <w:pStyle w:val="BodyText"/>
        <w:spacing w:line="312" w:lineRule="auto" w:before="20"/>
        <w:ind w:left="558" w:right="5100"/>
        <w:jc w:val="left"/>
      </w:pPr>
      <w:r>
        <w:rPr>
          <w:spacing w:val="-2"/>
        </w:rPr>
        <w:t>固定资产后续计量及处置</w:t>
      </w:r>
      <w:r>
        <w:rPr>
          <w:spacing w:val="-82"/>
        </w:rPr>
        <w:t> </w:t>
      </w:r>
      <w:r>
        <w:rPr>
          <w:spacing w:val="-82"/>
        </w:rPr>
      </w:r>
      <w:r>
        <w:rPr/>
        <w:t>固定资产折旧</w:t>
      </w:r>
    </w:p>
    <w:p>
      <w:pPr>
        <w:pStyle w:val="BodyText"/>
        <w:spacing w:line="314" w:lineRule="auto" w:before="22"/>
        <w:ind w:left="138" w:right="217" w:firstLine="419"/>
        <w:jc w:val="both"/>
      </w:pPr>
      <w:r>
        <w:rPr>
          <w:spacing w:val="-2"/>
        </w:rPr>
        <w:t>固定资产折旧按其入账价值减去预计净残值后在预计使用寿命内计提。对计提了减值准备的</w:t>
      </w:r>
      <w:r>
        <w:rPr>
          <w:w w:val="100"/>
        </w:rPr>
        <w:t> </w:t>
      </w:r>
      <w:r>
        <w:rPr>
          <w:spacing w:val="-2"/>
        </w:rPr>
        <w:t>固定资产，则在未来期间按扣除减值准备后的账面价值及依据尚可使用年限确定折旧额；已提足</w:t>
      </w:r>
      <w:r>
        <w:rPr>
          <w:spacing w:val="-25"/>
        </w:rPr>
        <w:t> </w:t>
      </w:r>
      <w:r>
        <w:rPr>
          <w:spacing w:val="-25"/>
        </w:rPr>
      </w:r>
      <w:r>
        <w:rPr/>
        <w:t>折旧仍继续使用的固定资产不计提折旧。</w:t>
      </w:r>
    </w:p>
    <w:p>
      <w:pPr>
        <w:pStyle w:val="BodyText"/>
        <w:spacing w:line="314" w:lineRule="auto" w:before="17"/>
        <w:ind w:left="138" w:right="217" w:firstLine="419"/>
        <w:jc w:val="both"/>
      </w:pPr>
      <w:r>
        <w:rPr>
          <w:spacing w:val="-2"/>
        </w:rPr>
        <w:t>本公司根据固定资产的性质和使用情况，确定固定资产的使用寿命和预计净残值。并在年度</w:t>
      </w:r>
      <w:r>
        <w:rPr>
          <w:w w:val="100"/>
        </w:rPr>
        <w:t> </w:t>
      </w:r>
      <w:r>
        <w:rPr>
          <w:spacing w:val="-2"/>
        </w:rPr>
        <w:t>终了，对固定资产的使用寿命、预计净残值和折旧方法进行复核，如与原先估计数存在差异的，</w:t>
      </w:r>
      <w:r>
        <w:rPr>
          <w:spacing w:val="-25"/>
        </w:rPr>
        <w:t> </w:t>
      </w:r>
      <w:r>
        <w:rPr>
          <w:spacing w:val="-25"/>
        </w:rPr>
      </w:r>
      <w:r>
        <w:rPr/>
        <w:t>进行相应的调整。</w:t>
      </w:r>
    </w:p>
    <w:p>
      <w:pPr>
        <w:spacing w:after="0" w:line="314" w:lineRule="auto"/>
        <w:jc w:val="both"/>
        <w:sectPr>
          <w:pgSz w:w="11910" w:h="16840"/>
          <w:pgMar w:header="882" w:footer="1195" w:top="1120" w:bottom="1380" w:left="1660" w:right="1060"/>
        </w:sectPr>
      </w:pPr>
    </w:p>
    <w:p>
      <w:pPr>
        <w:spacing w:line="240" w:lineRule="auto" w:before="8"/>
        <w:rPr>
          <w:rFonts w:ascii="宋体" w:hAnsi="宋体" w:cs="宋体" w:eastAsia="宋体" w:hint="default"/>
          <w:sz w:val="28"/>
          <w:szCs w:val="28"/>
        </w:rPr>
      </w:pPr>
    </w:p>
    <w:p>
      <w:pPr>
        <w:pStyle w:val="BodyText"/>
        <w:spacing w:line="314" w:lineRule="auto" w:before="36"/>
        <w:ind w:left="638" w:right="215"/>
        <w:jc w:val="left"/>
      </w:pPr>
      <w:r>
        <w:rPr/>
        <w:t>固定资产的后续支出</w:t>
      </w:r>
      <w:r>
        <w:rPr>
          <w:w w:val="100"/>
        </w:rPr>
        <w:t> </w:t>
      </w:r>
      <w:r>
        <w:rPr>
          <w:spacing w:val="-2"/>
        </w:rPr>
        <w:t>与固定资产有关的后续支出，符合固定资产确认条件的，计入固定资产成本；不符合固定资</w:t>
      </w:r>
    </w:p>
    <w:p>
      <w:pPr>
        <w:pStyle w:val="BodyText"/>
        <w:spacing w:line="314" w:lineRule="auto" w:before="17"/>
        <w:ind w:left="638" w:right="4395" w:hanging="420"/>
        <w:jc w:val="left"/>
      </w:pPr>
      <w:r>
        <w:rPr>
          <w:spacing w:val="-2"/>
        </w:rPr>
        <w:t>产确认条件的，在发生时计入当期损益。</w:t>
      </w:r>
      <w:r>
        <w:rPr>
          <w:spacing w:val="-69"/>
        </w:rPr>
        <w:t> </w:t>
      </w:r>
      <w:r>
        <w:rPr>
          <w:spacing w:val="-69"/>
        </w:rPr>
      </w:r>
      <w:r>
        <w:rPr/>
        <w:t>固定资产处置</w:t>
      </w:r>
    </w:p>
    <w:p>
      <w:pPr>
        <w:pStyle w:val="BodyText"/>
        <w:spacing w:line="316" w:lineRule="auto" w:before="17"/>
        <w:ind w:right="230" w:firstLine="419"/>
        <w:jc w:val="both"/>
        <w:rPr>
          <w:rFonts w:ascii="宋体" w:hAnsi="宋体" w:cs="宋体" w:eastAsia="宋体" w:hint="default"/>
          <w:sz w:val="24"/>
          <w:szCs w:val="24"/>
        </w:rPr>
      </w:pPr>
      <w:r>
        <w:rPr>
          <w:spacing w:val="-2"/>
        </w:rPr>
        <w:t>当固定资产被处置、或者预期通过使用或处置不能产生经济利益时，终止确认该固定资产。</w:t>
      </w:r>
      <w:r>
        <w:rPr>
          <w:w w:val="100"/>
        </w:rPr>
        <w:t> </w:t>
      </w:r>
      <w:r>
        <w:rPr>
          <w:spacing w:val="-6"/>
          <w:w w:val="100"/>
        </w:rPr>
        <w:t>固定资产出售、转让、报废或毁损的处置收入扣除其账面价值和相关税费后的金额计入当期损益。</w:t>
      </w:r>
      <w:r>
        <w:rPr>
          <w:w w:val="100"/>
        </w:rPr>
        <w:t> </w:t>
      </w:r>
      <w:r>
        <w:rPr>
          <w:rFonts w:ascii="宋体" w:hAnsi="宋体" w:cs="宋体" w:eastAsia="宋体" w:hint="default"/>
          <w:b/>
          <w:bCs/>
          <w:sz w:val="24"/>
          <w:szCs w:val="24"/>
        </w:rPr>
        <w:t>(2). </w:t>
      </w:r>
      <w:r>
        <w:rPr>
          <w:rFonts w:ascii="宋体" w:hAnsi="宋体" w:cs="宋体" w:eastAsia="宋体" w:hint="default"/>
          <w:b/>
          <w:bCs/>
          <w:spacing w:val="113"/>
          <w:sz w:val="24"/>
          <w:szCs w:val="24"/>
        </w:rPr>
        <w:t> </w:t>
      </w:r>
      <w:r>
        <w:rPr>
          <w:rFonts w:ascii="宋体" w:hAnsi="宋体" w:cs="宋体" w:eastAsia="宋体" w:hint="default"/>
          <w:b/>
          <w:bCs/>
          <w:sz w:val="24"/>
          <w:szCs w:val="24"/>
        </w:rPr>
        <w:t>折旧方法</w:t>
      </w:r>
      <w:r>
        <w:rPr>
          <w:rFonts w:ascii="宋体" w:hAnsi="宋体" w:cs="宋体" w:eastAsia="宋体" w:hint="default"/>
          <w:sz w:val="24"/>
          <w:szCs w:val="24"/>
        </w:rPr>
      </w:r>
    </w:p>
    <w:p>
      <w:pPr>
        <w:pStyle w:val="BodyText"/>
        <w:spacing w:line="240" w:lineRule="auto" w:before="9"/>
        <w:ind w:right="215"/>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32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sz w:val="21"/>
              </w:rPr>
              <w:t>4.75</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31.67-19</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215"/>
        <w:jc w:val="left"/>
        <w:rPr>
          <w:b w:val="0"/>
          <w:bCs w:val="0"/>
        </w:rPr>
      </w:pPr>
      <w:r>
        <w:rPr>
          <w:rFonts w:ascii="宋体" w:hAnsi="宋体" w:cs="宋体" w:eastAsia="宋体" w:hint="default"/>
        </w:rPr>
        <w:t>(3).</w:t>
        <w:tab/>
      </w:r>
      <w:r>
        <w:rPr/>
        <w:t>融资租入固定资产的认定依据、计价和折旧方法</w:t>
      </w:r>
      <w:r>
        <w:rPr>
          <w:b w:val="0"/>
          <w:bCs w:val="0"/>
        </w:rPr>
      </w:r>
    </w:p>
    <w:p>
      <w:pPr>
        <w:pStyle w:val="BodyText"/>
        <w:spacing w:line="292" w:lineRule="auto" w:before="85"/>
        <w:ind w:left="638" w:right="215" w:hanging="420"/>
        <w:jc w:val="left"/>
      </w:pPr>
      <w:r>
        <w:rPr/>
        <w:t>√适用□不适用</w:t>
      </w:r>
      <w:r>
        <w:rPr>
          <w:spacing w:val="-103"/>
        </w:rPr>
        <w:t> </w:t>
      </w:r>
      <w:r>
        <w:rPr>
          <w:spacing w:val="-103"/>
        </w:rPr>
      </w:r>
      <w:r>
        <w:rPr>
          <w:spacing w:val="-2"/>
        </w:rPr>
        <w:t>当本公司租入的固定资产符合下列一项或数项标准时，确认为融资租入固定资产：</w:t>
      </w:r>
    </w:p>
    <w:p>
      <w:pPr>
        <w:pStyle w:val="BodyText"/>
        <w:spacing w:line="240" w:lineRule="auto" w:before="39"/>
        <w:ind w:left="638" w:right="215"/>
        <w:jc w:val="left"/>
      </w:pPr>
      <w:r>
        <w:rPr/>
        <w:t>（</w:t>
      </w:r>
      <w:r>
        <w:rPr>
          <w:rFonts w:ascii="宋体" w:hAnsi="宋体" w:cs="宋体" w:eastAsia="宋体" w:hint="default"/>
        </w:rPr>
        <w:t>1</w:t>
      </w:r>
      <w:r>
        <w:rPr/>
        <w:t>）在租赁期届满时，租赁资产的所有权转移给本公司。</w:t>
      </w:r>
    </w:p>
    <w:p>
      <w:pPr>
        <w:pStyle w:val="BodyText"/>
        <w:spacing w:line="314" w:lineRule="auto" w:before="82"/>
        <w:ind w:right="215" w:firstLine="419"/>
        <w:jc w:val="left"/>
      </w:pPr>
      <w:r>
        <w:rPr>
          <w:spacing w:val="-4"/>
        </w:rPr>
        <w:t>（</w:t>
      </w:r>
      <w:r>
        <w:rPr>
          <w:rFonts w:ascii="宋体" w:hAnsi="宋体" w:cs="宋体" w:eastAsia="宋体" w:hint="default"/>
          <w:spacing w:val="-4"/>
        </w:rPr>
        <w:t>2</w:t>
      </w:r>
      <w:r>
        <w:rPr>
          <w:spacing w:val="-4"/>
        </w:rPr>
        <w:t>）本公司有购买租赁资产的选择权，所订立的购买价款预计将远低于行使选择权时租赁资</w:t>
      </w:r>
      <w:r>
        <w:rPr>
          <w:w w:val="100"/>
        </w:rPr>
        <w:t> </w:t>
      </w:r>
      <w:r>
        <w:rPr/>
        <w:t>产的公允价值，因而在租赁开始日就可以合理确定本公司将会行使这种选择权。</w:t>
      </w:r>
    </w:p>
    <w:p>
      <w:pPr>
        <w:pStyle w:val="BodyText"/>
        <w:spacing w:line="240" w:lineRule="auto" w:before="17"/>
        <w:ind w:left="638" w:right="215"/>
        <w:jc w:val="left"/>
      </w:pPr>
      <w:r>
        <w:rPr/>
        <w:t>（</w:t>
      </w:r>
      <w:r>
        <w:rPr>
          <w:rFonts w:ascii="宋体" w:hAnsi="宋体" w:cs="宋体" w:eastAsia="宋体" w:hint="default"/>
        </w:rPr>
        <w:t>3</w:t>
      </w:r>
      <w:r>
        <w:rPr/>
        <w:t>）即使资产的所有权不转移，但租赁期占租赁资产使用寿命的大部分。</w:t>
      </w:r>
    </w:p>
    <w:p>
      <w:pPr>
        <w:pStyle w:val="BodyText"/>
        <w:spacing w:line="240" w:lineRule="auto" w:before="85"/>
        <w:ind w:left="638" w:right="0"/>
        <w:jc w:val="left"/>
      </w:pPr>
      <w:r>
        <w:rPr>
          <w:w w:val="100"/>
        </w:rPr>
        <w:t>（</w:t>
      </w:r>
      <w:r>
        <w:rPr>
          <w:rFonts w:ascii="宋体" w:hAnsi="宋体" w:cs="宋体" w:eastAsia="宋体" w:hint="default"/>
          <w:w w:val="100"/>
        </w:rPr>
        <w:t>4</w:t>
      </w:r>
      <w:r>
        <w:rPr>
          <w:spacing w:val="-101"/>
          <w:w w:val="100"/>
        </w:rPr>
        <w:t>）</w:t>
      </w:r>
      <w:r>
        <w:rPr>
          <w:w w:val="100"/>
        </w:rPr>
        <w:t>本</w:t>
      </w:r>
      <w:r>
        <w:rPr>
          <w:spacing w:val="-3"/>
          <w:w w:val="100"/>
        </w:rPr>
        <w:t>公</w:t>
      </w:r>
      <w:r>
        <w:rPr>
          <w:w w:val="100"/>
        </w:rPr>
        <w:t>司</w:t>
      </w:r>
      <w:r>
        <w:rPr>
          <w:spacing w:val="-3"/>
          <w:w w:val="100"/>
        </w:rPr>
        <w:t>在</w:t>
      </w:r>
      <w:r>
        <w:rPr>
          <w:w w:val="100"/>
        </w:rPr>
        <w:t>租</w:t>
      </w:r>
      <w:r>
        <w:rPr>
          <w:spacing w:val="-3"/>
          <w:w w:val="100"/>
        </w:rPr>
        <w:t>赁</w:t>
      </w:r>
      <w:r>
        <w:rPr>
          <w:w w:val="100"/>
        </w:rPr>
        <w:t>开</w:t>
      </w:r>
      <w:r>
        <w:rPr>
          <w:spacing w:val="-3"/>
          <w:w w:val="100"/>
        </w:rPr>
        <w:t>始日</w:t>
      </w:r>
      <w:r>
        <w:rPr>
          <w:w w:val="100"/>
        </w:rPr>
        <w:t>的最</w:t>
      </w:r>
      <w:r>
        <w:rPr>
          <w:spacing w:val="-3"/>
          <w:w w:val="100"/>
        </w:rPr>
        <w:t>低</w:t>
      </w:r>
      <w:r>
        <w:rPr>
          <w:w w:val="100"/>
        </w:rPr>
        <w:t>租</w:t>
      </w:r>
      <w:r>
        <w:rPr>
          <w:spacing w:val="-3"/>
          <w:w w:val="100"/>
        </w:rPr>
        <w:t>赁</w:t>
      </w:r>
      <w:r>
        <w:rPr>
          <w:w w:val="100"/>
        </w:rPr>
        <w:t>付</w:t>
      </w:r>
      <w:r>
        <w:rPr>
          <w:spacing w:val="-3"/>
          <w:w w:val="100"/>
        </w:rPr>
        <w:t>款</w:t>
      </w:r>
      <w:r>
        <w:rPr>
          <w:w w:val="100"/>
        </w:rPr>
        <w:t>额</w:t>
      </w:r>
      <w:r>
        <w:rPr>
          <w:spacing w:val="-3"/>
          <w:w w:val="100"/>
        </w:rPr>
        <w:t>现</w:t>
      </w:r>
      <w:r>
        <w:rPr>
          <w:w w:val="100"/>
        </w:rPr>
        <w:t>值</w:t>
      </w:r>
      <w:r>
        <w:rPr>
          <w:spacing w:val="-101"/>
          <w:w w:val="100"/>
        </w:rPr>
        <w:t>，</w:t>
      </w:r>
      <w:r>
        <w:rPr>
          <w:spacing w:val="-3"/>
          <w:w w:val="100"/>
        </w:rPr>
        <w:t>几</w:t>
      </w:r>
      <w:r>
        <w:rPr>
          <w:w w:val="100"/>
        </w:rPr>
        <w:t>乎相</w:t>
      </w:r>
      <w:r>
        <w:rPr>
          <w:spacing w:val="-3"/>
          <w:w w:val="100"/>
        </w:rPr>
        <w:t>当</w:t>
      </w:r>
      <w:r>
        <w:rPr>
          <w:w w:val="100"/>
        </w:rPr>
        <w:t>于</w:t>
      </w:r>
      <w:r>
        <w:rPr>
          <w:spacing w:val="-3"/>
          <w:w w:val="100"/>
        </w:rPr>
        <w:t>租</w:t>
      </w:r>
      <w:r>
        <w:rPr>
          <w:w w:val="100"/>
        </w:rPr>
        <w:t>赁</w:t>
      </w:r>
      <w:r>
        <w:rPr>
          <w:spacing w:val="-3"/>
          <w:w w:val="100"/>
        </w:rPr>
        <w:t>开</w:t>
      </w:r>
      <w:r>
        <w:rPr>
          <w:w w:val="100"/>
        </w:rPr>
        <w:t>始</w:t>
      </w:r>
      <w:r>
        <w:rPr>
          <w:spacing w:val="-3"/>
          <w:w w:val="100"/>
        </w:rPr>
        <w:t>日</w:t>
      </w:r>
      <w:r>
        <w:rPr>
          <w:w w:val="100"/>
        </w:rPr>
        <w:t>租</w:t>
      </w:r>
      <w:r>
        <w:rPr>
          <w:spacing w:val="-3"/>
          <w:w w:val="100"/>
        </w:rPr>
        <w:t>赁</w:t>
      </w:r>
      <w:r>
        <w:rPr>
          <w:w w:val="100"/>
        </w:rPr>
        <w:t>资产</w:t>
      </w:r>
      <w:r>
        <w:rPr>
          <w:spacing w:val="-3"/>
          <w:w w:val="100"/>
        </w:rPr>
        <w:t>公</w:t>
      </w:r>
      <w:r>
        <w:rPr>
          <w:w w:val="100"/>
        </w:rPr>
        <w:t>允</w:t>
      </w:r>
      <w:r>
        <w:rPr>
          <w:spacing w:val="-3"/>
          <w:w w:val="100"/>
        </w:rPr>
        <w:t>价值</w:t>
      </w:r>
      <w:r>
        <w:rPr>
          <w:w w:val="100"/>
        </w:rPr>
        <w:t>。</w:t>
      </w:r>
    </w:p>
    <w:p>
      <w:pPr>
        <w:pStyle w:val="BodyText"/>
        <w:spacing w:line="314" w:lineRule="auto" w:before="82"/>
        <w:ind w:left="638" w:right="215"/>
        <w:jc w:val="left"/>
      </w:pPr>
      <w:r>
        <w:rPr/>
        <w:t>（</w:t>
      </w:r>
      <w:r>
        <w:rPr>
          <w:rFonts w:ascii="宋体" w:hAnsi="宋体" w:cs="宋体" w:eastAsia="宋体"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融资租赁租入的固定资产，按租赁开始日租赁资产公允价值与最低租赁付款额的现值两者中</w:t>
      </w:r>
    </w:p>
    <w:p>
      <w:pPr>
        <w:pStyle w:val="BodyText"/>
        <w:spacing w:line="314" w:lineRule="auto" w:before="17"/>
        <w:ind w:right="237"/>
        <w:jc w:val="both"/>
      </w:pPr>
      <w:r>
        <w:rPr>
          <w:spacing w:val="-2"/>
        </w:rPr>
        <w:t>较低者，作为入账价值。最低租赁付款额作为长期应付款的入账价值，其差额作为未确认融资费</w:t>
      </w:r>
      <w:r>
        <w:rPr>
          <w:spacing w:val="-25"/>
        </w:rPr>
        <w:t> </w:t>
      </w:r>
      <w:r>
        <w:rPr>
          <w:spacing w:val="-25"/>
        </w:rPr>
      </w:r>
      <w:r>
        <w:rPr>
          <w:spacing w:val="-2"/>
        </w:rPr>
        <w:t>用。在租赁谈判和签订租赁合同过程中发生的，可归属于租赁项目的手续费、律师费、差旅费、</w:t>
      </w:r>
      <w:r>
        <w:rPr>
          <w:spacing w:val="-25"/>
        </w:rPr>
        <w:t> </w:t>
      </w:r>
      <w:r>
        <w:rPr>
          <w:spacing w:val="-25"/>
        </w:rPr>
      </w:r>
      <w:r>
        <w:rPr>
          <w:spacing w:val="-2"/>
        </w:rPr>
        <w:t>印花税等初始直接费用，计入租入资产价值。未确认融资费用在租赁期内各个期间采用实际利率</w:t>
      </w:r>
      <w:r>
        <w:rPr>
          <w:spacing w:val="-25"/>
        </w:rPr>
        <w:t> </w:t>
      </w:r>
      <w:r>
        <w:rPr>
          <w:spacing w:val="-25"/>
        </w:rPr>
      </w:r>
      <w:r>
        <w:rPr/>
        <w:t>法进行分摊。</w:t>
      </w:r>
    </w:p>
    <w:p>
      <w:pPr>
        <w:pStyle w:val="BodyText"/>
        <w:spacing w:line="316" w:lineRule="auto" w:before="18"/>
        <w:ind w:right="215" w:firstLine="419"/>
        <w:jc w:val="left"/>
        <w:rPr>
          <w:rFonts w:ascii="宋体" w:hAnsi="宋体" w:cs="宋体" w:eastAsia="宋体" w:hint="default"/>
          <w:sz w:val="24"/>
          <w:szCs w:val="24"/>
        </w:rPr>
      </w:pPr>
      <w:r>
        <w:rPr>
          <w:spacing w:val="-2"/>
        </w:rPr>
        <w:t>本公司采用与自有固定资产相一致的折旧政策计提融资租入固定资产折旧。能够合理确定租</w:t>
      </w:r>
      <w:r>
        <w:rPr>
          <w:w w:val="100"/>
        </w:rPr>
        <w:t> </w:t>
      </w:r>
      <w:r>
        <w:rPr>
          <w:spacing w:val="-2"/>
        </w:rPr>
        <w:t>赁期届满时取得租赁资产所有权的，在租赁资产使用寿命内计提折旧。无法合理确定租赁期届满</w:t>
      </w:r>
      <w:r>
        <w:rPr>
          <w:spacing w:val="-25"/>
        </w:rPr>
        <w:t> </w:t>
      </w:r>
      <w:r>
        <w:rPr>
          <w:spacing w:val="-25"/>
        </w:rPr>
      </w:r>
      <w:r>
        <w:rPr/>
        <w:t>时能够取得租赁资产所有权的，在租赁期与租赁资产使用寿命两者中较短的期间内计提折旧。</w:t>
      </w:r>
      <w:r>
        <w:rPr>
          <w:w w:val="100"/>
        </w:rPr>
        <w:t> </w:t>
      </w:r>
      <w:r>
        <w:rPr>
          <w:rFonts w:ascii="宋体" w:hAnsi="宋体" w:cs="宋体" w:eastAsia="宋体" w:hint="default"/>
          <w:b/>
          <w:bCs/>
          <w:sz w:val="24"/>
          <w:szCs w:val="24"/>
        </w:rPr>
        <w:t>17.</w:t>
      </w:r>
      <w:r>
        <w:rPr>
          <w:rFonts w:ascii="宋体" w:hAnsi="宋体" w:cs="宋体" w:eastAsia="宋体" w:hint="default"/>
          <w:b/>
          <w:bCs/>
          <w:spacing w:val="-60"/>
          <w:sz w:val="24"/>
          <w:szCs w:val="24"/>
        </w:rPr>
        <w:t> </w:t>
      </w:r>
      <w:r>
        <w:rPr>
          <w:rFonts w:ascii="宋体" w:hAnsi="宋体" w:cs="宋体" w:eastAsia="宋体" w:hint="default"/>
          <w:b/>
          <w:bCs/>
          <w:sz w:val="24"/>
          <w:szCs w:val="24"/>
        </w:rPr>
        <w:t>在建工程</w:t>
      </w:r>
      <w:r>
        <w:rPr>
          <w:rFonts w:ascii="宋体" w:hAnsi="宋体" w:cs="宋体" w:eastAsia="宋体" w:hint="default"/>
          <w:sz w:val="24"/>
          <w:szCs w:val="24"/>
        </w:rPr>
      </w:r>
    </w:p>
    <w:p>
      <w:pPr>
        <w:pStyle w:val="BodyText"/>
        <w:spacing w:line="338" w:lineRule="auto" w:before="9"/>
        <w:ind w:left="638" w:right="7165" w:hanging="420"/>
        <w:jc w:val="left"/>
      </w:pPr>
      <w:r>
        <w:rPr/>
        <w:t>√适用□不适用</w:t>
      </w:r>
      <w:r>
        <w:rPr>
          <w:spacing w:val="-103"/>
        </w:rPr>
        <w:t> </w:t>
      </w:r>
      <w:r>
        <w:rPr>
          <w:spacing w:val="-103"/>
        </w:rPr>
      </w:r>
      <w:r>
        <w:rPr>
          <w:spacing w:val="-1"/>
        </w:rPr>
        <w:t>在建工程的类别</w:t>
      </w:r>
    </w:p>
    <w:p>
      <w:pPr>
        <w:pStyle w:val="BodyText"/>
        <w:spacing w:line="314" w:lineRule="auto" w:before="54"/>
        <w:ind w:right="237" w:firstLine="419"/>
        <w:jc w:val="both"/>
      </w:pPr>
      <w:r>
        <w:rPr>
          <w:spacing w:val="-2"/>
        </w:rPr>
        <w:t>本公司自行建造的在建工程按实际成本计价，实际成本由建造该项资产达到预定可使用状态</w:t>
      </w:r>
      <w:r>
        <w:rPr>
          <w:w w:val="100"/>
        </w:rPr>
        <w:t> </w:t>
      </w:r>
      <w:r>
        <w:rPr>
          <w:spacing w:val="-2"/>
        </w:rPr>
        <w:t>前所发生的必要支出构成，包括工程用物资成本、人工成本、交纳的相关税费、应予资本化的借</w:t>
      </w:r>
      <w:r>
        <w:rPr>
          <w:spacing w:val="-25"/>
        </w:rPr>
        <w:t> </w:t>
      </w:r>
      <w:r>
        <w:rPr>
          <w:spacing w:val="-25"/>
        </w:rPr>
      </w:r>
      <w:r>
        <w:rPr/>
        <w:t>款费用以及应分摊的间接费用等。本公司的在建工程以项目分类核算。</w:t>
      </w:r>
    </w:p>
    <w:p>
      <w:pPr>
        <w:pStyle w:val="BodyText"/>
        <w:spacing w:line="240" w:lineRule="auto" w:before="17"/>
        <w:ind w:left="638" w:right="215"/>
        <w:jc w:val="left"/>
      </w:pPr>
      <w:r>
        <w:rPr/>
        <w:t>在建工程结转为固定资产的标准和时点</w:t>
      </w:r>
    </w:p>
    <w:p>
      <w:pPr>
        <w:spacing w:after="0" w:line="240" w:lineRule="auto"/>
        <w:jc w:val="left"/>
        <w:sectPr>
          <w:pgSz w:w="11910" w:h="16840"/>
          <w:pgMar w:header="882" w:footer="1195" w:top="1120" w:bottom="1380" w:left="1580" w:right="1040"/>
        </w:sectPr>
      </w:pPr>
    </w:p>
    <w:p>
      <w:pPr>
        <w:spacing w:line="240" w:lineRule="auto" w:before="8"/>
        <w:rPr>
          <w:rFonts w:ascii="宋体" w:hAnsi="宋体" w:cs="宋体" w:eastAsia="宋体" w:hint="default"/>
          <w:sz w:val="28"/>
          <w:szCs w:val="28"/>
        </w:rPr>
      </w:pPr>
    </w:p>
    <w:p>
      <w:pPr>
        <w:pStyle w:val="BodyText"/>
        <w:spacing w:line="314" w:lineRule="auto" w:before="36"/>
        <w:ind w:left="138" w:right="317" w:firstLine="419"/>
        <w:jc w:val="both"/>
      </w:pPr>
      <w:r>
        <w:rPr>
          <w:spacing w:val="-2"/>
        </w:rPr>
        <w:t>在建工程项目按建造该项资产达到预定可使用状态前所发生的全部支出，作为固定资产的入</w:t>
      </w:r>
      <w:r>
        <w:rPr>
          <w:w w:val="100"/>
        </w:rPr>
        <w:t> </w:t>
      </w:r>
      <w:r>
        <w:rPr>
          <w:spacing w:val="-2"/>
        </w:rPr>
        <w:t>账价值。所建造的固定资产在建工程已达到预定可使用状态，但尚未办理竣工决算的，自达到预</w:t>
      </w:r>
      <w:r>
        <w:rPr>
          <w:spacing w:val="-25"/>
        </w:rPr>
        <w:t> </w:t>
      </w:r>
      <w:r>
        <w:rPr>
          <w:spacing w:val="-25"/>
        </w:rPr>
      </w:r>
      <w:r>
        <w:rPr>
          <w:spacing w:val="-2"/>
        </w:rPr>
        <w:t>定可使用状态之日起，根据工程预算、造价或者工程实际成本等，按估计的价值转入固定资产，</w:t>
      </w:r>
      <w:r>
        <w:rPr>
          <w:spacing w:val="-25"/>
        </w:rPr>
        <w:t> </w:t>
      </w:r>
      <w:r>
        <w:rPr>
          <w:spacing w:val="-25"/>
        </w:rPr>
      </w:r>
      <w:r>
        <w:rPr>
          <w:spacing w:val="-2"/>
        </w:rPr>
        <w:t>并按本公司固定资产折旧政策计提固定资产的折旧，待办理竣工决算后，再按实际成本调整原来</w:t>
      </w:r>
      <w:r>
        <w:rPr>
          <w:spacing w:val="-25"/>
        </w:rPr>
        <w:t> </w:t>
      </w:r>
      <w:r>
        <w:rPr>
          <w:spacing w:val="-25"/>
        </w:rPr>
      </w:r>
      <w:r>
        <w:rPr/>
        <w:t>的暂估价值，但不调整原已计提的折旧额。</w:t>
      </w:r>
    </w:p>
    <w:p>
      <w:pPr>
        <w:pStyle w:val="Heading2"/>
        <w:spacing w:line="240" w:lineRule="auto" w:before="28"/>
        <w:ind w:left="138" w:right="215"/>
        <w:jc w:val="left"/>
        <w:rPr>
          <w:b w:val="0"/>
          <w:bCs w:val="0"/>
        </w:rPr>
      </w:pPr>
      <w:r>
        <w:rPr>
          <w:rFonts w:ascii="宋体" w:hAnsi="宋体" w:cs="宋体" w:eastAsia="宋体" w:hint="default"/>
        </w:rPr>
        <w:t>18.</w:t>
      </w:r>
      <w:r>
        <w:rPr>
          <w:rFonts w:ascii="宋体" w:hAnsi="宋体" w:cs="宋体" w:eastAsia="宋体" w:hint="default"/>
          <w:spacing w:val="-60"/>
        </w:rPr>
        <w:t> </w:t>
      </w:r>
      <w:r>
        <w:rPr/>
        <w:t>借款费用</w:t>
      </w:r>
      <w:r>
        <w:rPr>
          <w:b w:val="0"/>
          <w:bCs w:val="0"/>
        </w:rPr>
      </w:r>
    </w:p>
    <w:p>
      <w:pPr>
        <w:pStyle w:val="BodyText"/>
        <w:spacing w:line="292" w:lineRule="auto" w:before="85"/>
        <w:ind w:left="558" w:right="5935" w:hanging="420"/>
        <w:jc w:val="left"/>
      </w:pPr>
      <w:r>
        <w:rPr/>
        <w:t>√适用□不适用</w:t>
      </w:r>
      <w:r>
        <w:rPr>
          <w:spacing w:val="-103"/>
        </w:rPr>
        <w:t> </w:t>
      </w:r>
      <w:r>
        <w:rPr>
          <w:spacing w:val="-103"/>
        </w:rPr>
      </w:r>
      <w:r>
        <w:rPr>
          <w:spacing w:val="-2"/>
        </w:rPr>
        <w:t>借款费用资本化的确认原则</w:t>
      </w:r>
    </w:p>
    <w:p>
      <w:pPr>
        <w:pStyle w:val="BodyText"/>
        <w:spacing w:line="314" w:lineRule="auto" w:before="36"/>
        <w:ind w:left="138" w:right="317" w:firstLine="419"/>
        <w:jc w:val="both"/>
      </w:pPr>
      <w:r>
        <w:rPr>
          <w:spacing w:val="-2"/>
        </w:rPr>
        <w:t>本公司发生的借款费用，可直接归属于符合资本化条件的资产的购建或者生产的，在符合资</w:t>
      </w:r>
      <w:r>
        <w:rPr>
          <w:w w:val="100"/>
        </w:rPr>
        <w:t> </w:t>
      </w:r>
      <w:r>
        <w:rPr>
          <w:spacing w:val="-2"/>
        </w:rPr>
        <w:t>本化条件的情况下开始资本化，计入相关资产成本；其他借款费用，在发生时根据其发生额确认</w:t>
      </w:r>
      <w:r>
        <w:rPr>
          <w:spacing w:val="-25"/>
        </w:rPr>
        <w:t> </w:t>
      </w:r>
      <w:r>
        <w:rPr>
          <w:spacing w:val="-25"/>
        </w:rPr>
      </w:r>
      <w:r>
        <w:rPr/>
        <w:t>为费用，计入当期损益。</w:t>
      </w:r>
    </w:p>
    <w:p>
      <w:pPr>
        <w:pStyle w:val="BodyText"/>
        <w:spacing w:line="312" w:lineRule="auto" w:before="20"/>
        <w:ind w:left="138" w:right="317" w:firstLine="419"/>
        <w:jc w:val="both"/>
      </w:pPr>
      <w:r>
        <w:rPr>
          <w:spacing w:val="-2"/>
        </w:rPr>
        <w:t>符合资本化条件的资产，是指需要经过相当长时间的购建或者生产活动才能达到预定可使用</w:t>
      </w:r>
      <w:r>
        <w:rPr>
          <w:w w:val="100"/>
        </w:rPr>
        <w:t> </w:t>
      </w:r>
      <w:r>
        <w:rPr/>
        <w:t>或者可销售状态的固定资产、投资性房地产和存货等资产。</w:t>
      </w:r>
    </w:p>
    <w:p>
      <w:pPr>
        <w:pStyle w:val="BodyText"/>
        <w:spacing w:line="240" w:lineRule="auto" w:before="22"/>
        <w:ind w:left="558" w:right="215"/>
        <w:jc w:val="left"/>
      </w:pPr>
      <w:r>
        <w:rPr/>
        <w:t>借款费用同时满足下列条件时开始资本化：</w:t>
      </w:r>
    </w:p>
    <w:p>
      <w:pPr>
        <w:pStyle w:val="BodyText"/>
        <w:spacing w:line="314" w:lineRule="auto" w:before="82"/>
        <w:ind w:left="138" w:right="196" w:firstLine="419"/>
        <w:jc w:val="left"/>
      </w:pPr>
      <w:r>
        <w:rPr>
          <w:spacing w:val="-6"/>
          <w:w w:val="100"/>
        </w:rPr>
        <w:t>（</w:t>
      </w:r>
      <w:r>
        <w:rPr>
          <w:rFonts w:ascii="宋体" w:hAnsi="宋体" w:cs="宋体" w:eastAsia="宋体" w:hint="default"/>
          <w:spacing w:val="-6"/>
          <w:w w:val="100"/>
        </w:rPr>
        <w:t>1</w:t>
      </w:r>
      <w:r>
        <w:rPr>
          <w:spacing w:val="-6"/>
          <w:w w:val="100"/>
        </w:rPr>
        <w:t>）资产支出已经发生，资产支出包括为购建或者生产符合资本化条件的资产而以支付现金、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17"/>
        <w:ind w:left="558" w:right="215"/>
        <w:jc w:val="left"/>
      </w:pPr>
      <w:r>
        <w:rPr/>
        <w:t>（</w:t>
      </w:r>
      <w:r>
        <w:rPr>
          <w:rFonts w:ascii="宋体" w:hAnsi="宋体" w:cs="宋体" w:eastAsia="宋体" w:hint="default"/>
        </w:rPr>
        <w:t>2</w:t>
      </w:r>
      <w:r>
        <w:rPr/>
        <w:t>）借款费用已经发生；</w:t>
      </w:r>
    </w:p>
    <w:p>
      <w:pPr>
        <w:pStyle w:val="BodyText"/>
        <w:spacing w:line="314" w:lineRule="auto" w:before="85"/>
        <w:ind w:left="558" w:right="215"/>
        <w:jc w:val="left"/>
      </w:pPr>
      <w:r>
        <w:rPr/>
        <w:t>（</w:t>
      </w:r>
      <w:r>
        <w:rPr>
          <w:rFonts w:ascii="宋体" w:hAnsi="宋体" w:cs="宋体" w:eastAsia="宋体" w:hint="default"/>
        </w:rPr>
        <w:t>3</w:t>
      </w:r>
      <w:r>
        <w:rPr/>
        <w:t>）为使资产达到预定可使用或者可销售状态所必要的购建或者生产活动已经开始。</w:t>
      </w:r>
      <w:r>
        <w:rPr>
          <w:w w:val="100"/>
        </w:rPr>
        <w:t> </w:t>
      </w:r>
      <w:r>
        <w:rPr/>
        <w:t>借款费用资本化期间</w:t>
      </w:r>
      <w:r>
        <w:rPr>
          <w:w w:val="100"/>
        </w:rPr>
        <w:t> </w:t>
      </w:r>
      <w:r>
        <w:rPr>
          <w:spacing w:val="-2"/>
        </w:rPr>
        <w:t>资本化期间，指从借款费用开始资本化时点到停止资本化时点的期间，借款费用暂停资本化</w:t>
      </w:r>
    </w:p>
    <w:p>
      <w:pPr>
        <w:pStyle w:val="BodyText"/>
        <w:spacing w:line="314" w:lineRule="auto" w:before="17"/>
        <w:ind w:left="558" w:right="215" w:hanging="420"/>
        <w:jc w:val="left"/>
      </w:pPr>
      <w:r>
        <w:rPr/>
        <w:t>的期间不包括在内。</w:t>
      </w:r>
      <w:r>
        <w:rPr>
          <w:w w:val="100"/>
        </w:rPr>
        <w:t> </w:t>
      </w:r>
      <w:r>
        <w:rPr>
          <w:spacing w:val="-2"/>
        </w:rPr>
        <w:t>当购建或者生产符合资本化条件的资产达到预定可使用或者可销售状态时，借款费用停止资</w:t>
      </w:r>
    </w:p>
    <w:p>
      <w:pPr>
        <w:pStyle w:val="BodyText"/>
        <w:spacing w:line="240" w:lineRule="auto" w:before="17"/>
        <w:ind w:left="138" w:right="215"/>
        <w:jc w:val="left"/>
      </w:pPr>
      <w:r>
        <w:rPr/>
        <w:t>本化。</w:t>
      </w:r>
    </w:p>
    <w:p>
      <w:pPr>
        <w:pStyle w:val="BodyText"/>
        <w:spacing w:line="312" w:lineRule="auto" w:before="85"/>
        <w:ind w:left="138" w:right="317" w:firstLine="419"/>
        <w:jc w:val="both"/>
      </w:pPr>
      <w:r>
        <w:rPr>
          <w:spacing w:val="-2"/>
        </w:rPr>
        <w:t>当购建或者生产符合资本化条件的资产中部分项目分别完工且可单独使用时，该部分资产借</w:t>
      </w:r>
      <w:r>
        <w:rPr>
          <w:w w:val="100"/>
        </w:rPr>
        <w:t> </w:t>
      </w:r>
      <w:r>
        <w:rPr/>
        <w:t>款费用停止资本化。</w:t>
      </w:r>
    </w:p>
    <w:p>
      <w:pPr>
        <w:pStyle w:val="BodyText"/>
        <w:spacing w:line="312" w:lineRule="auto" w:before="22"/>
        <w:ind w:left="138" w:right="317" w:firstLine="419"/>
        <w:jc w:val="both"/>
      </w:pPr>
      <w:r>
        <w:rPr>
          <w:spacing w:val="-2"/>
        </w:rPr>
        <w:t>购建或者生产的资产的各部分分别完工，但必须等到整体完工后才可使用或可对外销售的，</w:t>
      </w:r>
      <w:r>
        <w:rPr>
          <w:w w:val="100"/>
        </w:rPr>
        <w:t> </w:t>
      </w:r>
      <w:r>
        <w:rPr/>
        <w:t>在该资产整体完工时停止借款费用资本化。</w:t>
      </w:r>
    </w:p>
    <w:p>
      <w:pPr>
        <w:pStyle w:val="BodyText"/>
        <w:spacing w:line="312" w:lineRule="auto" w:before="22"/>
        <w:ind w:left="558" w:right="312"/>
        <w:jc w:val="left"/>
      </w:pPr>
      <w:r>
        <w:rPr/>
        <w:t>暂停资本化期间</w:t>
      </w:r>
      <w:r>
        <w:rPr>
          <w:spacing w:val="-103"/>
        </w:rPr>
        <w:t> </w:t>
      </w:r>
      <w:r>
        <w:rPr>
          <w:spacing w:val="-103"/>
        </w:rPr>
      </w: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w:t>
      </w:r>
    </w:p>
    <w:p>
      <w:pPr>
        <w:pStyle w:val="BodyText"/>
        <w:spacing w:line="314" w:lineRule="auto" w:before="22"/>
        <w:ind w:left="138" w:right="317"/>
        <w:jc w:val="both"/>
      </w:pP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p>
    <w:p>
      <w:pPr>
        <w:pStyle w:val="BodyText"/>
        <w:spacing w:line="314" w:lineRule="auto" w:before="17"/>
        <w:ind w:left="558" w:right="215"/>
        <w:jc w:val="left"/>
      </w:pPr>
      <w:r>
        <w:rPr/>
        <w:t>借款费用资本化金额的计算方法</w:t>
      </w:r>
      <w:r>
        <w:rPr>
          <w:w w:val="100"/>
        </w:rPr>
        <w:t> </w:t>
      </w:r>
      <w:r>
        <w:rPr>
          <w:spacing w:val="-2"/>
        </w:rPr>
        <w:t>专门借款的利息费用（扣除尚未动用的借款资金存入银行取得的利息收入或者进行暂时性投</w:t>
      </w:r>
    </w:p>
    <w:p>
      <w:pPr>
        <w:pStyle w:val="BodyText"/>
        <w:spacing w:line="314" w:lineRule="auto" w:before="17"/>
        <w:ind w:left="138" w:right="317"/>
        <w:jc w:val="both"/>
      </w:pPr>
      <w:r>
        <w:rPr>
          <w:spacing w:val="-2"/>
        </w:rPr>
        <w:t>资取得的投资收益）及其辅助费用在所购建或者生产的符合资本化条件的资产达到预定可使用或</w:t>
      </w:r>
      <w:r>
        <w:rPr>
          <w:spacing w:val="-25"/>
        </w:rPr>
        <w:t> </w:t>
      </w:r>
      <w:r>
        <w:rPr>
          <w:spacing w:val="-25"/>
        </w:rPr>
      </w:r>
      <w:r>
        <w:rPr/>
        <w:t>者可销售状态前，予以资本化。</w:t>
      </w:r>
    </w:p>
    <w:p>
      <w:pPr>
        <w:pStyle w:val="BodyText"/>
        <w:spacing w:line="314" w:lineRule="auto" w:before="18"/>
        <w:ind w:left="138" w:right="0" w:firstLine="419"/>
        <w:jc w:val="left"/>
      </w:pPr>
      <w:r>
        <w:rPr>
          <w:spacing w:val="-1"/>
        </w:rPr>
        <w:t>根据累计资产支出超过专门借款部分的资产支出加权平均数乘以所占用一般借款的资本化率，</w:t>
      </w:r>
      <w:r>
        <w:rPr>
          <w:w w:val="100"/>
        </w:rPr>
        <w:t> </w:t>
      </w:r>
      <w:r>
        <w:rPr/>
        <w:t>计算确定一般借款应予资本化的利息金额。资本化率根据一般借款加权平均利率计算确定。</w:t>
      </w:r>
    </w:p>
    <w:p>
      <w:pPr>
        <w:spacing w:after="0" w:line="314" w:lineRule="auto"/>
        <w:jc w:val="left"/>
        <w:sectPr>
          <w:pgSz w:w="11910" w:h="16840"/>
          <w:pgMar w:header="882" w:footer="1195" w:top="1120" w:bottom="1380" w:left="1660" w:right="960"/>
        </w:sectPr>
      </w:pPr>
    </w:p>
    <w:p>
      <w:pPr>
        <w:spacing w:line="240" w:lineRule="auto" w:before="8"/>
        <w:rPr>
          <w:rFonts w:ascii="宋体" w:hAnsi="宋体" w:cs="宋体" w:eastAsia="宋体" w:hint="default"/>
          <w:sz w:val="28"/>
          <w:szCs w:val="28"/>
        </w:rPr>
      </w:pPr>
    </w:p>
    <w:p>
      <w:pPr>
        <w:pStyle w:val="BodyText"/>
        <w:spacing w:line="314" w:lineRule="auto" w:before="36"/>
        <w:ind w:left="138" w:right="317" w:firstLine="419"/>
        <w:jc w:val="both"/>
      </w:pPr>
      <w:r>
        <w:rPr>
          <w:spacing w:val="-2"/>
        </w:rPr>
        <w:t>借款存在折价或者溢价的，按照实际利率法确定每一会计期间应摊销的折价或者溢价金额，</w:t>
      </w:r>
      <w:r>
        <w:rPr>
          <w:w w:val="100"/>
        </w:rPr>
        <w:t> </w:t>
      </w:r>
      <w:r>
        <w:rPr/>
        <w:t>调整每期利息金额。</w:t>
      </w:r>
    </w:p>
    <w:p>
      <w:pPr>
        <w:pStyle w:val="Heading2"/>
        <w:spacing w:line="240" w:lineRule="auto"/>
        <w:ind w:left="138" w:right="215"/>
        <w:jc w:val="left"/>
        <w:rPr>
          <w:b w:val="0"/>
          <w:bCs w:val="0"/>
        </w:rPr>
      </w:pPr>
      <w:r>
        <w:rPr>
          <w:rFonts w:ascii="宋体" w:hAnsi="宋体" w:cs="宋体" w:eastAsia="宋体" w:hint="default"/>
        </w:rPr>
        <w:t>19.</w:t>
      </w:r>
      <w:r>
        <w:rPr>
          <w:rFonts w:ascii="宋体" w:hAnsi="宋体" w:cs="宋体" w:eastAsia="宋体" w:hint="default"/>
          <w:spacing w:val="-60"/>
        </w:rPr>
        <w:t> </w:t>
      </w:r>
      <w:r>
        <w:rPr/>
        <w:t>生物资产</w:t>
      </w:r>
      <w:r>
        <w:rPr>
          <w:b w:val="0"/>
          <w:bCs w:val="0"/>
        </w:rPr>
      </w:r>
    </w:p>
    <w:p>
      <w:pPr>
        <w:pStyle w:val="BodyText"/>
        <w:spacing w:line="240" w:lineRule="auto" w:before="85"/>
        <w:ind w:left="138" w:right="215"/>
        <w:jc w:val="left"/>
      </w:pPr>
      <w:r>
        <w:rPr/>
        <w:t>□适用√不适用</w:t>
      </w:r>
    </w:p>
    <w:p>
      <w:pPr>
        <w:pStyle w:val="Heading2"/>
        <w:spacing w:line="240" w:lineRule="auto" w:before="69"/>
        <w:ind w:left="138" w:right="215"/>
        <w:jc w:val="left"/>
        <w:rPr>
          <w:b w:val="0"/>
          <w:bCs w:val="0"/>
        </w:rPr>
      </w:pPr>
      <w:r>
        <w:rPr>
          <w:rFonts w:ascii="宋体" w:hAnsi="宋体" w:cs="宋体" w:eastAsia="宋体" w:hint="default"/>
        </w:rPr>
        <w:t>20.</w:t>
      </w:r>
      <w:r>
        <w:rPr>
          <w:rFonts w:ascii="宋体" w:hAnsi="宋体" w:cs="宋体" w:eastAsia="宋体" w:hint="default"/>
          <w:spacing w:val="-60"/>
        </w:rPr>
        <w:t> </w:t>
      </w:r>
      <w:r>
        <w:rPr/>
        <w:t>油气资产</w:t>
      </w:r>
      <w:r>
        <w:rPr>
          <w:b w:val="0"/>
          <w:bCs w:val="0"/>
        </w:rPr>
      </w:r>
    </w:p>
    <w:p>
      <w:pPr>
        <w:pStyle w:val="BodyText"/>
        <w:spacing w:line="240" w:lineRule="auto" w:before="85"/>
        <w:ind w:left="138" w:right="215"/>
        <w:jc w:val="left"/>
      </w:pPr>
      <w:r>
        <w:rPr/>
        <w:t>□适用√不适用</w:t>
      </w:r>
    </w:p>
    <w:p>
      <w:pPr>
        <w:pStyle w:val="Heading2"/>
        <w:spacing w:line="240" w:lineRule="auto" w:before="69"/>
        <w:ind w:left="138" w:right="215"/>
        <w:jc w:val="left"/>
        <w:rPr>
          <w:b w:val="0"/>
          <w:bCs w:val="0"/>
        </w:rPr>
      </w:pPr>
      <w:r>
        <w:rPr>
          <w:rFonts w:ascii="宋体" w:hAnsi="宋体" w:cs="宋体" w:eastAsia="宋体" w:hint="default"/>
        </w:rPr>
        <w:t>21.</w:t>
      </w:r>
      <w:r>
        <w:rPr>
          <w:rFonts w:ascii="宋体" w:hAnsi="宋体" w:cs="宋体" w:eastAsia="宋体" w:hint="default"/>
          <w:spacing w:val="-60"/>
        </w:rPr>
        <w:t> </w:t>
      </w:r>
      <w:r>
        <w:rPr/>
        <w:t>无形资产</w:t>
      </w:r>
      <w:r>
        <w:rPr>
          <w:b w:val="0"/>
          <w:bCs w:val="0"/>
        </w:rPr>
      </w:r>
    </w:p>
    <w:p>
      <w:pPr>
        <w:pStyle w:val="Heading2"/>
        <w:tabs>
          <w:tab w:pos="989" w:val="left" w:leader="none"/>
        </w:tabs>
        <w:spacing w:line="240" w:lineRule="auto" w:before="58"/>
        <w:ind w:left="138" w:right="215"/>
        <w:jc w:val="left"/>
        <w:rPr>
          <w:b w:val="0"/>
          <w:bCs w:val="0"/>
        </w:rPr>
      </w:pPr>
      <w:r>
        <w:rPr>
          <w:rFonts w:ascii="宋体" w:hAnsi="宋体" w:cs="宋体" w:eastAsia="宋体" w:hint="default"/>
        </w:rPr>
        <w:t>(1).</w:t>
        <w:tab/>
      </w:r>
      <w:r>
        <w:rPr/>
        <w:t>计价方法、使用寿命、减值测试</w:t>
      </w:r>
      <w:r>
        <w:rPr>
          <w:b w:val="0"/>
          <w:bCs w:val="0"/>
        </w:rPr>
      </w:r>
    </w:p>
    <w:p>
      <w:pPr>
        <w:pStyle w:val="Heading3"/>
        <w:tabs>
          <w:tab w:pos="1097" w:val="left" w:leader="none"/>
        </w:tabs>
        <w:spacing w:line="240" w:lineRule="auto" w:before="58"/>
        <w:ind w:left="138" w:right="215"/>
        <w:jc w:val="left"/>
      </w:pPr>
      <w:r>
        <w:rPr/>
        <w:t>√适用</w:t>
        <w:tab/>
        <w:t>□不适用</w:t>
      </w:r>
    </w:p>
    <w:p>
      <w:pPr>
        <w:pStyle w:val="BodyText"/>
        <w:spacing w:line="314" w:lineRule="auto" w:before="50"/>
        <w:ind w:left="558" w:right="123" w:firstLine="60"/>
        <w:jc w:val="left"/>
      </w:pPr>
      <w:r>
        <w:rPr/>
        <w:t>无形资产与开发支出</w:t>
      </w:r>
      <w:r>
        <w:rPr>
          <w:w w:val="100"/>
        </w:rPr>
        <w:t> </w:t>
      </w:r>
      <w:r>
        <w:rPr>
          <w:spacing w:val="-4"/>
          <w:w w:val="100"/>
        </w:rPr>
        <w:t>无形资产是指本公司拥有或者控制的没有实物形态的可辨认非货币性资产，包括土地使用权、</w:t>
      </w:r>
    </w:p>
    <w:p>
      <w:pPr>
        <w:pStyle w:val="BodyText"/>
        <w:spacing w:line="314" w:lineRule="auto" w:before="17"/>
        <w:ind w:left="558" w:right="6827" w:hanging="420"/>
        <w:jc w:val="left"/>
      </w:pPr>
      <w:r>
        <w:rPr/>
        <w:t>管理办公用软件。</w:t>
      </w:r>
      <w:r>
        <w:rPr>
          <w:w w:val="100"/>
        </w:rPr>
        <w:t> </w:t>
      </w:r>
      <w:r>
        <w:rPr>
          <w:spacing w:val="-1"/>
        </w:rPr>
        <w:t>无形资产的初始计量</w:t>
      </w:r>
    </w:p>
    <w:p>
      <w:pPr>
        <w:pStyle w:val="BodyText"/>
        <w:spacing w:line="314" w:lineRule="auto" w:before="17"/>
        <w:ind w:left="138" w:right="317" w:firstLine="419"/>
        <w:jc w:val="both"/>
      </w:pPr>
      <w:r>
        <w:rPr>
          <w:spacing w:val="-2"/>
        </w:rPr>
        <w:t>外购无形资产的成本，包括购买价款、相关税费以及直接归属于使该项资产达到预定用途所</w:t>
      </w:r>
      <w:r>
        <w:rPr>
          <w:w w:val="100"/>
        </w:rPr>
        <w:t> </w:t>
      </w:r>
      <w:r>
        <w:rPr>
          <w:spacing w:val="-2"/>
        </w:rPr>
        <w:t>发生的其他支出。购买无形资产的价款超过正常信用条件延期支付，实质上具有融资性质的，无</w:t>
      </w:r>
      <w:r>
        <w:rPr>
          <w:spacing w:val="-25"/>
        </w:rPr>
        <w:t> </w:t>
      </w:r>
      <w:r>
        <w:rPr>
          <w:spacing w:val="-25"/>
        </w:rPr>
      </w:r>
      <w:r>
        <w:rPr/>
        <w:t>形资产的成本以购买价款的现值为基础确定。</w:t>
      </w:r>
    </w:p>
    <w:p>
      <w:pPr>
        <w:pStyle w:val="BodyText"/>
        <w:spacing w:line="312" w:lineRule="auto" w:before="20"/>
        <w:ind w:left="138" w:right="123" w:firstLine="419"/>
        <w:jc w:val="left"/>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312" w:lineRule="auto" w:before="22"/>
        <w:ind w:left="138" w:right="0" w:firstLine="419"/>
        <w:jc w:val="left"/>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r>
        <w:rPr>
          <w:w w:val="100"/>
        </w:rPr>
        <w:t> </w:t>
      </w:r>
      <w:r>
        <w:rPr/>
        <w:t>据表明换入资产的公允价值更加可靠；不满足上述前提的非货币性资产交换，以换出资产的账面</w:t>
      </w:r>
      <w:r>
        <w:rPr>
          <w:w w:val="100"/>
        </w:rPr>
        <w:t> </w:t>
      </w:r>
      <w:r>
        <w:rPr/>
        <w:t>价值和应支付的相关税费作为换入无形资产的成本，不确认损益。</w:t>
      </w:r>
    </w:p>
    <w:p>
      <w:pPr>
        <w:pStyle w:val="BodyText"/>
        <w:spacing w:line="312" w:lineRule="auto" w:before="22"/>
        <w:ind w:left="138" w:right="317" w:firstLine="419"/>
        <w:jc w:val="both"/>
      </w:pPr>
      <w:r>
        <w:rPr>
          <w:spacing w:val="-2"/>
        </w:rPr>
        <w:t>以同一控制下的企业吸收合并方式取得的无形资产按被合并方的账面价值确定其入账价值；</w:t>
      </w:r>
      <w:r>
        <w:rPr>
          <w:w w:val="100"/>
        </w:rPr>
        <w:t> </w:t>
      </w:r>
      <w:r>
        <w:rPr/>
        <w:t>以非同一控制下的企业吸收合并方式取得的无形资产按公允价值确定其入账价值。</w:t>
      </w:r>
    </w:p>
    <w:p>
      <w:pPr>
        <w:pStyle w:val="BodyText"/>
        <w:spacing w:line="314" w:lineRule="auto" w:before="22"/>
        <w:ind w:left="138" w:right="308" w:firstLine="419"/>
        <w:jc w:val="both"/>
      </w:pPr>
      <w:r>
        <w:rPr>
          <w:spacing w:val="-7"/>
        </w:rPr>
        <w:t>内部自行开发的无形资产，其成本包括：开发该无形资产时耗用的材料、劳务成本、注册费、</w:t>
      </w:r>
      <w:r>
        <w:rPr>
          <w:w w:val="100"/>
        </w:rPr>
        <w:t> </w:t>
      </w:r>
      <w:r>
        <w:rPr>
          <w:spacing w:val="-2"/>
        </w:rPr>
        <w:t>在开发过程中使用的其他专利权和特许权的摊销以及满足资本化条件的利息费用，以及为使该无</w:t>
      </w:r>
      <w:r>
        <w:rPr>
          <w:spacing w:val="-25"/>
        </w:rPr>
        <w:t> </w:t>
      </w:r>
      <w:r>
        <w:rPr>
          <w:spacing w:val="-25"/>
        </w:rPr>
      </w:r>
      <w:r>
        <w:rPr/>
        <w:t>形资产达到预定用途前所发生的其他直接费用。</w:t>
      </w:r>
    </w:p>
    <w:p>
      <w:pPr>
        <w:pStyle w:val="BodyText"/>
        <w:spacing w:line="314" w:lineRule="auto" w:before="18"/>
        <w:ind w:left="558" w:right="215"/>
        <w:jc w:val="left"/>
      </w:pPr>
      <w:r>
        <w:rPr/>
        <w:t>无形资产的后续计量</w:t>
      </w:r>
      <w:r>
        <w:rPr>
          <w:w w:val="100"/>
        </w:rPr>
        <w:t> </w:t>
      </w:r>
      <w:r>
        <w:rPr>
          <w:spacing w:val="-2"/>
        </w:rPr>
        <w:t>本公司在取得无形资产时分析判断其使用寿命，划分为使用寿命有限和使用寿命不确定的无</w:t>
      </w:r>
    </w:p>
    <w:p>
      <w:pPr>
        <w:pStyle w:val="BodyText"/>
        <w:spacing w:line="240" w:lineRule="auto" w:before="17"/>
        <w:ind w:left="138" w:right="215"/>
        <w:jc w:val="left"/>
      </w:pPr>
      <w:r>
        <w:rPr/>
        <w:t>形资产。</w:t>
      </w:r>
    </w:p>
    <w:p>
      <w:pPr>
        <w:pStyle w:val="BodyText"/>
        <w:spacing w:line="312" w:lineRule="auto" w:before="85"/>
        <w:ind w:left="138" w:right="317" w:firstLine="419"/>
        <w:jc w:val="both"/>
      </w:pPr>
      <w:r>
        <w:rPr/>
        <w:pict>
          <v:shape style="position:absolute;margin-left:238.610001pt;margin-top:40.993607pt;width:.47976pt;height:.12pt;mso-position-horizontal-relative:page;mso-position-vertical-relative:paragraph;z-index:-941272" type="#_x0000_t75" stroked="false">
            <v:imagedata r:id="rId44" o:title=""/>
          </v:shape>
        </w:pict>
      </w:r>
      <w:r>
        <w:rPr/>
        <w:pict>
          <v:shape style="position:absolute;margin-left:338.109985pt;margin-top:40.993607pt;width:.47977pt;height:.12pt;mso-position-horizontal-relative:page;mso-position-vertical-relative:paragraph;z-index:-941248" type="#_x0000_t75" stroked="false">
            <v:imagedata r:id="rId44" o:title=""/>
          </v:shape>
        </w:pict>
      </w:r>
      <w:r>
        <w:rPr/>
        <w:pict>
          <v:group style="position:absolute;margin-left:89.903999pt;margin-top:58.993626pt;width:447.1pt;height:.5pt;mso-position-horizontal-relative:page;mso-position-vertical-relative:paragraph;z-index:-941224" coordorigin="1798,1180" coordsize="8942,10">
            <v:shape style="position:absolute;left:1798;top:1180;width:2974;height:10" type="#_x0000_t75" stroked="false">
              <v:imagedata r:id="rId57" o:title=""/>
            </v:shape>
            <v:shape style="position:absolute;left:4767;top:1180;width:1995;height:10" type="#_x0000_t75" stroked="false">
              <v:imagedata r:id="rId58" o:title=""/>
            </v:shape>
            <v:shape style="position:absolute;left:6757;top:1180;width:3982;height:10" type="#_x0000_t75" stroked="false">
              <v:imagedata r:id="rId59" o:title=""/>
            </v:shape>
            <w10:wrap type="none"/>
          </v:group>
        </w:pict>
      </w:r>
      <w:r>
        <w:rPr>
          <w:spacing w:val="-2"/>
        </w:rPr>
        <w:t>对于使用寿命有限的无形资产，在为企业带来经济利益的期限内按直线法摊销。使用寿命有</w:t>
      </w:r>
      <w:r>
        <w:rPr>
          <w:w w:val="100"/>
        </w:rPr>
        <w:t> </w:t>
      </w:r>
      <w:r>
        <w:rPr/>
        <w:t>限的无形资产预计寿命及依据如下：</w:t>
      </w:r>
    </w:p>
    <w:tbl>
      <w:tblPr>
        <w:tblW w:w="0" w:type="auto"/>
        <w:jc w:val="left"/>
        <w:tblInd w:w="123" w:type="dxa"/>
        <w:tblLayout w:type="fixed"/>
        <w:tblCellMar>
          <w:top w:w="0" w:type="dxa"/>
          <w:left w:w="0" w:type="dxa"/>
          <w:bottom w:w="0" w:type="dxa"/>
          <w:right w:w="0" w:type="dxa"/>
        </w:tblCellMar>
        <w:tblLook w:val="01E0"/>
      </w:tblPr>
      <w:tblGrid>
        <w:gridCol w:w="2993"/>
        <w:gridCol w:w="1990"/>
        <w:gridCol w:w="3972"/>
      </w:tblGrid>
      <w:tr>
        <w:trPr>
          <w:trHeight w:val="380" w:hRule="exact"/>
        </w:trPr>
        <w:tc>
          <w:tcPr>
            <w:tcW w:w="2993" w:type="dxa"/>
            <w:tcBorders>
              <w:top w:val="single" w:sz="12" w:space="0" w:color="000000"/>
              <w:left w:val="nil" w:sz="6" w:space="0" w:color="auto"/>
              <w:bottom w:val="nil" w:sz="6" w:space="0" w:color="auto"/>
              <w:right w:val="single" w:sz="4" w:space="0" w:color="000000"/>
            </w:tcBorders>
          </w:tcPr>
          <w:p>
            <w:pPr>
              <w:pStyle w:val="TableParagraph"/>
              <w:spacing w:line="240" w:lineRule="auto" w:before="11"/>
              <w:ind w:left="43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9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left="419"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3972" w:type="dxa"/>
            <w:tcBorders>
              <w:top w:val="single" w:sz="12" w:space="0" w:color="000000"/>
              <w:left w:val="single" w:sz="4" w:space="0" w:color="000000"/>
              <w:bottom w:val="nil" w:sz="6" w:space="0" w:color="auto"/>
              <w:right w:val="nil" w:sz="6" w:space="0" w:color="auto"/>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依据</w:t>
            </w:r>
          </w:p>
        </w:tc>
      </w:tr>
      <w:tr>
        <w:trPr>
          <w:trHeight w:val="273" w:hRule="exact"/>
        </w:trPr>
        <w:tc>
          <w:tcPr>
            <w:tcW w:w="2993"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434" w:right="0"/>
              <w:jc w:val="left"/>
              <w:rPr>
                <w:rFonts w:ascii="宋体" w:hAnsi="宋体" w:cs="宋体" w:eastAsia="宋体" w:hint="default"/>
                <w:sz w:val="21"/>
                <w:szCs w:val="21"/>
              </w:rPr>
            </w:pPr>
            <w:r>
              <w:rPr>
                <w:rFonts w:ascii="宋体" w:hAnsi="宋体" w:cs="宋体" w:eastAsia="宋体" w:hint="default"/>
                <w:sz w:val="21"/>
                <w:szCs w:val="21"/>
              </w:rPr>
              <w:t>管理及办公用软件</w:t>
            </w: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19"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972"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left="417" w:right="0"/>
              <w:jc w:val="left"/>
              <w:rPr>
                <w:rFonts w:ascii="宋体" w:hAnsi="宋体" w:cs="宋体" w:eastAsia="宋体" w:hint="default"/>
                <w:sz w:val="21"/>
                <w:szCs w:val="21"/>
              </w:rPr>
            </w:pPr>
            <w:r>
              <w:rPr>
                <w:rFonts w:ascii="宋体" w:hAnsi="宋体" w:cs="宋体" w:eastAsia="宋体" w:hint="default"/>
                <w:sz w:val="21"/>
                <w:szCs w:val="21"/>
              </w:rPr>
              <w:t>根据历史经验值合理预计</w:t>
            </w:r>
          </w:p>
        </w:tc>
      </w:tr>
      <w:tr>
        <w:trPr>
          <w:trHeight w:val="475" w:hRule="exact"/>
        </w:trPr>
        <w:tc>
          <w:tcPr>
            <w:tcW w:w="2993" w:type="dxa"/>
            <w:tcBorders>
              <w:top w:val="nil" w:sz="6" w:space="0" w:color="auto"/>
              <w:left w:val="nil" w:sz="6" w:space="0" w:color="auto"/>
              <w:bottom w:val="single" w:sz="12" w:space="0" w:color="000000"/>
              <w:right w:val="single" w:sz="4" w:space="0" w:color="000000"/>
            </w:tcBorders>
          </w:tcPr>
          <w:p>
            <w:pPr>
              <w:pStyle w:val="TableParagraph"/>
              <w:spacing w:line="240" w:lineRule="auto" w:before="112"/>
              <w:ind w:left="43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2"/>
              <w:ind w:left="419"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972" w:type="dxa"/>
            <w:tcBorders>
              <w:top w:val="nil" w:sz="6" w:space="0" w:color="auto"/>
              <w:left w:val="single" w:sz="4" w:space="0" w:color="000000"/>
              <w:bottom w:val="single" w:sz="12" w:space="0" w:color="000000"/>
              <w:right w:val="nil" w:sz="6" w:space="0" w:color="auto"/>
            </w:tcBorders>
          </w:tcPr>
          <w:p>
            <w:pPr>
              <w:pStyle w:val="TableParagraph"/>
              <w:spacing w:line="240" w:lineRule="auto" w:before="112"/>
              <w:ind w:left="417" w:right="0"/>
              <w:jc w:val="left"/>
              <w:rPr>
                <w:rFonts w:ascii="宋体" w:hAnsi="宋体" w:cs="宋体" w:eastAsia="宋体" w:hint="default"/>
                <w:sz w:val="21"/>
                <w:szCs w:val="21"/>
              </w:rPr>
            </w:pPr>
            <w:r>
              <w:rPr>
                <w:rFonts w:ascii="宋体" w:hAnsi="宋体" w:cs="宋体" w:eastAsia="宋体" w:hint="default"/>
                <w:sz w:val="21"/>
                <w:szCs w:val="21"/>
              </w:rPr>
              <w:t>根据土地使用权使用年限预计</w:t>
            </w:r>
          </w:p>
        </w:tc>
      </w:tr>
    </w:tbl>
    <w:p>
      <w:pPr>
        <w:pStyle w:val="BodyText"/>
        <w:spacing w:line="312" w:lineRule="auto" w:before="22"/>
        <w:ind w:left="138" w:right="317" w:firstLine="419"/>
        <w:jc w:val="both"/>
      </w:pPr>
      <w:r>
        <w:rPr/>
        <w:pict>
          <v:group style="position:absolute;margin-left:89.903999pt;margin-top:-23.956287pt;width:447.1pt;height:5.05pt;mso-position-horizontal-relative:page;mso-position-vertical-relative:paragraph;z-index:-941200" coordorigin="1798,-479" coordsize="8942,101">
            <v:shape style="position:absolute;left:1798;top:-479;width:2993;height:101" type="#_x0000_t75" stroked="false">
              <v:imagedata r:id="rId60" o:title=""/>
            </v:shape>
            <v:shape style="position:absolute;left:4767;top:-388;width:1995;height:10" type="#_x0000_t75" stroked="false">
              <v:imagedata r:id="rId58" o:title=""/>
            </v:shape>
            <v:shape style="position:absolute;left:6757;top:-388;width:3982;height:10" type="#_x0000_t75" stroked="false">
              <v:imagedata r:id="rId59" o:title=""/>
            </v:shape>
            <w10:wrap type="none"/>
          </v:group>
        </w:pict>
      </w:r>
      <w:r>
        <w:rPr>
          <w:spacing w:val="-2"/>
        </w:rPr>
        <w:t>每期末，对使用寿命有限的无形资产的使用寿命及摊销方法进行复核，如与原先估计数存在</w:t>
      </w:r>
      <w:r>
        <w:rPr>
          <w:w w:val="100"/>
        </w:rPr>
        <w:t> </w:t>
      </w:r>
      <w:r>
        <w:rPr/>
        <w:t>差异的，进行相应的调整。</w:t>
      </w:r>
    </w:p>
    <w:p>
      <w:pPr>
        <w:pStyle w:val="BodyText"/>
        <w:spacing w:line="240" w:lineRule="auto" w:before="22"/>
        <w:ind w:left="558" w:right="215"/>
        <w:jc w:val="left"/>
      </w:pPr>
      <w:r>
        <w:rPr/>
        <w:t>经复核，本期期末无形资产的使用寿命及摊销方法与以前估计未有不同。</w:t>
      </w:r>
    </w:p>
    <w:p>
      <w:pPr>
        <w:spacing w:after="0" w:line="240" w:lineRule="auto"/>
        <w:jc w:val="left"/>
        <w:sectPr>
          <w:pgSz w:w="11910" w:h="16840"/>
          <w:pgMar w:header="882" w:footer="1195" w:top="1120" w:bottom="1380" w:left="1660" w:right="960"/>
        </w:sectPr>
      </w:pPr>
    </w:p>
    <w:p>
      <w:pPr>
        <w:spacing w:line="240" w:lineRule="auto" w:before="5"/>
        <w:rPr>
          <w:rFonts w:ascii="宋体" w:hAnsi="宋体" w:cs="宋体" w:eastAsia="宋体" w:hint="default"/>
          <w:sz w:val="25"/>
          <w:szCs w:val="25"/>
        </w:rPr>
      </w:pPr>
    </w:p>
    <w:p>
      <w:pPr>
        <w:pStyle w:val="Heading2"/>
        <w:tabs>
          <w:tab w:pos="989" w:val="left" w:leader="none"/>
        </w:tabs>
        <w:spacing w:line="240" w:lineRule="auto"/>
        <w:ind w:left="138" w:right="1055"/>
        <w:jc w:val="left"/>
        <w:rPr>
          <w:b w:val="0"/>
          <w:bCs w:val="0"/>
        </w:rPr>
      </w:pPr>
      <w:r>
        <w:rPr>
          <w:rFonts w:ascii="宋体" w:hAnsi="宋体" w:cs="宋体" w:eastAsia="宋体" w:hint="default"/>
        </w:rPr>
        <w:t>(2).</w:t>
        <w:tab/>
      </w:r>
      <w:r>
        <w:rPr/>
        <w:t>内部研究开发支出会计政策</w:t>
      </w:r>
      <w:r>
        <w:rPr>
          <w:b w:val="0"/>
          <w:bCs w:val="0"/>
        </w:rPr>
      </w:r>
    </w:p>
    <w:p>
      <w:pPr>
        <w:pStyle w:val="Heading3"/>
        <w:tabs>
          <w:tab w:pos="1097" w:val="left" w:leader="none"/>
        </w:tabs>
        <w:spacing w:line="240" w:lineRule="auto" w:before="58"/>
        <w:ind w:left="138" w:right="1055"/>
        <w:jc w:val="left"/>
      </w:pPr>
      <w:r>
        <w:rPr/>
        <w:t>√适用</w:t>
        <w:tab/>
        <w:t>□不适用</w:t>
      </w:r>
    </w:p>
    <w:p>
      <w:pPr>
        <w:pStyle w:val="BodyText"/>
        <w:spacing w:line="314" w:lineRule="auto" w:before="49"/>
        <w:ind w:left="558" w:right="0" w:firstLine="60"/>
        <w:jc w:val="left"/>
      </w:pPr>
      <w:r>
        <w:rPr>
          <w:rFonts w:ascii="宋体" w:hAnsi="宋体" w:cs="宋体" w:eastAsia="宋体" w:hint="default"/>
        </w:rPr>
        <w:t>1.</w:t>
      </w:r>
      <w:r>
        <w:rPr/>
        <w:t>划分公司内部研究开发项目的研究阶段和开发阶段具体标准</w:t>
      </w:r>
      <w:r>
        <w:rPr>
          <w:w w:val="100"/>
        </w:rPr>
        <w:t> </w:t>
      </w:r>
      <w:r>
        <w:rPr>
          <w:spacing w:val="-2"/>
        </w:rPr>
        <w:t>研究阶段：为获取并理解新的科学或技术知识等而进行的独创性的有计划调查、研究活动的</w:t>
      </w:r>
    </w:p>
    <w:p>
      <w:pPr>
        <w:pStyle w:val="BodyText"/>
        <w:spacing w:line="240" w:lineRule="auto" w:before="17"/>
        <w:ind w:left="138" w:right="1055"/>
        <w:jc w:val="left"/>
      </w:pPr>
      <w:r>
        <w:rPr/>
        <w:t>阶段。</w:t>
      </w:r>
    </w:p>
    <w:p>
      <w:pPr>
        <w:pStyle w:val="BodyText"/>
        <w:spacing w:line="312" w:lineRule="auto" w:before="85"/>
        <w:ind w:left="138" w:right="117" w:firstLine="419"/>
        <w:jc w:val="both"/>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p>
    <w:p>
      <w:pPr>
        <w:pStyle w:val="BodyText"/>
        <w:spacing w:line="314" w:lineRule="auto" w:before="22"/>
        <w:ind w:left="558" w:right="1055"/>
        <w:jc w:val="left"/>
      </w:pPr>
      <w:r>
        <w:rPr/>
        <w:t>内部研究开发项目研究阶段的支出，在发生时计入当期损益。</w:t>
      </w:r>
      <w:r>
        <w:rPr>
          <w:w w:val="100"/>
        </w:rPr>
        <w:t> </w:t>
      </w:r>
      <w:r>
        <w:rPr>
          <w:rFonts w:ascii="宋体" w:hAnsi="宋体" w:cs="宋体" w:eastAsia="宋体" w:hint="default"/>
        </w:rPr>
        <w:t>2.</w:t>
      </w:r>
      <w:r>
        <w:rPr/>
        <w:t>开发阶段支出符合资本化的具体标准</w:t>
      </w:r>
      <w:r>
        <w:rPr>
          <w:w w:val="100"/>
        </w:rPr>
        <w:t> </w:t>
      </w:r>
      <w:r>
        <w:rPr>
          <w:spacing w:val="-2"/>
        </w:rPr>
        <w:t>内部研究开发项目开发阶段的支出，同时满足下列条件时确认为无形资产：</w:t>
      </w:r>
    </w:p>
    <w:p>
      <w:pPr>
        <w:pStyle w:val="BodyText"/>
        <w:spacing w:line="240" w:lineRule="auto" w:before="17"/>
        <w:ind w:left="558" w:right="1055"/>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85"/>
        <w:ind w:left="558" w:right="1055"/>
        <w:jc w:val="left"/>
      </w:pPr>
      <w:r>
        <w:rPr/>
        <w:t>（</w:t>
      </w:r>
      <w:r>
        <w:rPr>
          <w:rFonts w:ascii="宋体" w:hAnsi="宋体" w:cs="宋体" w:eastAsia="宋体" w:hint="default"/>
        </w:rPr>
        <w:t>2</w:t>
      </w:r>
      <w:r>
        <w:rPr/>
        <w:t>）具有完成该无形资产并使用或出售的意图；</w:t>
      </w:r>
    </w:p>
    <w:p>
      <w:pPr>
        <w:pStyle w:val="BodyText"/>
        <w:spacing w:line="314" w:lineRule="auto" w:before="82"/>
        <w:ind w:left="138" w:right="108" w:firstLine="419"/>
        <w:jc w:val="both"/>
      </w:pPr>
      <w:r>
        <w:rPr>
          <w:spacing w:val="-4"/>
        </w:rPr>
        <w:t>（</w:t>
      </w:r>
      <w:r>
        <w:rPr>
          <w:rFonts w:ascii="宋体" w:hAnsi="宋体" w:cs="宋体" w:eastAsia="宋体"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spacing w:line="314" w:lineRule="auto" w:before="17"/>
        <w:ind w:left="138" w:right="108" w:firstLine="419"/>
        <w:jc w:val="both"/>
      </w:pPr>
      <w:r>
        <w:rPr>
          <w:spacing w:val="-4"/>
        </w:rPr>
        <w:t>（</w:t>
      </w:r>
      <w:r>
        <w:rPr>
          <w:rFonts w:ascii="宋体" w:hAnsi="宋体" w:cs="宋体" w:eastAsia="宋体" w:hint="default"/>
          <w:spacing w:val="-4"/>
        </w:rPr>
        <w:t>4</w:t>
      </w:r>
      <w:r>
        <w:rPr>
          <w:spacing w:val="-4"/>
        </w:rPr>
        <w:t>）有足够的技术、财务资源和其他资源支持，以完成该无形资产的开发，并有能力使用或</w:t>
      </w:r>
      <w:r>
        <w:rPr>
          <w:w w:val="100"/>
        </w:rPr>
        <w:t> </w:t>
      </w:r>
      <w:r>
        <w:rPr/>
        <w:t>出售该无形资产；</w:t>
      </w:r>
    </w:p>
    <w:p>
      <w:pPr>
        <w:pStyle w:val="BodyText"/>
        <w:spacing w:line="314" w:lineRule="auto" w:before="17"/>
        <w:ind w:left="558" w:right="0"/>
        <w:jc w:val="left"/>
      </w:pPr>
      <w:r>
        <w:rPr/>
        <w:t>（</w:t>
      </w:r>
      <w:r>
        <w:rPr>
          <w:rFonts w:ascii="宋体" w:hAnsi="宋体" w:cs="宋体" w:eastAsia="宋体"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w:t>
      </w:r>
    </w:p>
    <w:p>
      <w:pPr>
        <w:pStyle w:val="BodyText"/>
        <w:spacing w:line="314" w:lineRule="auto" w:before="18"/>
        <w:ind w:left="138" w:right="0"/>
        <w:jc w:val="left"/>
      </w:pPr>
      <w:r>
        <w:rPr>
          <w:spacing w:val="-2"/>
        </w:rPr>
        <w:t>出不在以后期间重新确认为资产。已资本化的开发阶段的支出在资产负债表上列示为开发支出，</w:t>
      </w:r>
      <w:r>
        <w:rPr>
          <w:spacing w:val="-25"/>
        </w:rPr>
        <w:t> </w:t>
      </w:r>
      <w:r>
        <w:rPr>
          <w:spacing w:val="-25"/>
        </w:rPr>
      </w:r>
      <w:r>
        <w:rPr/>
        <w:t>自该项目达到预定用途之日起转为无形资产。</w:t>
      </w:r>
    </w:p>
    <w:p>
      <w:pPr>
        <w:pStyle w:val="Heading2"/>
        <w:spacing w:line="240" w:lineRule="auto"/>
        <w:ind w:left="138" w:right="1055"/>
        <w:jc w:val="left"/>
        <w:rPr>
          <w:b w:val="0"/>
          <w:bCs w:val="0"/>
        </w:rPr>
      </w:pPr>
      <w:r>
        <w:rPr>
          <w:rFonts w:ascii="宋体" w:hAnsi="宋体" w:cs="宋体" w:eastAsia="宋体" w:hint="default"/>
        </w:rPr>
        <w:t>22.</w:t>
      </w:r>
      <w:r>
        <w:rPr>
          <w:rFonts w:ascii="宋体" w:hAnsi="宋体" w:cs="宋体" w:eastAsia="宋体" w:hint="default"/>
          <w:spacing w:val="-62"/>
        </w:rPr>
        <w:t> </w:t>
      </w:r>
      <w:r>
        <w:rPr/>
        <w:t>长期资产减值</w:t>
      </w:r>
      <w:r>
        <w:rPr>
          <w:b w:val="0"/>
          <w:bCs w:val="0"/>
        </w:rPr>
      </w:r>
    </w:p>
    <w:p>
      <w:pPr>
        <w:pStyle w:val="BodyText"/>
        <w:spacing w:line="292" w:lineRule="auto" w:before="85"/>
        <w:ind w:left="558" w:right="0" w:hanging="420"/>
        <w:jc w:val="left"/>
      </w:pPr>
      <w:r>
        <w:rPr/>
        <w:t>√适用□不适用</w:t>
      </w:r>
      <w:r>
        <w:rPr>
          <w:spacing w:val="-103"/>
        </w:rPr>
        <w:t> </w:t>
      </w:r>
      <w:r>
        <w:rPr>
          <w:spacing w:val="-103"/>
        </w:rPr>
      </w:r>
      <w:r>
        <w:rPr>
          <w:spacing w:val="-2"/>
        </w:rPr>
        <w:t>本公司在资产负债表日判断长期资产是否存在可能发生减值的迹象。如果长期资产存在减值</w:t>
      </w:r>
    </w:p>
    <w:p>
      <w:pPr>
        <w:pStyle w:val="BodyText"/>
        <w:spacing w:line="312" w:lineRule="auto" w:before="39"/>
        <w:ind w:left="138" w:right="0"/>
        <w:jc w:val="left"/>
      </w:pPr>
      <w:r>
        <w:rPr>
          <w:spacing w:val="-2"/>
        </w:rPr>
        <w:t>迹象的，以单项资产为基础估计其可收回金额；难以对单项资产的可收回金额进行估计的，以该</w:t>
      </w:r>
      <w:r>
        <w:rPr>
          <w:spacing w:val="-25"/>
        </w:rPr>
        <w:t> </w:t>
      </w:r>
      <w:r>
        <w:rPr>
          <w:spacing w:val="-25"/>
        </w:rPr>
      </w:r>
      <w:r>
        <w:rPr/>
        <w:t>资产所属的资产组为基础确定资产组的可收回金额。</w:t>
      </w:r>
    </w:p>
    <w:p>
      <w:pPr>
        <w:pStyle w:val="BodyText"/>
        <w:spacing w:line="312" w:lineRule="auto" w:before="22"/>
        <w:ind w:left="138" w:right="117" w:firstLine="419"/>
        <w:jc w:val="both"/>
      </w:pPr>
      <w:r>
        <w:rPr>
          <w:spacing w:val="-2"/>
        </w:rPr>
        <w:t>资产可收回金额的估计，根据其公允价值减去处置费用后的净额与资产预计未来现金流量的</w:t>
      </w:r>
      <w:r>
        <w:rPr>
          <w:w w:val="100"/>
        </w:rPr>
        <w:t> </w:t>
      </w:r>
      <w:r>
        <w:rPr/>
        <w:t>现值两者之间较高者确定。</w:t>
      </w:r>
    </w:p>
    <w:p>
      <w:pPr>
        <w:pStyle w:val="BodyText"/>
        <w:spacing w:line="314" w:lineRule="auto" w:before="22"/>
        <w:ind w:left="138" w:right="117" w:firstLine="419"/>
        <w:jc w:val="both"/>
      </w:pPr>
      <w:r>
        <w:rPr>
          <w:spacing w:val="-2"/>
        </w:rPr>
        <w:t>可收回金额的计量结果表明，长期资产的可收回金额低于其账面价值的，将长期资产的账面</w:t>
      </w:r>
      <w:r>
        <w:rPr>
          <w:w w:val="100"/>
        </w:rPr>
        <w:t> </w:t>
      </w:r>
      <w:r>
        <w:rPr>
          <w:spacing w:val="-2"/>
        </w:rPr>
        <w:t>价值减记至可收回金额，减记的金额确认为资产减值损失，计入当期损益，同时计提相应的资产</w:t>
      </w:r>
      <w:r>
        <w:rPr>
          <w:spacing w:val="-25"/>
        </w:rPr>
        <w:t> </w:t>
      </w:r>
      <w:r>
        <w:rPr>
          <w:spacing w:val="-25"/>
        </w:rPr>
      </w:r>
      <w:r>
        <w:rPr/>
        <w:t>减值准备。资产减值损失一经确认，在以后会计期间不得转回。</w:t>
      </w:r>
    </w:p>
    <w:p>
      <w:pPr>
        <w:pStyle w:val="BodyText"/>
        <w:spacing w:line="314" w:lineRule="auto" w:before="17"/>
        <w:ind w:left="138" w:right="117" w:firstLine="419"/>
        <w:jc w:val="both"/>
      </w:pPr>
      <w:r>
        <w:rPr>
          <w:spacing w:val="-2"/>
        </w:rPr>
        <w:t>资产减值损失确认后，减值资产的折旧或者摊销费用在未来期间作相应调整，以使该资产在</w:t>
      </w:r>
      <w:r>
        <w:rPr>
          <w:w w:val="100"/>
        </w:rPr>
        <w:t> </w:t>
      </w:r>
      <w:r>
        <w:rPr/>
        <w:t>剩余使用寿命内，系统地分摊调整后的资产账面价值（扣除预计净残值）。</w:t>
      </w:r>
    </w:p>
    <w:p>
      <w:pPr>
        <w:pStyle w:val="BodyText"/>
        <w:spacing w:line="314" w:lineRule="auto" w:before="17"/>
        <w:ind w:left="138" w:right="117" w:firstLine="419"/>
        <w:jc w:val="both"/>
      </w:pPr>
      <w:r>
        <w:rPr>
          <w:spacing w:val="-2"/>
        </w:rPr>
        <w:t>因企业合并所形成的商誉和使用寿命不确定的无形资产，无论是否存在减值迹象，每年都进</w:t>
      </w:r>
      <w:r>
        <w:rPr>
          <w:w w:val="100"/>
        </w:rPr>
        <w:t> </w:t>
      </w:r>
      <w:r>
        <w:rPr/>
        <w:t>行减值测试。</w:t>
      </w:r>
    </w:p>
    <w:p>
      <w:pPr>
        <w:pStyle w:val="BodyText"/>
        <w:spacing w:line="314" w:lineRule="auto" w:before="17"/>
        <w:ind w:left="138" w:right="117" w:firstLine="419"/>
        <w:jc w:val="both"/>
      </w:pPr>
      <w:r>
        <w:rPr>
          <w:spacing w:val="-2"/>
        </w:rPr>
        <w:t>商誉结合与其相关的资产组或者资产组组合进行减值测试。在对包含商誉的相关资产组或者</w:t>
      </w:r>
      <w:r>
        <w:rPr>
          <w:w w:val="100"/>
        </w:rPr>
        <w:t> </w:t>
      </w:r>
      <w:r>
        <w:rPr>
          <w:spacing w:val="-2"/>
        </w:rPr>
        <w:t>资产组组合进行减值测试时，如与商誉相关的资产组或者资产组组合存在减值迹象的，先对不包</w:t>
      </w:r>
      <w:r>
        <w:rPr>
          <w:spacing w:val="-25"/>
        </w:rPr>
        <w:t> </w:t>
      </w:r>
      <w:r>
        <w:rPr>
          <w:spacing w:val="-25"/>
        </w:rPr>
      </w:r>
      <w:r>
        <w:rPr>
          <w:spacing w:val="-2"/>
        </w:rPr>
        <w:t>含商誉的资产组或者资产组组合进行减值测试，计算可收回金额，并与相关账面价值相比较，确</w:t>
      </w:r>
      <w:r>
        <w:rPr>
          <w:spacing w:val="-26"/>
        </w:rPr>
        <w:t> </w:t>
      </w:r>
      <w:r>
        <w:rPr>
          <w:spacing w:val="-26"/>
        </w:rPr>
      </w:r>
      <w:r>
        <w:rPr>
          <w:spacing w:val="-2"/>
        </w:rPr>
        <w:t>认相应的减值损失。再对包含商誉的资产组或者资产组组合进行减值测试，比较这些相关资产组</w:t>
      </w:r>
    </w:p>
    <w:p>
      <w:pPr>
        <w:spacing w:after="0" w:line="314" w:lineRule="auto"/>
        <w:jc w:val="both"/>
        <w:sectPr>
          <w:pgSz w:w="11910" w:h="16840"/>
          <w:pgMar w:header="882" w:footer="1195" w:top="1120" w:bottom="1380" w:left="1660" w:right="1160"/>
        </w:sectPr>
      </w:pPr>
    </w:p>
    <w:p>
      <w:pPr>
        <w:spacing w:line="240" w:lineRule="auto" w:before="8"/>
        <w:rPr>
          <w:rFonts w:ascii="宋体" w:hAnsi="宋体" w:cs="宋体" w:eastAsia="宋体" w:hint="default"/>
          <w:sz w:val="28"/>
          <w:szCs w:val="28"/>
        </w:rPr>
      </w:pPr>
    </w:p>
    <w:p>
      <w:pPr>
        <w:pStyle w:val="BodyText"/>
        <w:spacing w:line="314" w:lineRule="auto" w:before="36"/>
        <w:ind w:left="138" w:right="0"/>
        <w:jc w:val="left"/>
      </w:pPr>
      <w:r>
        <w:rPr>
          <w:spacing w:val="-2"/>
        </w:rPr>
        <w:t>或者资产组组合的账面价值（包括所分摊的商誉的账面价值部分）与其可收回金额，如相关资产</w:t>
      </w:r>
      <w:r>
        <w:rPr>
          <w:spacing w:val="-25"/>
        </w:rPr>
        <w:t> </w:t>
      </w:r>
      <w:r>
        <w:rPr>
          <w:spacing w:val="-25"/>
        </w:rPr>
      </w:r>
      <w:r>
        <w:rPr/>
        <w:t>组或者资产组组合的可收回金额低于其账面价值的，确认商誉的减值损失。</w:t>
      </w:r>
    </w:p>
    <w:p>
      <w:pPr>
        <w:pStyle w:val="Heading2"/>
        <w:spacing w:line="240" w:lineRule="auto"/>
        <w:ind w:left="138" w:right="1055"/>
        <w:jc w:val="left"/>
        <w:rPr>
          <w:b w:val="0"/>
          <w:bCs w:val="0"/>
        </w:rPr>
      </w:pPr>
      <w:r>
        <w:rPr>
          <w:rFonts w:ascii="宋体" w:hAnsi="宋体" w:cs="宋体" w:eastAsia="宋体" w:hint="default"/>
        </w:rPr>
        <w:t>23.</w:t>
      </w:r>
      <w:r>
        <w:rPr>
          <w:rFonts w:ascii="宋体" w:hAnsi="宋体" w:cs="宋体" w:eastAsia="宋体" w:hint="default"/>
          <w:spacing w:val="-62"/>
        </w:rPr>
        <w:t> </w:t>
      </w:r>
      <w:r>
        <w:rPr/>
        <w:t>长期待摊费用</w:t>
      </w:r>
      <w:r>
        <w:rPr>
          <w:b w:val="0"/>
          <w:bCs w:val="0"/>
        </w:rPr>
      </w:r>
    </w:p>
    <w:p>
      <w:pPr>
        <w:pStyle w:val="BodyText"/>
        <w:spacing w:line="240" w:lineRule="auto" w:before="85"/>
        <w:ind w:left="138" w:right="1055"/>
        <w:jc w:val="left"/>
      </w:pPr>
      <w:r>
        <w:rPr/>
        <w:t>√适用□不适用</w:t>
      </w:r>
    </w:p>
    <w:p>
      <w:pPr>
        <w:pStyle w:val="BodyText"/>
        <w:spacing w:line="314" w:lineRule="auto" w:before="61"/>
        <w:ind w:left="138" w:right="113" w:firstLine="419"/>
        <w:jc w:val="left"/>
      </w:pPr>
      <w:r>
        <w:rPr/>
        <w:t>长期待摊费用，是指本公司已经发生但应由本期和以后各期负担的分摊期限在</w:t>
      </w:r>
      <w:r>
        <w:rPr>
          <w:spacing w:val="-54"/>
        </w:rPr>
        <w:t> </w:t>
      </w:r>
      <w:r>
        <w:rPr>
          <w:rFonts w:ascii="宋体" w:hAnsi="宋体" w:cs="宋体" w:eastAsia="宋体" w:hint="default"/>
        </w:rPr>
        <w:t>1</w:t>
      </w:r>
      <w:r>
        <w:rPr>
          <w:rFonts w:ascii="宋体" w:hAnsi="宋体" w:cs="宋体" w:eastAsia="宋体" w:hint="default"/>
          <w:spacing w:val="-55"/>
        </w:rPr>
        <w:t> </w:t>
      </w:r>
      <w:r>
        <w:rPr/>
        <w:t>年以上的各</w:t>
      </w:r>
      <w:r>
        <w:rPr>
          <w:w w:val="100"/>
        </w:rPr>
        <w:t> </w:t>
      </w:r>
      <w:r>
        <w:rPr/>
        <w:t>项费用。长期待摊费用在受益期内按直接法分期摊销。</w:t>
      </w:r>
    </w:p>
    <w:p>
      <w:pPr>
        <w:pStyle w:val="Heading2"/>
        <w:spacing w:line="283" w:lineRule="auto"/>
        <w:ind w:left="138" w:right="5674"/>
        <w:jc w:val="left"/>
        <w:rPr>
          <w:b w:val="0"/>
          <w:bCs w:val="0"/>
        </w:rPr>
      </w:pPr>
      <w:r>
        <w:rPr>
          <w:rFonts w:ascii="宋体" w:hAnsi="宋体" w:cs="宋体" w:eastAsia="宋体" w:hint="default"/>
        </w:rPr>
        <w:t>24.</w:t>
      </w:r>
      <w:r>
        <w:rPr>
          <w:rFonts w:ascii="宋体" w:hAnsi="宋体" w:cs="宋体" w:eastAsia="宋体" w:hint="default"/>
          <w:spacing w:val="-59"/>
        </w:rPr>
        <w:t> </w:t>
      </w:r>
      <w:r>
        <w:rPr/>
        <w:t>职工薪酬</w:t>
      </w:r>
      <w:r>
        <w:rPr>
          <w:w w:val="99"/>
        </w:rPr>
        <w:t> </w:t>
      </w:r>
      <w:r>
        <w:rPr>
          <w:rFonts w:ascii="宋体" w:hAnsi="宋体" w:cs="宋体" w:eastAsia="宋体" w:hint="default"/>
        </w:rPr>
        <w:t>(1)</w:t>
      </w:r>
      <w:r>
        <w:rPr/>
        <w:t>、短期薪酬的会计处理方法</w:t>
      </w:r>
      <w:r>
        <w:rPr>
          <w:b w:val="0"/>
          <w:bCs w:val="0"/>
        </w:rPr>
      </w:r>
    </w:p>
    <w:p>
      <w:pPr>
        <w:pStyle w:val="BodyText"/>
        <w:spacing w:line="292" w:lineRule="auto" w:before="42"/>
        <w:ind w:left="558" w:right="0" w:hanging="420"/>
        <w:jc w:val="left"/>
      </w:pPr>
      <w:r>
        <w:rPr/>
        <w:t>√适用□不适用</w:t>
      </w:r>
      <w:r>
        <w:rPr>
          <w:spacing w:val="-103"/>
        </w:rPr>
        <w:t> </w:t>
      </w:r>
      <w:r>
        <w:rPr>
          <w:spacing w:val="-103"/>
        </w:rPr>
      </w:r>
      <w:r>
        <w:rPr>
          <w:spacing w:val="-2"/>
        </w:rPr>
        <w:t>短期薪酬是指本公司在职工提供相关服务的年度报告期间结束后十二个月内需要全部予以支</w:t>
      </w:r>
    </w:p>
    <w:p>
      <w:pPr>
        <w:pStyle w:val="BodyText"/>
        <w:spacing w:line="316" w:lineRule="auto" w:before="39"/>
        <w:ind w:left="138" w:right="0"/>
        <w:jc w:val="left"/>
        <w:rPr>
          <w:rFonts w:ascii="宋体" w:hAnsi="宋体" w:cs="宋体" w:eastAsia="宋体" w:hint="default"/>
          <w:sz w:val="24"/>
          <w:szCs w:val="24"/>
        </w:rPr>
      </w:pPr>
      <w:r>
        <w:rPr>
          <w:spacing w:val="-2"/>
        </w:rPr>
        <w:t>付的职工薪酬，离职后福利和辞退福利除外。本公司在职工提供服务的会计期间，将应付的短期</w:t>
      </w:r>
      <w:r>
        <w:rPr>
          <w:spacing w:val="-25"/>
        </w:rPr>
        <w:t> </w:t>
      </w:r>
      <w:r>
        <w:rPr>
          <w:spacing w:val="-25"/>
        </w:rPr>
      </w:r>
      <w:r>
        <w:rPr/>
        <w:t>薪酬确认为负债，并根据职工提供服务的受益对象计入相关资产成本和费用。</w:t>
      </w:r>
      <w:r>
        <w:rPr>
          <w:w w:val="100"/>
        </w:rPr>
        <w:t> </w:t>
      </w:r>
      <w:r>
        <w:rPr>
          <w:rFonts w:ascii="宋体" w:hAnsi="宋体" w:cs="宋体" w:eastAsia="宋体"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sz w:val="24"/>
          <w:szCs w:val="24"/>
        </w:rPr>
      </w:r>
    </w:p>
    <w:p>
      <w:pPr>
        <w:pStyle w:val="BodyText"/>
        <w:spacing w:line="292" w:lineRule="auto" w:before="9"/>
        <w:ind w:left="558" w:right="0" w:hanging="420"/>
        <w:jc w:val="left"/>
      </w:pPr>
      <w:r>
        <w:rPr/>
        <w:t>√适用□不适用</w:t>
      </w:r>
      <w:r>
        <w:rPr>
          <w:spacing w:val="-103"/>
        </w:rPr>
        <w:t> </w:t>
      </w:r>
      <w:r>
        <w:rPr>
          <w:spacing w:val="-103"/>
        </w:rPr>
      </w:r>
      <w:r>
        <w:rPr>
          <w:spacing w:val="-2"/>
        </w:rPr>
        <w:t>离职后福利是指本公司为获得职工提供的服务而在职工退休或与企业解除劳动关系后，提供</w:t>
      </w:r>
    </w:p>
    <w:p>
      <w:pPr>
        <w:pStyle w:val="BodyText"/>
        <w:spacing w:line="314" w:lineRule="auto" w:before="36"/>
        <w:ind w:left="558" w:right="0" w:hanging="420"/>
        <w:jc w:val="left"/>
      </w:pPr>
      <w:r>
        <w:rPr/>
        <w:t>的各种形式的报酬和福利，短期薪酬和辞退福利除外。离职后福利计划系设定提存计划。</w:t>
      </w:r>
      <w:r>
        <w:rPr>
          <w:w w:val="100"/>
        </w:rPr>
        <w:t> </w:t>
      </w:r>
      <w:r>
        <w:rPr>
          <w:spacing w:val="-2"/>
        </w:rPr>
        <w:t>离职后福利设定提存计划主要为参加由各地劳动及社会保障机构组织实施的社会基本养老保</w:t>
      </w:r>
    </w:p>
    <w:p>
      <w:pPr>
        <w:pStyle w:val="BodyText"/>
        <w:spacing w:line="314" w:lineRule="auto" w:before="17"/>
        <w:ind w:left="138" w:right="0"/>
        <w:jc w:val="left"/>
      </w:pPr>
      <w:r>
        <w:rPr>
          <w:spacing w:val="-2"/>
        </w:rPr>
        <w:t>险、失业保险等。在职工为本公司提供服务的会计期间，将根据设定提存计划计算的应缴存金额</w:t>
      </w:r>
      <w:r>
        <w:rPr>
          <w:spacing w:val="-25"/>
        </w:rPr>
        <w:t> </w:t>
      </w:r>
      <w:r>
        <w:rPr>
          <w:spacing w:val="-25"/>
        </w:rPr>
      </w:r>
      <w:r>
        <w:rPr/>
        <w:t>确认为负债，并计入当期损益或相关资产成本。</w:t>
      </w:r>
    </w:p>
    <w:p>
      <w:pPr>
        <w:pStyle w:val="BodyText"/>
        <w:spacing w:line="240" w:lineRule="auto" w:before="17"/>
        <w:ind w:left="558" w:right="0"/>
        <w:jc w:val="left"/>
      </w:pPr>
      <w:r>
        <w:rPr/>
        <w:t>本公司按照国家规定的标准和年金计划定期缴付上述款项后，不再有其他的支付义务。</w:t>
      </w:r>
    </w:p>
    <w:p>
      <w:pPr>
        <w:pStyle w:val="Heading2"/>
        <w:spacing w:line="240" w:lineRule="auto" w:before="93"/>
        <w:ind w:left="138" w:right="1055"/>
        <w:jc w:val="left"/>
        <w:rPr>
          <w:b w:val="0"/>
          <w:bCs w:val="0"/>
        </w:rPr>
      </w:pPr>
      <w:r>
        <w:rPr>
          <w:rFonts w:ascii="宋体" w:hAnsi="宋体" w:cs="宋体" w:eastAsia="宋体" w:hint="default"/>
        </w:rPr>
        <w:t>(3)</w:t>
      </w:r>
      <w:r>
        <w:rPr/>
        <w:t>、辞退福利的会计处理方法</w:t>
      </w:r>
      <w:r>
        <w:rPr>
          <w:b w:val="0"/>
          <w:bCs w:val="0"/>
        </w:rPr>
      </w:r>
    </w:p>
    <w:p>
      <w:pPr>
        <w:pStyle w:val="BodyText"/>
        <w:spacing w:line="292" w:lineRule="auto" w:before="85"/>
        <w:ind w:left="558" w:right="0" w:hanging="420"/>
        <w:jc w:val="left"/>
      </w:pPr>
      <w:r>
        <w:rPr/>
        <w:t>√适用□不适用</w:t>
      </w:r>
      <w:r>
        <w:rPr>
          <w:spacing w:val="-103"/>
        </w:rPr>
        <w:t> </w:t>
      </w:r>
      <w:r>
        <w:rPr>
          <w:spacing w:val="-103"/>
        </w:rPr>
      </w:r>
      <w:r>
        <w:rPr>
          <w:spacing w:val="-2"/>
        </w:rPr>
        <w:t>辞退福利是指本公司在职工劳动合同到期之前解除与职工的劳动关系，或者为鼓励职工自愿</w:t>
      </w:r>
    </w:p>
    <w:p>
      <w:pPr>
        <w:pStyle w:val="BodyText"/>
        <w:spacing w:line="240" w:lineRule="auto" w:before="36"/>
        <w:ind w:left="138" w:right="1055"/>
        <w:jc w:val="left"/>
      </w:pPr>
      <w:r>
        <w:rPr/>
        <w:t>接受裁减而给予职工的补偿，在发生当期计入当期损益。</w:t>
      </w:r>
    </w:p>
    <w:p>
      <w:pPr>
        <w:pStyle w:val="Heading2"/>
        <w:spacing w:line="240" w:lineRule="auto" w:before="93"/>
        <w:ind w:left="138" w:right="1055"/>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92" w:lineRule="auto" w:before="85"/>
        <w:ind w:left="558" w:right="0" w:hanging="420"/>
        <w:jc w:val="left"/>
      </w:pPr>
      <w:r>
        <w:rPr/>
        <w:t>√适用□不适用</w:t>
      </w:r>
      <w:r>
        <w:rPr>
          <w:spacing w:val="-103"/>
        </w:rPr>
        <w:t> </w:t>
      </w:r>
      <w:r>
        <w:rPr>
          <w:spacing w:val="-103"/>
        </w:rPr>
      </w:r>
      <w:r>
        <w:rPr>
          <w:spacing w:val="-2"/>
        </w:rPr>
        <w:t>其他长期职工福利是指除短期薪酬、离职后福利、辞退福利之外的其他所有职工福利。对符</w:t>
      </w:r>
    </w:p>
    <w:p>
      <w:pPr>
        <w:pStyle w:val="BodyText"/>
        <w:spacing w:line="314" w:lineRule="auto" w:before="37"/>
        <w:ind w:left="138" w:right="0"/>
        <w:jc w:val="left"/>
      </w:pPr>
      <w:r>
        <w:rPr>
          <w:spacing w:val="-2"/>
        </w:rPr>
        <w:t>合设定提存计划条件的其他长期职工福利，在职工为本公司提供服务的会计期间，将应缴存金额</w:t>
      </w:r>
      <w:r>
        <w:rPr>
          <w:spacing w:val="-25"/>
        </w:rPr>
        <w:t> </w:t>
      </w:r>
      <w:r>
        <w:rPr>
          <w:spacing w:val="-25"/>
        </w:rPr>
      </w:r>
      <w:r>
        <w:rPr/>
        <w:t>确认为负债，并计入当期损益或相关资产成本。</w:t>
      </w:r>
    </w:p>
    <w:p>
      <w:pPr>
        <w:pStyle w:val="Heading2"/>
        <w:spacing w:line="240" w:lineRule="auto"/>
        <w:ind w:left="138" w:right="1055"/>
        <w:jc w:val="left"/>
        <w:rPr>
          <w:b w:val="0"/>
          <w:bCs w:val="0"/>
        </w:rPr>
      </w:pPr>
      <w:r>
        <w:rPr>
          <w:rFonts w:ascii="宋体" w:hAnsi="宋体" w:cs="宋体" w:eastAsia="宋体" w:hint="default"/>
        </w:rPr>
        <w:t>25.</w:t>
      </w:r>
      <w:r>
        <w:rPr>
          <w:rFonts w:ascii="宋体" w:hAnsi="宋体" w:cs="宋体" w:eastAsia="宋体" w:hint="default"/>
          <w:spacing w:val="-60"/>
        </w:rPr>
        <w:t> </w:t>
      </w:r>
      <w:r>
        <w:rPr/>
        <w:t>预计负债</w:t>
      </w:r>
      <w:r>
        <w:rPr>
          <w:b w:val="0"/>
          <w:bCs w:val="0"/>
        </w:rPr>
      </w:r>
    </w:p>
    <w:p>
      <w:pPr>
        <w:pStyle w:val="BodyText"/>
        <w:spacing w:line="292" w:lineRule="auto" w:before="85"/>
        <w:ind w:left="558" w:right="6627" w:hanging="420"/>
        <w:jc w:val="left"/>
      </w:pPr>
      <w:r>
        <w:rPr/>
        <w:t>√适用□不适用</w:t>
      </w:r>
      <w:r>
        <w:rPr>
          <w:spacing w:val="-103"/>
        </w:rPr>
        <w:t> </w:t>
      </w:r>
      <w:r>
        <w:rPr>
          <w:spacing w:val="-103"/>
        </w:rPr>
      </w:r>
      <w:r>
        <w:rPr>
          <w:spacing w:val="-1"/>
        </w:rPr>
        <w:t>预计负债的确认标准</w:t>
      </w:r>
    </w:p>
    <w:p>
      <w:pPr>
        <w:pStyle w:val="BodyText"/>
        <w:spacing w:line="312" w:lineRule="auto" w:before="39"/>
        <w:ind w:left="558" w:right="1408"/>
        <w:jc w:val="left"/>
      </w:pP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12" w:lineRule="auto" w:before="22"/>
        <w:ind w:left="558" w:right="1055"/>
        <w:jc w:val="left"/>
      </w:pPr>
      <w:r>
        <w:rPr/>
        <w:t>预计负债的计量方法</w:t>
      </w:r>
      <w:r>
        <w:rPr>
          <w:w w:val="100"/>
        </w:rPr>
        <w:t> </w:t>
      </w:r>
      <w:r>
        <w:rPr>
          <w:spacing w:val="-2"/>
        </w:rPr>
        <w:t>本公司预计负债按履行相关现时义务所需的支出的最佳估计数进行初始计量。</w:t>
      </w:r>
    </w:p>
    <w:p>
      <w:pPr>
        <w:spacing w:after="0" w:line="312" w:lineRule="auto"/>
        <w:jc w:val="left"/>
        <w:sectPr>
          <w:pgSz w:w="11910" w:h="16840"/>
          <w:pgMar w:header="882" w:footer="1195" w:top="1120" w:bottom="1380" w:left="1660" w:right="1160"/>
        </w:sectPr>
      </w:pPr>
    </w:p>
    <w:p>
      <w:pPr>
        <w:spacing w:line="240" w:lineRule="auto" w:before="8"/>
        <w:rPr>
          <w:rFonts w:ascii="宋体" w:hAnsi="宋体" w:cs="宋体" w:eastAsia="宋体" w:hint="default"/>
          <w:sz w:val="28"/>
          <w:szCs w:val="28"/>
        </w:rPr>
      </w:pPr>
    </w:p>
    <w:p>
      <w:pPr>
        <w:pStyle w:val="BodyText"/>
        <w:spacing w:line="314" w:lineRule="auto" w:before="36"/>
        <w:ind w:left="138" w:right="217" w:firstLine="419"/>
        <w:jc w:val="both"/>
      </w:pPr>
      <w:r>
        <w:rPr>
          <w:spacing w:val="-2"/>
        </w:rPr>
        <w:t>本公司在确定最佳估计数时，综合考虑与或有事项有关的风险、不确定性和货币时间价值等</w:t>
      </w:r>
      <w:r>
        <w:rPr>
          <w:w w:val="100"/>
        </w:rPr>
        <w:t> </w:t>
      </w:r>
      <w:r>
        <w:rPr/>
        <w:t>因素。对于货币时间价值影响重大的，通过对相关未来现金流出进行折现后确定最佳估计数。</w:t>
      </w:r>
    </w:p>
    <w:p>
      <w:pPr>
        <w:pStyle w:val="BodyText"/>
        <w:spacing w:line="314" w:lineRule="auto" w:before="17"/>
        <w:ind w:left="558" w:right="101"/>
        <w:jc w:val="left"/>
      </w:pPr>
      <w:r>
        <w:rPr/>
        <w:t>最佳估计数分别以下情况处理：</w:t>
      </w:r>
      <w:r>
        <w:rPr>
          <w:w w:val="100"/>
        </w:rPr>
        <w:t> </w:t>
      </w:r>
      <w:r>
        <w:rPr>
          <w:spacing w:val="-2"/>
        </w:rPr>
        <w:t>所需支出存在一个连续范围（或区间），且该范围内各种结果发生的可能性相同的，则最佳</w:t>
      </w:r>
    </w:p>
    <w:p>
      <w:pPr>
        <w:pStyle w:val="BodyText"/>
        <w:spacing w:line="314" w:lineRule="auto" w:before="17"/>
        <w:ind w:left="558" w:right="101" w:hanging="420"/>
        <w:jc w:val="left"/>
      </w:pPr>
      <w:r>
        <w:rPr/>
        <w:t>估计数按照该范围的中间值即上下限金额的平均数确定。</w:t>
      </w:r>
      <w:r>
        <w:rPr>
          <w:w w:val="100"/>
        </w:rPr>
        <w:t> </w:t>
      </w:r>
      <w:r>
        <w:rPr>
          <w:spacing w:val="-2"/>
        </w:rPr>
        <w:t>所需支出不存在一个连续范围（或区间），或虽然存在一个连续范围但该范围内各种结果发</w:t>
      </w:r>
    </w:p>
    <w:p>
      <w:pPr>
        <w:pStyle w:val="BodyText"/>
        <w:spacing w:line="314" w:lineRule="auto" w:before="17"/>
        <w:ind w:left="138" w:right="217"/>
        <w:jc w:val="both"/>
      </w:pPr>
      <w:r>
        <w:rPr>
          <w:spacing w:val="-2"/>
        </w:rPr>
        <w:t>生的可能性不相同的，如或有事项涉及单个项目的，则最佳估计数按照最可能发生金额确定；如</w:t>
      </w:r>
      <w:r>
        <w:rPr>
          <w:spacing w:val="-25"/>
        </w:rPr>
        <w:t> </w:t>
      </w:r>
      <w:r>
        <w:rPr>
          <w:spacing w:val="-25"/>
        </w:rPr>
      </w:r>
      <w:r>
        <w:rPr/>
        <w:t>或有事项涉及多个项目的，则最佳估计数按各种可能结果及相关概率计算确定。</w:t>
      </w:r>
    </w:p>
    <w:p>
      <w:pPr>
        <w:pStyle w:val="BodyText"/>
        <w:spacing w:line="314" w:lineRule="auto" w:before="17"/>
        <w:ind w:left="138" w:right="217" w:firstLine="419"/>
        <w:jc w:val="both"/>
      </w:pPr>
      <w:r>
        <w:rPr>
          <w:spacing w:val="-2"/>
        </w:rPr>
        <w:t>本公司清偿预计负债所需支出全部或部分预期由第三方补偿的，补偿金额在基本确定能够收</w:t>
      </w:r>
      <w:r>
        <w:rPr>
          <w:w w:val="100"/>
        </w:rPr>
        <w:t> </w:t>
      </w:r>
      <w:r>
        <w:rPr/>
        <w:t>到时，作为资产单独确认，确认的补偿金额不超过预计负债的账面价值。</w:t>
      </w:r>
    </w:p>
    <w:p>
      <w:pPr>
        <w:pStyle w:val="Heading2"/>
        <w:spacing w:line="240" w:lineRule="auto"/>
        <w:ind w:left="138" w:right="101"/>
        <w:jc w:val="left"/>
        <w:rPr>
          <w:b w:val="0"/>
          <w:bCs w:val="0"/>
        </w:rPr>
      </w:pPr>
      <w:r>
        <w:rPr>
          <w:rFonts w:ascii="宋体" w:hAnsi="宋体" w:cs="宋体" w:eastAsia="宋体" w:hint="default"/>
        </w:rPr>
        <w:t>26.</w:t>
      </w:r>
      <w:r>
        <w:rPr>
          <w:rFonts w:ascii="宋体" w:hAnsi="宋体" w:cs="宋体" w:eastAsia="宋体" w:hint="default"/>
          <w:spacing w:val="-60"/>
        </w:rPr>
        <w:t> </w:t>
      </w:r>
      <w:r>
        <w:rPr/>
        <w:t>股份支付</w:t>
      </w:r>
      <w:r>
        <w:rPr>
          <w:b w:val="0"/>
          <w:bCs w:val="0"/>
        </w:rPr>
      </w:r>
    </w:p>
    <w:p>
      <w:pPr>
        <w:pStyle w:val="BodyText"/>
        <w:spacing w:line="292" w:lineRule="auto" w:before="85"/>
        <w:ind w:left="558" w:right="7145" w:hanging="420"/>
        <w:jc w:val="left"/>
      </w:pPr>
      <w:r>
        <w:rPr/>
        <w:t>√适用□不适用</w:t>
      </w:r>
      <w:r>
        <w:rPr>
          <w:spacing w:val="-103"/>
        </w:rPr>
        <w:t> </w:t>
      </w:r>
      <w:r>
        <w:rPr>
          <w:spacing w:val="-103"/>
        </w:rPr>
      </w:r>
      <w:r>
        <w:rPr>
          <w:spacing w:val="-1"/>
        </w:rPr>
        <w:t>股份支付的种类</w:t>
      </w:r>
    </w:p>
    <w:p>
      <w:pPr>
        <w:pStyle w:val="BodyText"/>
        <w:spacing w:line="314" w:lineRule="auto" w:before="39"/>
        <w:ind w:left="558" w:right="101"/>
        <w:jc w:val="left"/>
      </w:pPr>
      <w:r>
        <w:rPr/>
        <w:t>本公司的股份支付分为以权益结算的股份支付和以现金结算的股份支付。</w:t>
      </w:r>
      <w:r>
        <w:rPr>
          <w:w w:val="100"/>
        </w:rPr>
        <w:t> </w:t>
      </w:r>
      <w:r>
        <w:rPr/>
        <w:t>权益工具公允价值的确定方法</w:t>
      </w:r>
      <w:r>
        <w:rPr>
          <w:w w:val="100"/>
        </w:rPr>
        <w:t> </w:t>
      </w:r>
      <w:r>
        <w:rPr>
          <w:spacing w:val="-2"/>
        </w:rPr>
        <w:t>对于授予的存在活跃市场的期权等权益工具，按照活跃市场中的报价确定其公允价值。对于</w:t>
      </w:r>
    </w:p>
    <w:p>
      <w:pPr>
        <w:pStyle w:val="BodyText"/>
        <w:spacing w:line="314" w:lineRule="auto" w:before="17"/>
        <w:ind w:left="138" w:right="101"/>
        <w:jc w:val="left"/>
      </w:pPr>
      <w:r>
        <w:rPr/>
        <w:t>授予的不存在活跃市场的期权等权益工具，采用期权定价模型等确定其公允价值，选用的期权定</w:t>
      </w:r>
      <w:r>
        <w:rPr>
          <w:w w:val="100"/>
        </w:rPr>
        <w:t> </w:t>
      </w:r>
      <w:r>
        <w:rPr>
          <w:spacing w:val="-2"/>
        </w:rPr>
        <w:t>价模型考虑以下因素：（</w:t>
      </w:r>
      <w:r>
        <w:rPr>
          <w:rFonts w:ascii="宋体" w:hAnsi="宋体" w:cs="宋体" w:eastAsia="宋体" w:hint="default"/>
          <w:spacing w:val="-2"/>
        </w:rPr>
        <w:t>1</w:t>
      </w:r>
      <w:r>
        <w:rPr>
          <w:spacing w:val="-2"/>
        </w:rPr>
        <w:t>）期权的行权价格；（</w:t>
      </w:r>
      <w:r>
        <w:rPr>
          <w:rFonts w:ascii="宋体" w:hAnsi="宋体" w:cs="宋体" w:eastAsia="宋体" w:hint="default"/>
          <w:spacing w:val="-2"/>
        </w:rPr>
        <w:t>2</w:t>
      </w:r>
      <w:r>
        <w:rPr>
          <w:spacing w:val="-2"/>
        </w:rPr>
        <w:t>）期权的有效期；（</w:t>
      </w:r>
      <w:r>
        <w:rPr>
          <w:rFonts w:ascii="宋体" w:hAnsi="宋体" w:cs="宋体" w:eastAsia="宋体" w:hint="default"/>
          <w:spacing w:val="-2"/>
        </w:rPr>
        <w:t>3</w:t>
      </w:r>
      <w:r>
        <w:rPr>
          <w:spacing w:val="-2"/>
        </w:rPr>
        <w:t>）标的股份的现行价格；</w:t>
      </w:r>
    </w:p>
    <w:p>
      <w:pPr>
        <w:pStyle w:val="BodyText"/>
        <w:spacing w:line="314" w:lineRule="auto" w:before="18"/>
        <w:ind w:left="558" w:right="101" w:hanging="420"/>
        <w:jc w:val="left"/>
      </w:pPr>
      <w:r>
        <w:rPr/>
        <w:t>（</w:t>
      </w:r>
      <w:r>
        <w:rPr>
          <w:rFonts w:ascii="宋体" w:hAnsi="宋体" w:cs="宋体" w:eastAsia="宋体" w:hint="default"/>
        </w:rPr>
        <w:t>4</w:t>
      </w:r>
      <w:r>
        <w:rPr/>
        <w:t>）股价预计波动率；（</w:t>
      </w:r>
      <w:r>
        <w:rPr>
          <w:rFonts w:ascii="宋体" w:hAnsi="宋体" w:cs="宋体" w:eastAsia="宋体" w:hint="default"/>
        </w:rPr>
        <w:t>5</w:t>
      </w:r>
      <w:r>
        <w:rPr/>
        <w:t>）股份的预计股利；（</w:t>
      </w:r>
      <w:r>
        <w:rPr>
          <w:rFonts w:ascii="宋体" w:hAnsi="宋体" w:cs="宋体" w:eastAsia="宋体" w:hint="default"/>
        </w:rPr>
        <w:t>6</w:t>
      </w:r>
      <w:r>
        <w:rPr/>
        <w:t>）期权有效期内的无风险利率。</w:t>
      </w:r>
      <w:r>
        <w:rPr>
          <w:w w:val="100"/>
        </w:rPr>
        <w:t> </w:t>
      </w:r>
      <w:r>
        <w:rPr>
          <w:spacing w:val="-2"/>
        </w:rPr>
        <w:t>在确定权益工具授予日的公允价值时，考虑股份支付协议规定的可行权条件中的市场条件和</w:t>
      </w:r>
    </w:p>
    <w:p>
      <w:pPr>
        <w:pStyle w:val="BodyText"/>
        <w:spacing w:line="314" w:lineRule="auto" w:before="17"/>
        <w:ind w:left="138" w:right="217"/>
        <w:jc w:val="both"/>
      </w:pPr>
      <w:r>
        <w:rPr>
          <w:spacing w:val="-2"/>
        </w:rPr>
        <w:t>非可行权条件的影响。股份支付存在非可行权条件的，只要职工或其他方满足了所有可行权条件</w:t>
      </w:r>
      <w:r>
        <w:rPr>
          <w:spacing w:val="-25"/>
        </w:rPr>
        <w:t> </w:t>
      </w:r>
      <w:r>
        <w:rPr>
          <w:spacing w:val="-25"/>
        </w:rPr>
      </w:r>
      <w:r>
        <w:rPr/>
        <w:t>中的非市场条件（如服务期限等），即确认已得到服务相对应的成本费用。</w:t>
      </w:r>
    </w:p>
    <w:p>
      <w:pPr>
        <w:pStyle w:val="BodyText"/>
        <w:spacing w:line="314" w:lineRule="auto" w:before="17"/>
        <w:ind w:left="558" w:right="101"/>
        <w:jc w:val="left"/>
      </w:pPr>
      <w:r>
        <w:rPr/>
        <w:t>确定可行权权益工具最佳估计的依据</w:t>
      </w:r>
      <w:r>
        <w:rPr>
          <w:w w:val="100"/>
        </w:rPr>
        <w:t> </w:t>
      </w:r>
      <w:r>
        <w:rPr>
          <w:spacing w:val="-4"/>
          <w:w w:val="100"/>
        </w:rPr>
        <w:t>等待期内每个资产负债表日，根据最新取得的可行权职工人数变动等后续信息作出最佳估计，</w:t>
      </w:r>
    </w:p>
    <w:p>
      <w:pPr>
        <w:pStyle w:val="BodyText"/>
        <w:spacing w:line="314" w:lineRule="auto" w:before="17"/>
        <w:ind w:left="138" w:right="217"/>
        <w:jc w:val="both"/>
      </w:pPr>
      <w:r>
        <w:rPr>
          <w:spacing w:val="-2"/>
        </w:rPr>
        <w:t>修正预计可行权的权益工具数量。在可行权日，最终预计可行权权益工具的数量与实际可行权数</w:t>
      </w:r>
      <w:r>
        <w:rPr>
          <w:spacing w:val="-25"/>
        </w:rPr>
        <w:t> </w:t>
      </w:r>
      <w:r>
        <w:rPr>
          <w:spacing w:val="-25"/>
        </w:rPr>
      </w:r>
      <w:r>
        <w:rPr/>
        <w:t>量一致。</w:t>
      </w:r>
    </w:p>
    <w:p>
      <w:pPr>
        <w:pStyle w:val="BodyText"/>
        <w:spacing w:line="314" w:lineRule="auto" w:before="17"/>
        <w:ind w:left="558" w:right="101"/>
        <w:jc w:val="left"/>
      </w:pPr>
      <w:r>
        <w:rPr/>
        <w:t>会计处理方法</w:t>
      </w:r>
      <w:r>
        <w:rPr>
          <w:w w:val="100"/>
        </w:rPr>
        <w:t> </w:t>
      </w:r>
      <w:r>
        <w:rPr>
          <w:spacing w:val="-2"/>
        </w:rPr>
        <w:t>以权益结算的股份支付，按授予职工权益工具的公允价值计量。授予后立即可行权的，在授</w:t>
      </w:r>
    </w:p>
    <w:p>
      <w:pPr>
        <w:pStyle w:val="BodyText"/>
        <w:spacing w:line="314" w:lineRule="auto" w:before="17"/>
        <w:ind w:left="138" w:right="217"/>
        <w:jc w:val="both"/>
      </w:pPr>
      <w:r>
        <w:rPr>
          <w:spacing w:val="-2"/>
        </w:rPr>
        <w:t>予日按照权益工具的公允价值计入相关成本或费用，相应增加资本公积。在完成等待期内的服务</w:t>
      </w:r>
      <w:r>
        <w:rPr>
          <w:spacing w:val="-25"/>
        </w:rPr>
        <w:t> </w:t>
      </w:r>
      <w:r>
        <w:rPr>
          <w:spacing w:val="-25"/>
        </w:rPr>
      </w:r>
      <w:r>
        <w:rPr>
          <w:spacing w:val="-2"/>
        </w:rPr>
        <w:t>或达到规定业绩条件才可行权的，在等待期内的每个资产负债表日，以对可行权权益工具数量的</w:t>
      </w:r>
      <w:r>
        <w:rPr>
          <w:spacing w:val="-25"/>
        </w:rPr>
        <w:t> </w:t>
      </w:r>
      <w:r>
        <w:rPr>
          <w:spacing w:val="-25"/>
        </w:rPr>
      </w:r>
      <w:r>
        <w:rPr>
          <w:spacing w:val="-2"/>
        </w:rPr>
        <w:t>最佳估计为基础，按照权益工具授予日的公允价值，将当期取得的服务计入相关成本或费用和资</w:t>
      </w:r>
      <w:r>
        <w:rPr>
          <w:spacing w:val="-25"/>
        </w:rPr>
        <w:t> </w:t>
      </w:r>
      <w:r>
        <w:rPr>
          <w:spacing w:val="-25"/>
        </w:rPr>
      </w:r>
      <w:r>
        <w:rPr/>
        <w:t>本公积。在可行权日之后不再对已确认的相关成本或费用和所有者权益总额进行调整。</w:t>
      </w:r>
    </w:p>
    <w:p>
      <w:pPr>
        <w:pStyle w:val="BodyText"/>
        <w:spacing w:line="314" w:lineRule="auto" w:before="17"/>
        <w:ind w:left="138" w:right="217" w:firstLine="419"/>
        <w:jc w:val="both"/>
      </w:pPr>
      <w:r>
        <w:rPr>
          <w:spacing w:val="-2"/>
        </w:rPr>
        <w:t>以现金结算的股份支付，按照本公司承担的以股份或其他权益工具为基础计算确定的负债的</w:t>
      </w:r>
      <w:r>
        <w:rPr>
          <w:w w:val="100"/>
        </w:rPr>
        <w:t> </w:t>
      </w:r>
      <w:r>
        <w:rPr>
          <w:spacing w:val="-2"/>
        </w:rPr>
        <w:t>公允价值计量。授予后立即可行权的，在授予日以本公司承担负债的公允价值计入相关成本或费</w:t>
      </w:r>
      <w:r>
        <w:rPr>
          <w:spacing w:val="-25"/>
        </w:rPr>
        <w:t> </w:t>
      </w:r>
      <w:r>
        <w:rPr>
          <w:spacing w:val="-25"/>
        </w:rPr>
      </w:r>
      <w:r>
        <w:rPr>
          <w:spacing w:val="-2"/>
        </w:rPr>
        <w:t>用，相应增加负债。在完成等待期内的服务或达到规定业绩条件以后才可行权的以现金结算的股</w:t>
      </w:r>
      <w:r>
        <w:rPr>
          <w:spacing w:val="-25"/>
        </w:rPr>
        <w:t> </w:t>
      </w:r>
      <w:r>
        <w:rPr>
          <w:spacing w:val="-25"/>
        </w:rPr>
      </w:r>
      <w:r>
        <w:rPr>
          <w:spacing w:val="-2"/>
        </w:rPr>
        <w:t>份支付，在等待期内的每个资产负债表日，以对可行权情况的最佳估计为基础，按照本公司承担</w:t>
      </w:r>
      <w:r>
        <w:rPr>
          <w:spacing w:val="-25"/>
        </w:rPr>
        <w:t> </w:t>
      </w:r>
      <w:r>
        <w:rPr>
          <w:spacing w:val="-25"/>
        </w:rPr>
      </w:r>
      <w:r>
        <w:rPr>
          <w:spacing w:val="-2"/>
        </w:rPr>
        <w:t>负债的公允价值金额，将当期取得的服务计入成本或费用和相应的负债。在相关负债结算前的每</w:t>
      </w:r>
      <w:r>
        <w:rPr>
          <w:spacing w:val="-26"/>
        </w:rPr>
        <w:t> </w:t>
      </w:r>
      <w:r>
        <w:rPr>
          <w:spacing w:val="-26"/>
        </w:rPr>
      </w:r>
      <w:r>
        <w:rPr/>
        <w:t>个资产负债表日以及结算日，对负债的公允价值重新计量，其变动计入当期损益。</w:t>
      </w:r>
    </w:p>
    <w:p>
      <w:pPr>
        <w:spacing w:after="0" w:line="314" w:lineRule="auto"/>
        <w:jc w:val="both"/>
        <w:sectPr>
          <w:footerReference w:type="default" r:id="rId61"/>
          <w:pgSz w:w="11910" w:h="16840"/>
          <w:pgMar w:footer="1195" w:header="882" w:top="1120" w:bottom="1380" w:left="1660" w:right="1060"/>
          <w:pgNumType w:start="99"/>
        </w:sectPr>
      </w:pPr>
    </w:p>
    <w:p>
      <w:pPr>
        <w:spacing w:line="240" w:lineRule="auto" w:before="8"/>
        <w:rPr>
          <w:rFonts w:ascii="宋体" w:hAnsi="宋体" w:cs="宋体" w:eastAsia="宋体" w:hint="default"/>
          <w:sz w:val="28"/>
          <w:szCs w:val="28"/>
        </w:rPr>
      </w:pPr>
    </w:p>
    <w:p>
      <w:pPr>
        <w:pStyle w:val="BodyText"/>
        <w:spacing w:line="314" w:lineRule="auto" w:before="36"/>
        <w:ind w:left="558" w:right="101"/>
        <w:jc w:val="left"/>
      </w:pPr>
      <w:r>
        <w:rPr/>
        <w:t>对于存在修改条款和条件的情况的，本期的修改情况及相关会计处理</w:t>
      </w:r>
      <w:r>
        <w:rPr>
          <w:w w:val="100"/>
        </w:rPr>
        <w:t> </w:t>
      </w:r>
      <w:r>
        <w:rPr>
          <w:spacing w:val="-4"/>
          <w:w w:val="100"/>
        </w:rPr>
        <w:t>若在等待期内取消了授予的权益工具，本公司对取消所授予的权益性工具作为加速行权处理，</w:t>
      </w:r>
    </w:p>
    <w:p>
      <w:pPr>
        <w:pStyle w:val="BodyText"/>
        <w:spacing w:line="314" w:lineRule="auto" w:before="17"/>
        <w:ind w:left="138" w:right="101"/>
        <w:jc w:val="left"/>
      </w:pPr>
      <w:r>
        <w:rPr>
          <w:spacing w:val="-2"/>
        </w:rPr>
        <w:t>将剩余等待期内应确认的金额立即计入当期损益，同时确认资本公积。职工或其他方能够选择满</w:t>
      </w:r>
      <w:r>
        <w:rPr>
          <w:spacing w:val="-25"/>
        </w:rPr>
        <w:t> </w:t>
      </w:r>
      <w:r>
        <w:rPr>
          <w:spacing w:val="-25"/>
        </w:rPr>
      </w:r>
      <w:r>
        <w:rPr/>
        <w:t>足非可行权条件但在等待期内未满足的，本公司将其作为授予权益工具的取消处理。</w:t>
      </w:r>
    </w:p>
    <w:p>
      <w:pPr>
        <w:pStyle w:val="Heading2"/>
        <w:spacing w:line="240" w:lineRule="auto"/>
        <w:ind w:left="138" w:right="101"/>
        <w:jc w:val="left"/>
        <w:rPr>
          <w:b w:val="0"/>
          <w:bCs w:val="0"/>
        </w:rPr>
      </w:pPr>
      <w:r>
        <w:rPr>
          <w:rFonts w:ascii="宋体" w:hAnsi="宋体" w:cs="宋体" w:eastAsia="宋体" w:hint="default"/>
        </w:rPr>
        <w:t>27.</w:t>
      </w:r>
      <w:r>
        <w:rPr>
          <w:rFonts w:ascii="宋体" w:hAnsi="宋体" w:cs="宋体" w:eastAsia="宋体" w:hint="default"/>
          <w:spacing w:val="-61"/>
        </w:rPr>
        <w:t> </w:t>
      </w:r>
      <w:r>
        <w:rPr/>
        <w:t>优先股、永续债等其他金融工具</w:t>
      </w:r>
      <w:r>
        <w:rPr>
          <w:b w:val="0"/>
          <w:bCs w:val="0"/>
        </w:rPr>
      </w:r>
    </w:p>
    <w:p>
      <w:pPr>
        <w:pStyle w:val="BodyText"/>
        <w:spacing w:line="240" w:lineRule="auto" w:before="85"/>
        <w:ind w:left="138" w:right="101"/>
        <w:jc w:val="left"/>
      </w:pPr>
      <w:r>
        <w:rPr/>
        <w:t>□适用√不适用</w:t>
      </w:r>
    </w:p>
    <w:p>
      <w:pPr>
        <w:pStyle w:val="Heading2"/>
        <w:spacing w:line="240" w:lineRule="auto" w:before="69"/>
        <w:ind w:left="138" w:right="101"/>
        <w:jc w:val="left"/>
        <w:rPr>
          <w:b w:val="0"/>
          <w:bCs w:val="0"/>
        </w:rPr>
      </w:pPr>
      <w:r>
        <w:rPr>
          <w:rFonts w:ascii="宋体" w:hAnsi="宋体" w:cs="宋体" w:eastAsia="宋体" w:hint="default"/>
        </w:rPr>
        <w:t>28.</w:t>
      </w:r>
      <w:r>
        <w:rPr>
          <w:rFonts w:ascii="宋体" w:hAnsi="宋体" w:cs="宋体" w:eastAsia="宋体" w:hint="default"/>
          <w:spacing w:val="-58"/>
        </w:rPr>
        <w:t> </w:t>
      </w:r>
      <w:r>
        <w:rPr/>
        <w:t>收入</w:t>
      </w:r>
      <w:r>
        <w:rPr>
          <w:b w:val="0"/>
          <w:bCs w:val="0"/>
        </w:rPr>
      </w:r>
    </w:p>
    <w:p>
      <w:pPr>
        <w:pStyle w:val="BodyText"/>
        <w:spacing w:line="292" w:lineRule="auto" w:before="85"/>
        <w:ind w:left="558" w:right="4062" w:hanging="420"/>
        <w:jc w:val="left"/>
      </w:pPr>
      <w:r>
        <w:rPr/>
        <w:t>√适用□不适用</w:t>
      </w:r>
      <w:r>
        <w:rPr>
          <w:spacing w:val="-103"/>
        </w:rPr>
        <w:t> </w:t>
      </w:r>
      <w:r>
        <w:rPr>
          <w:spacing w:val="-103"/>
        </w:rPr>
      </w:r>
      <w:r>
        <w:rPr>
          <w:spacing w:val="-2"/>
        </w:rPr>
        <w:t>销售商品收入确认时间的具体判断标准</w:t>
      </w:r>
    </w:p>
    <w:p>
      <w:pPr>
        <w:pStyle w:val="BodyText"/>
        <w:spacing w:line="314" w:lineRule="auto" w:before="39"/>
        <w:ind w:left="138" w:right="217" w:firstLine="419"/>
        <w:jc w:val="both"/>
      </w:pPr>
      <w:r>
        <w:rPr>
          <w:spacing w:val="-2"/>
        </w:rPr>
        <w:t>公司已将商品所有权上的主要风险和报酬转移给购买方；公司既没有保留与所有权相联系的</w:t>
      </w:r>
      <w:r>
        <w:rPr>
          <w:w w:val="100"/>
        </w:rPr>
        <w:t> </w:t>
      </w:r>
      <w:r>
        <w:rPr>
          <w:spacing w:val="-2"/>
        </w:rPr>
        <w:t>继续管理权，也没有对已售出的商品实施有效控制；收入的金额能够可靠地计量；相关的经济利</w:t>
      </w:r>
      <w:r>
        <w:rPr>
          <w:spacing w:val="-25"/>
        </w:rPr>
        <w:t> </w:t>
      </w:r>
      <w:r>
        <w:rPr>
          <w:spacing w:val="-25"/>
        </w:rPr>
      </w:r>
      <w:r>
        <w:rPr>
          <w:spacing w:val="-2"/>
        </w:rPr>
        <w:t>益很可能流入企业；相关的已发生或将发生的成本能够可靠地计量时，确认商品销售收入实现。</w:t>
      </w:r>
    </w:p>
    <w:p>
      <w:pPr>
        <w:pStyle w:val="BodyText"/>
        <w:spacing w:line="314" w:lineRule="auto" w:before="17"/>
        <w:ind w:left="558" w:right="101"/>
        <w:jc w:val="left"/>
      </w:pPr>
      <w:r>
        <w:rPr/>
        <w:t>公司按销售商品原则确认的收入主要包括商品销售收入及系统集成收入：</w:t>
      </w:r>
      <w:r>
        <w:rPr>
          <w:w w:val="100"/>
        </w:rPr>
        <w:t> </w:t>
      </w:r>
      <w:r>
        <w:rPr>
          <w:spacing w:val="-2"/>
        </w:rPr>
        <w:t>公司商品销售收入确认的具体原则为：公司将项目货物全部发出，客户签收无误后，发出货</w:t>
      </w:r>
    </w:p>
    <w:p>
      <w:pPr>
        <w:pStyle w:val="BodyText"/>
        <w:spacing w:line="314" w:lineRule="auto" w:before="17"/>
        <w:ind w:left="558" w:right="101" w:hanging="420"/>
        <w:jc w:val="left"/>
      </w:pPr>
      <w:r>
        <w:rPr/>
        <w:t>物的收入金额能够确定，并已收讫货款或预计可收回货款，成本能够可靠计量。</w:t>
      </w:r>
      <w:r>
        <w:rPr>
          <w:w w:val="100"/>
        </w:rPr>
        <w:t> </w:t>
      </w:r>
      <w:r>
        <w:rPr>
          <w:spacing w:val="-2"/>
        </w:rPr>
        <w:t>公司系统集成收入确认的具体原则为：在系统集成项目经客户竣工验收时，确认该系统集成</w:t>
      </w:r>
    </w:p>
    <w:p>
      <w:pPr>
        <w:pStyle w:val="BodyText"/>
        <w:spacing w:line="240" w:lineRule="auto" w:before="17"/>
        <w:ind w:left="138" w:right="101"/>
        <w:jc w:val="left"/>
      </w:pPr>
      <w:r>
        <w:rPr/>
        <w:t>项目收入。</w:t>
      </w:r>
    </w:p>
    <w:p>
      <w:pPr>
        <w:pStyle w:val="BodyText"/>
        <w:spacing w:line="312" w:lineRule="auto" w:before="85"/>
        <w:ind w:left="558" w:right="101"/>
        <w:jc w:val="left"/>
      </w:pPr>
      <w:r>
        <w:rPr/>
        <w:t>确认让渡资产使用权收入的依据</w:t>
      </w:r>
      <w:r>
        <w:rPr>
          <w:w w:val="100"/>
        </w:rPr>
        <w:t> </w:t>
      </w:r>
      <w:r>
        <w:rPr>
          <w:spacing w:val="-2"/>
        </w:rPr>
        <w:t>与交易相关的经济利益很可能流入企业，收入的金额能够可靠地计量时，分别下列情况确定</w:t>
      </w:r>
    </w:p>
    <w:p>
      <w:pPr>
        <w:pStyle w:val="BodyText"/>
        <w:spacing w:line="240" w:lineRule="auto" w:before="22"/>
        <w:ind w:left="138" w:right="101"/>
        <w:jc w:val="left"/>
      </w:pPr>
      <w:r>
        <w:rPr/>
        <w:t>让渡资产使用权收入金额：</w:t>
      </w:r>
    </w:p>
    <w:p>
      <w:pPr>
        <w:pStyle w:val="BodyText"/>
        <w:spacing w:line="240" w:lineRule="auto" w:before="82"/>
        <w:ind w:left="558" w:right="101"/>
        <w:jc w:val="left"/>
      </w:pPr>
      <w:r>
        <w:rPr/>
        <w:t>（</w:t>
      </w:r>
      <w:r>
        <w:rPr>
          <w:rFonts w:ascii="宋体" w:hAnsi="宋体" w:cs="宋体" w:eastAsia="宋体" w:hint="default"/>
        </w:rPr>
        <w:t>1</w:t>
      </w:r>
      <w:r>
        <w:rPr/>
        <w:t>）利息收入金额，按照他人使用本公司货币资金的时间和实际利率计算确定。</w:t>
      </w:r>
    </w:p>
    <w:p>
      <w:pPr>
        <w:pStyle w:val="BodyText"/>
        <w:spacing w:line="314" w:lineRule="auto" w:before="85"/>
        <w:ind w:left="558" w:right="101"/>
        <w:jc w:val="left"/>
      </w:pPr>
      <w:r>
        <w:rPr/>
        <w:t>（</w:t>
      </w:r>
      <w:r>
        <w:rPr>
          <w:rFonts w:ascii="宋体" w:hAnsi="宋体" w:cs="宋体" w:eastAsia="宋体" w:hint="default"/>
        </w:rPr>
        <w:t>2</w:t>
      </w:r>
      <w:r>
        <w:rPr/>
        <w:t>）使用费收入金额，按照有关合同或协议约定的收费时间和方法计算确定。</w:t>
      </w:r>
      <w:r>
        <w:rPr>
          <w:w w:val="100"/>
        </w:rPr>
        <w:t> </w:t>
      </w:r>
      <w:r>
        <w:rPr/>
        <w:t>提供劳务收入的确认依据和方法</w:t>
      </w:r>
      <w:r>
        <w:rPr>
          <w:w w:val="100"/>
        </w:rPr>
        <w:t> </w:t>
      </w:r>
      <w:r>
        <w:rPr>
          <w:spacing w:val="-4"/>
          <w:w w:val="100"/>
        </w:rPr>
        <w:t>在资产负债表日提供劳务交易的结果能够可靠估计的，采用完工百分比法确认提供劳务收入。</w:t>
      </w:r>
    </w:p>
    <w:p>
      <w:pPr>
        <w:pStyle w:val="BodyText"/>
        <w:spacing w:line="314" w:lineRule="auto" w:before="17"/>
        <w:ind w:left="558" w:right="101" w:hanging="420"/>
        <w:jc w:val="left"/>
      </w:pPr>
      <w:r>
        <w:rPr>
          <w:spacing w:val="-2"/>
        </w:rPr>
        <w:t>提供劳务交易的完工进度，依据已完成劳务的工作量占预计劳务总量的比例确定。</w:t>
      </w:r>
      <w:r>
        <w:rPr>
          <w:spacing w:val="-35"/>
        </w:rPr>
        <w:t> </w:t>
      </w:r>
      <w:r>
        <w:rPr>
          <w:spacing w:val="-35"/>
        </w:rPr>
      </w:r>
      <w:r>
        <w:rPr/>
        <w:t>提供劳务交易的结果能够可靠估计，是指同时满足下列条件：</w:t>
      </w:r>
    </w:p>
    <w:p>
      <w:pPr>
        <w:pStyle w:val="BodyText"/>
        <w:spacing w:line="240" w:lineRule="auto" w:before="17"/>
        <w:ind w:left="558" w:right="101"/>
        <w:jc w:val="left"/>
      </w:pPr>
      <w:r>
        <w:rPr/>
        <w:t>（</w:t>
      </w:r>
      <w:r>
        <w:rPr>
          <w:rFonts w:ascii="宋体" w:hAnsi="宋体" w:cs="宋体" w:eastAsia="宋体" w:hint="default"/>
        </w:rPr>
        <w:t>1</w:t>
      </w:r>
      <w:r>
        <w:rPr/>
        <w:t>）收入的金额能够可靠地计量；</w:t>
      </w:r>
    </w:p>
    <w:p>
      <w:pPr>
        <w:pStyle w:val="BodyText"/>
        <w:spacing w:line="240" w:lineRule="auto" w:before="85"/>
        <w:ind w:left="558" w:right="101"/>
        <w:jc w:val="left"/>
      </w:pPr>
      <w:r>
        <w:rPr/>
        <w:t>（</w:t>
      </w:r>
      <w:r>
        <w:rPr>
          <w:rFonts w:ascii="宋体" w:hAnsi="宋体" w:cs="宋体" w:eastAsia="宋体" w:hint="default"/>
        </w:rPr>
        <w:t>2</w:t>
      </w:r>
      <w:r>
        <w:rPr/>
        <w:t>）相关的经济利益很可能流入企业；</w:t>
      </w:r>
    </w:p>
    <w:p>
      <w:pPr>
        <w:pStyle w:val="BodyText"/>
        <w:spacing w:line="240" w:lineRule="auto" w:before="82"/>
        <w:ind w:left="558" w:right="101"/>
        <w:jc w:val="left"/>
      </w:pPr>
      <w:r>
        <w:rPr/>
        <w:t>（</w:t>
      </w:r>
      <w:r>
        <w:rPr>
          <w:rFonts w:ascii="宋体" w:hAnsi="宋体" w:cs="宋体" w:eastAsia="宋体" w:hint="default"/>
        </w:rPr>
        <w:t>3</w:t>
      </w:r>
      <w:r>
        <w:rPr/>
        <w:t>）交易的完工进度能够可靠地确定；</w:t>
      </w:r>
    </w:p>
    <w:p>
      <w:pPr>
        <w:pStyle w:val="BodyText"/>
        <w:spacing w:line="312" w:lineRule="auto" w:before="85"/>
        <w:ind w:left="558" w:right="101"/>
        <w:jc w:val="left"/>
      </w:pPr>
      <w:r>
        <w:rPr/>
        <w:t>（</w:t>
      </w:r>
      <w:r>
        <w:rPr>
          <w:rFonts w:ascii="宋体" w:hAnsi="宋体" w:cs="宋体" w:eastAsia="宋体"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w:t>
      </w:r>
    </w:p>
    <w:p>
      <w:pPr>
        <w:pStyle w:val="BodyText"/>
        <w:spacing w:line="312" w:lineRule="auto" w:before="22"/>
        <w:ind w:left="138" w:right="101"/>
        <w:jc w:val="left"/>
      </w:pPr>
      <w:r>
        <w:rPr>
          <w:spacing w:val="-2"/>
        </w:rPr>
        <w:t>不公允的除外。资产负债表日按照提供劳务收入总额乘以完工进度扣除以前会计期间累计已确认</w:t>
      </w:r>
      <w:r>
        <w:rPr>
          <w:spacing w:val="-25"/>
        </w:rPr>
        <w:t> </w:t>
      </w:r>
      <w:r>
        <w:rPr>
          <w:spacing w:val="-25"/>
        </w:rPr>
      </w:r>
      <w:r>
        <w:rPr/>
        <w:t>提供劳务收入后的金额，确认当期提供劳务收入。</w:t>
      </w:r>
    </w:p>
    <w:p>
      <w:pPr>
        <w:pStyle w:val="BodyText"/>
        <w:spacing w:line="240" w:lineRule="auto" w:before="22"/>
        <w:ind w:left="558" w:right="101"/>
        <w:jc w:val="left"/>
      </w:pPr>
      <w:r>
        <w:rPr/>
        <w:t>在资产负债表日提供劳务交易结果不能够可靠估计的，分别下列情况处理：</w:t>
      </w:r>
    </w:p>
    <w:p>
      <w:pPr>
        <w:pStyle w:val="BodyText"/>
        <w:spacing w:line="314" w:lineRule="auto" w:before="82"/>
        <w:ind w:left="138" w:right="101" w:firstLine="419"/>
        <w:jc w:val="left"/>
      </w:pPr>
      <w:r>
        <w:rPr>
          <w:spacing w:val="-4"/>
        </w:rPr>
        <w:t>（</w:t>
      </w:r>
      <w:r>
        <w:rPr>
          <w:rFonts w:ascii="宋体" w:hAnsi="宋体" w:cs="宋体" w:eastAsia="宋体" w:hint="default"/>
          <w:spacing w:val="-4"/>
        </w:rPr>
        <w:t>1</w:t>
      </w:r>
      <w:r>
        <w:rPr>
          <w:spacing w:val="-4"/>
        </w:rPr>
        <w:t>）已经发生的劳务成本预计能够得到补偿的，按照已经发生的劳务成本金额确认提供劳务</w:t>
      </w:r>
      <w:r>
        <w:rPr>
          <w:w w:val="100"/>
        </w:rPr>
        <w:t> </w:t>
      </w:r>
      <w:r>
        <w:rPr/>
        <w:t>收入，并按相同金额结转劳务成本。</w:t>
      </w:r>
    </w:p>
    <w:p>
      <w:pPr>
        <w:pStyle w:val="BodyText"/>
        <w:spacing w:line="314" w:lineRule="auto" w:before="18"/>
        <w:ind w:left="138" w:right="101" w:firstLine="419"/>
        <w:jc w:val="left"/>
      </w:pPr>
      <w:r>
        <w:rPr>
          <w:spacing w:val="-4"/>
        </w:rPr>
        <w:t>（</w:t>
      </w:r>
      <w:r>
        <w:rPr>
          <w:rFonts w:ascii="宋体" w:hAnsi="宋体" w:cs="宋体" w:eastAsia="宋体" w:hint="default"/>
          <w:spacing w:val="-4"/>
        </w:rPr>
        <w:t>2</w:t>
      </w:r>
      <w:r>
        <w:rPr>
          <w:spacing w:val="-4"/>
        </w:rPr>
        <w:t>）已经发生的劳务成本预计不能够得到补偿的，将已经发生的劳务成本计入当期损益，不</w:t>
      </w:r>
      <w:r>
        <w:rPr>
          <w:w w:val="100"/>
        </w:rPr>
        <w:t> </w:t>
      </w:r>
      <w:r>
        <w:rPr/>
        <w:t>确认提供劳务收入。</w:t>
      </w:r>
    </w:p>
    <w:p>
      <w:pPr>
        <w:spacing w:after="0" w:line="314" w:lineRule="auto"/>
        <w:jc w:val="left"/>
        <w:sectPr>
          <w:footerReference w:type="default" r:id="rId62"/>
          <w:pgSz w:w="11910" w:h="16840"/>
          <w:pgMar w:footer="1195" w:header="882" w:top="1120" w:bottom="1380" w:left="1660" w:right="1060"/>
          <w:pgNumType w:start="100"/>
        </w:sectPr>
      </w:pPr>
    </w:p>
    <w:p>
      <w:pPr>
        <w:spacing w:line="240" w:lineRule="auto" w:before="8"/>
        <w:rPr>
          <w:rFonts w:ascii="宋体" w:hAnsi="宋体" w:cs="宋体" w:eastAsia="宋体" w:hint="default"/>
          <w:sz w:val="28"/>
          <w:szCs w:val="28"/>
        </w:rPr>
      </w:pPr>
    </w:p>
    <w:p>
      <w:pPr>
        <w:pStyle w:val="BodyText"/>
        <w:spacing w:line="314" w:lineRule="auto" w:before="36"/>
        <w:ind w:left="138" w:right="317" w:firstLine="419"/>
        <w:jc w:val="both"/>
      </w:pPr>
      <w:r>
        <w:rPr>
          <w:spacing w:val="-2"/>
        </w:rPr>
        <w:t>本公司与其他企业签订的合同或协议包括销售商品和提供劳务时，销售商品部分和提供劳务</w:t>
      </w:r>
      <w:r>
        <w:rPr>
          <w:w w:val="100"/>
        </w:rPr>
        <w:t> </w:t>
      </w:r>
      <w:r>
        <w:rPr>
          <w:spacing w:val="-2"/>
        </w:rPr>
        <w:t>部分能够区分且能够单独计量的，将销售商品的部分作为销售商品处理，将提供劳务的部分作为</w:t>
      </w:r>
      <w:r>
        <w:rPr>
          <w:spacing w:val="-25"/>
        </w:rPr>
        <w:t> </w:t>
      </w:r>
      <w:r>
        <w:rPr>
          <w:spacing w:val="-25"/>
        </w:rPr>
      </w:r>
      <w:r>
        <w:rPr>
          <w:spacing w:val="-2"/>
        </w:rPr>
        <w:t>提供劳务处理。销售商品部分和提供劳务部分不能够区分，或虽能区分但不能够单独计量的，将</w:t>
      </w:r>
      <w:r>
        <w:rPr>
          <w:spacing w:val="-25"/>
        </w:rPr>
        <w:t> </w:t>
      </w:r>
      <w:r>
        <w:rPr>
          <w:spacing w:val="-25"/>
        </w:rPr>
      </w:r>
      <w:r>
        <w:rPr/>
        <w:t>销售商品部分和提供劳务部分全部作为销售商品处理。</w:t>
      </w:r>
    </w:p>
    <w:p>
      <w:pPr>
        <w:pStyle w:val="BodyText"/>
        <w:spacing w:line="314" w:lineRule="auto" w:before="17"/>
        <w:ind w:left="138" w:right="215" w:firstLine="419"/>
        <w:jc w:val="left"/>
      </w:pPr>
      <w:r>
        <w:rPr>
          <w:spacing w:val="-3"/>
        </w:rPr>
        <w:t>公司提供劳务收入主要包括定制软件收入、移动金融 </w:t>
      </w:r>
      <w:r>
        <w:rPr>
          <w:rFonts w:ascii="宋体" w:hAnsi="宋体" w:cs="宋体" w:eastAsia="宋体" w:hint="default"/>
        </w:rPr>
        <w:t>IT</w:t>
      </w:r>
      <w:r>
        <w:rPr>
          <w:rFonts w:ascii="宋体" w:hAnsi="宋体" w:cs="宋体" w:eastAsia="宋体" w:hint="default"/>
          <w:spacing w:val="-47"/>
        </w:rPr>
        <w:t> </w:t>
      </w:r>
      <w:r>
        <w:rPr>
          <w:spacing w:val="-6"/>
        </w:rPr>
        <w:t>软件开发、系统维护收入、技术服务</w:t>
      </w:r>
      <w:r>
        <w:rPr>
          <w:w w:val="100"/>
        </w:rPr>
        <w:t> </w:t>
      </w:r>
      <w:r>
        <w:rPr/>
        <w:t>收入：</w:t>
      </w:r>
    </w:p>
    <w:p>
      <w:pPr>
        <w:pStyle w:val="BodyText"/>
        <w:spacing w:line="314" w:lineRule="auto" w:before="17"/>
        <w:ind w:left="138" w:right="123" w:firstLine="419"/>
        <w:jc w:val="left"/>
      </w:pPr>
      <w:r>
        <w:rPr/>
        <w:t>公司定制软件收入确认的具体原则为：在已收讫货款或预计可收回合同货款时，资产负债表</w:t>
      </w:r>
      <w:r>
        <w:rPr>
          <w:w w:val="100"/>
        </w:rPr>
        <w:t> </w:t>
      </w:r>
      <w:r>
        <w:rPr>
          <w:spacing w:val="-2"/>
        </w:rPr>
        <w:t>日按定制软件项目实际已投入的工作量占该定制软件项目预计投入总工作量的比例确定完工进度，</w:t>
      </w:r>
      <w:r>
        <w:rPr>
          <w:spacing w:val="-13"/>
        </w:rPr>
        <w:t> </w:t>
      </w:r>
      <w:r>
        <w:rPr>
          <w:spacing w:val="-13"/>
        </w:rPr>
      </w:r>
      <w:r>
        <w:rPr/>
        <w:t>按照该定制软件项目合同确定的收入总额乘以完工进度扣除以前会计期间累计已确认的定制软件</w:t>
      </w:r>
      <w:r>
        <w:rPr>
          <w:w w:val="100"/>
        </w:rPr>
        <w:t> </w:t>
      </w:r>
      <w:r>
        <w:rPr/>
        <w:t>收入金额，确认当期定制软件收入。</w:t>
      </w:r>
    </w:p>
    <w:p>
      <w:pPr>
        <w:pStyle w:val="BodyText"/>
        <w:spacing w:line="314" w:lineRule="auto" w:before="17"/>
        <w:ind w:left="138" w:right="310" w:firstLine="419"/>
        <w:jc w:val="both"/>
      </w:pPr>
      <w:r>
        <w:rPr/>
        <w:t>移动金融 </w:t>
      </w:r>
      <w:r>
        <w:rPr>
          <w:rFonts w:ascii="宋体" w:hAnsi="宋体" w:cs="宋体" w:eastAsia="宋体" w:hint="default"/>
        </w:rPr>
        <w:t>IT</w:t>
      </w:r>
      <w:r>
        <w:rPr>
          <w:rFonts w:ascii="宋体" w:hAnsi="宋体" w:cs="宋体" w:eastAsia="宋体" w:hint="default"/>
          <w:spacing w:val="-48"/>
        </w:rPr>
        <w:t> </w:t>
      </w:r>
      <w:r>
        <w:rPr>
          <w:spacing w:val="-5"/>
        </w:rPr>
        <w:t>软件开发收入确认的具体原则为：在已收讫货款或预计可收回合同货款时，资产</w:t>
      </w:r>
      <w:r>
        <w:rPr>
          <w:w w:val="100"/>
        </w:rPr>
        <w:t> </w:t>
      </w:r>
      <w:r>
        <w:rPr>
          <w:spacing w:val="-2"/>
        </w:rPr>
        <w:t>负债表日按软件开发项目实际发生的成本占该项目预计总成本的比例确定完工进度，按照该软件</w:t>
      </w:r>
      <w:r>
        <w:rPr>
          <w:spacing w:val="-25"/>
        </w:rPr>
        <w:t> </w:t>
      </w:r>
      <w:r>
        <w:rPr>
          <w:spacing w:val="-25"/>
        </w:rPr>
      </w:r>
      <w:r>
        <w:rPr>
          <w:spacing w:val="-2"/>
        </w:rPr>
        <w:t>开发项目合同确定的收入总额乘以完工进度扣除以前会计期间累计已确认的软件开发项目收入金</w:t>
      </w:r>
      <w:r>
        <w:rPr>
          <w:spacing w:val="-25"/>
        </w:rPr>
        <w:t> </w:t>
      </w:r>
      <w:r>
        <w:rPr>
          <w:spacing w:val="-25"/>
        </w:rPr>
      </w:r>
      <w:r>
        <w:rPr/>
        <w:t>额，确认当期软件开发项目收入。</w:t>
      </w:r>
    </w:p>
    <w:p>
      <w:pPr>
        <w:pStyle w:val="BodyText"/>
        <w:spacing w:line="314" w:lineRule="auto" w:before="17"/>
        <w:ind w:left="138" w:right="215" w:firstLine="419"/>
        <w:jc w:val="left"/>
      </w:pPr>
      <w:r>
        <w:rPr>
          <w:spacing w:val="-2"/>
        </w:rPr>
        <w:t>公司系统维护收入确认的具体原则为：在已收讫货款或预计可收回合同货款时，按合同或协</w:t>
      </w:r>
      <w:r>
        <w:rPr>
          <w:w w:val="100"/>
        </w:rPr>
        <w:t> </w:t>
      </w:r>
      <w:r>
        <w:rPr/>
        <w:t>议约定的系统维护费结算时间分期确认。</w:t>
      </w:r>
    </w:p>
    <w:p>
      <w:pPr>
        <w:pStyle w:val="BodyText"/>
        <w:spacing w:line="314" w:lineRule="auto" w:before="17"/>
        <w:ind w:left="138" w:right="215" w:firstLine="419"/>
        <w:jc w:val="left"/>
      </w:pPr>
      <w:r>
        <w:rPr>
          <w:spacing w:val="-2"/>
        </w:rPr>
        <w:t>公司技术服务收入确认的具体原则为：在技术服务已经提供，按合同约定结算技术服务费时</w:t>
      </w:r>
      <w:r>
        <w:rPr>
          <w:w w:val="100"/>
        </w:rPr>
        <w:t> </w:t>
      </w:r>
      <w:r>
        <w:rPr/>
        <w:t>确认。</w:t>
      </w:r>
    </w:p>
    <w:p>
      <w:pPr>
        <w:pStyle w:val="BodyText"/>
        <w:spacing w:line="314" w:lineRule="auto" w:before="18"/>
        <w:ind w:left="558" w:right="215"/>
        <w:jc w:val="left"/>
      </w:pPr>
      <w:r>
        <w:rPr/>
        <w:t>建造合同收入的确认依据和方法</w:t>
      </w:r>
      <w:r>
        <w:rPr>
          <w:w w:val="100"/>
        </w:rPr>
        <w:t> </w:t>
      </w:r>
      <w:r>
        <w:rPr>
          <w:spacing w:val="-2"/>
        </w:rPr>
        <w:t>当建造合同的结果能够可靠地估计时，与其相关的合同收入和合同费用在资产负债表日按完</w:t>
      </w:r>
    </w:p>
    <w:p>
      <w:pPr>
        <w:pStyle w:val="BodyText"/>
        <w:spacing w:line="314" w:lineRule="auto" w:before="17"/>
        <w:ind w:left="138" w:right="215"/>
        <w:jc w:val="left"/>
      </w:pPr>
      <w:r>
        <w:rPr>
          <w:spacing w:val="-2"/>
        </w:rPr>
        <w:t>工百分比法予以确认。完工百分比法，是指根据合同完工进度确认合同收入和合同费用的方法。</w:t>
      </w:r>
      <w:r>
        <w:rPr>
          <w:spacing w:val="-25"/>
        </w:rPr>
        <w:t> </w:t>
      </w:r>
      <w:r>
        <w:rPr>
          <w:spacing w:val="-25"/>
        </w:rPr>
      </w:r>
      <w:r>
        <w:rPr/>
        <w:t>合同完工进度按照累计实际发生的合同成本占合同预计总成本的比例确定。</w:t>
      </w:r>
    </w:p>
    <w:p>
      <w:pPr>
        <w:pStyle w:val="BodyText"/>
        <w:spacing w:line="314" w:lineRule="auto" w:before="17"/>
        <w:ind w:left="558" w:right="2949"/>
        <w:jc w:val="left"/>
      </w:pPr>
      <w:r>
        <w:rPr>
          <w:spacing w:val="-2"/>
        </w:rPr>
        <w:t>固定造价合同的结果能够可靠估计，是指同时满足下列条件：</w:t>
      </w:r>
      <w:r>
        <w:rPr>
          <w:spacing w:val="-52"/>
        </w:rPr>
        <w:t> </w:t>
      </w:r>
      <w:r>
        <w:rPr>
          <w:spacing w:val="-52"/>
        </w:rPr>
      </w:r>
      <w:r>
        <w:rPr/>
        <w:t>合同总收入能够可靠地计量；</w:t>
      </w:r>
      <w:r>
        <w:rPr>
          <w:w w:val="100"/>
        </w:rPr>
        <w:t> </w:t>
      </w:r>
      <w:r>
        <w:rPr/>
        <w:t>与合同相关的经济利益很可能流入企业；</w:t>
      </w:r>
      <w:r>
        <w:rPr>
          <w:w w:val="100"/>
        </w:rPr>
        <w:t> </w:t>
      </w:r>
      <w:r>
        <w:rPr/>
        <w:t>实际发生的合同成本能够清楚地区分和可靠地计量；</w:t>
      </w:r>
      <w:r>
        <w:rPr>
          <w:w w:val="100"/>
        </w:rPr>
        <w:t> </w:t>
      </w:r>
      <w:r>
        <w:rPr>
          <w:spacing w:val="-2"/>
        </w:rPr>
        <w:t>合同完工进度和为完成合同尚需发生的成本能够可靠地确定。</w:t>
      </w:r>
      <w:r>
        <w:rPr>
          <w:spacing w:val="-52"/>
        </w:rPr>
        <w:t> </w:t>
      </w:r>
      <w:r>
        <w:rPr>
          <w:spacing w:val="-52"/>
        </w:rPr>
      </w:r>
      <w:r>
        <w:rPr>
          <w:spacing w:val="-2"/>
        </w:rPr>
        <w:t>成本加成合同的结果能够可靠估计，是指同时满足下列条件：</w:t>
      </w:r>
      <w:r>
        <w:rPr>
          <w:spacing w:val="-52"/>
        </w:rPr>
        <w:t> </w:t>
      </w:r>
      <w:r>
        <w:rPr>
          <w:spacing w:val="-52"/>
        </w:rPr>
      </w:r>
      <w:r>
        <w:rPr/>
        <w:t>与合同相关的经济利益很可能流入企业；</w:t>
      </w:r>
      <w:r>
        <w:rPr>
          <w:w w:val="100"/>
        </w:rPr>
        <w:t> </w:t>
      </w:r>
      <w:r>
        <w:rPr/>
        <w:t>实际发生的合同成本能够清楚地区分和可靠地计量。</w:t>
      </w:r>
    </w:p>
    <w:p>
      <w:pPr>
        <w:pStyle w:val="BodyText"/>
        <w:spacing w:line="314" w:lineRule="auto" w:before="17"/>
        <w:ind w:left="138" w:right="123" w:firstLine="419"/>
        <w:jc w:val="left"/>
      </w:pPr>
      <w:r>
        <w:rPr>
          <w:spacing w:val="-4"/>
          <w:w w:val="100"/>
        </w:rPr>
        <w:t>在资产负债表日，按照合同总收入乘以完工进度扣除以前会计期间累计已确认收入后的金额，</w:t>
      </w:r>
      <w:r>
        <w:rPr>
          <w:w w:val="100"/>
        </w:rPr>
        <w:t> </w:t>
      </w:r>
      <w:r>
        <w:rPr/>
        <w:t>确认为当期合同收入；同时，按照合同预计总成本乘以完工进度扣除以前会计期间累计已确认成</w:t>
      </w:r>
      <w:r>
        <w:rPr>
          <w:w w:val="100"/>
        </w:rPr>
        <w:t> </w:t>
      </w:r>
      <w:r>
        <w:rPr/>
        <w:t>本后的金额，确认为当期合同成本。合同工程的变动、索赔及奖金以可能带来收入并能可靠计算</w:t>
      </w:r>
      <w:r>
        <w:rPr>
          <w:w w:val="100"/>
        </w:rPr>
        <w:t> </w:t>
      </w:r>
      <w:r>
        <w:rPr/>
        <w:t>的数额为限计入合同总收入。</w:t>
      </w:r>
    </w:p>
    <w:p>
      <w:pPr>
        <w:pStyle w:val="BodyText"/>
        <w:spacing w:line="314" w:lineRule="auto" w:before="17"/>
        <w:ind w:left="558" w:right="215"/>
        <w:jc w:val="left"/>
      </w:pPr>
      <w:r>
        <w:rPr/>
        <w:t>建造合同的结果不能可靠估计的，分别下列情况处理：</w:t>
      </w:r>
      <w:r>
        <w:rPr>
          <w:w w:val="100"/>
        </w:rPr>
        <w:t> </w:t>
      </w:r>
      <w:r>
        <w:rPr>
          <w:spacing w:val="-2"/>
        </w:rPr>
        <w:t>合同成本能够收回的，合同收入根据能够收回的实际合同成本予以确认，合同成本在其发生</w:t>
      </w:r>
    </w:p>
    <w:p>
      <w:pPr>
        <w:pStyle w:val="BodyText"/>
        <w:spacing w:line="314" w:lineRule="auto" w:before="18"/>
        <w:ind w:left="558" w:right="215" w:hanging="420"/>
        <w:jc w:val="left"/>
      </w:pPr>
      <w:r>
        <w:rPr/>
        <w:t>的当期确认为合同费用。</w:t>
      </w:r>
      <w:r>
        <w:rPr>
          <w:w w:val="100"/>
        </w:rPr>
        <w:t> </w:t>
      </w:r>
      <w:r>
        <w:rPr>
          <w:spacing w:val="-2"/>
        </w:rPr>
        <w:t>合同成本不可能收回的，在发生时立即确认为合同费用，不确认合同收入。</w:t>
      </w:r>
    </w:p>
    <w:p>
      <w:pPr>
        <w:spacing w:after="0" w:line="314" w:lineRule="auto"/>
        <w:jc w:val="left"/>
        <w:sectPr>
          <w:pgSz w:w="11910" w:h="16840"/>
          <w:pgMar w:header="882" w:footer="1195" w:top="1120" w:bottom="1380" w:left="1660" w:right="960"/>
        </w:sectPr>
      </w:pPr>
    </w:p>
    <w:p>
      <w:pPr>
        <w:spacing w:line="240" w:lineRule="auto" w:before="8"/>
        <w:rPr>
          <w:rFonts w:ascii="宋体" w:hAnsi="宋体" w:cs="宋体" w:eastAsia="宋体" w:hint="default"/>
          <w:sz w:val="28"/>
          <w:szCs w:val="28"/>
        </w:rPr>
      </w:pPr>
    </w:p>
    <w:p>
      <w:pPr>
        <w:pStyle w:val="BodyText"/>
        <w:spacing w:line="314" w:lineRule="auto" w:before="36"/>
        <w:ind w:left="558" w:right="1055"/>
        <w:jc w:val="left"/>
      </w:pPr>
      <w:r>
        <w:rPr>
          <w:spacing w:val="-2"/>
        </w:rPr>
        <w:t>如果合同总成本很可能超过合同总收入，则预期损失立即确认为费用。</w:t>
      </w:r>
      <w:r>
        <w:rPr>
          <w:spacing w:val="-45"/>
        </w:rPr>
        <w:t> </w:t>
      </w:r>
      <w:r>
        <w:rPr>
          <w:spacing w:val="-45"/>
        </w:rPr>
      </w:r>
      <w:r>
        <w:rPr/>
        <w:t>公司建安工程收入遵照上述建造合同收入的确认依据和方法进行。</w:t>
      </w:r>
    </w:p>
    <w:p>
      <w:pPr>
        <w:pStyle w:val="Heading2"/>
        <w:spacing w:line="240" w:lineRule="auto"/>
        <w:ind w:left="138" w:right="1055"/>
        <w:jc w:val="left"/>
        <w:rPr>
          <w:b w:val="0"/>
          <w:bCs w:val="0"/>
        </w:rPr>
      </w:pPr>
      <w:r>
        <w:rPr>
          <w:rFonts w:ascii="宋体" w:hAnsi="宋体" w:cs="宋体" w:eastAsia="宋体" w:hint="default"/>
        </w:rPr>
        <w:t>29.</w:t>
      </w:r>
      <w:r>
        <w:rPr>
          <w:rFonts w:ascii="宋体" w:hAnsi="宋体" w:cs="宋体" w:eastAsia="宋体" w:hint="default"/>
          <w:spacing w:val="-60"/>
        </w:rPr>
        <w:t> </w:t>
      </w:r>
      <w:r>
        <w:rPr/>
        <w:t>政府补助</w:t>
      </w:r>
      <w:r>
        <w:rPr>
          <w:b w:val="0"/>
          <w:bCs w:val="0"/>
        </w:rPr>
      </w:r>
    </w:p>
    <w:p>
      <w:pPr>
        <w:pStyle w:val="BodyText"/>
        <w:spacing w:line="314" w:lineRule="auto" w:before="109"/>
        <w:ind w:left="558" w:right="0"/>
        <w:jc w:val="left"/>
      </w:pPr>
      <w:r>
        <w:rPr/>
        <w:t>（</w:t>
      </w:r>
      <w:r>
        <w:rPr>
          <w:rFonts w:ascii="宋体" w:hAnsi="宋体" w:cs="宋体" w:eastAsia="宋体" w:hint="default"/>
        </w:rPr>
        <w:t>1</w:t>
      </w:r>
      <w:r>
        <w:rPr/>
        <w:t>）类型</w:t>
      </w:r>
      <w:r>
        <w:rPr>
          <w:spacing w:val="-103"/>
        </w:rPr>
        <w:t> </w:t>
      </w:r>
      <w:r>
        <w:rPr>
          <w:spacing w:val="-103"/>
        </w:rPr>
      </w:r>
      <w:r>
        <w:rPr>
          <w:spacing w:val="-2"/>
        </w:rPr>
        <w:t>政府补助，是本公司从政府无偿取得的货币性资产与非货币性资产，但不包括政府作为企业</w:t>
      </w:r>
    </w:p>
    <w:p>
      <w:pPr>
        <w:pStyle w:val="BodyText"/>
        <w:tabs>
          <w:tab w:pos="2658" w:val="left" w:leader="none"/>
        </w:tabs>
        <w:spacing w:line="314" w:lineRule="auto" w:before="17"/>
        <w:ind w:left="138" w:right="120"/>
        <w:jc w:val="left"/>
      </w:pPr>
      <w:r>
        <w:rPr>
          <w:spacing w:val="-2"/>
        </w:rPr>
        <w:t>所有者投入的资本。根据</w:t>
        <w:tab/>
        <w:t>相关政府文件规定的补助对象，将政府补助划分为与资产相关的政府</w:t>
      </w:r>
      <w:r>
        <w:rPr>
          <w:spacing w:val="-48"/>
        </w:rPr>
        <w:t> </w:t>
      </w:r>
      <w:r>
        <w:rPr>
          <w:spacing w:val="-48"/>
        </w:rPr>
      </w:r>
      <w:r>
        <w:rPr/>
        <w:t>补助和与收益相关的政府补助。</w:t>
      </w:r>
    </w:p>
    <w:p>
      <w:pPr>
        <w:pStyle w:val="BodyText"/>
        <w:spacing w:line="314" w:lineRule="auto" w:before="17"/>
        <w:ind w:left="138" w:right="117" w:firstLine="419"/>
        <w:jc w:val="both"/>
      </w:pPr>
      <w:r>
        <w:rPr>
          <w:spacing w:val="-2"/>
        </w:rPr>
        <w:t>与资产相关的政府补助，是指本公司取得的、用于购建或以其他方式形成长期资产的政府补</w:t>
      </w:r>
      <w:r>
        <w:rPr>
          <w:w w:val="100"/>
        </w:rPr>
        <w:t> </w:t>
      </w:r>
      <w:r>
        <w:rPr/>
        <w:t>助。与收益相关的政府补助，是指除与资产相关的政府补助之外的政府补助。</w:t>
      </w:r>
    </w:p>
    <w:p>
      <w:pPr>
        <w:pStyle w:val="BodyText"/>
        <w:spacing w:line="314" w:lineRule="auto" w:before="18"/>
        <w:ind w:left="558" w:right="0"/>
        <w:jc w:val="left"/>
      </w:pPr>
      <w:r>
        <w:rPr/>
        <w:t>（</w:t>
      </w:r>
      <w:r>
        <w:rPr>
          <w:rFonts w:ascii="宋体" w:hAnsi="宋体" w:cs="宋体" w:eastAsia="宋体" w:hint="default"/>
        </w:rPr>
        <w:t>2</w:t>
      </w:r>
      <w:r>
        <w:rPr/>
        <w:t>）政府补助的确认</w:t>
      </w:r>
      <w:r>
        <w:rPr>
          <w:w w:val="100"/>
        </w:rPr>
        <w:t> </w:t>
      </w:r>
      <w:r>
        <w:rPr>
          <w:spacing w:val="-2"/>
        </w:rPr>
        <w:t>对期末有证据表明公司能够符合财政扶持政策规定的相关条件且预计能够收到财政扶持资金</w:t>
      </w:r>
    </w:p>
    <w:p>
      <w:pPr>
        <w:pStyle w:val="BodyText"/>
        <w:spacing w:line="314" w:lineRule="auto" w:before="17"/>
        <w:ind w:left="558" w:right="0" w:hanging="420"/>
        <w:jc w:val="left"/>
      </w:pPr>
      <w:r>
        <w:rPr/>
        <w:t>的，按应收金额确认政府补助。除此之外，政府补助均在实际收到时确认。</w:t>
      </w:r>
      <w:r>
        <w:rPr>
          <w:w w:val="100"/>
        </w:rPr>
        <w:t> </w:t>
      </w:r>
      <w:r>
        <w:rPr>
          <w:spacing w:val="-2"/>
        </w:rPr>
        <w:t>政府补助为货币性资产的，按照收到或应收的金额计量。政府补助为非货币性资产的，按照</w:t>
      </w:r>
    </w:p>
    <w:p>
      <w:pPr>
        <w:pStyle w:val="BodyText"/>
        <w:spacing w:line="314" w:lineRule="auto" w:before="17"/>
        <w:ind w:left="138" w:right="113"/>
        <w:jc w:val="left"/>
      </w:pPr>
      <w:r>
        <w:rPr/>
        <w:t>公允价值计量；公允价值不能够可靠取得的，按照名义金额（人民币</w:t>
      </w:r>
      <w:r>
        <w:rPr>
          <w:spacing w:val="-54"/>
        </w:rPr>
        <w:t> </w:t>
      </w:r>
      <w:r>
        <w:rPr>
          <w:rFonts w:ascii="宋体" w:hAnsi="宋体" w:cs="宋体" w:eastAsia="宋体" w:hint="default"/>
        </w:rPr>
        <w:t>1</w:t>
      </w:r>
      <w:r>
        <w:rPr>
          <w:rFonts w:ascii="宋体" w:hAnsi="宋体" w:cs="宋体" w:eastAsia="宋体" w:hint="default"/>
          <w:spacing w:val="-56"/>
        </w:rPr>
        <w:t> </w:t>
      </w:r>
      <w:r>
        <w:rPr/>
        <w:t>元）计量。按照名义金额</w:t>
      </w:r>
      <w:r>
        <w:rPr>
          <w:w w:val="100"/>
        </w:rPr>
        <w:t> </w:t>
      </w:r>
      <w:r>
        <w:rPr/>
        <w:t>计量的政府补助，直接计入当期损益。</w:t>
      </w:r>
    </w:p>
    <w:p>
      <w:pPr>
        <w:pStyle w:val="BodyText"/>
        <w:spacing w:line="314" w:lineRule="auto" w:before="17"/>
        <w:ind w:left="558" w:right="0"/>
        <w:jc w:val="left"/>
      </w:pPr>
      <w:r>
        <w:rPr/>
        <w:t>（</w:t>
      </w:r>
      <w:r>
        <w:rPr>
          <w:rFonts w:ascii="宋体" w:hAnsi="宋体" w:cs="宋体" w:eastAsia="宋体" w:hint="default"/>
        </w:rPr>
        <w:t>3</w:t>
      </w:r>
      <w:r>
        <w:rPr/>
        <w:t>）会计处理方法</w:t>
      </w:r>
      <w:r>
        <w:rPr>
          <w:w w:val="100"/>
        </w:rPr>
        <w:t> </w:t>
      </w:r>
      <w:r>
        <w:rPr>
          <w:spacing w:val="-2"/>
        </w:rPr>
        <w:t>与资产相关的政府补助，确认为递延收益，按照所建造或购买的资产使用年限内按照合理、</w:t>
      </w:r>
    </w:p>
    <w:p>
      <w:pPr>
        <w:pStyle w:val="BodyText"/>
        <w:spacing w:line="314" w:lineRule="auto" w:before="17"/>
        <w:ind w:left="558" w:right="0" w:hanging="420"/>
        <w:jc w:val="left"/>
      </w:pPr>
      <w:r>
        <w:rPr/>
        <w:t>系统的方法分期计入损益；</w:t>
      </w:r>
      <w:r>
        <w:rPr>
          <w:w w:val="100"/>
        </w:rPr>
        <w:t> </w:t>
      </w:r>
      <w:r>
        <w:rPr>
          <w:spacing w:val="-2"/>
        </w:rPr>
        <w:t>与收益相关的政府补助，用于补偿企业以后期间的相关费用或损失的，确认为递延收益，在</w:t>
      </w:r>
    </w:p>
    <w:p>
      <w:pPr>
        <w:pStyle w:val="BodyText"/>
        <w:spacing w:line="314" w:lineRule="auto" w:before="17"/>
        <w:ind w:left="138" w:right="0"/>
        <w:jc w:val="left"/>
      </w:pPr>
      <w:r>
        <w:rPr>
          <w:spacing w:val="-2"/>
        </w:rPr>
        <w:t>确认相关费用或损失的期间计入当期损益；用于补偿企业已发生的相关费用或损失的，取得时直</w:t>
      </w:r>
      <w:r>
        <w:rPr>
          <w:spacing w:val="-25"/>
        </w:rPr>
        <w:t> </w:t>
      </w:r>
      <w:r>
        <w:rPr>
          <w:spacing w:val="-25"/>
        </w:rPr>
      </w:r>
      <w:r>
        <w:rPr/>
        <w:t>接计入当期损益。</w:t>
      </w:r>
    </w:p>
    <w:p>
      <w:pPr>
        <w:pStyle w:val="BodyText"/>
        <w:spacing w:line="314" w:lineRule="auto" w:before="17"/>
        <w:ind w:left="138" w:right="117" w:firstLine="419"/>
        <w:jc w:val="both"/>
      </w:pPr>
      <w:r>
        <w:rPr>
          <w:spacing w:val="-2"/>
        </w:rPr>
        <w:t>与企业日常活动相关的政府补助计入其他收益；与企业日常活动无关的政府补助计入营业外</w:t>
      </w:r>
      <w:r>
        <w:rPr>
          <w:w w:val="100"/>
        </w:rPr>
        <w:t> </w:t>
      </w:r>
      <w:r>
        <w:rPr/>
        <w:t>收支。</w:t>
      </w:r>
    </w:p>
    <w:p>
      <w:pPr>
        <w:pStyle w:val="BodyText"/>
        <w:spacing w:line="314" w:lineRule="auto" w:before="17"/>
        <w:ind w:left="138" w:right="117" w:firstLine="419"/>
        <w:jc w:val="both"/>
      </w:pPr>
      <w:r>
        <w:rPr>
          <w:spacing w:val="-2"/>
        </w:rPr>
        <w:t>收到与政策性优惠贷款贴息相关的政府补助冲减相关借款费用；取得贷款银行提供的政策性</w:t>
      </w:r>
      <w:r>
        <w:rPr>
          <w:w w:val="100"/>
        </w:rPr>
        <w:t> </w:t>
      </w:r>
      <w:r>
        <w:rPr>
          <w:spacing w:val="-2"/>
        </w:rPr>
        <w:t>优惠利率贷款的，以实际收到的借款金额作为借款的入账价值，按照借款本金和该政策性优惠利</w:t>
      </w:r>
      <w:r>
        <w:rPr>
          <w:spacing w:val="-25"/>
        </w:rPr>
        <w:t> </w:t>
      </w:r>
      <w:r>
        <w:rPr>
          <w:spacing w:val="-25"/>
        </w:rPr>
      </w:r>
      <w:r>
        <w:rPr/>
        <w:t>率计算相关借款费用。</w:t>
      </w:r>
    </w:p>
    <w:p>
      <w:pPr>
        <w:pStyle w:val="BodyText"/>
        <w:spacing w:line="314" w:lineRule="auto" w:before="20"/>
        <w:ind w:left="138" w:right="117" w:firstLine="419"/>
        <w:jc w:val="both"/>
      </w:pPr>
      <w:r>
        <w:rPr>
          <w:spacing w:val="-2"/>
        </w:rPr>
        <w:t>已确认的政府补助需要返还时，初始确认时冲减相关资产账面价值的，调整资产账面价值；</w:t>
      </w:r>
      <w:r>
        <w:rPr>
          <w:w w:val="100"/>
        </w:rPr>
        <w:t> </w:t>
      </w:r>
      <w:r>
        <w:rPr>
          <w:spacing w:val="-2"/>
        </w:rPr>
        <w:t>存在相关递延收益余额的，冲减相关递延收益账面余额，超出部分计入当期损益；不存在相关递</w:t>
      </w:r>
      <w:r>
        <w:rPr>
          <w:spacing w:val="-25"/>
        </w:rPr>
        <w:t> </w:t>
      </w:r>
      <w:r>
        <w:rPr>
          <w:spacing w:val="-25"/>
        </w:rPr>
      </w:r>
      <w:r>
        <w:rPr/>
        <w:t>延收益的，直接计入当期损益。</w:t>
      </w:r>
    </w:p>
    <w:p>
      <w:pPr>
        <w:pStyle w:val="Heading2"/>
        <w:spacing w:line="240" w:lineRule="auto"/>
        <w:ind w:left="138" w:right="1055"/>
        <w:jc w:val="left"/>
        <w:rPr>
          <w:b w:val="0"/>
          <w:bCs w:val="0"/>
        </w:rPr>
      </w:pPr>
      <w:r>
        <w:rPr>
          <w:rFonts w:ascii="宋体" w:hAnsi="宋体" w:cs="宋体" w:eastAsia="宋体" w:hint="default"/>
        </w:rPr>
        <w:t>(1)</w:t>
      </w:r>
      <w:r>
        <w:rPr/>
        <w:t>、与资产相关的政府补助判断依据及会计处理方法</w:t>
      </w:r>
      <w:r>
        <w:rPr>
          <w:b w:val="0"/>
          <w:bCs w:val="0"/>
        </w:rPr>
      </w:r>
    </w:p>
    <w:p>
      <w:pPr>
        <w:pStyle w:val="BodyText"/>
        <w:spacing w:line="240" w:lineRule="auto" w:before="85"/>
        <w:ind w:left="138" w:right="1055"/>
        <w:jc w:val="left"/>
      </w:pPr>
      <w:r>
        <w:rPr/>
        <w:t>□适用√不适用</w:t>
      </w:r>
    </w:p>
    <w:p>
      <w:pPr>
        <w:pStyle w:val="Heading2"/>
        <w:spacing w:line="240" w:lineRule="auto" w:before="69"/>
        <w:ind w:left="138" w:right="1055"/>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40" w:lineRule="auto" w:before="85"/>
        <w:ind w:left="138" w:right="1055"/>
        <w:jc w:val="left"/>
      </w:pPr>
      <w:r>
        <w:rPr/>
        <w:t>□适用√不适用</w:t>
      </w:r>
    </w:p>
    <w:p>
      <w:pPr>
        <w:spacing w:line="240" w:lineRule="auto" w:before="2"/>
        <w:rPr>
          <w:rFonts w:ascii="宋体" w:hAnsi="宋体" w:cs="宋体" w:eastAsia="宋体" w:hint="default"/>
          <w:sz w:val="29"/>
          <w:szCs w:val="29"/>
        </w:rPr>
      </w:pPr>
    </w:p>
    <w:p>
      <w:pPr>
        <w:pStyle w:val="Heading2"/>
        <w:spacing w:line="240" w:lineRule="auto" w:before="0"/>
        <w:ind w:left="138" w:right="1055"/>
        <w:jc w:val="left"/>
        <w:rPr>
          <w:b w:val="0"/>
          <w:bCs w:val="0"/>
        </w:rPr>
      </w:pPr>
      <w:r>
        <w:rPr>
          <w:rFonts w:ascii="宋体" w:hAnsi="宋体" w:cs="宋体" w:eastAsia="宋体" w:hint="default"/>
        </w:rPr>
        <w:t>30.</w:t>
      </w:r>
      <w:r>
        <w:rPr>
          <w:rFonts w:ascii="宋体" w:hAnsi="宋体" w:cs="宋体" w:eastAsia="宋体" w:hint="default"/>
          <w:spacing w:val="-61"/>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55"/>
        <w:ind w:left="138" w:right="1055"/>
        <w:jc w:val="left"/>
      </w:pPr>
      <w:r>
        <w:rPr/>
        <w:t>√适用□不适用</w:t>
      </w:r>
    </w:p>
    <w:p>
      <w:pPr>
        <w:spacing w:after="0" w:line="240" w:lineRule="auto"/>
        <w:jc w:val="left"/>
        <w:sectPr>
          <w:pgSz w:w="11910" w:h="16840"/>
          <w:pgMar w:header="882" w:footer="1195" w:top="1120" w:bottom="1380" w:left="1660" w:right="1160"/>
        </w:sectPr>
      </w:pPr>
    </w:p>
    <w:p>
      <w:pPr>
        <w:spacing w:line="240" w:lineRule="auto" w:before="8"/>
        <w:rPr>
          <w:rFonts w:ascii="宋体" w:hAnsi="宋体" w:cs="宋体" w:eastAsia="宋体" w:hint="default"/>
          <w:sz w:val="28"/>
          <w:szCs w:val="28"/>
        </w:rPr>
      </w:pPr>
    </w:p>
    <w:p>
      <w:pPr>
        <w:pStyle w:val="BodyText"/>
        <w:spacing w:line="314" w:lineRule="auto" w:before="36"/>
        <w:ind w:left="138" w:right="0" w:firstLine="419"/>
        <w:jc w:val="left"/>
      </w:pPr>
      <w:r>
        <w:rPr/>
        <w:t>递延所得税资产和递延所得税负债根据资产和负债的计税基础与其账面价值的差额</w:t>
      </w:r>
      <w:r>
        <w:rPr>
          <w:rFonts w:ascii="宋体" w:hAnsi="宋体" w:cs="宋体" w:eastAsia="宋体" w:hint="default"/>
        </w:rPr>
        <w:t>(</w:t>
      </w:r>
      <w:r>
        <w:rPr/>
        <w:t>暂时性</w:t>
      </w:r>
      <w:r>
        <w:rPr>
          <w:w w:val="100"/>
        </w:rPr>
        <w:t> </w:t>
      </w:r>
      <w:r>
        <w:rPr>
          <w:spacing w:val="-4"/>
        </w:rPr>
        <w:t>差异</w:t>
      </w:r>
      <w:r>
        <w:rPr>
          <w:rFonts w:ascii="宋体" w:hAnsi="宋体" w:cs="宋体" w:eastAsia="宋体" w:hint="default"/>
          <w:spacing w:val="-4"/>
        </w:rPr>
        <w:t>)</w:t>
      </w:r>
      <w:r>
        <w:rPr>
          <w:spacing w:val="-4"/>
        </w:rPr>
        <w:t>计算确认。于资产负债表日，递延所得税资产和递延所得税负债，按照预期收回该资产或清</w:t>
      </w:r>
      <w:r>
        <w:rPr>
          <w:spacing w:val="-34"/>
        </w:rPr>
        <w:t> </w:t>
      </w:r>
      <w:r>
        <w:rPr>
          <w:spacing w:val="-34"/>
        </w:rPr>
      </w:r>
      <w:r>
        <w:rPr/>
        <w:t>偿该负债期间的适用税率计量。</w:t>
      </w:r>
    </w:p>
    <w:p>
      <w:pPr>
        <w:pStyle w:val="BodyText"/>
        <w:spacing w:line="312" w:lineRule="auto" w:before="20"/>
        <w:ind w:left="558" w:right="0"/>
        <w:jc w:val="left"/>
      </w:pPr>
      <w:r>
        <w:rPr/>
        <w:t>确认递延所得税资产的依据</w:t>
      </w:r>
      <w:r>
        <w:rPr>
          <w:w w:val="100"/>
        </w:rPr>
        <w:t> </w:t>
      </w:r>
      <w:r>
        <w:rPr>
          <w:spacing w:val="-2"/>
        </w:rPr>
        <w:t>本公司以很可能取得用来抵扣可抵扣暂时性差异、能够结转以后年度的可抵扣亏损和税款抵</w:t>
      </w:r>
    </w:p>
    <w:p>
      <w:pPr>
        <w:pStyle w:val="BodyText"/>
        <w:spacing w:line="314" w:lineRule="auto" w:before="22"/>
        <w:ind w:left="138" w:right="107"/>
        <w:jc w:val="both"/>
      </w:pPr>
      <w:r>
        <w:rPr>
          <w:spacing w:val="-2"/>
        </w:rPr>
        <w:t>减的应纳税所得额为限，确认由可抵扣暂时性差异产生的递延所得税资产。但是，同时具有下列</w:t>
      </w:r>
      <w:r>
        <w:rPr>
          <w:spacing w:val="-25"/>
        </w:rPr>
        <w:t> </w:t>
      </w:r>
      <w:r>
        <w:rPr>
          <w:spacing w:val="-25"/>
        </w:rPr>
      </w:r>
      <w:r>
        <w:rPr>
          <w:spacing w:val="-4"/>
        </w:rPr>
        <w:t>特征的交易中因资产或负债的初始确认所产生的递延所得税资产不予确认：（</w:t>
      </w:r>
      <w:r>
        <w:rPr>
          <w:rFonts w:ascii="宋体" w:hAnsi="宋体" w:cs="宋体" w:eastAsia="宋体" w:hint="default"/>
          <w:spacing w:val="-4"/>
        </w:rPr>
        <w:t>1</w:t>
      </w:r>
      <w:r>
        <w:rPr>
          <w:spacing w:val="-4"/>
        </w:rPr>
        <w:t>）该交易不是企业</w:t>
      </w:r>
      <w:r>
        <w:rPr>
          <w:spacing w:val="-33"/>
        </w:rPr>
        <w:t> </w:t>
      </w:r>
      <w:r>
        <w:rPr>
          <w:spacing w:val="-33"/>
        </w:rPr>
      </w:r>
      <w:r>
        <w:rPr/>
        <w:t>合并；（</w:t>
      </w:r>
      <w:r>
        <w:rPr>
          <w:rFonts w:ascii="宋体" w:hAnsi="宋体" w:cs="宋体" w:eastAsia="宋体" w:hint="default"/>
        </w:rPr>
        <w:t>2</w:t>
      </w:r>
      <w:r>
        <w:rPr/>
        <w:t>）交易发生时既不影响会计利润也不影响应纳税所得额或可抵扣亏损。</w:t>
      </w:r>
    </w:p>
    <w:p>
      <w:pPr>
        <w:pStyle w:val="BodyText"/>
        <w:spacing w:line="314" w:lineRule="auto" w:before="17"/>
        <w:ind w:left="138" w:right="117" w:firstLine="419"/>
        <w:jc w:val="both"/>
      </w:pPr>
      <w:r>
        <w:rPr>
          <w:spacing w:val="-2"/>
        </w:rPr>
        <w:t>对于与联营企业投资相关的可抵扣暂时性差异，同时满足下列条件的，确认相应的递延所得</w:t>
      </w:r>
      <w:r>
        <w:rPr>
          <w:w w:val="100"/>
        </w:rPr>
        <w:t> </w:t>
      </w:r>
      <w:r>
        <w:rPr>
          <w:spacing w:val="-2"/>
        </w:rPr>
        <w:t>税资产：暂时性差异在可预见的未来很可能转回，且未来很可能获得用来抵扣可抵扣暂时性差异</w:t>
      </w:r>
      <w:r>
        <w:rPr>
          <w:spacing w:val="-25"/>
        </w:rPr>
        <w:t> </w:t>
      </w:r>
      <w:r>
        <w:rPr>
          <w:spacing w:val="-25"/>
        </w:rPr>
      </w:r>
      <w:r>
        <w:rPr/>
        <w:t>的应纳税所得额。</w:t>
      </w:r>
    </w:p>
    <w:p>
      <w:pPr>
        <w:pStyle w:val="BodyText"/>
        <w:spacing w:line="312" w:lineRule="auto" w:before="20"/>
        <w:ind w:left="558" w:right="0"/>
        <w:jc w:val="left"/>
      </w:pPr>
      <w:r>
        <w:rPr/>
        <w:t>确认递延所得税负债的依据</w:t>
      </w:r>
      <w:r>
        <w:rPr>
          <w:w w:val="100"/>
        </w:rPr>
        <w:t> </w:t>
      </w:r>
      <w:r>
        <w:rPr>
          <w:spacing w:val="-2"/>
        </w:rPr>
        <w:t>公司将当期与以前期间应交未交的应纳税暂时性差异确认为递延所得税负债。但不包括：</w:t>
      </w:r>
    </w:p>
    <w:p>
      <w:pPr>
        <w:pStyle w:val="BodyText"/>
        <w:spacing w:line="240" w:lineRule="auto" w:before="22"/>
        <w:ind w:left="558" w:right="1055"/>
        <w:jc w:val="left"/>
      </w:pPr>
      <w:r>
        <w:rPr/>
        <w:t>（</w:t>
      </w:r>
      <w:r>
        <w:rPr>
          <w:rFonts w:ascii="宋体" w:hAnsi="宋体" w:cs="宋体" w:eastAsia="宋体" w:hint="default"/>
        </w:rPr>
        <w:t>1</w:t>
      </w:r>
      <w:r>
        <w:rPr/>
        <w:t>）商誉的初始确认所形成的暂时性差异；</w:t>
      </w:r>
    </w:p>
    <w:p>
      <w:pPr>
        <w:pStyle w:val="BodyText"/>
        <w:spacing w:line="314" w:lineRule="auto" w:before="82"/>
        <w:ind w:left="138" w:right="0" w:firstLine="419"/>
        <w:jc w:val="left"/>
      </w:pPr>
      <w:r>
        <w:rPr>
          <w:spacing w:val="-4"/>
        </w:rPr>
        <w:t>（</w:t>
      </w:r>
      <w:r>
        <w:rPr>
          <w:rFonts w:ascii="宋体" w:hAnsi="宋体" w:cs="宋体" w:eastAsia="宋体" w:hint="default"/>
          <w:spacing w:val="-4"/>
        </w:rPr>
        <w:t>2</w:t>
      </w:r>
      <w:r>
        <w:rPr>
          <w:spacing w:val="-4"/>
        </w:rPr>
        <w:t>）非企业合并形成的交易或事项，且该交易或事项发生时既不影响会计利润，也不影响应</w:t>
      </w:r>
      <w:r>
        <w:rPr>
          <w:w w:val="100"/>
        </w:rPr>
        <w:t> </w:t>
      </w:r>
      <w:r>
        <w:rPr/>
        <w:t>纳税所得额（或可抵扣亏损）所形成的暂时性差异；</w:t>
      </w:r>
    </w:p>
    <w:p>
      <w:pPr>
        <w:pStyle w:val="BodyText"/>
        <w:spacing w:line="314" w:lineRule="auto" w:before="17"/>
        <w:ind w:left="138" w:right="0" w:firstLine="419"/>
        <w:jc w:val="left"/>
      </w:pPr>
      <w:r>
        <w:rPr>
          <w:spacing w:val="-4"/>
        </w:rPr>
        <w:t>（</w:t>
      </w:r>
      <w:r>
        <w:rPr>
          <w:rFonts w:ascii="宋体" w:hAnsi="宋体" w:cs="宋体" w:eastAsia="宋体" w:hint="default"/>
          <w:spacing w:val="-4"/>
        </w:rPr>
        <w:t>3</w:t>
      </w:r>
      <w:r>
        <w:rPr>
          <w:spacing w:val="-4"/>
        </w:rPr>
        <w:t>）对于与子公司、联营企业投资相关的应纳税暂时性差异，该暂时性差异转回的时间能够</w:t>
      </w:r>
      <w:r>
        <w:rPr>
          <w:w w:val="100"/>
        </w:rPr>
        <w:t> </w:t>
      </w:r>
      <w:r>
        <w:rPr/>
        <w:t>控制并且该暂时性差异在可预见的未来很可能不会转回。</w:t>
      </w:r>
    </w:p>
    <w:p>
      <w:pPr>
        <w:pStyle w:val="Heading2"/>
        <w:spacing w:line="283" w:lineRule="auto"/>
        <w:ind w:left="138" w:right="5674"/>
        <w:jc w:val="left"/>
        <w:rPr>
          <w:b w:val="0"/>
          <w:bCs w:val="0"/>
        </w:rPr>
      </w:pPr>
      <w:r>
        <w:rPr>
          <w:rFonts w:ascii="宋体" w:hAnsi="宋体" w:cs="宋体" w:eastAsia="宋体" w:hint="default"/>
        </w:rPr>
        <w:t>31.</w:t>
      </w:r>
      <w:r>
        <w:rPr>
          <w:rFonts w:ascii="宋体" w:hAnsi="宋体" w:cs="宋体" w:eastAsia="宋体" w:hint="default"/>
          <w:spacing w:val="-59"/>
        </w:rPr>
        <w:t> </w:t>
      </w:r>
      <w:r>
        <w:rPr/>
        <w:t>租赁</w:t>
      </w:r>
      <w:r>
        <w:rPr>
          <w:spacing w:val="2"/>
          <w:w w:val="99"/>
        </w:rPr>
        <w:t> </w:t>
      </w:r>
      <w:r>
        <w:rPr>
          <w:rFonts w:ascii="宋体" w:hAnsi="宋体" w:cs="宋体" w:eastAsia="宋体" w:hint="default"/>
        </w:rPr>
        <w:t>(1)</w:t>
      </w:r>
      <w:r>
        <w:rPr/>
        <w:t>、经营租赁的会计处理方法</w:t>
      </w:r>
      <w:r>
        <w:rPr>
          <w:b w:val="0"/>
          <w:bCs w:val="0"/>
        </w:rPr>
      </w:r>
    </w:p>
    <w:p>
      <w:pPr>
        <w:pStyle w:val="BodyText"/>
        <w:spacing w:line="292" w:lineRule="auto" w:before="42"/>
        <w:ind w:left="558" w:right="6839" w:hanging="420"/>
        <w:jc w:val="left"/>
      </w:pPr>
      <w:r>
        <w:rPr/>
        <w:t>√适用□不适用</w:t>
      </w:r>
      <w:r>
        <w:rPr>
          <w:spacing w:val="-103"/>
        </w:rPr>
        <w:t> </w:t>
      </w:r>
      <w:r>
        <w:rPr>
          <w:spacing w:val="-103"/>
        </w:rPr>
      </w:r>
      <w:r>
        <w:rPr>
          <w:rFonts w:ascii="宋体" w:hAnsi="宋体" w:cs="宋体" w:eastAsia="宋体" w:hint="default"/>
          <w:spacing w:val="-2"/>
        </w:rPr>
        <w:t>1</w:t>
      </w:r>
      <w:r>
        <w:rPr>
          <w:spacing w:val="-2"/>
        </w:rPr>
        <w:t>）经营租入资产</w:t>
      </w:r>
    </w:p>
    <w:p>
      <w:pPr>
        <w:pStyle w:val="BodyText"/>
        <w:spacing w:line="312" w:lineRule="auto" w:before="39"/>
        <w:ind w:left="138" w:right="0" w:firstLine="419"/>
        <w:jc w:val="left"/>
      </w:pPr>
      <w:r>
        <w:rPr>
          <w:spacing w:val="-2"/>
        </w:rPr>
        <w:t>公司租入资产所支付的租赁费，在不扣除免租期的整个租赁期内，按直线法进行分摊，计入</w:t>
      </w:r>
      <w:r>
        <w:rPr>
          <w:w w:val="100"/>
        </w:rPr>
        <w:t> </w:t>
      </w:r>
      <w:r>
        <w:rPr/>
        <w:t>当期费用。公司支付的与租赁交易相关的初始直接费用，计入当期费用。</w:t>
      </w:r>
    </w:p>
    <w:p>
      <w:pPr>
        <w:pStyle w:val="BodyText"/>
        <w:spacing w:line="312" w:lineRule="auto" w:before="22"/>
        <w:ind w:left="138" w:right="0" w:firstLine="419"/>
        <w:jc w:val="left"/>
      </w:pPr>
      <w:r>
        <w:rPr>
          <w:spacing w:val="-2"/>
        </w:rPr>
        <w:t>资产出租方承担了应由公司承担的与租赁相关的费用时，公司将该部分费用从租金总额中扣</w:t>
      </w:r>
      <w:r>
        <w:rPr>
          <w:w w:val="100"/>
        </w:rPr>
        <w:t> </w:t>
      </w:r>
      <w:r>
        <w:rPr/>
        <w:t>除，按扣除后的租金费用在租赁期内分摊，计入当期费用。</w:t>
      </w:r>
    </w:p>
    <w:p>
      <w:pPr>
        <w:pStyle w:val="BodyText"/>
        <w:spacing w:line="312" w:lineRule="auto" w:before="22"/>
        <w:ind w:left="558" w:right="0"/>
        <w:jc w:val="left"/>
      </w:pPr>
      <w:r>
        <w:rPr>
          <w:rFonts w:ascii="宋体" w:hAnsi="宋体" w:cs="宋体" w:eastAsia="宋体" w:hint="default"/>
        </w:rPr>
        <w:t>2</w:t>
      </w:r>
      <w:r>
        <w:rPr/>
        <w:t>）经营租出资产</w:t>
      </w:r>
      <w:r>
        <w:rPr>
          <w:w w:val="100"/>
        </w:rPr>
        <w:t> </w:t>
      </w:r>
      <w:r>
        <w:rPr>
          <w:spacing w:val="-2"/>
        </w:rPr>
        <w:t>公司出租资产所收取的租赁费，在不扣除免租期的整个租赁期内，按直线法进行分摊，确认</w:t>
      </w:r>
    </w:p>
    <w:p>
      <w:pPr>
        <w:pStyle w:val="BodyText"/>
        <w:spacing w:line="312" w:lineRule="auto" w:before="22"/>
        <w:ind w:left="138" w:right="117"/>
        <w:jc w:val="both"/>
      </w:pPr>
      <w:r>
        <w:rPr>
          <w:spacing w:val="-2"/>
        </w:rPr>
        <w:t>为租赁收入。公司支付的与租赁交易相关的初始直接费用，计入当期费用；如金额较大的，则予</w:t>
      </w:r>
      <w:r>
        <w:rPr>
          <w:spacing w:val="-25"/>
        </w:rPr>
        <w:t> </w:t>
      </w:r>
      <w:r>
        <w:rPr>
          <w:spacing w:val="-25"/>
        </w:rPr>
      </w:r>
      <w:r>
        <w:rPr/>
        <w:t>以资本化，在整个租赁期间内按照与租赁收入确认相同的基础分期计入当期收益。</w:t>
      </w:r>
    </w:p>
    <w:p>
      <w:pPr>
        <w:pStyle w:val="BodyText"/>
        <w:spacing w:line="312" w:lineRule="auto" w:before="22"/>
        <w:ind w:left="138" w:right="0" w:firstLine="419"/>
        <w:jc w:val="left"/>
      </w:pPr>
      <w:r>
        <w:rPr>
          <w:spacing w:val="-2"/>
        </w:rPr>
        <w:t>公司承担了应由承租方承担的与租赁相关的费用时，公司将该部分费用从租金收入总额中扣</w:t>
      </w:r>
      <w:r>
        <w:rPr>
          <w:w w:val="100"/>
        </w:rPr>
        <w:t> </w:t>
      </w:r>
      <w:r>
        <w:rPr/>
        <w:t>除，按扣除后的租金费用在租赁期内分配。</w:t>
      </w:r>
    </w:p>
    <w:p>
      <w:pPr>
        <w:pStyle w:val="Heading2"/>
        <w:spacing w:line="240" w:lineRule="auto" w:before="30"/>
        <w:ind w:left="138" w:right="1055"/>
        <w:jc w:val="left"/>
        <w:rPr>
          <w:b w:val="0"/>
          <w:bCs w:val="0"/>
        </w:rPr>
      </w:pPr>
      <w:r>
        <w:rPr>
          <w:rFonts w:ascii="宋体" w:hAnsi="宋体" w:cs="宋体" w:eastAsia="宋体" w:hint="default"/>
        </w:rPr>
        <w:t>(2)</w:t>
      </w:r>
      <w:r>
        <w:rPr/>
        <w:t>、融资租赁的会计处理方法</w:t>
      </w:r>
      <w:r>
        <w:rPr>
          <w:b w:val="0"/>
          <w:bCs w:val="0"/>
        </w:rPr>
      </w:r>
    </w:p>
    <w:p>
      <w:pPr>
        <w:pStyle w:val="BodyText"/>
        <w:spacing w:line="292" w:lineRule="auto" w:before="85"/>
        <w:ind w:left="558" w:right="0" w:hanging="420"/>
        <w:jc w:val="left"/>
      </w:pPr>
      <w:r>
        <w:rPr/>
        <w:t>√适用□不适用</w:t>
      </w:r>
      <w:r>
        <w:rPr>
          <w:spacing w:val="-103"/>
        </w:rPr>
        <w:t> </w:t>
      </w:r>
      <w:r>
        <w:rPr>
          <w:spacing w:val="-103"/>
        </w:rPr>
      </w:r>
      <w:r>
        <w:rPr>
          <w:rFonts w:ascii="宋体" w:hAnsi="宋体" w:cs="宋体" w:eastAsia="宋体" w:hint="default"/>
          <w:spacing w:val="-4"/>
        </w:rPr>
        <w:t>1</w:t>
      </w:r>
      <w:r>
        <w:rPr>
          <w:spacing w:val="-4"/>
        </w:rPr>
        <w:t>）融资租入资产：公司在承租开始日，将租赁资产公允价值与最低租赁付款额现值两者中较</w:t>
      </w:r>
    </w:p>
    <w:p>
      <w:pPr>
        <w:pStyle w:val="BodyText"/>
        <w:spacing w:line="314" w:lineRule="auto" w:before="36"/>
        <w:ind w:left="138" w:right="117"/>
        <w:jc w:val="both"/>
      </w:pPr>
      <w:r>
        <w:rPr>
          <w:spacing w:val="-2"/>
        </w:rPr>
        <w:t>低者作为租入资产的入账价值，将最低租赁付款额作为长期应付款的入账价值，其差额作为未确</w:t>
      </w:r>
      <w:r>
        <w:rPr>
          <w:spacing w:val="-25"/>
        </w:rPr>
        <w:t> </w:t>
      </w:r>
      <w:r>
        <w:rPr>
          <w:spacing w:val="-25"/>
        </w:rPr>
      </w:r>
      <w:r>
        <w:rPr>
          <w:spacing w:val="-2"/>
        </w:rPr>
        <w:t>认的融资费用。融资租入资产的认定依据、计价和折旧方法详见本附注四／（十五）固定资产。</w:t>
      </w:r>
    </w:p>
    <w:p>
      <w:pPr>
        <w:pStyle w:val="BodyText"/>
        <w:spacing w:line="240" w:lineRule="auto" w:before="17"/>
        <w:ind w:left="558" w:right="0"/>
        <w:jc w:val="left"/>
      </w:pPr>
      <w:r>
        <w:rPr/>
        <w:t>公司采用实际利率法对未确认的融资费用，在资产租赁期间内摊销，计入财务费用。</w:t>
      </w:r>
    </w:p>
    <w:p>
      <w:pPr>
        <w:spacing w:after="0" w:line="240" w:lineRule="auto"/>
        <w:jc w:val="left"/>
        <w:sectPr>
          <w:pgSz w:w="11910" w:h="16840"/>
          <w:pgMar w:header="882" w:footer="1195" w:top="1120" w:bottom="1380" w:left="1660" w:right="1160"/>
        </w:sectPr>
      </w:pPr>
    </w:p>
    <w:p>
      <w:pPr>
        <w:spacing w:line="240" w:lineRule="auto" w:before="8"/>
        <w:rPr>
          <w:rFonts w:ascii="宋体" w:hAnsi="宋体" w:cs="宋体" w:eastAsia="宋体" w:hint="default"/>
          <w:sz w:val="28"/>
          <w:szCs w:val="28"/>
        </w:rPr>
      </w:pPr>
    </w:p>
    <w:p>
      <w:pPr>
        <w:pStyle w:val="BodyText"/>
        <w:spacing w:line="314" w:lineRule="auto" w:before="36"/>
        <w:ind w:right="228" w:firstLine="419"/>
        <w:jc w:val="both"/>
      </w:pPr>
      <w:r>
        <w:rPr>
          <w:rFonts w:ascii="宋体" w:hAnsi="宋体" w:cs="宋体" w:eastAsia="宋体" w:hint="default"/>
          <w:spacing w:val="-4"/>
        </w:rPr>
        <w:t>2</w:t>
      </w:r>
      <w:r>
        <w:rPr>
          <w:spacing w:val="-4"/>
        </w:rPr>
        <w:t>）融资租出资产：公司在租赁开始日，将应收融资租赁款，未担保余值之和与其现值的差额</w:t>
      </w:r>
      <w:r>
        <w:rPr>
          <w:w w:val="100"/>
        </w:rPr>
        <w:t> </w:t>
      </w:r>
      <w:r>
        <w:rPr>
          <w:spacing w:val="-2"/>
        </w:rPr>
        <w:t>确认为未实现融资收益，在将来收到租金的各期间内确认为租赁收入，公司发生的与出租交易相</w:t>
      </w:r>
      <w:r>
        <w:rPr>
          <w:spacing w:val="-25"/>
        </w:rPr>
        <w:t> </w:t>
      </w:r>
      <w:r>
        <w:rPr>
          <w:spacing w:val="-25"/>
        </w:rPr>
      </w:r>
      <w:r>
        <w:rPr/>
        <w:t>关的初始直接费用，计入应收融资租赁款的初始计量中，并减少租赁期内确认的收益金额。</w:t>
      </w:r>
    </w:p>
    <w:p>
      <w:pPr>
        <w:pStyle w:val="Heading2"/>
        <w:spacing w:line="240" w:lineRule="auto" w:before="28"/>
        <w:ind w:right="215"/>
        <w:jc w:val="left"/>
        <w:rPr>
          <w:b w:val="0"/>
          <w:bCs w:val="0"/>
        </w:rPr>
      </w:pPr>
      <w:r>
        <w:rPr>
          <w:rFonts w:ascii="宋体" w:hAnsi="宋体" w:cs="宋体" w:eastAsia="宋体" w:hint="default"/>
        </w:rPr>
        <w:t>32.</w:t>
      </w:r>
      <w:r>
        <w:rPr>
          <w:rFonts w:ascii="宋体" w:hAnsi="宋体" w:cs="宋体" w:eastAsia="宋体" w:hint="default"/>
          <w:spacing w:val="-61"/>
        </w:rPr>
        <w:t> </w:t>
      </w:r>
      <w:r>
        <w:rPr/>
        <w:t>其他重要的会计政策和会计估计</w:t>
      </w:r>
      <w:r>
        <w:rPr>
          <w:b w:val="0"/>
          <w:bCs w:val="0"/>
        </w:rPr>
      </w:r>
    </w:p>
    <w:p>
      <w:pPr>
        <w:pStyle w:val="BodyText"/>
        <w:spacing w:line="240" w:lineRule="auto" w:before="85"/>
        <w:ind w:right="215"/>
        <w:jc w:val="left"/>
      </w:pPr>
      <w:r>
        <w:rPr/>
        <w:t>□适用√不适用</w:t>
      </w:r>
    </w:p>
    <w:p>
      <w:pPr>
        <w:pStyle w:val="Heading2"/>
        <w:spacing w:line="283" w:lineRule="auto" w:before="69"/>
        <w:ind w:right="5252"/>
        <w:jc w:val="left"/>
        <w:rPr>
          <w:b w:val="0"/>
          <w:bCs w:val="0"/>
        </w:rPr>
      </w:pPr>
      <w:r>
        <w:rPr>
          <w:rFonts w:ascii="宋体" w:hAnsi="宋体" w:cs="宋体" w:eastAsia="宋体" w:hint="default"/>
        </w:rPr>
        <w:t>33.</w:t>
      </w:r>
      <w:r>
        <w:rPr>
          <w:rFonts w:ascii="宋体" w:hAnsi="宋体" w:cs="宋体" w:eastAsia="宋体" w:hint="default"/>
          <w:spacing w:val="-61"/>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42"/>
        <w:ind w:right="215"/>
        <w:jc w:val="left"/>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63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38" w:right="199" w:hanging="737"/>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受重要影响的报表项目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63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pacing w:val="-2"/>
                <w:sz w:val="21"/>
                <w:szCs w:val="21"/>
              </w:rPr>
              <w:t>财政部修订《企业会计准则第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号——政府补助》</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按董事会批准执行</w:t>
            </w: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pacing w:val="-2"/>
                <w:sz w:val="21"/>
                <w:szCs w:val="21"/>
              </w:rPr>
              <w:t>财政部发布《企业会计准则第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42</w:t>
            </w:r>
            <w:r>
              <w:rPr>
                <w:rFonts w:ascii="宋体" w:hAnsi="宋体" w:cs="宋体" w:eastAsia="宋体" w:hint="default"/>
                <w:spacing w:val="-54"/>
                <w:sz w:val="21"/>
                <w:szCs w:val="21"/>
              </w:rPr>
              <w:t> </w:t>
            </w:r>
            <w:r>
              <w:rPr>
                <w:rFonts w:ascii="宋体" w:hAnsi="宋体" w:cs="宋体" w:eastAsia="宋体" w:hint="default"/>
                <w:sz w:val="21"/>
                <w:szCs w:val="21"/>
              </w:rPr>
              <w:t>号——持有待售的非流动</w:t>
            </w:r>
            <w:r>
              <w:rPr>
                <w:rFonts w:ascii="宋体" w:hAnsi="宋体" w:cs="宋体" w:eastAsia="宋体" w:hint="default"/>
                <w:w w:val="100"/>
                <w:sz w:val="21"/>
                <w:szCs w:val="21"/>
              </w:rPr>
              <w:t> </w:t>
            </w:r>
            <w:r>
              <w:rPr>
                <w:rFonts w:ascii="宋体" w:hAnsi="宋体" w:cs="宋体" w:eastAsia="宋体" w:hint="default"/>
                <w:sz w:val="21"/>
                <w:szCs w:val="21"/>
              </w:rPr>
              <w:t>资产、处置组和终止经营》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按董事会批准执行</w:t>
            </w: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1"/>
                <w:w w:val="100"/>
                <w:sz w:val="21"/>
                <w:szCs w:val="21"/>
              </w:rPr>
              <w:t>财政部于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55"/>
                <w:w w:val="100"/>
                <w:sz w:val="21"/>
                <w:szCs w:val="21"/>
              </w:rPr>
              <w:t> </w:t>
            </w:r>
            <w:r>
              <w:rPr>
                <w:rFonts w:ascii="宋体" w:hAnsi="宋体" w:cs="宋体" w:eastAsia="宋体" w:hint="default"/>
                <w:spacing w:val="-15"/>
                <w:w w:val="100"/>
                <w:sz w:val="21"/>
                <w:szCs w:val="21"/>
              </w:rPr>
              <w:t>年度发布了《财</w:t>
            </w:r>
            <w:r>
              <w:rPr>
                <w:rFonts w:ascii="宋体" w:hAnsi="宋体" w:cs="宋体" w:eastAsia="宋体" w:hint="default"/>
                <w:w w:val="100"/>
                <w:sz w:val="21"/>
                <w:szCs w:val="21"/>
              </w:rPr>
              <w:t> </w:t>
            </w:r>
            <w:r>
              <w:rPr>
                <w:rFonts w:ascii="宋体" w:hAnsi="宋体" w:cs="宋体" w:eastAsia="宋体" w:hint="default"/>
                <w:sz w:val="21"/>
                <w:szCs w:val="21"/>
              </w:rPr>
              <w:t>政部关于修订印发一般企业财</w:t>
            </w:r>
            <w:r>
              <w:rPr>
                <w:rFonts w:ascii="宋体" w:hAnsi="宋体" w:cs="宋体" w:eastAsia="宋体" w:hint="default"/>
                <w:w w:val="100"/>
                <w:sz w:val="21"/>
                <w:szCs w:val="21"/>
              </w:rPr>
              <w:t> </w:t>
            </w:r>
            <w:r>
              <w:rPr>
                <w:rFonts w:ascii="宋体" w:hAnsi="宋体" w:cs="宋体" w:eastAsia="宋体" w:hint="default"/>
                <w:sz w:val="21"/>
                <w:szCs w:val="21"/>
              </w:rPr>
              <w:t>务报表格式的通知》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按董事会批准执行</w:t>
            </w:r>
          </w:p>
        </w:tc>
        <w:tc>
          <w:tcPr>
            <w:tcW w:w="30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468" w:lineRule="exact" w:before="43"/>
        <w:ind w:left="698" w:right="5935" w:hanging="60"/>
        <w:jc w:val="left"/>
      </w:pPr>
      <w:r>
        <w:rPr/>
        <w:t>会计政策变更说明：</w:t>
      </w:r>
      <w:r>
        <w:rPr>
          <w:w w:val="100"/>
        </w:rPr>
        <w:t> </w:t>
      </w:r>
      <w:r>
        <w:rPr>
          <w:spacing w:val="-2"/>
        </w:rPr>
        <w:t>会计政策变更说明：</w:t>
      </w:r>
    </w:p>
    <w:p>
      <w:pPr>
        <w:pStyle w:val="BodyText"/>
        <w:spacing w:line="250" w:lineRule="exact"/>
        <w:ind w:left="638" w:right="215"/>
        <w:jc w:val="left"/>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3"/>
        </w:rPr>
        <w:t> </w:t>
      </w:r>
      <w:r>
        <w:rPr>
          <w:rFonts w:ascii="宋体" w:hAnsi="宋体" w:cs="宋体" w:eastAsia="宋体" w:hint="default"/>
        </w:rPr>
        <w:t>10</w:t>
      </w:r>
      <w:r>
        <w:rPr>
          <w:rFonts w:ascii="宋体" w:hAnsi="宋体" w:cs="宋体" w:eastAsia="宋体" w:hint="default"/>
          <w:spacing w:val="-54"/>
        </w:rPr>
        <w:t> </w:t>
      </w:r>
      <w:r>
        <w:rPr/>
        <w:t>日，财政部公布了修订后的《企业会计准则第</w:t>
      </w:r>
      <w:r>
        <w:rPr>
          <w:spacing w:val="-54"/>
        </w:rPr>
        <w:t> </w:t>
      </w:r>
      <w:r>
        <w:rPr>
          <w:rFonts w:ascii="宋体" w:hAnsi="宋体" w:cs="宋体" w:eastAsia="宋体" w:hint="default"/>
        </w:rPr>
        <w:t>16</w:t>
      </w:r>
      <w:r>
        <w:rPr>
          <w:rFonts w:ascii="宋体" w:hAnsi="宋体" w:cs="宋体" w:eastAsia="宋体" w:hint="default"/>
          <w:spacing w:val="-56"/>
        </w:rPr>
        <w:t> </w:t>
      </w:r>
      <w:r>
        <w:rPr/>
        <w:t>号——政府补助》，</w:t>
      </w:r>
    </w:p>
    <w:p>
      <w:pPr>
        <w:pStyle w:val="BodyText"/>
        <w:spacing w:line="240" w:lineRule="auto" w:before="37"/>
        <w:ind w:right="0"/>
        <w:jc w:val="both"/>
      </w:pPr>
      <w:r>
        <w:rPr>
          <w:w w:val="100"/>
        </w:rPr>
        <w:t>该准</w:t>
      </w:r>
      <w:r>
        <w:rPr>
          <w:spacing w:val="-3"/>
          <w:w w:val="100"/>
        </w:rPr>
        <w:t>则</w:t>
      </w:r>
      <w:r>
        <w:rPr>
          <w:w w:val="100"/>
        </w:rPr>
        <w:t>修</w:t>
      </w:r>
      <w:r>
        <w:rPr>
          <w:spacing w:val="-3"/>
          <w:w w:val="100"/>
        </w:rPr>
        <w:t>订</w:t>
      </w:r>
      <w:r>
        <w:rPr>
          <w:w w:val="100"/>
        </w:rPr>
        <w:t>自</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日</w:t>
      </w:r>
      <w:r>
        <w:rPr>
          <w:spacing w:val="-3"/>
          <w:w w:val="100"/>
        </w:rPr>
        <w:t>起</w:t>
      </w:r>
      <w:r>
        <w:rPr>
          <w:w w:val="100"/>
        </w:rPr>
        <w:t>施</w:t>
      </w:r>
      <w:r>
        <w:rPr>
          <w:spacing w:val="-3"/>
          <w:w w:val="100"/>
        </w:rPr>
        <w:t>行</w:t>
      </w:r>
      <w:r>
        <w:rPr>
          <w:spacing w:val="-94"/>
          <w:w w:val="100"/>
        </w:rPr>
        <w:t>，</w:t>
      </w:r>
      <w:r>
        <w:rPr>
          <w:w w:val="100"/>
        </w:rPr>
        <w:t>同</w:t>
      </w:r>
      <w:r>
        <w:rPr>
          <w:spacing w:val="-3"/>
          <w:w w:val="100"/>
        </w:rPr>
        <w:t>时</w:t>
      </w:r>
      <w:r>
        <w:rPr>
          <w:w w:val="100"/>
        </w:rPr>
        <w:t>要</w:t>
      </w:r>
      <w:r>
        <w:rPr>
          <w:spacing w:val="-3"/>
          <w:w w:val="100"/>
        </w:rPr>
        <w:t>求</w:t>
      </w:r>
      <w:r>
        <w:rPr>
          <w:w w:val="100"/>
        </w:rPr>
        <w:t>企</w:t>
      </w:r>
      <w:r>
        <w:rPr>
          <w:spacing w:val="-3"/>
          <w:w w:val="100"/>
        </w:rPr>
        <w:t>业</w:t>
      </w:r>
      <w:r>
        <w:rPr>
          <w:w w:val="100"/>
        </w:rPr>
        <w:t>对</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w:t>
      </w:r>
      <w:r>
        <w:rPr>
          <w:rFonts w:ascii="宋体" w:hAnsi="宋体" w:cs="宋体" w:eastAsia="宋体" w:hint="default"/>
          <w:spacing w:val="-53"/>
        </w:rPr>
        <w:t> </w:t>
      </w:r>
      <w:r>
        <w:rPr>
          <w:spacing w:val="-3"/>
          <w:w w:val="100"/>
        </w:rPr>
        <w:t>日存</w:t>
      </w:r>
      <w:r>
        <w:rPr>
          <w:w w:val="100"/>
        </w:rPr>
        <w:t>在的</w:t>
      </w:r>
      <w:r>
        <w:rPr>
          <w:spacing w:val="-3"/>
          <w:w w:val="100"/>
        </w:rPr>
        <w:t>政</w:t>
      </w:r>
      <w:r>
        <w:rPr>
          <w:w w:val="100"/>
        </w:rPr>
        <w:t>府</w:t>
      </w:r>
      <w:r>
        <w:rPr>
          <w:spacing w:val="-3"/>
          <w:w w:val="100"/>
        </w:rPr>
        <w:t>补</w:t>
      </w:r>
      <w:r>
        <w:rPr>
          <w:w w:val="100"/>
        </w:rPr>
        <w:t>助</w:t>
      </w:r>
      <w:r>
        <w:rPr>
          <w:spacing w:val="-3"/>
          <w:w w:val="100"/>
        </w:rPr>
        <w:t>采</w:t>
      </w:r>
      <w:r>
        <w:rPr>
          <w:w w:val="100"/>
        </w:rPr>
        <w:t>用未</w:t>
      </w:r>
    </w:p>
    <w:p>
      <w:pPr>
        <w:pStyle w:val="BodyText"/>
        <w:spacing w:line="273" w:lineRule="auto" w:before="39"/>
        <w:ind w:right="228"/>
        <w:jc w:val="both"/>
      </w:pPr>
      <w:r>
        <w:rPr>
          <w:spacing w:val="-13"/>
          <w:w w:val="100"/>
        </w:rPr>
        <w:t>来适用法处理，对</w:t>
      </w:r>
      <w:r>
        <w:rPr>
          <w:spacing w:val="-53"/>
          <w:w w:val="100"/>
        </w:rPr>
        <w:t> </w:t>
      </w:r>
      <w:r>
        <w:rPr>
          <w:rFonts w:ascii="宋体" w:hAnsi="宋体" w:cs="宋体" w:eastAsia="宋体" w:hint="default"/>
          <w:spacing w:val="-1"/>
          <w:w w:val="100"/>
        </w:rPr>
        <w:t>2017</w:t>
      </w:r>
      <w:r>
        <w:rPr>
          <w:rFonts w:ascii="宋体" w:hAnsi="宋体" w:cs="宋体" w:eastAsia="宋体" w:hint="default"/>
          <w:spacing w:val="-50"/>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1"/>
          <w:w w:val="100"/>
        </w:rPr>
        <w:t> </w:t>
      </w:r>
      <w:r>
        <w:rPr>
          <w:w w:val="100"/>
        </w:rPr>
        <w:t>月</w:t>
      </w:r>
      <w:r>
        <w:rPr>
          <w:spacing w:val="-51"/>
          <w:w w:val="100"/>
        </w:rPr>
        <w:t> </w:t>
      </w:r>
      <w:r>
        <w:rPr>
          <w:rFonts w:ascii="宋体" w:hAnsi="宋体" w:cs="宋体" w:eastAsia="宋体" w:hint="default"/>
          <w:w w:val="100"/>
        </w:rPr>
        <w:t>1</w:t>
      </w:r>
      <w:r>
        <w:rPr>
          <w:rFonts w:ascii="宋体" w:hAnsi="宋体" w:cs="宋体" w:eastAsia="宋体" w:hint="default"/>
          <w:spacing w:val="-53"/>
          <w:w w:val="100"/>
        </w:rPr>
        <w:t> </w:t>
      </w:r>
      <w:r>
        <w:rPr>
          <w:spacing w:val="-2"/>
          <w:w w:val="100"/>
        </w:rPr>
        <w:t>日至该准则施行日之间新增的政府补助根据修订后的准则进行调</w:t>
      </w:r>
      <w:r>
        <w:rPr>
          <w:w w:val="100"/>
        </w:rPr>
        <w:t> </w:t>
      </w:r>
      <w:r>
        <w:rPr/>
        <w:t>整。</w:t>
      </w:r>
    </w:p>
    <w:p>
      <w:pPr>
        <w:pStyle w:val="BodyText"/>
        <w:spacing w:line="273" w:lineRule="auto" w:before="10"/>
        <w:ind w:right="227" w:firstLine="395"/>
        <w:jc w:val="both"/>
      </w:pPr>
      <w:r>
        <w:rPr/>
        <w:t>本公司自</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0"/>
        </w:rPr>
        <w:t> </w:t>
      </w:r>
      <w:r>
        <w:rPr>
          <w:rFonts w:ascii="宋体" w:hAnsi="宋体" w:cs="宋体" w:eastAsia="宋体" w:hint="default"/>
        </w:rPr>
        <w:t>6</w:t>
      </w:r>
      <w:r>
        <w:rPr>
          <w:rFonts w:ascii="宋体" w:hAnsi="宋体" w:cs="宋体" w:eastAsia="宋体" w:hint="default"/>
          <w:spacing w:val="-53"/>
        </w:rPr>
        <w:t> </w:t>
      </w:r>
      <w:r>
        <w:rPr/>
        <w:t>月</w:t>
      </w:r>
      <w:r>
        <w:rPr>
          <w:spacing w:val="-51"/>
        </w:rPr>
        <w:t> </w:t>
      </w:r>
      <w:r>
        <w:rPr>
          <w:rFonts w:ascii="宋体" w:hAnsi="宋体" w:cs="宋体" w:eastAsia="宋体" w:hint="default"/>
        </w:rPr>
        <w:t>12</w:t>
      </w:r>
      <w:r>
        <w:rPr>
          <w:rFonts w:ascii="宋体" w:hAnsi="宋体" w:cs="宋体" w:eastAsia="宋体" w:hint="default"/>
          <w:spacing w:val="-53"/>
        </w:rPr>
        <w:t> </w:t>
      </w:r>
      <w:r>
        <w:rPr>
          <w:spacing w:val="-6"/>
        </w:rPr>
        <w:t>日开始采用该修订后的准则，对于</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1"/>
        </w:rPr>
        <w:t> </w:t>
      </w:r>
      <w:r>
        <w:rPr>
          <w:rFonts w:ascii="宋体" w:hAnsi="宋体" w:cs="宋体" w:eastAsia="宋体" w:hint="default"/>
        </w:rPr>
        <w:t>1</w:t>
      </w:r>
      <w:r>
        <w:rPr>
          <w:rFonts w:ascii="宋体" w:hAnsi="宋体" w:cs="宋体" w:eastAsia="宋体" w:hint="default"/>
          <w:spacing w:val="-50"/>
        </w:rPr>
        <w:t> </w:t>
      </w:r>
      <w:r>
        <w:rPr/>
        <w:t>日至该规定施行之</w:t>
      </w:r>
      <w:r>
        <w:rPr>
          <w:w w:val="100"/>
        </w:rPr>
        <w:t> </w:t>
      </w:r>
      <w:r>
        <w:rPr>
          <w:spacing w:val="-2"/>
        </w:rPr>
        <w:t>间发生的交易由于该规定而影响的资产、负债和损益等财务报表列报项目金额进行了调整，包括</w:t>
      </w:r>
      <w:r>
        <w:rPr>
          <w:spacing w:val="-25"/>
        </w:rPr>
        <w:t> </w:t>
      </w:r>
      <w:r>
        <w:rPr>
          <w:spacing w:val="-25"/>
        </w:rPr>
      </w:r>
      <w:r>
        <w:rPr/>
        <w:t>将</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日发生的政府补助从“营业外收入”调整至“其他收益”</w:t>
      </w:r>
      <w:r>
        <w:rPr>
          <w:rFonts w:ascii="宋体" w:hAnsi="宋体" w:cs="宋体" w:eastAsia="宋体" w:hint="default"/>
        </w:rPr>
        <w:t>41,347,942.73</w:t>
      </w:r>
      <w:r>
        <w:rPr>
          <w:rFonts w:ascii="宋体" w:hAnsi="宋体" w:cs="宋体" w:eastAsia="宋体" w:hint="default"/>
          <w:spacing w:val="-54"/>
        </w:rPr>
        <w:t> </w:t>
      </w:r>
      <w:r>
        <w:rPr>
          <w:spacing w:val="-3"/>
        </w:rPr>
        <w:t>元。</w:t>
      </w:r>
      <w:r>
        <w:rPr/>
      </w:r>
    </w:p>
    <w:p>
      <w:pPr>
        <w:pStyle w:val="BodyText"/>
        <w:spacing w:line="240" w:lineRule="auto" w:before="8"/>
        <w:ind w:left="614" w:right="123"/>
        <w:jc w:val="left"/>
      </w:pPr>
      <w:r>
        <w:rPr>
          <w:spacing w:val="-7"/>
        </w:rPr>
        <w:t>（</w:t>
      </w:r>
      <w:r>
        <w:rPr>
          <w:rFonts w:ascii="宋体" w:hAnsi="宋体" w:cs="宋体" w:eastAsia="宋体" w:hint="default"/>
          <w:spacing w:val="-7"/>
        </w:rPr>
        <w:t>2</w:t>
      </w:r>
      <w:r>
        <w:rPr>
          <w:spacing w:val="-7"/>
        </w:rPr>
        <w:t>）</w:t>
      </w:r>
      <w:r>
        <w:rPr>
          <w:rFonts w:ascii="宋体" w:hAnsi="宋体" w:cs="宋体" w:eastAsia="宋体" w:hint="default"/>
          <w:spacing w:val="-7"/>
        </w:rPr>
        <w:t>2017</w:t>
      </w:r>
      <w:r>
        <w:rPr>
          <w:rFonts w:ascii="宋体" w:hAnsi="宋体" w:cs="宋体" w:eastAsia="宋体" w:hint="default"/>
          <w:spacing w:val="-49"/>
        </w:rPr>
        <w:t> </w:t>
      </w:r>
      <w:r>
        <w:rPr/>
        <w:t>年</w:t>
      </w:r>
      <w:r>
        <w:rPr>
          <w:spacing w:val="-47"/>
        </w:rPr>
        <w:t> </w:t>
      </w:r>
      <w:r>
        <w:rPr>
          <w:rFonts w:ascii="宋体" w:hAnsi="宋体" w:cs="宋体" w:eastAsia="宋体" w:hint="default"/>
        </w:rPr>
        <w:t>4</w:t>
      </w:r>
      <w:r>
        <w:rPr>
          <w:rFonts w:ascii="宋体" w:hAnsi="宋体" w:cs="宋体" w:eastAsia="宋体" w:hint="default"/>
          <w:spacing w:val="-49"/>
        </w:rPr>
        <w:t> </w:t>
      </w:r>
      <w:r>
        <w:rPr/>
        <w:t>月</w:t>
      </w:r>
      <w:r>
        <w:rPr>
          <w:spacing w:val="-46"/>
        </w:rPr>
        <w:t> </w:t>
      </w:r>
      <w:r>
        <w:rPr>
          <w:rFonts w:ascii="宋体" w:hAnsi="宋体" w:cs="宋体" w:eastAsia="宋体" w:hint="default"/>
        </w:rPr>
        <w:t>28</w:t>
      </w:r>
      <w:r>
        <w:rPr>
          <w:rFonts w:ascii="宋体" w:hAnsi="宋体" w:cs="宋体" w:eastAsia="宋体" w:hint="default"/>
          <w:spacing w:val="-49"/>
        </w:rPr>
        <w:t> </w:t>
      </w:r>
      <w:r>
        <w:rPr>
          <w:spacing w:val="-7"/>
        </w:rPr>
        <w:t>日，财政部发布了《企业会计准则第</w:t>
      </w:r>
      <w:r>
        <w:rPr>
          <w:spacing w:val="-47"/>
        </w:rPr>
        <w:t> </w:t>
      </w:r>
      <w:r>
        <w:rPr>
          <w:rFonts w:ascii="宋体" w:hAnsi="宋体" w:cs="宋体" w:eastAsia="宋体" w:hint="default"/>
        </w:rPr>
        <w:t>42</w:t>
      </w:r>
      <w:r>
        <w:rPr>
          <w:rFonts w:ascii="宋体" w:hAnsi="宋体" w:cs="宋体" w:eastAsia="宋体" w:hint="default"/>
          <w:spacing w:val="-49"/>
        </w:rPr>
        <w:t> </w:t>
      </w:r>
      <w:r>
        <w:rPr/>
        <w:t>号——持有待售的非流动资产、</w:t>
      </w:r>
    </w:p>
    <w:p>
      <w:pPr>
        <w:pStyle w:val="BodyText"/>
        <w:spacing w:line="273" w:lineRule="auto" w:before="39"/>
        <w:ind w:right="228"/>
        <w:jc w:val="both"/>
      </w:pPr>
      <w:r>
        <w:rPr/>
        <w:t>处置组和终止经营》，该准则自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日起施行。本公司根据该准则及财政部《关于修</w:t>
      </w:r>
      <w:r>
        <w:rPr>
          <w:w w:val="100"/>
        </w:rPr>
        <w:t> </w:t>
      </w:r>
      <w:r>
        <w:rPr>
          <w:spacing w:val="-3"/>
        </w:rPr>
        <w:t>订印发一般企业财务报表格式的通知》（财会〔</w:t>
      </w:r>
      <w:r>
        <w:rPr>
          <w:rFonts w:ascii="宋体" w:hAnsi="宋体" w:cs="宋体" w:eastAsia="宋体" w:hint="default"/>
          <w:spacing w:val="-3"/>
        </w:rPr>
        <w:t>2017</w:t>
      </w:r>
      <w:r>
        <w:rPr>
          <w:spacing w:val="-3"/>
        </w:rPr>
        <w:t>〕</w:t>
      </w:r>
      <w:r>
        <w:rPr>
          <w:rFonts w:ascii="宋体" w:hAnsi="宋体" w:cs="宋体" w:eastAsia="宋体" w:hint="default"/>
          <w:spacing w:val="-3"/>
        </w:rPr>
        <w:t>30 </w:t>
      </w:r>
      <w:r>
        <w:rPr>
          <w:spacing w:val="-3"/>
        </w:rPr>
        <w:t>号的规定，在利润表中新增了“资产处</w:t>
      </w:r>
      <w:r>
        <w:rPr>
          <w:spacing w:val="-70"/>
        </w:rPr>
        <w:t> </w:t>
      </w:r>
      <w:r>
        <w:rPr>
          <w:spacing w:val="-70"/>
        </w:rPr>
      </w:r>
      <w:r>
        <w:rPr/>
        <w:t>置收益”项目，并对净利润按经营持续性进行分类列报。</w:t>
      </w:r>
    </w:p>
    <w:p>
      <w:pPr>
        <w:pStyle w:val="BodyText"/>
        <w:spacing w:line="240" w:lineRule="auto" w:before="7"/>
        <w:ind w:left="614" w:right="123"/>
        <w:jc w:val="left"/>
      </w:pPr>
      <w:r>
        <w:rPr>
          <w:spacing w:val="-3"/>
        </w:rPr>
        <w:t>本公司按照《企业会计准则第 </w:t>
      </w:r>
      <w:r>
        <w:rPr>
          <w:rFonts w:ascii="宋体" w:hAnsi="宋体" w:cs="宋体" w:eastAsia="宋体" w:hint="default"/>
        </w:rPr>
        <w:t>30</w:t>
      </w:r>
      <w:r>
        <w:rPr>
          <w:rFonts w:ascii="宋体" w:hAnsi="宋体" w:cs="宋体" w:eastAsia="宋体" w:hint="default"/>
          <w:spacing w:val="-39"/>
        </w:rPr>
        <w:t> </w:t>
      </w:r>
      <w:r>
        <w:rPr>
          <w:spacing w:val="-4"/>
        </w:rPr>
        <w:t>号——财务报表列报》等的相关规定，对可比期间的比较数</w:t>
      </w:r>
    </w:p>
    <w:p>
      <w:pPr>
        <w:pStyle w:val="BodyText"/>
        <w:spacing w:line="240" w:lineRule="auto" w:before="39"/>
        <w:ind w:right="0"/>
        <w:jc w:val="both"/>
      </w:pPr>
      <w:r>
        <w:rPr/>
        <w:t>据进行调整，包括：将</w:t>
      </w:r>
      <w:r>
        <w:rPr>
          <w:spacing w:val="-56"/>
        </w:rPr>
        <w:t> </w:t>
      </w:r>
      <w:r>
        <w:rPr>
          <w:rFonts w:ascii="宋体" w:hAnsi="宋体" w:cs="宋体" w:eastAsia="宋体" w:hint="default"/>
        </w:rPr>
        <w:t>2017</w:t>
      </w:r>
      <w:r>
        <w:rPr>
          <w:rFonts w:ascii="宋体" w:hAnsi="宋体" w:cs="宋体" w:eastAsia="宋体" w:hint="default"/>
          <w:spacing w:val="-57"/>
        </w:rPr>
        <w:t> </w:t>
      </w:r>
      <w:r>
        <w:rPr/>
        <w:t>年发生的固定资产处置利得</w:t>
      </w:r>
      <w:r>
        <w:rPr>
          <w:spacing w:val="-57"/>
        </w:rPr>
        <w:t> </w:t>
      </w:r>
      <w:r>
        <w:rPr>
          <w:rFonts w:ascii="宋体" w:hAnsi="宋体" w:cs="宋体" w:eastAsia="宋体" w:hint="default"/>
        </w:rPr>
        <w:t>119,593.65</w:t>
      </w:r>
      <w:r>
        <w:rPr>
          <w:rFonts w:ascii="宋体" w:hAnsi="宋体" w:cs="宋体" w:eastAsia="宋体" w:hint="default"/>
          <w:spacing w:val="-57"/>
        </w:rPr>
        <w:t> </w:t>
      </w:r>
      <w:r>
        <w:rPr/>
        <w:t>元从“营业外收入”调整至</w:t>
      </w:r>
    </w:p>
    <w:p>
      <w:pPr>
        <w:pStyle w:val="BodyText"/>
        <w:spacing w:line="273" w:lineRule="auto" w:before="37"/>
        <w:ind w:right="228"/>
        <w:jc w:val="both"/>
      </w:pPr>
      <w:r>
        <w:rPr>
          <w:spacing w:val="-14"/>
        </w:rPr>
        <w:t>“资产处置收益”；将</w:t>
      </w:r>
      <w:r>
        <w:rPr>
          <w:spacing w:val="-46"/>
        </w:rPr>
        <w:t> </w:t>
      </w:r>
      <w:r>
        <w:rPr>
          <w:rFonts w:ascii="宋体" w:hAnsi="宋体" w:cs="宋体" w:eastAsia="宋体" w:hint="default"/>
        </w:rPr>
        <w:t>2016</w:t>
      </w:r>
      <w:r>
        <w:rPr>
          <w:rFonts w:ascii="宋体" w:hAnsi="宋体" w:cs="宋体" w:eastAsia="宋体" w:hint="default"/>
          <w:spacing w:val="-43"/>
        </w:rPr>
        <w:t> </w:t>
      </w:r>
      <w:r>
        <w:rPr/>
        <w:t>年发生的固定资产处置利得</w:t>
      </w:r>
      <w:r>
        <w:rPr>
          <w:spacing w:val="-43"/>
        </w:rPr>
        <w:t> </w:t>
      </w:r>
      <w:r>
        <w:rPr>
          <w:rFonts w:ascii="宋体" w:hAnsi="宋体" w:cs="宋体" w:eastAsia="宋体" w:hint="default"/>
        </w:rPr>
        <w:t>80,124.85</w:t>
      </w:r>
      <w:r>
        <w:rPr>
          <w:rFonts w:ascii="宋体" w:hAnsi="宋体" w:cs="宋体" w:eastAsia="宋体" w:hint="default"/>
          <w:spacing w:val="-46"/>
        </w:rPr>
        <w:t> </w:t>
      </w:r>
      <w:r>
        <w:rPr>
          <w:spacing w:val="-15"/>
        </w:rPr>
        <w:t>元从“营业外收入”调整至“资</w:t>
      </w:r>
      <w:r>
        <w:rPr>
          <w:spacing w:val="-101"/>
        </w:rPr>
        <w:t> </w:t>
      </w:r>
      <w:r>
        <w:rPr>
          <w:spacing w:val="-101"/>
        </w:rPr>
      </w:r>
      <w:r>
        <w:rPr/>
        <w:t>产处置收益”。</w:t>
      </w:r>
    </w:p>
    <w:p>
      <w:pPr>
        <w:pStyle w:val="BodyText"/>
        <w:spacing w:line="240" w:lineRule="auto" w:before="7"/>
        <w:ind w:left="614" w:right="215"/>
        <w:jc w:val="left"/>
      </w:pPr>
      <w:r>
        <w:rPr/>
        <w:t>（</w:t>
      </w:r>
      <w:r>
        <w:rPr>
          <w:rFonts w:ascii="宋体" w:hAnsi="宋体" w:cs="宋体" w:eastAsia="宋体" w:hint="default"/>
        </w:rPr>
        <w:t>3</w:t>
      </w:r>
      <w:r>
        <w:rPr/>
        <w:t>）财政部于</w:t>
      </w:r>
      <w:r>
        <w:rPr>
          <w:spacing w:val="-54"/>
        </w:rPr>
        <w:t> </w:t>
      </w:r>
      <w:r>
        <w:rPr>
          <w:rFonts w:ascii="宋体" w:hAnsi="宋体" w:cs="宋体" w:eastAsia="宋体" w:hint="default"/>
        </w:rPr>
        <w:t>2017</w:t>
      </w:r>
      <w:r>
        <w:rPr>
          <w:rFonts w:ascii="宋体" w:hAnsi="宋体" w:cs="宋体" w:eastAsia="宋体" w:hint="default"/>
          <w:spacing w:val="-53"/>
        </w:rPr>
        <w:t> </w:t>
      </w:r>
      <w:r>
        <w:rPr/>
        <w:t>年度发布了《财政部关于修订印发一般企业财务报表格式的通知》，对</w:t>
      </w:r>
    </w:p>
    <w:p>
      <w:pPr>
        <w:pStyle w:val="BodyText"/>
        <w:spacing w:line="240" w:lineRule="auto" w:before="39"/>
        <w:ind w:right="0"/>
        <w:jc w:val="both"/>
      </w:pPr>
      <w:r>
        <w:rPr/>
        <w:t>一般企业财务报表格式进行了修订，适用于</w:t>
      </w:r>
      <w:r>
        <w:rPr>
          <w:spacing w:val="-56"/>
        </w:rPr>
        <w:t> </w:t>
      </w:r>
      <w:r>
        <w:rPr>
          <w:rFonts w:ascii="宋体" w:hAnsi="宋体" w:cs="宋体" w:eastAsia="宋体" w:hint="default"/>
        </w:rPr>
        <w:t>2017</w:t>
      </w:r>
      <w:r>
        <w:rPr>
          <w:rFonts w:ascii="宋体" w:hAnsi="宋体" w:cs="宋体" w:eastAsia="宋体" w:hint="default"/>
          <w:spacing w:val="-57"/>
        </w:rPr>
        <w:t> </w:t>
      </w:r>
      <w:r>
        <w:rPr/>
        <w:t>年度及以后期间的财务报表。</w:t>
      </w:r>
    </w:p>
    <w:p>
      <w:pPr>
        <w:spacing w:after="0" w:line="240" w:lineRule="auto"/>
        <w:jc w:val="both"/>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ind w:right="21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85"/>
        <w:ind w:right="215"/>
        <w:jc w:val="left"/>
      </w:pPr>
      <w:r>
        <w:rPr/>
        <w:t>□适用</w:t>
      </w:r>
      <w:r>
        <w:rPr>
          <w:spacing w:val="-1"/>
        </w:rPr>
        <w:t> </w:t>
      </w:r>
      <w:r>
        <w:rPr/>
        <w:t>√不适用</w:t>
      </w:r>
    </w:p>
    <w:p>
      <w:pPr>
        <w:pStyle w:val="Heading2"/>
        <w:spacing w:line="240" w:lineRule="auto" w:before="69"/>
        <w:ind w:right="215"/>
        <w:jc w:val="left"/>
        <w:rPr>
          <w:b w:val="0"/>
          <w:bCs w:val="0"/>
        </w:rPr>
      </w:pPr>
      <w:r>
        <w:rPr>
          <w:rFonts w:ascii="宋体" w:hAnsi="宋体" w:cs="宋体" w:eastAsia="宋体" w:hint="default"/>
        </w:rPr>
        <w:t>34.</w:t>
      </w:r>
      <w:r>
        <w:rPr>
          <w:rFonts w:ascii="宋体" w:hAnsi="宋体" w:cs="宋体" w:eastAsia="宋体" w:hint="default"/>
          <w:spacing w:val="-58"/>
        </w:rPr>
        <w:t> </w:t>
      </w:r>
      <w:r>
        <w:rPr/>
        <w:t>其他</w:t>
      </w:r>
      <w:r>
        <w:rPr>
          <w:b w:val="0"/>
          <w:bCs w:val="0"/>
        </w:rPr>
      </w:r>
    </w:p>
    <w:p>
      <w:pPr>
        <w:pStyle w:val="BodyText"/>
        <w:spacing w:line="240" w:lineRule="auto" w:before="85"/>
        <w:ind w:right="215"/>
        <w:jc w:val="left"/>
      </w:pPr>
      <w:r>
        <w:rPr/>
        <w:t>□适用√不适用</w:t>
      </w:r>
    </w:p>
    <w:p>
      <w:pPr>
        <w:pStyle w:val="Heading2"/>
        <w:tabs>
          <w:tab w:pos="1057" w:val="left" w:leader="none"/>
        </w:tabs>
        <w:spacing w:line="240" w:lineRule="auto" w:before="69"/>
        <w:ind w:right="215"/>
        <w:jc w:val="left"/>
        <w:rPr>
          <w:b w:val="0"/>
          <w:bCs w:val="0"/>
        </w:rPr>
      </w:pPr>
      <w:r>
        <w:rPr/>
        <w:t>六、</w:t>
        <w:tab/>
        <w:t>税项</w:t>
      </w:r>
      <w:r>
        <w:rPr>
          <w:b w:val="0"/>
          <w:bCs w:val="0"/>
        </w:rPr>
      </w:r>
    </w:p>
    <w:p>
      <w:pPr>
        <w:pStyle w:val="Heading2"/>
        <w:spacing w:line="240" w:lineRule="auto" w:before="58"/>
        <w:ind w:right="215"/>
        <w:jc w:val="left"/>
        <w:rPr>
          <w:b w:val="0"/>
          <w:bCs w:val="0"/>
        </w:rPr>
      </w:pPr>
      <w:r>
        <w:rPr>
          <w:rFonts w:ascii="宋体" w:hAnsi="宋体" w:cs="宋体" w:eastAsia="宋体" w:hint="default"/>
        </w:rPr>
        <w:t>1.</w:t>
      </w:r>
      <w:r>
        <w:rPr>
          <w:rFonts w:ascii="宋体" w:hAnsi="宋体" w:cs="宋体" w:eastAsia="宋体" w:hint="default"/>
          <w:spacing w:val="60"/>
        </w:rPr>
        <w:t> </w:t>
      </w:r>
      <w:r>
        <w:rPr/>
        <w:t>主要税种及税率</w:t>
      </w:r>
      <w:r>
        <w:rPr>
          <w:b w:val="0"/>
          <w:bCs w:val="0"/>
        </w:rPr>
      </w:r>
    </w:p>
    <w:p>
      <w:pPr>
        <w:pStyle w:val="BodyText"/>
        <w:spacing w:line="240" w:lineRule="auto" w:before="85"/>
        <w:ind w:right="215"/>
        <w:jc w:val="left"/>
      </w:pPr>
      <w:r>
        <w:rPr/>
        <w:t>主要税种及税率情况</w:t>
      </w:r>
    </w:p>
    <w:p>
      <w:pPr>
        <w:pStyle w:val="BodyText"/>
        <w:spacing w:line="240" w:lineRule="auto" w:before="37"/>
        <w:ind w:right="215"/>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32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94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销售货物、应税劳务收入和应税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服务收入（营改增试点地区适用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应税劳务收入）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3</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7</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见不同纳税主体所得税税率说明</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3</w:t>
            </w:r>
          </w:p>
        </w:tc>
      </w:tr>
      <w:tr>
        <w:trPr>
          <w:trHeight w:val="32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2</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0.01</w:t>
            </w:r>
          </w:p>
        </w:tc>
      </w:tr>
    </w:tbl>
    <w:p>
      <w:pPr>
        <w:spacing w:line="240" w:lineRule="auto" w:before="2"/>
        <w:rPr>
          <w:rFonts w:ascii="宋体" w:hAnsi="宋体" w:cs="宋体" w:eastAsia="宋体" w:hint="default"/>
          <w:sz w:val="20"/>
          <w:szCs w:val="20"/>
        </w:rPr>
      </w:pPr>
    </w:p>
    <w:p>
      <w:pPr>
        <w:pStyle w:val="BodyText"/>
        <w:spacing w:line="240" w:lineRule="auto" w:before="36"/>
        <w:ind w:right="215"/>
        <w:jc w:val="left"/>
      </w:pPr>
      <w:r>
        <w:rPr/>
        <w:t>存在不同企业所得税税率纳税主体的，披露情况说明</w:t>
      </w:r>
    </w:p>
    <w:p>
      <w:pPr>
        <w:pStyle w:val="BodyText"/>
        <w:spacing w:line="240" w:lineRule="auto" w:before="37"/>
        <w:ind w:right="215"/>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32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10</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r>
      <w:tr>
        <w:trPr>
          <w:trHeight w:val="324"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bl>
    <w:p>
      <w:pPr>
        <w:spacing w:after="0" w:line="262"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327"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成都金证同洲科技有限公司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齐普生信息科技（海南）有限公司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w:t>
            </w:r>
          </w:p>
        </w:tc>
      </w:tr>
    </w:tbl>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61"/>
        </w:rPr>
        <w:t> </w:t>
      </w:r>
      <w:r>
        <w:rPr/>
        <w:t>税收优惠</w:t>
      </w:r>
      <w:r>
        <w:rPr>
          <w:b w:val="0"/>
          <w:bCs w:val="0"/>
        </w:rPr>
      </w:r>
    </w:p>
    <w:p>
      <w:pPr>
        <w:pStyle w:val="BodyText"/>
        <w:spacing w:line="240" w:lineRule="auto" w:before="85"/>
        <w:ind w:right="0"/>
        <w:jc w:val="both"/>
      </w:pPr>
      <w:r>
        <w:rPr/>
        <w:t>√适用□不适用</w:t>
      </w:r>
    </w:p>
    <w:p>
      <w:pPr>
        <w:pStyle w:val="BodyText"/>
        <w:spacing w:line="240" w:lineRule="auto" w:before="114"/>
        <w:ind w:left="700" w:right="215"/>
        <w:jc w:val="left"/>
      </w:pPr>
      <w:r>
        <w:rPr>
          <w:rFonts w:ascii="宋体" w:hAnsi="宋体" w:cs="宋体" w:eastAsia="宋体" w:hint="default"/>
        </w:rPr>
        <w:t>1</w:t>
      </w:r>
      <w:r>
        <w:rPr/>
        <w:t>、享受企业所得税税收优惠</w:t>
      </w:r>
    </w:p>
    <w:p>
      <w:pPr>
        <w:pStyle w:val="BodyText"/>
        <w:spacing w:line="314" w:lineRule="auto" w:before="140"/>
        <w:ind w:right="230"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日，本公司被深圳市科技创新委员会、深圳市财政委员会、深圳市国家税务</w:t>
      </w:r>
      <w:r>
        <w:rPr>
          <w:w w:val="100"/>
        </w:rPr>
        <w:t> </w:t>
      </w:r>
      <w:r>
        <w:rPr>
          <w:spacing w:val="-3"/>
        </w:rPr>
        <w:t>局、深圳市地方税务局认定（证书号</w:t>
      </w:r>
      <w:r>
        <w:rPr/>
        <w:t> </w:t>
      </w:r>
      <w:r>
        <w:rPr>
          <w:rFonts w:ascii="宋体" w:hAnsi="宋体" w:cs="宋体" w:eastAsia="宋体" w:hint="default"/>
          <w:spacing w:val="-2"/>
        </w:rPr>
        <w:t>GR201744200285</w:t>
      </w:r>
      <w:r>
        <w:rPr>
          <w:spacing w:val="-2"/>
        </w:rPr>
        <w:t>）为高新技术企业，有效期为三年，本公司</w:t>
      </w:r>
      <w:r>
        <w:rPr>
          <w:spacing w:val="-97"/>
        </w:rPr>
        <w:t> </w:t>
      </w:r>
      <w:r>
        <w:rPr>
          <w:spacing w:val="-97"/>
        </w:rPr>
      </w:r>
      <w:r>
        <w:rPr>
          <w:rFonts w:ascii="宋体" w:hAnsi="宋体" w:cs="宋体" w:eastAsia="宋体" w:hint="default"/>
        </w:rPr>
        <w:t>2017</w:t>
      </w:r>
      <w:r>
        <w:rPr>
          <w:rFonts w:ascii="宋体" w:hAnsi="宋体" w:cs="宋体" w:eastAsia="宋体" w:hint="default"/>
          <w:spacing w:val="-54"/>
        </w:rPr>
        <w:t> </w:t>
      </w:r>
      <w:r>
        <w:rPr/>
        <w:t>年度减按</w:t>
      </w:r>
      <w:r>
        <w:rPr>
          <w:spacing w:val="-52"/>
        </w:rPr>
        <w:t> </w:t>
      </w:r>
      <w:r>
        <w:rPr>
          <w:rFonts w:ascii="宋体" w:hAnsi="宋体" w:cs="宋体" w:eastAsia="宋体" w:hint="default"/>
        </w:rPr>
        <w:t>15%</w:t>
      </w:r>
      <w:r>
        <w:rPr/>
        <w:t>计算缴纳企业所得税。</w:t>
      </w:r>
    </w:p>
    <w:p>
      <w:pPr>
        <w:pStyle w:val="BodyText"/>
        <w:spacing w:line="314" w:lineRule="auto" w:before="17"/>
        <w:ind w:right="228"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日，深圳市齐普生科技股份有限公司被深圳市科技创新委员会、深圳市财政</w:t>
      </w:r>
      <w:r>
        <w:rPr>
          <w:w w:val="100"/>
        </w:rPr>
        <w:t> </w:t>
      </w:r>
      <w:r>
        <w:rPr>
          <w:spacing w:val="-9"/>
        </w:rPr>
        <w:t>委员会、深圳市国家税务局、深圳市地方税务局认定（证书号 </w:t>
      </w:r>
      <w:r>
        <w:rPr>
          <w:rFonts w:ascii="宋体" w:hAnsi="宋体" w:cs="宋体" w:eastAsia="宋体" w:hint="default"/>
          <w:spacing w:val="-4"/>
        </w:rPr>
        <w:t>GR201544200011</w:t>
      </w:r>
      <w:r>
        <w:rPr>
          <w:spacing w:val="-4"/>
        </w:rPr>
        <w:t>）为高新技术企业，</w:t>
      </w:r>
      <w:r>
        <w:rPr>
          <w:spacing w:val="-75"/>
        </w:rPr>
        <w:t> </w:t>
      </w:r>
      <w:r>
        <w:rPr>
          <w:spacing w:val="-75"/>
        </w:rPr>
      </w:r>
      <w:r>
        <w:rPr/>
        <w:t>有效期为三年，深圳市齐普生科技股份有限公司</w:t>
      </w:r>
      <w:r>
        <w:rPr>
          <w:spacing w:val="-56"/>
        </w:rPr>
        <w:t> </w:t>
      </w:r>
      <w:r>
        <w:rPr>
          <w:rFonts w:ascii="宋体" w:hAnsi="宋体" w:cs="宋体" w:eastAsia="宋体" w:hint="default"/>
        </w:rPr>
        <w:t>2017</w:t>
      </w:r>
      <w:r>
        <w:rPr>
          <w:rFonts w:ascii="宋体" w:hAnsi="宋体" w:cs="宋体" w:eastAsia="宋体" w:hint="default"/>
          <w:spacing w:val="-55"/>
        </w:rPr>
        <w:t> </w:t>
      </w:r>
      <w:r>
        <w:rPr/>
        <w:t>年度减按</w:t>
      </w:r>
      <w:r>
        <w:rPr>
          <w:spacing w:val="-56"/>
        </w:rPr>
        <w:t> </w:t>
      </w:r>
      <w:r>
        <w:rPr>
          <w:rFonts w:ascii="宋体" w:hAnsi="宋体" w:cs="宋体" w:eastAsia="宋体" w:hint="default"/>
        </w:rPr>
        <w:t>15%</w:t>
      </w:r>
      <w:r>
        <w:rPr/>
        <w:t>计算缴纳企业所得税。</w:t>
      </w:r>
    </w:p>
    <w:p>
      <w:pPr>
        <w:pStyle w:val="BodyText"/>
        <w:spacing w:line="314" w:lineRule="auto" w:before="20"/>
        <w:ind w:right="228" w:firstLine="419"/>
        <w:jc w:val="both"/>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11</w:t>
      </w:r>
      <w:r>
        <w:rPr>
          <w:rFonts w:ascii="宋体" w:hAnsi="宋体" w:cs="宋体" w:eastAsia="宋体" w:hint="default"/>
          <w:spacing w:val="-45"/>
        </w:rPr>
        <w:t> </w:t>
      </w:r>
      <w:r>
        <w:rPr/>
        <w:t>月</w:t>
      </w:r>
      <w:r>
        <w:rPr>
          <w:spacing w:val="-43"/>
        </w:rPr>
        <w:t> </w:t>
      </w:r>
      <w:r>
        <w:rPr>
          <w:rFonts w:ascii="宋体" w:hAnsi="宋体" w:cs="宋体" w:eastAsia="宋体" w:hint="default"/>
        </w:rPr>
        <w:t>23</w:t>
      </w:r>
      <w:r>
        <w:rPr>
          <w:rFonts w:ascii="宋体" w:hAnsi="宋体" w:cs="宋体" w:eastAsia="宋体" w:hint="default"/>
          <w:spacing w:val="-43"/>
        </w:rPr>
        <w:t> </w:t>
      </w:r>
      <w:r>
        <w:rPr>
          <w:spacing w:val="-3"/>
        </w:rPr>
        <w:t>日，上海金证高科技有限公司被上海市科学技术委员会、上海市财政局、上</w:t>
      </w:r>
      <w:r>
        <w:rPr>
          <w:w w:val="100"/>
        </w:rPr>
        <w:t> </w:t>
      </w:r>
      <w:r>
        <w:rPr>
          <w:spacing w:val="-3"/>
        </w:rPr>
        <w:t>海市国家税务局、上海市地方税务局认定（证书号</w:t>
      </w:r>
      <w:r>
        <w:rPr>
          <w:spacing w:val="-47"/>
        </w:rPr>
        <w:t> </w:t>
      </w:r>
      <w:r>
        <w:rPr>
          <w:rFonts w:ascii="宋体" w:hAnsi="宋体" w:cs="宋体" w:eastAsia="宋体" w:hint="default"/>
        </w:rPr>
        <w:t>GR201731003111</w:t>
      </w:r>
      <w:r>
        <w:rPr/>
        <w:t>）为高新技术企业，有效期为</w:t>
      </w:r>
      <w:r>
        <w:rPr>
          <w:spacing w:val="-101"/>
        </w:rPr>
        <w:t> </w:t>
      </w:r>
      <w:r>
        <w:rPr>
          <w:spacing w:val="-101"/>
        </w:rPr>
      </w:r>
      <w:r>
        <w:rPr/>
        <w:t>三年，上海金证高科技有限公司</w:t>
      </w:r>
      <w:r>
        <w:rPr>
          <w:spacing w:val="-56"/>
        </w:rPr>
        <w:t> </w:t>
      </w:r>
      <w:r>
        <w:rPr>
          <w:rFonts w:ascii="宋体" w:hAnsi="宋体" w:cs="宋体" w:eastAsia="宋体" w:hint="default"/>
        </w:rPr>
        <w:t>2017</w:t>
      </w:r>
      <w:r>
        <w:rPr>
          <w:rFonts w:ascii="宋体" w:hAnsi="宋体" w:cs="宋体" w:eastAsia="宋体" w:hint="default"/>
          <w:spacing w:val="-56"/>
        </w:rPr>
        <w:t> </w:t>
      </w:r>
      <w:r>
        <w:rPr/>
        <w:t>年度减按</w:t>
      </w:r>
      <w:r>
        <w:rPr>
          <w:spacing w:val="-56"/>
        </w:rPr>
        <w:t> </w:t>
      </w:r>
      <w:r>
        <w:rPr>
          <w:rFonts w:ascii="宋体" w:hAnsi="宋体" w:cs="宋体" w:eastAsia="宋体" w:hint="default"/>
        </w:rPr>
        <w:t>15%</w:t>
      </w:r>
      <w:r>
        <w:rPr/>
        <w:t>计算缴纳企业所得税。</w:t>
      </w:r>
    </w:p>
    <w:p>
      <w:pPr>
        <w:pStyle w:val="BodyText"/>
        <w:spacing w:line="314" w:lineRule="auto" w:before="17"/>
        <w:ind w:right="128" w:firstLine="419"/>
        <w:jc w:val="left"/>
      </w:pPr>
      <w:r>
        <w:rPr>
          <w:rFonts w:ascii="宋体" w:hAnsi="宋体" w:cs="宋体" w:eastAsia="宋体" w:hint="default"/>
        </w:rPr>
        <w:t>2015</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24</w:t>
      </w:r>
      <w:r>
        <w:rPr>
          <w:rFonts w:ascii="宋体" w:hAnsi="宋体" w:cs="宋体" w:eastAsia="宋体" w:hint="default"/>
          <w:spacing w:val="-42"/>
        </w:rPr>
        <w:t> </w:t>
      </w:r>
      <w:r>
        <w:rPr/>
        <w:t>日，北京北方金证科技有限公司被北京市科学技术委员会、北京市财政局、</w:t>
      </w:r>
      <w:r>
        <w:rPr>
          <w:w w:val="100"/>
        </w:rPr>
        <w:t> </w:t>
      </w:r>
      <w:r>
        <w:rPr>
          <w:spacing w:val="-3"/>
        </w:rPr>
        <w:t>北京市国家税务局、北京市地方税务局认定（证书号</w:t>
      </w:r>
      <w:r>
        <w:rPr>
          <w:spacing w:val="-50"/>
        </w:rPr>
        <w:t> </w:t>
      </w:r>
      <w:r>
        <w:rPr>
          <w:rFonts w:ascii="宋体" w:hAnsi="宋体" w:cs="宋体" w:eastAsia="宋体" w:hint="default"/>
        </w:rPr>
        <w:t>GR201511002189</w:t>
      </w:r>
      <w:r>
        <w:rPr/>
        <w:t>）为高新技术企业，有效期</w:t>
      </w:r>
      <w:r>
        <w:rPr>
          <w:spacing w:val="-97"/>
        </w:rPr>
        <w:t> </w:t>
      </w:r>
      <w:r>
        <w:rPr>
          <w:spacing w:val="-97"/>
        </w:rPr>
      </w:r>
      <w:r>
        <w:rPr/>
        <w:t>为三年，北京北方金证科技有限公司</w:t>
      </w:r>
      <w:r>
        <w:rPr>
          <w:spacing w:val="-55"/>
        </w:rPr>
        <w:t> </w:t>
      </w:r>
      <w:r>
        <w:rPr>
          <w:rFonts w:ascii="宋体" w:hAnsi="宋体" w:cs="宋体" w:eastAsia="宋体" w:hint="default"/>
        </w:rPr>
        <w:t>2017</w:t>
      </w:r>
      <w:r>
        <w:rPr>
          <w:rFonts w:ascii="宋体" w:hAnsi="宋体" w:cs="宋体" w:eastAsia="宋体" w:hint="default"/>
          <w:spacing w:val="-55"/>
        </w:rPr>
        <w:t> </w:t>
      </w:r>
      <w:r>
        <w:rPr/>
        <w:t>年度减按</w:t>
      </w:r>
      <w:r>
        <w:rPr>
          <w:spacing w:val="-54"/>
        </w:rPr>
        <w:t> </w:t>
      </w:r>
      <w:r>
        <w:rPr>
          <w:rFonts w:ascii="宋体" w:hAnsi="宋体" w:cs="宋体" w:eastAsia="宋体" w:hint="default"/>
        </w:rPr>
        <w:t>15%</w:t>
      </w:r>
      <w:r>
        <w:rPr/>
        <w:t>计算缴纳企业所得税。</w:t>
      </w:r>
    </w:p>
    <w:p>
      <w:pPr>
        <w:pStyle w:val="BodyText"/>
        <w:spacing w:line="240" w:lineRule="auto" w:before="20"/>
        <w:ind w:left="638" w:right="123"/>
        <w:jc w:val="left"/>
        <w:rPr>
          <w:rFonts w:ascii="宋体" w:hAnsi="宋体" w:cs="宋体" w:eastAsia="宋体" w:hint="default"/>
        </w:rPr>
      </w:pPr>
      <w:r>
        <w:rPr>
          <w:spacing w:val="-3"/>
        </w:rPr>
        <w:t>根据财政部关于小型微利企业所得税优惠政策的通知（财税</w:t>
      </w:r>
      <w:r>
        <w:rPr>
          <w:rFonts w:ascii="宋体" w:hAnsi="宋体" w:cs="宋体" w:eastAsia="宋体" w:hint="default"/>
          <w:spacing w:val="-3"/>
        </w:rPr>
        <w:t>[2017]43</w:t>
      </w:r>
      <w:r>
        <w:rPr>
          <w:rFonts w:ascii="宋体" w:hAnsi="宋体" w:cs="宋体" w:eastAsia="宋体" w:hint="default"/>
          <w:spacing w:val="-40"/>
        </w:rPr>
        <w:t> </w:t>
      </w:r>
      <w:r>
        <w:rPr>
          <w:spacing w:val="-18"/>
        </w:rPr>
        <w:t>号）：自</w:t>
      </w:r>
      <w:r>
        <w:rPr>
          <w:spacing w:val="-39"/>
        </w:rPr>
        <w:t> </w:t>
      </w:r>
      <w:r>
        <w:rPr>
          <w:rFonts w:ascii="宋体" w:hAnsi="宋体" w:cs="宋体" w:eastAsia="宋体" w:hint="default"/>
        </w:rPr>
        <w:t>2017</w:t>
      </w:r>
      <w:r>
        <w:rPr>
          <w:rFonts w:ascii="宋体" w:hAnsi="宋体" w:cs="宋体" w:eastAsia="宋体" w:hint="default"/>
          <w:spacing w:val="-40"/>
        </w:rPr>
        <w:t> </w:t>
      </w:r>
      <w:r>
        <w:rPr/>
        <w:t>年</w:t>
      </w:r>
      <w:r>
        <w:rPr>
          <w:spacing w:val="-43"/>
        </w:rPr>
        <w:t> </w:t>
      </w:r>
      <w:r>
        <w:rPr>
          <w:rFonts w:ascii="宋体" w:hAnsi="宋体" w:cs="宋体" w:eastAsia="宋体" w:hint="default"/>
        </w:rPr>
        <w:t>1</w:t>
      </w:r>
      <w:r>
        <w:rPr>
          <w:rFonts w:ascii="宋体" w:hAnsi="宋体" w:cs="宋体" w:eastAsia="宋体" w:hint="default"/>
          <w:spacing w:val="-40"/>
        </w:rPr>
        <w:t> </w:t>
      </w:r>
      <w:r>
        <w:rPr/>
        <w:t>月</w:t>
      </w:r>
      <w:r>
        <w:rPr>
          <w:spacing w:val="-43"/>
        </w:rPr>
        <w:t> </w:t>
      </w:r>
      <w:r>
        <w:rPr>
          <w:rFonts w:ascii="宋体" w:hAnsi="宋体" w:cs="宋体" w:eastAsia="宋体" w:hint="default"/>
        </w:rPr>
        <w:t>1</w:t>
      </w:r>
    </w:p>
    <w:p>
      <w:pPr>
        <w:pStyle w:val="BodyText"/>
        <w:spacing w:line="240" w:lineRule="auto" w:before="82"/>
        <w:ind w:right="0"/>
        <w:jc w:val="both"/>
      </w:pPr>
      <w:r>
        <w:rPr/>
        <w:t>日至</w:t>
      </w:r>
      <w:r>
        <w:rPr>
          <w:spacing w:val="-49"/>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4"/>
        </w:rPr>
        <w:t>日，将小型微利企业的年应纳税所得额上限由</w:t>
      </w:r>
      <w:r>
        <w:rPr>
          <w:spacing w:val="-48"/>
        </w:rPr>
        <w:t> </w:t>
      </w:r>
      <w:r>
        <w:rPr>
          <w:rFonts w:ascii="宋体" w:hAnsi="宋体" w:cs="宋体" w:eastAsia="宋体" w:hint="default"/>
        </w:rPr>
        <w:t>30</w:t>
      </w:r>
      <w:r>
        <w:rPr>
          <w:rFonts w:ascii="宋体" w:hAnsi="宋体" w:cs="宋体" w:eastAsia="宋体" w:hint="default"/>
          <w:spacing w:val="-51"/>
        </w:rPr>
        <w:t> </w:t>
      </w:r>
      <w:r>
        <w:rPr/>
        <w:t>万元提高至</w:t>
      </w:r>
      <w:r>
        <w:rPr>
          <w:spacing w:val="-48"/>
        </w:rPr>
        <w:t> </w:t>
      </w:r>
      <w:r>
        <w:rPr>
          <w:rFonts w:ascii="宋体" w:hAnsi="宋体" w:cs="宋体" w:eastAsia="宋体" w:hint="default"/>
        </w:rPr>
        <w:t>50</w:t>
      </w:r>
      <w:r>
        <w:rPr>
          <w:rFonts w:ascii="宋体" w:hAnsi="宋体" w:cs="宋体" w:eastAsia="宋体" w:hint="default"/>
          <w:spacing w:val="-49"/>
        </w:rPr>
        <w:t> </w:t>
      </w:r>
      <w:r>
        <w:rPr>
          <w:spacing w:val="-11"/>
        </w:rPr>
        <w:t>万元，对年</w:t>
      </w:r>
    </w:p>
    <w:p>
      <w:pPr>
        <w:pStyle w:val="BodyText"/>
        <w:spacing w:line="314" w:lineRule="auto" w:before="85"/>
        <w:ind w:right="228"/>
        <w:jc w:val="both"/>
      </w:pPr>
      <w:r>
        <w:rPr/>
        <w:t>应纳税所得额低于</w:t>
      </w:r>
      <w:r>
        <w:rPr>
          <w:spacing w:val="-55"/>
        </w:rPr>
        <w:t> </w:t>
      </w:r>
      <w:r>
        <w:rPr>
          <w:rFonts w:ascii="宋体" w:hAnsi="宋体" w:cs="宋体" w:eastAsia="宋体" w:hint="default"/>
        </w:rPr>
        <w:t>50</w:t>
      </w:r>
      <w:r>
        <w:rPr>
          <w:rFonts w:ascii="宋体" w:hAnsi="宋体" w:cs="宋体" w:eastAsia="宋体" w:hint="default"/>
          <w:spacing w:val="-55"/>
        </w:rPr>
        <w:t> </w:t>
      </w:r>
      <w:r>
        <w:rPr/>
        <w:t>万元（含</w:t>
      </w:r>
      <w:r>
        <w:rPr>
          <w:spacing w:val="-54"/>
        </w:rPr>
        <w:t> </w:t>
      </w:r>
      <w:r>
        <w:rPr>
          <w:rFonts w:ascii="宋体" w:hAnsi="宋体" w:cs="宋体" w:eastAsia="宋体" w:hint="default"/>
        </w:rPr>
        <w:t>50</w:t>
      </w:r>
      <w:r>
        <w:rPr>
          <w:rFonts w:ascii="宋体" w:hAnsi="宋体" w:cs="宋体" w:eastAsia="宋体" w:hint="default"/>
          <w:spacing w:val="-55"/>
        </w:rPr>
        <w:t> </w:t>
      </w:r>
      <w:r>
        <w:rPr/>
        <w:t>万元）的小型微利企业，其所得减按</w:t>
      </w:r>
      <w:r>
        <w:rPr>
          <w:spacing w:val="-55"/>
        </w:rPr>
        <w:t> </w:t>
      </w:r>
      <w:r>
        <w:rPr>
          <w:rFonts w:ascii="宋体" w:hAnsi="宋体" w:cs="宋体" w:eastAsia="宋体" w:hint="default"/>
        </w:rPr>
        <w:t>50%</w:t>
      </w:r>
      <w:r>
        <w:rPr/>
        <w:t>计入应纳税所得额，</w:t>
      </w:r>
      <w:r>
        <w:rPr>
          <w:w w:val="100"/>
        </w:rPr>
        <w:t> </w:t>
      </w:r>
      <w:r>
        <w:rPr/>
        <w:t>按</w:t>
      </w:r>
      <w:r>
        <w:rPr>
          <w:spacing w:val="-44"/>
        </w:rPr>
        <w:t> </w:t>
      </w:r>
      <w:r>
        <w:rPr>
          <w:rFonts w:ascii="宋体" w:hAnsi="宋体" w:cs="宋体" w:eastAsia="宋体" w:hint="default"/>
          <w:spacing w:val="-3"/>
        </w:rPr>
        <w:t>20%</w:t>
      </w:r>
      <w:r>
        <w:rPr>
          <w:spacing w:val="-3"/>
        </w:rPr>
        <w:t>的税率缴纳企业所得税。成都市金证科技有限责任公司</w:t>
      </w:r>
      <w:r>
        <w:rPr>
          <w:spacing w:val="-44"/>
        </w:rPr>
        <w:t> </w:t>
      </w:r>
      <w:r>
        <w:rPr>
          <w:rFonts w:ascii="宋体" w:hAnsi="宋体" w:cs="宋体" w:eastAsia="宋体" w:hint="default"/>
        </w:rPr>
        <w:t>2017</w:t>
      </w:r>
      <w:r>
        <w:rPr>
          <w:rFonts w:ascii="宋体" w:hAnsi="宋体" w:cs="宋体" w:eastAsia="宋体" w:hint="default"/>
          <w:spacing w:val="-44"/>
        </w:rPr>
        <w:t> </w:t>
      </w:r>
      <w:r>
        <w:rPr/>
        <w:t>年适用小型微利企业所得税优</w:t>
      </w:r>
      <w:r>
        <w:rPr>
          <w:spacing w:val="-102"/>
        </w:rPr>
        <w:t> </w:t>
      </w:r>
      <w:r>
        <w:rPr>
          <w:spacing w:val="-102"/>
        </w:rPr>
      </w:r>
      <w:r>
        <w:rPr/>
        <w:t>惠政策，其所得减按</w:t>
      </w:r>
      <w:r>
        <w:rPr>
          <w:spacing w:val="-57"/>
        </w:rPr>
        <w:t> </w:t>
      </w:r>
      <w:r>
        <w:rPr>
          <w:rFonts w:ascii="宋体" w:hAnsi="宋体" w:cs="宋体" w:eastAsia="宋体" w:hint="default"/>
        </w:rPr>
        <w:t>50%</w:t>
      </w:r>
      <w:r>
        <w:rPr/>
        <w:t>计入应纳税所得额，按</w:t>
      </w:r>
      <w:r>
        <w:rPr>
          <w:spacing w:val="-57"/>
        </w:rPr>
        <w:t> </w:t>
      </w:r>
      <w:r>
        <w:rPr>
          <w:rFonts w:ascii="宋体" w:hAnsi="宋体" w:cs="宋体" w:eastAsia="宋体" w:hint="default"/>
        </w:rPr>
        <w:t>20%</w:t>
      </w:r>
      <w:r>
        <w:rPr/>
        <w:t>的税率缴纳企业所得税。</w:t>
      </w:r>
    </w:p>
    <w:p>
      <w:pPr>
        <w:pStyle w:val="BodyText"/>
        <w:spacing w:line="314" w:lineRule="auto" w:before="17"/>
        <w:ind w:right="228" w:firstLine="419"/>
        <w:jc w:val="both"/>
      </w:pPr>
      <w:r>
        <w:rPr>
          <w:rFonts w:ascii="宋体" w:hAnsi="宋体" w:cs="宋体" w:eastAsia="宋体" w:hint="default"/>
        </w:rPr>
        <w:t>2014</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26</w:t>
      </w:r>
      <w:r>
        <w:rPr>
          <w:rFonts w:ascii="宋体" w:hAnsi="宋体" w:cs="宋体" w:eastAsia="宋体" w:hint="default"/>
          <w:spacing w:val="-43"/>
        </w:rPr>
        <w:t> </w:t>
      </w:r>
      <w:r>
        <w:rPr>
          <w:spacing w:val="-3"/>
        </w:rPr>
        <w:t>日金证财富南京科技有限公司被认定为软件企业，享受企业所得税两免三减</w:t>
      </w:r>
      <w:r>
        <w:rPr>
          <w:w w:val="100"/>
        </w:rPr>
        <w:t> </w:t>
      </w:r>
      <w:r>
        <w:rPr/>
        <w:t>半优惠政策，</w:t>
      </w:r>
      <w:r>
        <w:rPr>
          <w:rFonts w:ascii="宋体" w:hAnsi="宋体" w:cs="宋体" w:eastAsia="宋体" w:hint="default"/>
        </w:rPr>
        <w:t>2014</w:t>
      </w:r>
      <w:r>
        <w:rPr/>
        <w:t>、</w:t>
      </w:r>
      <w:r>
        <w:rPr>
          <w:rFonts w:ascii="宋体" w:hAnsi="宋体" w:cs="宋体" w:eastAsia="宋体" w:hint="default"/>
        </w:rPr>
        <w:t>2015</w:t>
      </w:r>
      <w:r>
        <w:rPr>
          <w:rFonts w:ascii="宋体" w:hAnsi="宋体" w:cs="宋体" w:eastAsia="宋体" w:hint="default"/>
          <w:spacing w:val="-57"/>
        </w:rPr>
        <w:t> </w:t>
      </w:r>
      <w:r>
        <w:rPr/>
        <w:t>年度免征企业所得税，</w:t>
      </w:r>
      <w:r>
        <w:rPr>
          <w:rFonts w:ascii="宋体" w:hAnsi="宋体" w:cs="宋体" w:eastAsia="宋体" w:hint="default"/>
        </w:rPr>
        <w:t>2016</w:t>
      </w:r>
      <w:r>
        <w:rPr>
          <w:rFonts w:ascii="宋体" w:hAnsi="宋体" w:cs="宋体" w:eastAsia="宋体" w:hint="default"/>
          <w:spacing w:val="-55"/>
        </w:rPr>
        <w:t> </w:t>
      </w:r>
      <w:r>
        <w:rPr/>
        <w:t>年至</w:t>
      </w:r>
      <w:r>
        <w:rPr>
          <w:spacing w:val="-57"/>
        </w:rPr>
        <w:t> </w:t>
      </w:r>
      <w:r>
        <w:rPr>
          <w:rFonts w:ascii="宋体" w:hAnsi="宋体" w:cs="宋体" w:eastAsia="宋体" w:hint="default"/>
        </w:rPr>
        <w:t>2018</w:t>
      </w:r>
      <w:r>
        <w:rPr>
          <w:rFonts w:ascii="宋体" w:hAnsi="宋体" w:cs="宋体" w:eastAsia="宋体" w:hint="default"/>
          <w:spacing w:val="-56"/>
        </w:rPr>
        <w:t> </w:t>
      </w:r>
      <w:r>
        <w:rPr/>
        <w:t>年减半征收企业所得税。</w:t>
      </w:r>
    </w:p>
    <w:p>
      <w:pPr>
        <w:pStyle w:val="BodyText"/>
        <w:spacing w:line="314" w:lineRule="auto" w:before="17"/>
        <w:ind w:right="227" w:firstLine="419"/>
        <w:jc w:val="both"/>
      </w:pPr>
      <w:r>
        <w:rPr/>
        <w:t>深圳市金微蓝技术有限公司成立于</w:t>
      </w:r>
      <w:r>
        <w:rPr>
          <w:spacing w:val="-47"/>
        </w:rPr>
        <w:t> </w:t>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4</w:t>
      </w:r>
      <w:r>
        <w:rPr>
          <w:rFonts w:ascii="宋体" w:hAnsi="宋体" w:cs="宋体" w:eastAsia="宋体" w:hint="default"/>
          <w:spacing w:val="-49"/>
        </w:rPr>
        <w:t> </w:t>
      </w:r>
      <w:r>
        <w:rPr/>
        <w:t>月</w:t>
      </w:r>
      <w:r>
        <w:rPr>
          <w:spacing w:val="-46"/>
        </w:rPr>
        <w:t> </w:t>
      </w:r>
      <w:r>
        <w:rPr>
          <w:rFonts w:ascii="宋体" w:hAnsi="宋体" w:cs="宋体" w:eastAsia="宋体" w:hint="default"/>
        </w:rPr>
        <w:t>3</w:t>
      </w:r>
      <w:r>
        <w:rPr>
          <w:rFonts w:ascii="宋体" w:hAnsi="宋体" w:cs="宋体" w:eastAsia="宋体" w:hint="default"/>
          <w:spacing w:val="-49"/>
        </w:rPr>
        <w:t> </w:t>
      </w:r>
      <w:r>
        <w:rPr>
          <w:spacing w:val="-7"/>
        </w:rPr>
        <w:t>日，注册地址：深圳市前海深港合作区前湾</w:t>
      </w:r>
      <w:r>
        <w:rPr>
          <w:w w:val="100"/>
        </w:rPr>
        <w:t> </w:t>
      </w:r>
      <w:r>
        <w:rPr/>
        <w:t>一路</w:t>
      </w:r>
      <w:r>
        <w:rPr>
          <w:spacing w:val="-54"/>
        </w:rPr>
        <w:t> </w:t>
      </w:r>
      <w:r>
        <w:rPr>
          <w:rFonts w:ascii="宋体" w:hAnsi="宋体" w:cs="宋体" w:eastAsia="宋体" w:hint="default"/>
        </w:rPr>
        <w:t>1</w:t>
      </w:r>
      <w:r>
        <w:rPr>
          <w:rFonts w:ascii="宋体" w:hAnsi="宋体" w:cs="宋体" w:eastAsia="宋体" w:hint="default"/>
          <w:spacing w:val="-56"/>
        </w:rPr>
        <w:t> </w:t>
      </w:r>
      <w:r>
        <w:rPr/>
        <w:t>号</w:t>
      </w:r>
      <w:r>
        <w:rPr>
          <w:spacing w:val="-54"/>
        </w:rPr>
        <w:t> </w:t>
      </w:r>
      <w:r>
        <w:rPr>
          <w:rFonts w:ascii="宋体" w:hAnsi="宋体" w:cs="宋体" w:eastAsia="宋体" w:hint="default"/>
        </w:rPr>
        <w:t>A</w:t>
      </w:r>
      <w:r>
        <w:rPr>
          <w:rFonts w:ascii="宋体" w:hAnsi="宋体" w:cs="宋体" w:eastAsia="宋体" w:hint="default"/>
          <w:spacing w:val="-56"/>
        </w:rPr>
        <w:t> </w:t>
      </w:r>
      <w:r>
        <w:rPr/>
        <w:t>栋</w:t>
      </w:r>
      <w:r>
        <w:rPr>
          <w:spacing w:val="-54"/>
        </w:rPr>
        <w:t> </w:t>
      </w:r>
      <w:r>
        <w:rPr>
          <w:rFonts w:ascii="宋体" w:hAnsi="宋体" w:cs="宋体" w:eastAsia="宋体" w:hint="default"/>
        </w:rPr>
        <w:t>201</w:t>
      </w:r>
      <w:r>
        <w:rPr>
          <w:rFonts w:ascii="宋体" w:hAnsi="宋体" w:cs="宋体" w:eastAsia="宋体" w:hint="default"/>
          <w:spacing w:val="-54"/>
        </w:rPr>
        <w:t> </w:t>
      </w:r>
      <w:r>
        <w:rPr/>
        <w:t>室，在深圳前海深港合作区企业所得税按</w:t>
      </w:r>
      <w:r>
        <w:rPr>
          <w:spacing w:val="-54"/>
        </w:rPr>
        <w:t> </w:t>
      </w:r>
      <w:r>
        <w:rPr>
          <w:rFonts w:ascii="宋体" w:hAnsi="宋体" w:cs="宋体" w:eastAsia="宋体" w:hint="default"/>
        </w:rPr>
        <w:t>15</w:t>
      </w:r>
      <w:r>
        <w:rPr/>
        <w:t>％的优惠税率计算缴纳。</w:t>
      </w:r>
    </w:p>
    <w:p>
      <w:pPr>
        <w:pStyle w:val="BodyText"/>
        <w:spacing w:line="295" w:lineRule="auto" w:before="17"/>
        <w:ind w:right="215" w:firstLine="4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spacing w:val="-3"/>
        </w:rPr>
        <w:t>日，人谷科技（北京）有限责任公司被北京市科学技术委员会、北京市财政</w:t>
      </w:r>
      <w:r>
        <w:rPr>
          <w:w w:val="100"/>
        </w:rPr>
        <w:t> </w:t>
      </w:r>
      <w:r>
        <w:rPr/>
        <w:t>局、北京市国家税务局、北京市地方税务局认定（证书号</w:t>
      </w:r>
      <w:r>
        <w:rPr>
          <w:spacing w:val="-56"/>
        </w:rPr>
        <w:t> </w:t>
      </w:r>
      <w:r>
        <w:rPr>
          <w:rFonts w:ascii="Times New Roman" w:hAnsi="Times New Roman" w:cs="Times New Roman" w:eastAsia="Times New Roman" w:hint="default"/>
        </w:rPr>
        <w:t>GR201711001857</w:t>
      </w:r>
      <w:r>
        <w:rPr/>
        <w:t>）为高新技术企业，</w:t>
      </w:r>
      <w:r>
        <w:rPr>
          <w:w w:val="100"/>
        </w:rPr>
        <w:t> </w:t>
      </w:r>
      <w:r>
        <w:rPr/>
        <w:t>有效期为三年，人谷科技（北京）有限责任公司</w:t>
      </w:r>
      <w:r>
        <w:rPr>
          <w:spacing w:val="-57"/>
        </w:rPr>
        <w:t> </w:t>
      </w:r>
      <w:r>
        <w:rPr>
          <w:rFonts w:ascii="Times New Roman" w:hAnsi="Times New Roman" w:cs="Times New Roman" w:eastAsia="Times New Roman" w:hint="default"/>
        </w:rPr>
        <w:t>2017-2019</w:t>
      </w:r>
      <w:r>
        <w:rPr>
          <w:rFonts w:ascii="Times New Roman" w:hAnsi="Times New Roman" w:cs="Times New Roman" w:eastAsia="Times New Roman" w:hint="default"/>
          <w:spacing w:val="-4"/>
        </w:rPr>
        <w:t> </w:t>
      </w:r>
      <w:r>
        <w:rPr/>
        <w:t>年度减按</w:t>
      </w:r>
      <w:r>
        <w:rPr>
          <w:spacing w:val="-57"/>
        </w:rPr>
        <w:t> </w:t>
      </w:r>
      <w:r>
        <w:rPr>
          <w:rFonts w:ascii="Times New Roman" w:hAnsi="Times New Roman" w:cs="Times New Roman" w:eastAsia="Times New Roman" w:hint="default"/>
        </w:rPr>
        <w:t>15%</w:t>
      </w:r>
      <w:r>
        <w:rPr/>
        <w:t>计算缴纳企业所得税。</w:t>
      </w:r>
    </w:p>
    <w:p>
      <w:pPr>
        <w:pStyle w:val="BodyText"/>
        <w:spacing w:line="312" w:lineRule="auto" w:before="16"/>
        <w:ind w:right="290"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日，深圳市融汇通金科技有限公司被认定为软件企业，享受企业所得税两免</w:t>
      </w:r>
      <w:r>
        <w:rPr>
          <w:w w:val="100"/>
        </w:rPr>
        <w:t> </w:t>
      </w:r>
      <w:r>
        <w:rPr/>
        <w:t>三减半优惠政策，</w:t>
      </w:r>
      <w:r>
        <w:rPr>
          <w:rFonts w:ascii="宋体" w:hAnsi="宋体" w:cs="宋体" w:eastAsia="宋体" w:hint="default"/>
        </w:rPr>
        <w:t>2016</w:t>
      </w:r>
      <w:r>
        <w:rPr/>
        <w:t>、</w:t>
      </w:r>
      <w:r>
        <w:rPr>
          <w:rFonts w:ascii="宋体" w:hAnsi="宋体" w:cs="宋体" w:eastAsia="宋体" w:hint="default"/>
        </w:rPr>
        <w:t>2017</w:t>
      </w:r>
      <w:r>
        <w:rPr>
          <w:rFonts w:ascii="宋体" w:hAnsi="宋体" w:cs="宋体" w:eastAsia="宋体" w:hint="default"/>
          <w:spacing w:val="-56"/>
        </w:rPr>
        <w:t> </w:t>
      </w:r>
      <w:r>
        <w:rPr/>
        <w:t>年度免征企业所得税，</w:t>
      </w:r>
      <w:r>
        <w:rPr>
          <w:rFonts w:ascii="宋体" w:hAnsi="宋体" w:cs="宋体" w:eastAsia="宋体" w:hint="default"/>
        </w:rPr>
        <w:t>2018</w:t>
      </w:r>
      <w:r>
        <w:rPr>
          <w:rFonts w:ascii="宋体" w:hAnsi="宋体" w:cs="宋体" w:eastAsia="宋体" w:hint="default"/>
          <w:spacing w:val="-56"/>
        </w:rPr>
        <w:t> </w:t>
      </w:r>
      <w:r>
        <w:rPr/>
        <w:t>年至</w:t>
      </w:r>
      <w:r>
        <w:rPr>
          <w:spacing w:val="-56"/>
        </w:rPr>
        <w:t> </w:t>
      </w:r>
      <w:r>
        <w:rPr>
          <w:rFonts w:ascii="宋体" w:hAnsi="宋体" w:cs="宋体" w:eastAsia="宋体" w:hint="default"/>
        </w:rPr>
        <w:t>2020</w:t>
      </w:r>
      <w:r>
        <w:rPr>
          <w:rFonts w:ascii="宋体" w:hAnsi="宋体" w:cs="宋体" w:eastAsia="宋体" w:hint="default"/>
          <w:spacing w:val="-56"/>
        </w:rPr>
        <w:t> </w:t>
      </w:r>
      <w:r>
        <w:rPr/>
        <w:t>年减半征收企业所得税。</w:t>
      </w:r>
    </w:p>
    <w:p>
      <w:pPr>
        <w:spacing w:after="0" w:line="312" w:lineRule="auto"/>
        <w:jc w:val="both"/>
        <w:sectPr>
          <w:pgSz w:w="11910" w:h="16840"/>
          <w:pgMar w:header="882" w:footer="1195" w:top="1120" w:bottom="1380" w:left="1580" w:right="1040"/>
        </w:sectPr>
      </w:pPr>
    </w:p>
    <w:p>
      <w:pPr>
        <w:spacing w:line="240" w:lineRule="auto" w:before="8"/>
        <w:rPr>
          <w:rFonts w:ascii="宋体" w:hAnsi="宋体" w:cs="宋体" w:eastAsia="宋体" w:hint="default"/>
          <w:sz w:val="28"/>
          <w:szCs w:val="28"/>
        </w:rPr>
      </w:pPr>
    </w:p>
    <w:p>
      <w:pPr>
        <w:pStyle w:val="BodyText"/>
        <w:spacing w:line="314" w:lineRule="auto" w:before="36"/>
        <w:ind w:left="238" w:right="308" w:firstLine="419"/>
        <w:jc w:val="both"/>
      </w:pPr>
      <w:r>
        <w:rPr>
          <w:spacing w:val="-2"/>
          <w:w w:val="100"/>
        </w:rPr>
        <w:t>珠海金智维信息科技有限公司</w:t>
      </w:r>
      <w:r>
        <w:rPr>
          <w:w w:val="100"/>
        </w:rPr>
        <w:t> </w:t>
      </w:r>
      <w:r>
        <w:rPr>
          <w:rFonts w:ascii="宋体" w:hAnsi="宋体" w:cs="宋体" w:eastAsia="宋体" w:hint="default"/>
          <w:spacing w:val="-1"/>
          <w:w w:val="100"/>
        </w:rPr>
        <w:t>2018</w:t>
      </w:r>
      <w:r>
        <w:rPr>
          <w:rFonts w:ascii="宋体" w:hAnsi="宋体" w:cs="宋体" w:eastAsia="宋体" w:hint="default"/>
          <w:spacing w:val="-80"/>
          <w:w w:val="100"/>
        </w:rPr>
        <w:t> </w:t>
      </w:r>
      <w:r>
        <w:rPr>
          <w:spacing w:val="-6"/>
          <w:w w:val="100"/>
        </w:rPr>
        <w:t>年被认定为软件企业，享受企业所得税两免三减半优惠政</w:t>
      </w:r>
      <w:r>
        <w:rPr>
          <w:w w:val="100"/>
        </w:rPr>
        <w:t> </w:t>
      </w:r>
      <w:r>
        <w:rPr/>
        <w:t>策，</w:t>
      </w:r>
      <w:r>
        <w:rPr>
          <w:rFonts w:ascii="宋体" w:hAnsi="宋体" w:cs="宋体" w:eastAsia="宋体" w:hint="default"/>
        </w:rPr>
        <w:t>2017</w:t>
      </w:r>
      <w:r>
        <w:rPr/>
        <w:t>、</w:t>
      </w:r>
      <w:r>
        <w:rPr>
          <w:rFonts w:ascii="宋体" w:hAnsi="宋体" w:cs="宋体" w:eastAsia="宋体" w:hint="default"/>
        </w:rPr>
        <w:t>2018</w:t>
      </w:r>
      <w:r>
        <w:rPr>
          <w:rFonts w:ascii="宋体" w:hAnsi="宋体" w:cs="宋体" w:eastAsia="宋体" w:hint="default"/>
          <w:spacing w:val="-56"/>
        </w:rPr>
        <w:t> </w:t>
      </w:r>
      <w:r>
        <w:rPr/>
        <w:t>年度免征企业所得税，</w:t>
      </w:r>
      <w:r>
        <w:rPr>
          <w:rFonts w:ascii="宋体" w:hAnsi="宋体" w:cs="宋体" w:eastAsia="宋体" w:hint="default"/>
        </w:rPr>
        <w:t>2019</w:t>
      </w:r>
      <w:r>
        <w:rPr>
          <w:rFonts w:ascii="宋体" w:hAnsi="宋体" w:cs="宋体" w:eastAsia="宋体" w:hint="default"/>
          <w:spacing w:val="-58"/>
        </w:rPr>
        <w:t> </w:t>
      </w:r>
      <w:r>
        <w:rPr/>
        <w:t>年至</w:t>
      </w:r>
      <w:r>
        <w:rPr>
          <w:spacing w:val="-56"/>
        </w:rPr>
        <w:t> </w:t>
      </w:r>
      <w:r>
        <w:rPr>
          <w:rFonts w:ascii="宋体" w:hAnsi="宋体" w:cs="宋体" w:eastAsia="宋体" w:hint="default"/>
        </w:rPr>
        <w:t>2021</w:t>
      </w:r>
      <w:r>
        <w:rPr>
          <w:rFonts w:ascii="宋体" w:hAnsi="宋体" w:cs="宋体" w:eastAsia="宋体" w:hint="default"/>
          <w:spacing w:val="-56"/>
        </w:rPr>
        <w:t> </w:t>
      </w:r>
      <w:r>
        <w:rPr/>
        <w:t>年减半征收企业所得税。</w:t>
      </w:r>
    </w:p>
    <w:p>
      <w:pPr>
        <w:pStyle w:val="BodyText"/>
        <w:spacing w:line="314" w:lineRule="auto" w:before="17"/>
        <w:ind w:left="238" w:right="0" w:firstLine="419"/>
        <w:jc w:val="left"/>
      </w:pPr>
      <w:r>
        <w:rPr>
          <w:spacing w:val="-2"/>
          <w:w w:val="100"/>
        </w:rPr>
        <w:t>深圳金证引擎科技有限公司</w:t>
      </w:r>
      <w:r>
        <w:rPr>
          <w:spacing w:val="-48"/>
          <w:w w:val="100"/>
        </w:rPr>
        <w:t> </w:t>
      </w:r>
      <w:r>
        <w:rPr>
          <w:rFonts w:ascii="宋体" w:hAnsi="宋体" w:cs="宋体" w:eastAsia="宋体" w:hint="default"/>
          <w:spacing w:val="-1"/>
          <w:w w:val="100"/>
        </w:rPr>
        <w:t>2018</w:t>
      </w:r>
      <w:r>
        <w:rPr>
          <w:rFonts w:ascii="宋体" w:hAnsi="宋体" w:cs="宋体" w:eastAsia="宋体" w:hint="default"/>
          <w:spacing w:val="-49"/>
          <w:w w:val="100"/>
        </w:rPr>
        <w:t> </w:t>
      </w:r>
      <w:r>
        <w:rPr>
          <w:spacing w:val="-5"/>
          <w:w w:val="100"/>
        </w:rPr>
        <w:t>年被认定为软件企业，享受企业所得税两免三减半优惠政策，</w:t>
      </w:r>
      <w:r>
        <w:rPr>
          <w:w w:val="100"/>
        </w:rPr>
        <w:t> </w:t>
      </w:r>
      <w:r>
        <w:rPr>
          <w:rFonts w:ascii="宋体" w:hAnsi="宋体" w:cs="宋体" w:eastAsia="宋体" w:hint="default"/>
        </w:rPr>
        <w:t>2017</w:t>
      </w:r>
      <w:r>
        <w:rPr/>
        <w:t>、</w:t>
      </w:r>
      <w:r>
        <w:rPr>
          <w:rFonts w:ascii="宋体" w:hAnsi="宋体" w:cs="宋体" w:eastAsia="宋体" w:hint="default"/>
        </w:rPr>
        <w:t>2018</w:t>
      </w:r>
      <w:r>
        <w:rPr>
          <w:rFonts w:ascii="宋体" w:hAnsi="宋体" w:cs="宋体" w:eastAsia="宋体" w:hint="default"/>
          <w:spacing w:val="-54"/>
        </w:rPr>
        <w:t> </w:t>
      </w:r>
      <w:r>
        <w:rPr/>
        <w:t>年度免征企业所得税，</w:t>
      </w:r>
      <w:r>
        <w:rPr>
          <w:rFonts w:ascii="宋体" w:hAnsi="宋体" w:cs="宋体" w:eastAsia="宋体" w:hint="default"/>
        </w:rPr>
        <w:t>2019</w:t>
      </w:r>
      <w:r>
        <w:rPr>
          <w:rFonts w:ascii="宋体" w:hAnsi="宋体" w:cs="宋体" w:eastAsia="宋体" w:hint="default"/>
          <w:spacing w:val="-56"/>
        </w:rPr>
        <w:t> </w:t>
      </w:r>
      <w:r>
        <w:rPr/>
        <w:t>年至</w:t>
      </w:r>
      <w:r>
        <w:rPr>
          <w:spacing w:val="-54"/>
        </w:rPr>
        <w:t> </w:t>
      </w:r>
      <w:r>
        <w:rPr>
          <w:rFonts w:ascii="宋体" w:hAnsi="宋体" w:cs="宋体" w:eastAsia="宋体" w:hint="default"/>
        </w:rPr>
        <w:t>2021</w:t>
      </w:r>
      <w:r>
        <w:rPr>
          <w:rFonts w:ascii="宋体" w:hAnsi="宋体" w:cs="宋体" w:eastAsia="宋体" w:hint="default"/>
          <w:spacing w:val="-56"/>
        </w:rPr>
        <w:t> </w:t>
      </w:r>
      <w:r>
        <w:rPr/>
        <w:t>年减半征收企业所得税。</w:t>
      </w:r>
    </w:p>
    <w:p>
      <w:pPr>
        <w:pStyle w:val="BodyText"/>
        <w:spacing w:line="314" w:lineRule="auto" w:before="17"/>
        <w:ind w:left="238" w:right="308" w:firstLine="419"/>
        <w:jc w:val="both"/>
      </w:pPr>
      <w:r>
        <w:rPr>
          <w:rFonts w:ascii="宋体" w:hAnsi="宋体" w:cs="宋体" w:eastAsia="宋体" w:hint="default"/>
        </w:rPr>
        <w:t>2016</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22</w:t>
      </w:r>
      <w:r>
        <w:rPr>
          <w:rFonts w:ascii="宋体" w:hAnsi="宋体" w:cs="宋体" w:eastAsia="宋体" w:hint="default"/>
          <w:spacing w:val="-43"/>
        </w:rPr>
        <w:t> </w:t>
      </w:r>
      <w:r>
        <w:rPr>
          <w:spacing w:val="-3"/>
        </w:rPr>
        <w:t>日，北京联龙博通电子商务技术有限公司被北京市科学技术委员会、北京市</w:t>
      </w:r>
      <w:r>
        <w:rPr>
          <w:w w:val="100"/>
        </w:rPr>
        <w:t> </w:t>
      </w:r>
      <w:r>
        <w:rPr>
          <w:spacing w:val="-9"/>
        </w:rPr>
        <w:t>财政局、北京市国家税务局、北京市地方税务局认定（证书号 </w:t>
      </w:r>
      <w:r>
        <w:rPr>
          <w:rFonts w:ascii="宋体" w:hAnsi="宋体" w:cs="宋体" w:eastAsia="宋体" w:hint="default"/>
          <w:spacing w:val="-4"/>
        </w:rPr>
        <w:t>GR201611003565</w:t>
      </w:r>
      <w:r>
        <w:rPr>
          <w:spacing w:val="-4"/>
        </w:rPr>
        <w:t>）为高新技术企业，</w:t>
      </w:r>
      <w:r>
        <w:rPr>
          <w:spacing w:val="-76"/>
        </w:rPr>
        <w:t> </w:t>
      </w:r>
      <w:r>
        <w:rPr>
          <w:spacing w:val="-76"/>
        </w:rPr>
      </w:r>
      <w:r>
        <w:rPr/>
        <w:t>有效期为三年，北京联龙博通电子商务技术有限公司</w:t>
      </w:r>
      <w:r>
        <w:rPr>
          <w:spacing w:val="-57"/>
        </w:rPr>
        <w:t> </w:t>
      </w:r>
      <w:r>
        <w:rPr>
          <w:rFonts w:ascii="宋体" w:hAnsi="宋体" w:cs="宋体" w:eastAsia="宋体" w:hint="default"/>
        </w:rPr>
        <w:t>2017</w:t>
      </w:r>
      <w:r>
        <w:rPr>
          <w:rFonts w:ascii="宋体" w:hAnsi="宋体" w:cs="宋体" w:eastAsia="宋体" w:hint="default"/>
          <w:spacing w:val="-57"/>
        </w:rPr>
        <w:t> </w:t>
      </w:r>
      <w:r>
        <w:rPr/>
        <w:t>年度减按</w:t>
      </w:r>
      <w:r>
        <w:rPr>
          <w:spacing w:val="-57"/>
        </w:rPr>
        <w:t> </w:t>
      </w:r>
      <w:r>
        <w:rPr>
          <w:rFonts w:ascii="宋体" w:hAnsi="宋体" w:cs="宋体" w:eastAsia="宋体" w:hint="default"/>
        </w:rPr>
        <w:t>15%</w:t>
      </w:r>
      <w:r>
        <w:rPr/>
        <w:t>计算缴纳企业所得税。</w:t>
      </w:r>
    </w:p>
    <w:p>
      <w:pPr>
        <w:pStyle w:val="BodyText"/>
        <w:spacing w:line="314" w:lineRule="auto" w:before="20"/>
        <w:ind w:left="238" w:right="308"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日，深圳市齐普生数字系统有限公司被深圳市科技创新委员会、深圳市财政</w:t>
      </w:r>
      <w:r>
        <w:rPr>
          <w:w w:val="100"/>
        </w:rPr>
        <w:t> </w:t>
      </w:r>
      <w:r>
        <w:rPr>
          <w:spacing w:val="-9"/>
        </w:rPr>
        <w:t>委员会、深圳市国家税务局、深圳市地方税务局认定（证书号 </w:t>
      </w:r>
      <w:r>
        <w:rPr>
          <w:rFonts w:ascii="宋体" w:hAnsi="宋体" w:cs="宋体" w:eastAsia="宋体" w:hint="default"/>
          <w:spacing w:val="-4"/>
        </w:rPr>
        <w:t>GR201744201206</w:t>
      </w:r>
      <w:r>
        <w:rPr>
          <w:spacing w:val="-4"/>
        </w:rPr>
        <w:t>）为高新技术企业，</w:t>
      </w:r>
      <w:r>
        <w:rPr>
          <w:spacing w:val="-76"/>
        </w:rPr>
        <w:t> </w:t>
      </w:r>
      <w:r>
        <w:rPr>
          <w:spacing w:val="-76"/>
        </w:rPr>
      </w:r>
      <w:r>
        <w:rPr/>
        <w:t>有效期为三年，深圳市齐普生数字系统有限公司</w:t>
      </w:r>
      <w:r>
        <w:rPr>
          <w:spacing w:val="-56"/>
        </w:rPr>
        <w:t> </w:t>
      </w:r>
      <w:r>
        <w:rPr>
          <w:rFonts w:ascii="宋体" w:hAnsi="宋体" w:cs="宋体" w:eastAsia="宋体" w:hint="default"/>
        </w:rPr>
        <w:t>2017</w:t>
      </w:r>
      <w:r>
        <w:rPr>
          <w:rFonts w:ascii="宋体" w:hAnsi="宋体" w:cs="宋体" w:eastAsia="宋体" w:hint="default"/>
          <w:spacing w:val="-55"/>
        </w:rPr>
        <w:t> </w:t>
      </w:r>
      <w:r>
        <w:rPr/>
        <w:t>年度减按</w:t>
      </w:r>
      <w:r>
        <w:rPr>
          <w:spacing w:val="-56"/>
        </w:rPr>
        <w:t> </w:t>
      </w:r>
      <w:r>
        <w:rPr>
          <w:rFonts w:ascii="宋体" w:hAnsi="宋体" w:cs="宋体" w:eastAsia="宋体" w:hint="default"/>
        </w:rPr>
        <w:t>15%</w:t>
      </w:r>
      <w:r>
        <w:rPr/>
        <w:t>计算缴纳企业所得税。</w:t>
      </w:r>
    </w:p>
    <w:p>
      <w:pPr>
        <w:pStyle w:val="BodyText"/>
        <w:spacing w:line="314" w:lineRule="auto" w:before="17"/>
        <w:ind w:left="658" w:right="304"/>
        <w:jc w:val="left"/>
      </w:pPr>
      <w:r>
        <w:rPr>
          <w:rFonts w:ascii="宋体" w:hAnsi="宋体" w:cs="宋体" w:eastAsia="宋体" w:hint="default"/>
        </w:rPr>
        <w:t>2</w:t>
      </w:r>
      <w:r>
        <w:rPr/>
        <w:t>、享受增值税税收优惠政策</w:t>
      </w:r>
      <w:r>
        <w:rPr>
          <w:w w:val="100"/>
        </w:rPr>
        <w:t> </w:t>
      </w:r>
      <w:r>
        <w:rPr>
          <w:spacing w:val="-4"/>
        </w:rPr>
        <w:t>根据财政部和国家税务总局发布《关于软件产品增值税政策的通知》（财税</w:t>
      </w:r>
      <w:r>
        <w:rPr>
          <w:rFonts w:ascii="宋体" w:hAnsi="宋体" w:cs="宋体" w:eastAsia="宋体" w:hint="default"/>
          <w:spacing w:val="-4"/>
        </w:rPr>
        <w:t>[2011]100</w:t>
      </w:r>
      <w:r>
        <w:rPr>
          <w:rFonts w:ascii="宋体" w:hAnsi="宋体" w:cs="宋体" w:eastAsia="宋体" w:hint="default"/>
          <w:spacing w:val="4"/>
        </w:rPr>
        <w:t> </w:t>
      </w:r>
      <w:r>
        <w:rPr>
          <w:spacing w:val="-14"/>
        </w:rPr>
        <w:t>号）：</w:t>
      </w:r>
    </w:p>
    <w:p>
      <w:pPr>
        <w:pStyle w:val="BodyText"/>
        <w:spacing w:line="314" w:lineRule="auto" w:before="17"/>
        <w:ind w:left="238" w:right="307"/>
        <w:jc w:val="both"/>
      </w:pPr>
      <w:r>
        <w:rPr/>
        <w:t>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51"/>
        </w:rPr>
        <w:t> </w:t>
      </w:r>
      <w:r>
        <w:rPr>
          <w:rFonts w:ascii="宋体" w:hAnsi="宋体" w:cs="宋体" w:eastAsia="宋体" w:hint="default"/>
        </w:rPr>
        <w:t>1</w:t>
      </w:r>
      <w:r>
        <w:rPr>
          <w:rFonts w:ascii="宋体" w:hAnsi="宋体" w:cs="宋体" w:eastAsia="宋体" w:hint="default"/>
          <w:spacing w:val="-48"/>
        </w:rPr>
        <w:t> </w:t>
      </w:r>
      <w:r>
        <w:rPr/>
        <w:t>月</w:t>
      </w:r>
      <w:r>
        <w:rPr>
          <w:spacing w:val="-51"/>
        </w:rPr>
        <w:t> </w:t>
      </w:r>
      <w:r>
        <w:rPr>
          <w:rFonts w:ascii="宋体" w:hAnsi="宋体" w:cs="宋体" w:eastAsia="宋体" w:hint="default"/>
        </w:rPr>
        <w:t>1</w:t>
      </w:r>
      <w:r>
        <w:rPr>
          <w:rFonts w:ascii="宋体" w:hAnsi="宋体" w:cs="宋体" w:eastAsia="宋体" w:hint="default"/>
          <w:spacing w:val="-48"/>
        </w:rPr>
        <w:t> </w:t>
      </w:r>
      <w:r>
        <w:rPr>
          <w:spacing w:val="-3"/>
        </w:rPr>
        <w:t>日起，增值税一般纳税人销售其自行开发生产的软件产品，按</w:t>
      </w:r>
      <w:r>
        <w:rPr>
          <w:spacing w:val="-47"/>
        </w:rPr>
        <w:t> </w:t>
      </w:r>
      <w:r>
        <w:rPr>
          <w:rFonts w:ascii="宋体" w:hAnsi="宋体" w:cs="宋体" w:eastAsia="宋体" w:hint="default"/>
        </w:rPr>
        <w:t>17%</w:t>
      </w:r>
      <w:r>
        <w:rPr/>
        <w:t>税率征收增值</w:t>
      </w:r>
      <w:r>
        <w:rPr>
          <w:spacing w:val="-103"/>
        </w:rPr>
        <w:t> </w:t>
      </w:r>
      <w:r>
        <w:rPr>
          <w:spacing w:val="-103"/>
        </w:rPr>
      </w:r>
      <w:r>
        <w:rPr>
          <w:spacing w:val="-3"/>
        </w:rPr>
        <w:t>税后，对其增值税实际税负超过 </w:t>
      </w:r>
      <w:r>
        <w:rPr>
          <w:rFonts w:ascii="宋体" w:hAnsi="宋体" w:cs="宋体" w:eastAsia="宋体" w:hint="default"/>
          <w:spacing w:val="-3"/>
        </w:rPr>
        <w:t>3%</w:t>
      </w:r>
      <w:r>
        <w:rPr>
          <w:spacing w:val="-3"/>
        </w:rPr>
        <w:t>的部分实行即征即退政策；报告期内本公司对按自行开发的软</w:t>
      </w:r>
      <w:r>
        <w:rPr>
          <w:spacing w:val="-79"/>
        </w:rPr>
        <w:t> </w:t>
      </w:r>
      <w:r>
        <w:rPr>
          <w:spacing w:val="-79"/>
        </w:rPr>
      </w:r>
      <w:r>
        <w:rPr>
          <w:spacing w:val="-2"/>
        </w:rPr>
        <w:t>件产品销售增值税实际税负超过</w:t>
      </w:r>
      <w:r>
        <w:rPr>
          <w:spacing w:val="1"/>
        </w:rPr>
        <w:t> </w:t>
      </w:r>
      <w:r>
        <w:rPr>
          <w:rFonts w:ascii="宋体" w:hAnsi="宋体" w:cs="宋体" w:eastAsia="宋体" w:hint="default"/>
          <w:spacing w:val="-2"/>
        </w:rPr>
        <w:t>3%</w:t>
      </w:r>
      <w:r>
        <w:rPr>
          <w:spacing w:val="-2"/>
        </w:rPr>
        <w:t>的部分实行即征即退税收政策。</w:t>
      </w:r>
    </w:p>
    <w:p>
      <w:pPr>
        <w:pStyle w:val="Heading2"/>
        <w:spacing w:line="240" w:lineRule="auto" w:before="28"/>
        <w:ind w:left="238" w:right="0"/>
        <w:jc w:val="both"/>
        <w:rPr>
          <w:b w:val="0"/>
          <w:bCs w:val="0"/>
        </w:rPr>
      </w:pPr>
      <w:r>
        <w:rPr>
          <w:rFonts w:ascii="宋体" w:hAnsi="宋体" w:cs="宋体" w:eastAsia="宋体" w:hint="default"/>
        </w:rPr>
        <w:t>3.</w:t>
      </w:r>
      <w:r>
        <w:rPr>
          <w:rFonts w:ascii="宋体" w:hAnsi="宋体" w:cs="宋体" w:eastAsia="宋体" w:hint="default"/>
          <w:spacing w:val="63"/>
        </w:rPr>
        <w:t> </w:t>
      </w:r>
      <w:r>
        <w:rPr/>
        <w:t>其他</w:t>
      </w:r>
      <w:r>
        <w:rPr>
          <w:b w:val="0"/>
          <w:bCs w:val="0"/>
        </w:rPr>
      </w:r>
    </w:p>
    <w:p>
      <w:pPr>
        <w:pStyle w:val="BodyText"/>
        <w:spacing w:line="240" w:lineRule="auto" w:before="85"/>
        <w:ind w:left="238" w:right="0"/>
        <w:jc w:val="both"/>
      </w:pPr>
      <w:r>
        <w:rPr/>
        <w:t>□适用√不适用</w:t>
      </w:r>
    </w:p>
    <w:p>
      <w:pPr>
        <w:pStyle w:val="Heading2"/>
        <w:tabs>
          <w:tab w:pos="1077" w:val="left" w:leader="none"/>
        </w:tabs>
        <w:spacing w:line="285" w:lineRule="auto" w:before="69"/>
        <w:ind w:left="238" w:right="5897"/>
        <w:jc w:val="left"/>
        <w:rPr>
          <w:b w:val="0"/>
          <w:bCs w:val="0"/>
        </w:rPr>
      </w:pPr>
      <w:r>
        <w:rPr/>
        <w:t>七、</w:t>
        <w:tab/>
        <w:t>合并财务报表项目注释</w:t>
      </w:r>
      <w:r>
        <w:rPr>
          <w:w w:val="99"/>
        </w:rPr>
        <w:t> </w:t>
      </w:r>
      <w:r>
        <w:rPr>
          <w:rFonts w:ascii="宋体" w:hAnsi="宋体" w:cs="宋体" w:eastAsia="宋体" w:hint="default"/>
        </w:rPr>
        <w:t>1</w:t>
      </w:r>
      <w:r>
        <w:rPr/>
        <w:t>、</w:t>
      </w:r>
      <w:r>
        <w:rPr>
          <w:spacing w:val="-64"/>
        </w:rPr>
        <w:t> </w:t>
      </w:r>
      <w:r>
        <w:rPr/>
        <w:t>货币资金</w:t>
      </w:r>
      <w:r>
        <w:rPr>
          <w:b w:val="0"/>
          <w:bCs w:val="0"/>
        </w:rPr>
      </w:r>
    </w:p>
    <w:p>
      <w:pPr>
        <w:pStyle w:val="Heading3"/>
        <w:spacing w:line="240" w:lineRule="auto" w:before="12"/>
        <w:ind w:left="238" w:right="0"/>
        <w:jc w:val="both"/>
      </w:pPr>
      <w:r>
        <w:rPr/>
        <w:t>√适用 </w:t>
      </w:r>
      <w:r>
        <w:rPr>
          <w:spacing w:val="119"/>
        </w:rPr>
        <w:t> </w:t>
      </w:r>
      <w:r>
        <w:rPr/>
        <w:t>□不适用</w:t>
      </w:r>
    </w:p>
    <w:p>
      <w:pPr>
        <w:pStyle w:val="Heading3"/>
        <w:tabs>
          <w:tab w:pos="1200" w:val="left" w:leader="none"/>
        </w:tabs>
        <w:spacing w:line="312" w:lineRule="exact"/>
        <w:ind w:left="0" w:right="31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228" w:type="dxa"/>
        <w:tblLayout w:type="fixed"/>
        <w:tblCellMar>
          <w:top w:w="0" w:type="dxa"/>
          <w:left w:w="0" w:type="dxa"/>
          <w:bottom w:w="0" w:type="dxa"/>
          <w:right w:w="0" w:type="dxa"/>
        </w:tblCellMar>
        <w:tblLook w:val="01E0"/>
      </w:tblPr>
      <w:tblGrid>
        <w:gridCol w:w="2223"/>
        <w:gridCol w:w="3298"/>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464,815.37</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419,222.59</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1,523,187,921.17</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562,564,697.68</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33,217,261.60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41,881,224.95</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1,556,869,998.14</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604,865,145.22</w:t>
            </w:r>
          </w:p>
        </w:tc>
      </w:tr>
      <w:tr>
        <w:trPr>
          <w:trHeight w:val="557"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
        </w:tc>
        <w:tc>
          <w:tcPr>
            <w:tcW w:w="33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38" w:right="0"/>
        <w:jc w:val="left"/>
      </w:pPr>
      <w:r>
        <w:rPr/>
        <w:t>其他说明</w:t>
      </w:r>
    </w:p>
    <w:p>
      <w:pPr>
        <w:pStyle w:val="BodyText"/>
        <w:spacing w:line="240" w:lineRule="auto" w:before="37"/>
        <w:ind w:left="763" w:right="0"/>
        <w:jc w:val="left"/>
      </w:pPr>
      <w:r>
        <w:rPr/>
        <w:t>截至</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日止，本公司因向法院提出财产保全申请已冻结的银行存款合计</w:t>
      </w:r>
    </w:p>
    <w:p>
      <w:pPr>
        <w:pStyle w:val="BodyText"/>
        <w:spacing w:line="240" w:lineRule="auto" w:before="37"/>
        <w:ind w:left="238" w:right="0"/>
        <w:jc w:val="left"/>
      </w:pPr>
      <w:r>
        <w:rPr>
          <w:rFonts w:ascii="宋体" w:hAnsi="宋体" w:cs="宋体" w:eastAsia="宋体" w:hint="default"/>
        </w:rPr>
        <w:t>1,025,097.60</w:t>
      </w:r>
      <w:r>
        <w:rPr>
          <w:rFonts w:ascii="宋体" w:hAnsi="宋体" w:cs="宋体" w:eastAsia="宋体" w:hint="default"/>
          <w:spacing w:val="-52"/>
        </w:rPr>
        <w:t> </w:t>
      </w:r>
      <w:r>
        <w:rPr/>
        <w:t>元。</w:t>
      </w:r>
    </w:p>
    <w:p>
      <w:pPr>
        <w:pStyle w:val="BodyText"/>
        <w:spacing w:line="240" w:lineRule="auto" w:before="37"/>
        <w:ind w:left="238" w:right="0"/>
        <w:jc w:val="left"/>
      </w:pPr>
      <w:r>
        <w:rPr/>
        <w:pict>
          <v:shape style="position:absolute;margin-left:309.410004pt;margin-top:19.513676pt;width:.48001pt;height:.12pt;mso-position-horizontal-relative:page;mso-position-vertical-relative:paragraph;z-index:-941176" type="#_x0000_t75" stroked="false">
            <v:imagedata r:id="rId63" o:title=""/>
          </v:shape>
        </w:pict>
      </w:r>
      <w:r>
        <w:rPr/>
        <w:pict>
          <v:shape style="position:absolute;margin-left:407.470001pt;margin-top:19.513676pt;width:.48001pt;height:.12pt;mso-position-horizontal-relative:page;mso-position-vertical-relative:paragraph;z-index:-941152" type="#_x0000_t75" stroked="false">
            <v:imagedata r:id="rId63" o:title=""/>
          </v:shape>
        </w:pict>
      </w:r>
      <w:r>
        <w:rPr/>
        <w:pict>
          <v:shape style="position:absolute;margin-left:84.503998pt;margin-top:36.553635pt;width:452.438287pt;height:.48pt;mso-position-horizontal-relative:page;mso-position-vertical-relative:paragraph;z-index:-941128" type="#_x0000_t75" stroked="false">
            <v:imagedata r:id="rId64" o:title=""/>
          </v:shape>
        </w:pict>
      </w:r>
      <w:r>
        <w:rPr/>
        <w:pict>
          <v:shape style="position:absolute;margin-left:84.503998pt;margin-top:49.513657pt;width:452.474194pt;height:5.04pt;mso-position-horizontal-relative:page;mso-position-vertical-relative:paragraph;z-index:-941104" type="#_x0000_t75" stroked="false">
            <v:imagedata r:id="rId65" o:title=""/>
          </v:shape>
        </w:pict>
      </w:r>
      <w:r>
        <w:rPr/>
        <w:pict>
          <v:shape style="position:absolute;margin-left:84.503998pt;margin-top:67.033714pt;width:455.172912pt;height:5.07pt;mso-position-horizontal-relative:page;mso-position-vertical-relative:paragraph;z-index:-941080" type="#_x0000_t75" stroked="false">
            <v:imagedata r:id="rId66" o:title=""/>
          </v:shape>
        </w:pict>
      </w:r>
      <w:r>
        <w:rPr/>
        <w:pict>
          <v:shape style="position:absolute;margin-left:84.503998pt;margin-top:88.993637pt;width:452.438287pt;height:.48pt;mso-position-horizontal-relative:page;mso-position-vertical-relative:paragraph;z-index:-941056" type="#_x0000_t75" stroked="false">
            <v:imagedata r:id="rId64" o:title=""/>
          </v:shape>
        </w:pict>
      </w:r>
      <w:r>
        <w:rPr/>
        <w:pict>
          <v:shape style="position:absolute;margin-left:84.503998pt;margin-top:101.953659pt;width:452.474194pt;height:5.04pt;mso-position-horizontal-relative:page;mso-position-vertical-relative:paragraph;z-index:-941032" type="#_x0000_t75" stroked="false">
            <v:imagedata r:id="rId65" o:title=""/>
          </v:shape>
        </w:pict>
      </w:r>
      <w:r>
        <w:rPr/>
        <w:t>其中受限制的货币资金明细如下：</w:t>
      </w: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517"/>
        <w:gridCol w:w="1961"/>
        <w:gridCol w:w="2585"/>
      </w:tblGrid>
      <w:tr>
        <w:trPr>
          <w:trHeight w:val="361" w:hRule="exact"/>
        </w:trPr>
        <w:tc>
          <w:tcPr>
            <w:tcW w:w="4517"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85" w:type="dxa"/>
            <w:tcBorders>
              <w:top w:val="single" w:sz="12" w:space="0" w:color="000000"/>
              <w:left w:val="single" w:sz="4" w:space="0" w:color="000000"/>
              <w:bottom w:val="nil" w:sz="6" w:space="0" w:color="auto"/>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54" w:hRule="exact"/>
        </w:trPr>
        <w:tc>
          <w:tcPr>
            <w:tcW w:w="451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向法院提出财产保全申请已冻结的银行存款</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1,025,097.60</w:t>
            </w:r>
          </w:p>
        </w:tc>
        <w:tc>
          <w:tcPr>
            <w:tcW w:w="2585" w:type="dxa"/>
            <w:tcBorders>
              <w:top w:val="nil" w:sz="6" w:space="0" w:color="auto"/>
              <w:left w:val="single" w:sz="4" w:space="0" w:color="000000"/>
              <w:bottom w:val="nil" w:sz="6" w:space="0" w:color="auto"/>
              <w:right w:val="nil" w:sz="6" w:space="0" w:color="auto"/>
            </w:tcBorders>
          </w:tcPr>
          <w:p>
            <w:pPr>
              <w:pStyle w:val="TableParagraph"/>
              <w:spacing w:line="273" w:lineRule="exact" w:before="20"/>
              <w:ind w:left="100" w:right="0"/>
              <w:jc w:val="left"/>
              <w:rPr>
                <w:rFonts w:ascii="宋体" w:hAnsi="宋体" w:cs="宋体" w:eastAsia="宋体" w:hint="default"/>
                <w:sz w:val="21"/>
                <w:szCs w:val="21"/>
              </w:rPr>
            </w:pPr>
            <w:r>
              <w:rPr>
                <w:rFonts w:ascii="宋体"/>
                <w:sz w:val="21"/>
              </w:rPr>
              <w:t>5,228,458.08</w:t>
            </w:r>
          </w:p>
        </w:tc>
      </w:tr>
      <w:tr>
        <w:trPr>
          <w:trHeight w:val="392" w:hRule="exact"/>
        </w:trPr>
        <w:tc>
          <w:tcPr>
            <w:tcW w:w="4517"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2,098,500.78</w:t>
            </w:r>
          </w:p>
        </w:tc>
        <w:tc>
          <w:tcPr>
            <w:tcW w:w="2585"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left="100" w:right="0"/>
              <w:jc w:val="left"/>
              <w:rPr>
                <w:rFonts w:ascii="宋体" w:hAnsi="宋体" w:cs="宋体" w:eastAsia="宋体" w:hint="default"/>
                <w:sz w:val="21"/>
                <w:szCs w:val="21"/>
              </w:rPr>
            </w:pPr>
            <w:r>
              <w:rPr>
                <w:rFonts w:ascii="宋体"/>
                <w:sz w:val="21"/>
              </w:rPr>
              <w:t>4,413,305.04</w:t>
            </w:r>
          </w:p>
        </w:tc>
      </w:tr>
      <w:tr>
        <w:trPr>
          <w:trHeight w:val="59" w:hRule="exact"/>
        </w:trPr>
        <w:tc>
          <w:tcPr>
            <w:tcW w:w="4517" w:type="dxa"/>
            <w:tcBorders>
              <w:top w:val="nil" w:sz="6" w:space="0" w:color="auto"/>
              <w:left w:val="nil" w:sz="6" w:space="0" w:color="auto"/>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
        </w:tc>
      </w:tr>
      <w:tr>
        <w:trPr>
          <w:trHeight w:val="351" w:hRule="exact"/>
        </w:trPr>
        <w:tc>
          <w:tcPr>
            <w:tcW w:w="4517"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履约及保函保证金</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31,085,483.88</w:t>
            </w:r>
          </w:p>
        </w:tc>
        <w:tc>
          <w:tcPr>
            <w:tcW w:w="2585"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left="100" w:right="0"/>
              <w:jc w:val="left"/>
              <w:rPr>
                <w:rFonts w:ascii="宋体" w:hAnsi="宋体" w:cs="宋体" w:eastAsia="宋体" w:hint="default"/>
                <w:sz w:val="21"/>
                <w:szCs w:val="21"/>
              </w:rPr>
            </w:pPr>
            <w:r>
              <w:rPr>
                <w:rFonts w:ascii="宋体"/>
                <w:sz w:val="21"/>
              </w:rPr>
              <w:t>22,434,207.93</w:t>
            </w:r>
          </w:p>
        </w:tc>
      </w:tr>
      <w:tr>
        <w:trPr>
          <w:trHeight w:val="347" w:hRule="exact"/>
        </w:trPr>
        <w:tc>
          <w:tcPr>
            <w:tcW w:w="4517" w:type="dxa"/>
            <w:tcBorders>
              <w:top w:val="nil" w:sz="6" w:space="0" w:color="auto"/>
              <w:left w:val="nil" w:sz="6" w:space="0" w:color="auto"/>
              <w:bottom w:val="nil" w:sz="6" w:space="0" w:color="auto"/>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银行汇票存款</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w:t>
            </w:r>
          </w:p>
        </w:tc>
        <w:tc>
          <w:tcPr>
            <w:tcW w:w="2585"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100" w:right="0"/>
              <w:jc w:val="left"/>
              <w:rPr>
                <w:rFonts w:ascii="宋体" w:hAnsi="宋体" w:cs="宋体" w:eastAsia="宋体" w:hint="default"/>
                <w:sz w:val="21"/>
                <w:szCs w:val="21"/>
              </w:rPr>
            </w:pPr>
            <w:r>
              <w:rPr>
                <w:rFonts w:ascii="宋体"/>
                <w:sz w:val="21"/>
              </w:rPr>
              <w:t>15,000,000.00</w:t>
            </w:r>
          </w:p>
        </w:tc>
      </w:tr>
      <w:tr>
        <w:trPr>
          <w:trHeight w:val="358" w:hRule="exact"/>
        </w:trPr>
        <w:tc>
          <w:tcPr>
            <w:tcW w:w="4517"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34,209,082.26</w:t>
            </w:r>
          </w:p>
        </w:tc>
        <w:tc>
          <w:tcPr>
            <w:tcW w:w="2585"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47,075,971.05</w:t>
            </w:r>
          </w:p>
        </w:tc>
      </w:tr>
    </w:tbl>
    <w:p>
      <w:pPr>
        <w:spacing w:after="0" w:line="240" w:lineRule="auto"/>
        <w:jc w:val="left"/>
        <w:rPr>
          <w:rFonts w:ascii="宋体" w:hAnsi="宋体" w:cs="宋体" w:eastAsia="宋体" w:hint="default"/>
          <w:sz w:val="21"/>
          <w:szCs w:val="21"/>
        </w:rPr>
        <w:sectPr>
          <w:pgSz w:w="11910" w:h="16840"/>
          <w:pgMar w:header="882" w:footer="1195" w:top="1120" w:bottom="1380" w:left="15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40" w:right="1040"/>
        </w:sectPr>
      </w:pPr>
    </w:p>
    <w:p>
      <w:pPr>
        <w:pStyle w:val="Heading2"/>
        <w:spacing w:line="240" w:lineRule="auto"/>
        <w:ind w:left="258" w:right="-17"/>
        <w:jc w:val="left"/>
        <w:rPr>
          <w:b w:val="0"/>
          <w:bCs w:val="0"/>
        </w:rPr>
      </w:pPr>
      <w:r>
        <w:rPr>
          <w:rFonts w:ascii="宋体" w:hAnsi="宋体" w:cs="宋体" w:eastAsia="宋体" w:hint="default"/>
        </w:rPr>
        <w:t>2</w:t>
      </w:r>
      <w:r>
        <w:rPr/>
        <w:t>、</w:t>
      </w:r>
      <w:r>
        <w:rPr>
          <w:spacing w:val="-67"/>
        </w:rPr>
        <w:t> </w:t>
      </w:r>
      <w:r>
        <w:rPr/>
        <w:t>以公允价值计量且其变动计入当期损益的金融资产</w:t>
      </w:r>
      <w:r>
        <w:rPr>
          <w:b w:val="0"/>
          <w:bCs w:val="0"/>
        </w:rPr>
      </w:r>
    </w:p>
    <w:p>
      <w:pPr>
        <w:pStyle w:val="BodyText"/>
        <w:spacing w:line="240" w:lineRule="auto" w:before="85"/>
        <w:ind w:left="258" w:right="-17"/>
        <w:jc w:val="left"/>
      </w:pPr>
      <w:r>
        <w:rPr/>
        <w:t>□适用</w:t>
      </w:r>
      <w:r>
        <w:rPr>
          <w:spacing w:val="-1"/>
        </w:rPr>
        <w:t> </w:t>
      </w:r>
      <w:r>
        <w:rPr/>
        <w:t>√不适用</w:t>
      </w:r>
    </w:p>
    <w:p>
      <w:pPr>
        <w:pStyle w:val="Heading2"/>
        <w:spacing w:line="240" w:lineRule="auto" w:before="69"/>
        <w:ind w:left="258" w:right="-17"/>
        <w:jc w:val="left"/>
        <w:rPr>
          <w:b w:val="0"/>
          <w:bCs w:val="0"/>
        </w:rPr>
      </w:pPr>
      <w:r>
        <w:rPr>
          <w:rFonts w:ascii="宋体" w:hAnsi="宋体" w:cs="宋体" w:eastAsia="宋体" w:hint="default"/>
        </w:rPr>
        <w:t>3</w:t>
      </w:r>
      <w:r>
        <w:rPr/>
        <w:t>、</w:t>
      </w:r>
      <w:r>
        <w:rPr>
          <w:spacing w:val="-66"/>
        </w:rPr>
        <w:t> </w:t>
      </w:r>
      <w:r>
        <w:rPr/>
        <w:t>衍生金融资产</w:t>
      </w:r>
      <w:r>
        <w:rPr>
          <w:b w:val="0"/>
          <w:bCs w:val="0"/>
        </w:rPr>
      </w:r>
    </w:p>
    <w:p>
      <w:pPr>
        <w:pStyle w:val="BodyText"/>
        <w:spacing w:line="240" w:lineRule="auto" w:before="85"/>
        <w:ind w:left="258" w:right="-17"/>
        <w:jc w:val="left"/>
      </w:pPr>
      <w:r>
        <w:rPr/>
        <w:t>□适用</w:t>
      </w:r>
      <w:r>
        <w:rPr>
          <w:spacing w:val="-1"/>
        </w:rPr>
        <w:t> </w:t>
      </w:r>
      <w:r>
        <w:rPr/>
        <w:t>√不适用</w:t>
      </w:r>
    </w:p>
    <w:p>
      <w:pPr>
        <w:pStyle w:val="Heading2"/>
        <w:spacing w:line="240" w:lineRule="auto" w:before="69"/>
        <w:ind w:left="258" w:right="-17"/>
        <w:jc w:val="left"/>
        <w:rPr>
          <w:b w:val="0"/>
          <w:bCs w:val="0"/>
        </w:rPr>
      </w:pPr>
      <w:r>
        <w:rPr>
          <w:rFonts w:ascii="宋体" w:hAnsi="宋体" w:cs="宋体" w:eastAsia="宋体" w:hint="default"/>
        </w:rPr>
        <w:t>4</w:t>
      </w:r>
      <w:r>
        <w:rPr/>
        <w:t>、</w:t>
      </w:r>
      <w:r>
        <w:rPr>
          <w:spacing w:val="-64"/>
        </w:rPr>
        <w:t> </w:t>
      </w:r>
      <w:r>
        <w:rPr/>
        <w:t>应收票据</w:t>
      </w:r>
      <w:r>
        <w:rPr>
          <w:b w:val="0"/>
          <w:bCs w:val="0"/>
        </w:rPr>
      </w:r>
    </w:p>
    <w:p>
      <w:pPr>
        <w:pStyle w:val="Heading2"/>
        <w:spacing w:line="240" w:lineRule="auto" w:before="58"/>
        <w:ind w:left="258" w:right="-17"/>
        <w:jc w:val="left"/>
        <w:rPr>
          <w:b w:val="0"/>
          <w:bCs w:val="0"/>
        </w:rPr>
      </w:pPr>
      <w:r>
        <w:rPr>
          <w:rFonts w:ascii="宋体" w:hAnsi="宋体" w:cs="宋体" w:eastAsia="宋体" w:hint="default"/>
        </w:rPr>
        <w:t>(1).</w:t>
      </w:r>
      <w:r>
        <w:rPr>
          <w:rFonts w:ascii="宋体" w:hAnsi="宋体" w:cs="宋体" w:eastAsia="宋体" w:hint="default"/>
          <w:spacing w:val="-3"/>
        </w:rPr>
        <w:t> </w:t>
      </w:r>
      <w:r>
        <w:rPr/>
        <w:t>应收票据分类列示</w:t>
      </w:r>
      <w:r>
        <w:rPr>
          <w:b w:val="0"/>
          <w:bCs w:val="0"/>
        </w:rPr>
      </w:r>
    </w:p>
    <w:p>
      <w:pPr>
        <w:pStyle w:val="BodyText"/>
        <w:spacing w:line="240" w:lineRule="auto" w:before="85"/>
        <w:ind w:left="2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5978" w:space="544"/>
            <w:col w:w="280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right"/>
              <w:rPr>
                <w:rFonts w:ascii="宋体" w:hAnsi="宋体" w:cs="宋体" w:eastAsia="宋体" w:hint="default"/>
                <w:sz w:val="21"/>
                <w:szCs w:val="21"/>
              </w:rPr>
            </w:pPr>
            <w:r>
              <w:rPr>
                <w:rFonts w:ascii="宋体"/>
                <w:spacing w:val="-1"/>
                <w:sz w:val="21"/>
              </w:rPr>
              <w:t>63,889,792.76</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right"/>
              <w:rPr>
                <w:rFonts w:ascii="宋体" w:hAnsi="宋体" w:cs="宋体" w:eastAsia="宋体" w:hint="default"/>
                <w:sz w:val="21"/>
                <w:szCs w:val="21"/>
              </w:rPr>
            </w:pPr>
            <w:r>
              <w:rPr>
                <w:rFonts w:ascii="宋体"/>
                <w:spacing w:val="-1"/>
                <w:sz w:val="21"/>
              </w:rPr>
              <w:t>97,157,988.76</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63,889,792.76</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97,157,988.76</w:t>
            </w:r>
          </w:p>
        </w:tc>
      </w:tr>
    </w:tbl>
    <w:p>
      <w:pPr>
        <w:spacing w:line="240" w:lineRule="auto" w:before="5"/>
        <w:rPr>
          <w:rFonts w:ascii="宋体" w:hAnsi="宋体" w:cs="宋体" w:eastAsia="宋体" w:hint="default"/>
          <w:sz w:val="23"/>
          <w:szCs w:val="23"/>
        </w:rPr>
      </w:pPr>
    </w:p>
    <w:p>
      <w:pPr>
        <w:pStyle w:val="Heading2"/>
        <w:spacing w:line="240" w:lineRule="auto"/>
        <w:ind w:left="258" w:right="246"/>
        <w:jc w:val="left"/>
        <w:rPr>
          <w:b w:val="0"/>
          <w:bCs w:val="0"/>
        </w:rPr>
      </w:pPr>
      <w:r>
        <w:rPr>
          <w:rFonts w:ascii="宋体" w:hAnsi="宋体" w:cs="宋体" w:eastAsia="宋体" w:hint="default"/>
        </w:rPr>
        <w:t>(2).</w:t>
      </w:r>
      <w:r>
        <w:rPr>
          <w:rFonts w:ascii="宋体" w:hAnsi="宋体" w:cs="宋体" w:eastAsia="宋体" w:hint="default"/>
          <w:spacing w:val="-3"/>
        </w:rPr>
        <w:t> </w:t>
      </w:r>
      <w:r>
        <w:rPr/>
        <w:t>期末公司已质押的应收票据</w:t>
      </w:r>
      <w:r>
        <w:rPr>
          <w:b w:val="0"/>
          <w:bCs w:val="0"/>
        </w:rPr>
      </w:r>
    </w:p>
    <w:p>
      <w:pPr>
        <w:pStyle w:val="BodyText"/>
        <w:spacing w:line="240" w:lineRule="auto" w:before="85"/>
        <w:ind w:left="258" w:right="246"/>
        <w:jc w:val="left"/>
      </w:pPr>
      <w:r>
        <w:rPr/>
        <w:t>□适用</w:t>
      </w:r>
      <w:r>
        <w:rPr>
          <w:spacing w:val="-1"/>
        </w:rPr>
        <w:t> </w:t>
      </w:r>
      <w:r>
        <w:rPr/>
        <w:t>√不适用</w:t>
      </w:r>
    </w:p>
    <w:p>
      <w:pPr>
        <w:pStyle w:val="Heading2"/>
        <w:spacing w:line="240" w:lineRule="auto" w:before="69"/>
        <w:ind w:left="258" w:right="246"/>
        <w:jc w:val="left"/>
        <w:rPr>
          <w:b w:val="0"/>
          <w:bCs w:val="0"/>
        </w:rPr>
      </w:pPr>
      <w:r>
        <w:rPr>
          <w:rFonts w:ascii="宋体" w:hAnsi="宋体" w:cs="宋体" w:eastAsia="宋体" w:hint="default"/>
        </w:rPr>
        <w:t>(3).</w:t>
      </w:r>
      <w:r>
        <w:rPr>
          <w:rFonts w:ascii="宋体" w:hAnsi="宋体" w:cs="宋体" w:eastAsia="宋体" w:hint="default"/>
          <w:spacing w:val="-6"/>
        </w:rPr>
        <w:t> </w:t>
      </w:r>
      <w:r>
        <w:rPr/>
        <w:t>期末公司已背书或贴现且在资产负债表日尚未到期的应收票据：</w:t>
      </w:r>
      <w:r>
        <w:rPr>
          <w:b w:val="0"/>
          <w:bCs w:val="0"/>
        </w:rPr>
      </w:r>
    </w:p>
    <w:p>
      <w:pPr>
        <w:pStyle w:val="BodyText"/>
        <w:spacing w:line="240" w:lineRule="auto" w:before="85"/>
        <w:ind w:left="258" w:right="246"/>
        <w:jc w:val="left"/>
      </w:pPr>
      <w:r>
        <w:rPr/>
        <w:t>□适用 □不适用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32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29,229,105.20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29,229,105.20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40" w:right="1040"/>
        </w:sectPr>
      </w:pPr>
    </w:p>
    <w:p>
      <w:pPr>
        <w:pStyle w:val="Heading2"/>
        <w:spacing w:line="240" w:lineRule="auto"/>
        <w:ind w:left="258" w:right="-17"/>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3" w:lineRule="auto" w:before="85"/>
        <w:ind w:left="258" w:right="4311"/>
        <w:jc w:val="left"/>
      </w:pPr>
      <w:r>
        <w:rPr/>
        <w:t>□适用</w:t>
      </w:r>
      <w:r>
        <w:rPr>
          <w:spacing w:val="-1"/>
        </w:rPr>
        <w:t> </w:t>
      </w:r>
      <w:r>
        <w:rPr/>
        <w:t>√不适用</w:t>
      </w:r>
      <w:r>
        <w:rPr>
          <w:w w:val="100"/>
        </w:rPr>
        <w:t> </w:t>
      </w:r>
      <w:r>
        <w:rPr/>
        <w:t>其他说明</w:t>
      </w:r>
    </w:p>
    <w:p>
      <w:pPr>
        <w:pStyle w:val="BodyText"/>
        <w:spacing w:line="240" w:lineRule="auto" w:before="7"/>
        <w:ind w:left="258" w:right="-17"/>
        <w:jc w:val="left"/>
      </w:pPr>
      <w:r>
        <w:rPr/>
        <w:t>□适用</w:t>
      </w:r>
      <w:r>
        <w:rPr>
          <w:spacing w:val="-1"/>
        </w:rPr>
        <w:t> </w:t>
      </w:r>
      <w:r>
        <w:rPr/>
        <w:t>√不适用</w:t>
      </w:r>
    </w:p>
    <w:p>
      <w:pPr>
        <w:pStyle w:val="Heading2"/>
        <w:spacing w:line="240" w:lineRule="auto" w:before="69"/>
        <w:ind w:left="258" w:right="-17"/>
        <w:jc w:val="left"/>
        <w:rPr>
          <w:b w:val="0"/>
          <w:bCs w:val="0"/>
        </w:rPr>
      </w:pPr>
      <w:r>
        <w:rPr>
          <w:rFonts w:ascii="宋体" w:hAnsi="宋体" w:cs="宋体" w:eastAsia="宋体" w:hint="default"/>
        </w:rPr>
        <w:t>5</w:t>
      </w:r>
      <w:r>
        <w:rPr/>
        <w:t>、</w:t>
      </w:r>
      <w:r>
        <w:rPr>
          <w:spacing w:val="-64"/>
        </w:rPr>
        <w:t> </w:t>
      </w:r>
      <w:r>
        <w:rPr/>
        <w:t>应收账款</w:t>
      </w:r>
      <w:r>
        <w:rPr>
          <w:b w:val="0"/>
          <w:bCs w:val="0"/>
        </w:rPr>
      </w:r>
    </w:p>
    <w:p>
      <w:pPr>
        <w:pStyle w:val="Heading2"/>
        <w:spacing w:line="240" w:lineRule="auto" w:before="58"/>
        <w:ind w:left="258" w:right="-17"/>
        <w:jc w:val="left"/>
        <w:rPr>
          <w:b w:val="0"/>
          <w:bCs w:val="0"/>
        </w:rPr>
      </w:pPr>
      <w:r>
        <w:rPr>
          <w:rFonts w:ascii="宋体" w:hAnsi="宋体" w:cs="宋体" w:eastAsia="宋体" w:hint="default"/>
        </w:rPr>
        <w:t>(1).</w:t>
      </w:r>
      <w:r>
        <w:rPr>
          <w:rFonts w:ascii="宋体" w:hAnsi="宋体" w:cs="宋体" w:eastAsia="宋体" w:hint="default"/>
          <w:spacing w:val="-34"/>
        </w:rPr>
        <w:t> </w:t>
      </w:r>
      <w:r>
        <w:rPr/>
        <w:t>应收账款分类披露</w:t>
      </w:r>
      <w:r>
        <w:rPr>
          <w:b w:val="0"/>
          <w:bCs w:val="0"/>
        </w:rPr>
      </w:r>
    </w:p>
    <w:p>
      <w:pPr>
        <w:pStyle w:val="Heading3"/>
        <w:tabs>
          <w:tab w:pos="1217" w:val="left" w:leader="none"/>
        </w:tabs>
        <w:spacing w:line="240" w:lineRule="auto" w:before="58"/>
        <w:ind w:left="25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164" w:space="254"/>
            <w:col w:w="2912"/>
          </w:cols>
        </w:sectPr>
      </w:pPr>
    </w:p>
    <w:p>
      <w:pPr>
        <w:spacing w:line="240" w:lineRule="auto" w:before="10"/>
        <w:rPr>
          <w:rFonts w:ascii="宋体" w:hAnsi="宋体" w:cs="宋体" w:eastAsia="宋体" w:hint="default"/>
          <w:sz w:val="3"/>
          <w:szCs w:val="3"/>
        </w:rPr>
      </w:pPr>
    </w:p>
    <w:tbl>
      <w:tblPr>
        <w:tblW w:w="0" w:type="auto"/>
        <w:jc w:val="left"/>
        <w:tblInd w:w="222" w:type="dxa"/>
        <w:tblLayout w:type="fixed"/>
        <w:tblCellMar>
          <w:top w:w="0" w:type="dxa"/>
          <w:left w:w="0" w:type="dxa"/>
          <w:bottom w:w="0" w:type="dxa"/>
          <w:right w:w="0" w:type="dxa"/>
        </w:tblCellMar>
        <w:tblLook w:val="01E0"/>
      </w:tblPr>
      <w:tblGrid>
        <w:gridCol w:w="1591"/>
        <w:gridCol w:w="850"/>
        <w:gridCol w:w="566"/>
        <w:gridCol w:w="852"/>
        <w:gridCol w:w="569"/>
        <w:gridCol w:w="850"/>
        <w:gridCol w:w="850"/>
        <w:gridCol w:w="569"/>
        <w:gridCol w:w="848"/>
        <w:gridCol w:w="566"/>
        <w:gridCol w:w="785"/>
      </w:tblGrid>
      <w:tr>
        <w:trPr>
          <w:trHeight w:val="322" w:hRule="exact"/>
        </w:trPr>
        <w:tc>
          <w:tcPr>
            <w:tcW w:w="15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6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591" w:type="dxa"/>
            <w:vMerge/>
            <w:tcBorders>
              <w:left w:val="single" w:sz="4" w:space="0" w:color="000000"/>
              <w:right w:val="single" w:sz="4" w:space="0" w:color="000000"/>
            </w:tcBorders>
          </w:tcPr>
          <w:p>
            <w:pP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206" w:right="20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77" w:right="17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946" w:hRule="exact"/>
        </w:trPr>
        <w:tc>
          <w:tcPr>
            <w:tcW w:w="159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0"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0"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9" w:right="6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85" w:type="dxa"/>
            <w:vMerge/>
            <w:tcBorders>
              <w:left w:val="single" w:sz="4" w:space="0" w:color="000000"/>
              <w:bottom w:val="single" w:sz="4" w:space="0" w:color="000000"/>
              <w:right w:val="single" w:sz="4" w:space="0" w:color="000000"/>
            </w:tcBorders>
          </w:tcPr>
          <w:p>
            <w:pPr/>
          </w:p>
        </w:tc>
      </w:tr>
      <w:tr>
        <w:trPr>
          <w:trHeight w:val="94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591"/>
        <w:gridCol w:w="850"/>
        <w:gridCol w:w="566"/>
        <w:gridCol w:w="852"/>
        <w:gridCol w:w="569"/>
        <w:gridCol w:w="850"/>
        <w:gridCol w:w="850"/>
        <w:gridCol w:w="569"/>
        <w:gridCol w:w="848"/>
        <w:gridCol w:w="566"/>
        <w:gridCol w:w="785"/>
      </w:tblGrid>
      <w:tr>
        <w:trPr>
          <w:trHeight w:val="94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6" w:right="0"/>
              <w:jc w:val="left"/>
              <w:rPr>
                <w:rFonts w:ascii="宋体" w:hAnsi="宋体" w:cs="宋体" w:eastAsia="宋体" w:hint="default"/>
                <w:sz w:val="21"/>
                <w:szCs w:val="21"/>
              </w:rPr>
            </w:pPr>
            <w:r>
              <w:rPr>
                <w:rFonts w:ascii="宋体"/>
                <w:sz w:val="21"/>
              </w:rPr>
              <w:t>614,964</w:t>
            </w:r>
          </w:p>
          <w:p>
            <w:pPr>
              <w:pStyle w:val="TableParagraph"/>
              <w:spacing w:line="240" w:lineRule="auto" w:before="37"/>
              <w:ind w:left="76" w:right="0"/>
              <w:jc w:val="left"/>
              <w:rPr>
                <w:rFonts w:ascii="宋体" w:hAnsi="宋体" w:cs="宋体" w:eastAsia="宋体" w:hint="default"/>
                <w:sz w:val="21"/>
                <w:szCs w:val="21"/>
              </w:rPr>
            </w:pPr>
            <w:r>
              <w:rPr>
                <w:rFonts w:ascii="宋体"/>
                <w:sz w:val="21"/>
              </w:rPr>
              <w:t>,029.96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98.2</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 w:right="0"/>
              <w:jc w:val="center"/>
              <w:rPr>
                <w:rFonts w:ascii="宋体" w:hAnsi="宋体" w:cs="宋体" w:eastAsia="宋体" w:hint="default"/>
                <w:sz w:val="21"/>
                <w:szCs w:val="21"/>
              </w:rPr>
            </w:pPr>
            <w:r>
              <w:rPr>
                <w:rFonts w:ascii="宋体"/>
                <w:sz w:val="21"/>
              </w:rPr>
              <w:t>45,225,</w:t>
            </w:r>
          </w:p>
          <w:p>
            <w:pPr>
              <w:pStyle w:val="TableParagraph"/>
              <w:spacing w:line="240" w:lineRule="auto" w:before="37"/>
              <w:ind w:left="156" w:right="0"/>
              <w:jc w:val="center"/>
              <w:rPr>
                <w:rFonts w:ascii="宋体" w:hAnsi="宋体" w:cs="宋体" w:eastAsia="宋体" w:hint="default"/>
                <w:sz w:val="21"/>
                <w:szCs w:val="21"/>
              </w:rPr>
            </w:pPr>
            <w:r>
              <w:rPr>
                <w:rFonts w:ascii="宋体"/>
                <w:sz w:val="21"/>
              </w:rPr>
              <w:t>810.10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7.35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6" w:right="0"/>
              <w:jc w:val="left"/>
              <w:rPr>
                <w:rFonts w:ascii="宋体" w:hAnsi="宋体" w:cs="宋体" w:eastAsia="宋体" w:hint="default"/>
                <w:sz w:val="21"/>
                <w:szCs w:val="21"/>
              </w:rPr>
            </w:pPr>
            <w:r>
              <w:rPr>
                <w:rFonts w:ascii="宋体"/>
                <w:sz w:val="21"/>
              </w:rPr>
              <w:t>569,738</w:t>
            </w:r>
          </w:p>
          <w:p>
            <w:pPr>
              <w:pStyle w:val="TableParagraph"/>
              <w:spacing w:line="240" w:lineRule="auto" w:before="37"/>
              <w:ind w:left="76" w:right="0"/>
              <w:jc w:val="left"/>
              <w:rPr>
                <w:rFonts w:ascii="宋体" w:hAnsi="宋体" w:cs="宋体" w:eastAsia="宋体" w:hint="default"/>
                <w:sz w:val="21"/>
                <w:szCs w:val="21"/>
              </w:rPr>
            </w:pPr>
            <w:r>
              <w:rPr>
                <w:rFonts w:ascii="宋体"/>
                <w:sz w:val="21"/>
              </w:rPr>
              <w:t>,219.86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 w:right="0"/>
              <w:jc w:val="left"/>
              <w:rPr>
                <w:rFonts w:ascii="宋体" w:hAnsi="宋体" w:cs="宋体" w:eastAsia="宋体" w:hint="default"/>
                <w:sz w:val="21"/>
                <w:szCs w:val="21"/>
              </w:rPr>
            </w:pPr>
            <w:r>
              <w:rPr>
                <w:rFonts w:ascii="宋体"/>
                <w:sz w:val="21"/>
              </w:rPr>
              <w:t>465,542</w:t>
            </w:r>
          </w:p>
          <w:p>
            <w:pPr>
              <w:pStyle w:val="TableParagraph"/>
              <w:spacing w:line="240" w:lineRule="auto" w:before="37"/>
              <w:ind w:left="79" w:right="0"/>
              <w:jc w:val="left"/>
              <w:rPr>
                <w:rFonts w:ascii="宋体" w:hAnsi="宋体" w:cs="宋体" w:eastAsia="宋体" w:hint="default"/>
                <w:sz w:val="21"/>
                <w:szCs w:val="21"/>
              </w:rPr>
            </w:pPr>
            <w:r>
              <w:rPr>
                <w:rFonts w:ascii="宋体"/>
                <w:sz w:val="21"/>
              </w:rPr>
              <w:t>,550.74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98.4</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 w:right="0"/>
              <w:jc w:val="center"/>
              <w:rPr>
                <w:rFonts w:ascii="宋体" w:hAnsi="宋体" w:cs="宋体" w:eastAsia="宋体" w:hint="default"/>
                <w:sz w:val="21"/>
                <w:szCs w:val="21"/>
              </w:rPr>
            </w:pPr>
            <w:r>
              <w:rPr>
                <w:rFonts w:ascii="宋体"/>
                <w:sz w:val="21"/>
              </w:rPr>
              <w:t>34,697,</w:t>
            </w:r>
          </w:p>
          <w:p>
            <w:pPr>
              <w:pStyle w:val="TableParagraph"/>
              <w:spacing w:line="240" w:lineRule="auto" w:before="37"/>
              <w:ind w:left="155" w:right="0"/>
              <w:jc w:val="center"/>
              <w:rPr>
                <w:rFonts w:ascii="宋体" w:hAnsi="宋体" w:cs="宋体" w:eastAsia="宋体" w:hint="default"/>
                <w:sz w:val="21"/>
                <w:szCs w:val="21"/>
              </w:rPr>
            </w:pPr>
            <w:r>
              <w:rPr>
                <w:rFonts w:ascii="宋体"/>
                <w:sz w:val="21"/>
              </w:rPr>
              <w:t>686.40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6" w:right="0"/>
              <w:jc w:val="center"/>
              <w:rPr>
                <w:rFonts w:ascii="宋体" w:hAnsi="宋体" w:cs="宋体" w:eastAsia="宋体" w:hint="default"/>
                <w:sz w:val="21"/>
                <w:szCs w:val="21"/>
              </w:rPr>
            </w:pPr>
            <w:r>
              <w:rPr>
                <w:rFonts w:ascii="宋体"/>
                <w:sz w:val="21"/>
              </w:rPr>
              <w:t>7.45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430,84</w:t>
            </w:r>
          </w:p>
          <w:p>
            <w:pPr>
              <w:pStyle w:val="TableParagraph"/>
              <w:spacing w:line="240" w:lineRule="auto" w:before="37"/>
              <w:ind w:right="23"/>
              <w:jc w:val="right"/>
              <w:rPr>
                <w:rFonts w:ascii="宋体" w:hAnsi="宋体" w:cs="宋体" w:eastAsia="宋体" w:hint="default"/>
                <w:sz w:val="21"/>
                <w:szCs w:val="21"/>
              </w:rPr>
            </w:pPr>
            <w:r>
              <w:rPr>
                <w:rFonts w:ascii="宋体"/>
                <w:sz w:val="21"/>
              </w:rPr>
              <w:t>4,864.</w:t>
            </w:r>
          </w:p>
          <w:p>
            <w:pPr>
              <w:pStyle w:val="TableParagraph"/>
              <w:spacing w:line="240" w:lineRule="auto" w:before="37"/>
              <w:ind w:right="24"/>
              <w:jc w:val="right"/>
              <w:rPr>
                <w:rFonts w:ascii="宋体" w:hAnsi="宋体" w:cs="宋体" w:eastAsia="宋体" w:hint="default"/>
                <w:sz w:val="21"/>
                <w:szCs w:val="21"/>
              </w:rPr>
            </w:pPr>
            <w:r>
              <w:rPr>
                <w:rFonts w:ascii="宋体"/>
                <w:sz w:val="21"/>
              </w:rPr>
              <w:t>34</w:t>
            </w:r>
          </w:p>
        </w:tc>
      </w:tr>
      <w:tr>
        <w:trPr>
          <w:trHeight w:val="94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 w:right="0"/>
              <w:jc w:val="center"/>
              <w:rPr>
                <w:rFonts w:ascii="宋体" w:hAnsi="宋体" w:cs="宋体" w:eastAsia="宋体" w:hint="default"/>
                <w:sz w:val="21"/>
                <w:szCs w:val="21"/>
              </w:rPr>
            </w:pPr>
            <w:r>
              <w:rPr>
                <w:rFonts w:ascii="宋体"/>
                <w:sz w:val="21"/>
              </w:rPr>
              <w:t>10,998,</w:t>
            </w:r>
          </w:p>
          <w:p>
            <w:pPr>
              <w:pStyle w:val="TableParagraph"/>
              <w:spacing w:line="240" w:lineRule="auto" w:before="37"/>
              <w:ind w:left="153" w:right="0"/>
              <w:jc w:val="center"/>
              <w:rPr>
                <w:rFonts w:ascii="宋体" w:hAnsi="宋体" w:cs="宋体" w:eastAsia="宋体" w:hint="default"/>
                <w:sz w:val="21"/>
                <w:szCs w:val="21"/>
              </w:rPr>
            </w:pPr>
            <w:r>
              <w:rPr>
                <w:rFonts w:ascii="宋体"/>
                <w:sz w:val="21"/>
              </w:rPr>
              <w:t>929.26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 w:right="0"/>
              <w:jc w:val="center"/>
              <w:rPr>
                <w:rFonts w:ascii="宋体" w:hAnsi="宋体" w:cs="宋体" w:eastAsia="宋体" w:hint="default"/>
                <w:sz w:val="21"/>
                <w:szCs w:val="21"/>
              </w:rPr>
            </w:pPr>
            <w:r>
              <w:rPr>
                <w:rFonts w:ascii="宋体"/>
                <w:sz w:val="21"/>
              </w:rPr>
              <w:t>10,998,</w:t>
            </w:r>
          </w:p>
          <w:p>
            <w:pPr>
              <w:pStyle w:val="TableParagraph"/>
              <w:spacing w:line="240" w:lineRule="auto" w:before="37"/>
              <w:ind w:left="156" w:right="0"/>
              <w:jc w:val="center"/>
              <w:rPr>
                <w:rFonts w:ascii="宋体" w:hAnsi="宋体" w:cs="宋体" w:eastAsia="宋体" w:hint="default"/>
                <w:sz w:val="21"/>
                <w:szCs w:val="21"/>
              </w:rPr>
            </w:pPr>
            <w:r>
              <w:rPr>
                <w:rFonts w:ascii="宋体"/>
                <w:sz w:val="21"/>
              </w:rPr>
              <w:t>929.26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7,172,9</w:t>
            </w:r>
          </w:p>
          <w:p>
            <w:pPr>
              <w:pStyle w:val="TableParagraph"/>
              <w:spacing w:line="240" w:lineRule="auto" w:before="37"/>
              <w:ind w:left="288" w:right="0"/>
              <w:jc w:val="left"/>
              <w:rPr>
                <w:rFonts w:ascii="宋体" w:hAnsi="宋体" w:cs="宋体" w:eastAsia="宋体" w:hint="default"/>
                <w:sz w:val="21"/>
                <w:szCs w:val="21"/>
              </w:rPr>
            </w:pPr>
            <w:r>
              <w:rPr>
                <w:rFonts w:ascii="宋体"/>
                <w:sz w:val="21"/>
              </w:rPr>
              <w:t>69.03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 w:right="0"/>
              <w:jc w:val="center"/>
              <w:rPr>
                <w:rFonts w:ascii="宋体" w:hAnsi="宋体" w:cs="宋体" w:eastAsia="宋体" w:hint="default"/>
                <w:sz w:val="21"/>
                <w:szCs w:val="21"/>
              </w:rPr>
            </w:pPr>
            <w:r>
              <w:rPr>
                <w:rFonts w:ascii="宋体"/>
                <w:sz w:val="21"/>
              </w:rPr>
              <w:t>1.52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 w:right="0"/>
              <w:jc w:val="left"/>
              <w:rPr>
                <w:rFonts w:ascii="宋体" w:hAnsi="宋体" w:cs="宋体" w:eastAsia="宋体" w:hint="default"/>
                <w:sz w:val="21"/>
                <w:szCs w:val="21"/>
              </w:rPr>
            </w:pPr>
            <w:r>
              <w:rPr>
                <w:rFonts w:ascii="宋体"/>
                <w:sz w:val="21"/>
              </w:rPr>
              <w:t>7,172,9</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69.03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 w:right="0"/>
              <w:jc w:val="left"/>
              <w:rPr>
                <w:rFonts w:ascii="宋体" w:hAnsi="宋体" w:cs="宋体" w:eastAsia="宋体" w:hint="default"/>
                <w:sz w:val="21"/>
                <w:szCs w:val="21"/>
              </w:rPr>
            </w:pPr>
            <w:r>
              <w:rPr>
                <w:rFonts w:ascii="宋体"/>
                <w:sz w:val="21"/>
              </w:rPr>
              <w:t>625,962</w:t>
            </w:r>
          </w:p>
          <w:p>
            <w:pPr>
              <w:pStyle w:val="TableParagraph"/>
              <w:spacing w:line="240" w:lineRule="auto" w:before="37"/>
              <w:ind w:left="76" w:right="0"/>
              <w:jc w:val="left"/>
              <w:rPr>
                <w:rFonts w:ascii="宋体" w:hAnsi="宋体" w:cs="宋体" w:eastAsia="宋体" w:hint="default"/>
                <w:sz w:val="21"/>
                <w:szCs w:val="21"/>
              </w:rPr>
            </w:pPr>
            <w:r>
              <w:rPr>
                <w:rFonts w:ascii="宋体"/>
                <w:sz w:val="21"/>
              </w:rPr>
              <w:t>,959.22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p>
            <w:pPr>
              <w:pStyle w:val="TableParagraph"/>
              <w:spacing w:line="240" w:lineRule="auto" w:before="37"/>
              <w:ind w:right="2"/>
              <w:jc w:val="center"/>
              <w:rPr>
                <w:rFonts w:ascii="宋体" w:hAnsi="宋体" w:cs="宋体" w:eastAsia="宋体" w:hint="default"/>
                <w:sz w:val="21"/>
                <w:szCs w:val="21"/>
              </w:rPr>
            </w:pPr>
            <w:r>
              <w:rPr>
                <w:rFonts w:ascii="宋体"/>
                <w:sz w:val="21"/>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 w:right="0"/>
              <w:jc w:val="center"/>
              <w:rPr>
                <w:rFonts w:ascii="宋体" w:hAnsi="宋体" w:cs="宋体" w:eastAsia="宋体" w:hint="default"/>
                <w:sz w:val="21"/>
                <w:szCs w:val="21"/>
              </w:rPr>
            </w:pPr>
            <w:r>
              <w:rPr>
                <w:rFonts w:ascii="宋体"/>
                <w:sz w:val="21"/>
              </w:rPr>
              <w:t>56,224,</w:t>
            </w:r>
          </w:p>
          <w:p>
            <w:pPr>
              <w:pStyle w:val="TableParagraph"/>
              <w:spacing w:line="240" w:lineRule="auto" w:before="37"/>
              <w:ind w:left="156" w:right="0"/>
              <w:jc w:val="center"/>
              <w:rPr>
                <w:rFonts w:ascii="宋体" w:hAnsi="宋体" w:cs="宋体" w:eastAsia="宋体" w:hint="default"/>
                <w:sz w:val="21"/>
                <w:szCs w:val="21"/>
              </w:rPr>
            </w:pPr>
            <w:r>
              <w:rPr>
                <w:rFonts w:ascii="宋体"/>
                <w:sz w:val="21"/>
              </w:rPr>
              <w:t>739.36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7"/>
              <w:jc w:val="right"/>
              <w:rPr>
                <w:rFonts w:ascii="宋体" w:hAnsi="宋体" w:cs="宋体" w:eastAsia="宋体" w:hint="default"/>
                <w:sz w:val="21"/>
                <w:szCs w:val="21"/>
              </w:rPr>
            </w:pPr>
            <w:r>
              <w:rPr>
                <w:rFonts w:ascii="宋体"/>
                <w:sz w:val="21"/>
              </w:rPr>
              <w:t>8.98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 w:right="0"/>
              <w:jc w:val="left"/>
              <w:rPr>
                <w:rFonts w:ascii="宋体" w:hAnsi="宋体" w:cs="宋体" w:eastAsia="宋体" w:hint="default"/>
                <w:sz w:val="21"/>
                <w:szCs w:val="21"/>
              </w:rPr>
            </w:pPr>
            <w:r>
              <w:rPr>
                <w:rFonts w:ascii="宋体"/>
                <w:sz w:val="21"/>
              </w:rPr>
              <w:t>569,738</w:t>
            </w:r>
          </w:p>
          <w:p>
            <w:pPr>
              <w:pStyle w:val="TableParagraph"/>
              <w:spacing w:line="240" w:lineRule="auto" w:before="37"/>
              <w:ind w:left="76" w:right="0"/>
              <w:jc w:val="left"/>
              <w:rPr>
                <w:rFonts w:ascii="宋体" w:hAnsi="宋体" w:cs="宋体" w:eastAsia="宋体" w:hint="default"/>
                <w:sz w:val="21"/>
                <w:szCs w:val="21"/>
              </w:rPr>
            </w:pPr>
            <w:r>
              <w:rPr>
                <w:rFonts w:ascii="宋体"/>
                <w:sz w:val="21"/>
              </w:rPr>
              <w:t>,219.86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472,715</w:t>
            </w:r>
          </w:p>
          <w:p>
            <w:pPr>
              <w:pStyle w:val="TableParagraph"/>
              <w:spacing w:line="240" w:lineRule="auto" w:before="37"/>
              <w:ind w:left="79" w:right="0"/>
              <w:jc w:val="left"/>
              <w:rPr>
                <w:rFonts w:ascii="宋体" w:hAnsi="宋体" w:cs="宋体" w:eastAsia="宋体" w:hint="default"/>
                <w:sz w:val="21"/>
                <w:szCs w:val="21"/>
              </w:rPr>
            </w:pPr>
            <w:r>
              <w:rPr>
                <w:rFonts w:ascii="宋体"/>
                <w:sz w:val="21"/>
              </w:rPr>
              <w:t>,519.77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 w:right="0"/>
              <w:jc w:val="center"/>
              <w:rPr>
                <w:rFonts w:ascii="宋体" w:hAnsi="宋体" w:cs="宋体" w:eastAsia="宋体" w:hint="default"/>
                <w:sz w:val="21"/>
                <w:szCs w:val="21"/>
              </w:rPr>
            </w:pPr>
            <w:r>
              <w:rPr>
                <w:rFonts w:ascii="宋体"/>
                <w:sz w:val="21"/>
              </w:rPr>
              <w:t>41,870,</w:t>
            </w:r>
          </w:p>
          <w:p>
            <w:pPr>
              <w:pStyle w:val="TableParagraph"/>
              <w:spacing w:line="240" w:lineRule="auto" w:before="37"/>
              <w:ind w:left="155" w:right="0"/>
              <w:jc w:val="center"/>
              <w:rPr>
                <w:rFonts w:ascii="宋体" w:hAnsi="宋体" w:cs="宋体" w:eastAsia="宋体" w:hint="default"/>
                <w:sz w:val="21"/>
                <w:szCs w:val="21"/>
              </w:rPr>
            </w:pPr>
            <w:r>
              <w:rPr>
                <w:rFonts w:ascii="宋体"/>
                <w:sz w:val="21"/>
              </w:rPr>
              <w:t>655.43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430,84</w:t>
            </w:r>
          </w:p>
          <w:p>
            <w:pPr>
              <w:pStyle w:val="TableParagraph"/>
              <w:spacing w:line="240" w:lineRule="auto" w:before="37"/>
              <w:ind w:right="23"/>
              <w:jc w:val="right"/>
              <w:rPr>
                <w:rFonts w:ascii="宋体" w:hAnsi="宋体" w:cs="宋体" w:eastAsia="宋体" w:hint="default"/>
                <w:sz w:val="21"/>
                <w:szCs w:val="21"/>
              </w:rPr>
            </w:pPr>
            <w:r>
              <w:rPr>
                <w:rFonts w:ascii="宋体"/>
                <w:sz w:val="21"/>
              </w:rPr>
              <w:t>4,864.</w:t>
            </w:r>
          </w:p>
          <w:p>
            <w:pPr>
              <w:pStyle w:val="TableParagraph"/>
              <w:spacing w:line="240" w:lineRule="auto" w:before="37"/>
              <w:ind w:right="24"/>
              <w:jc w:val="right"/>
              <w:rPr>
                <w:rFonts w:ascii="宋体" w:hAnsi="宋体" w:cs="宋体" w:eastAsia="宋体" w:hint="default"/>
                <w:sz w:val="21"/>
                <w:szCs w:val="21"/>
              </w:rPr>
            </w:pPr>
            <w:r>
              <w:rPr>
                <w:rFonts w:ascii="宋体"/>
                <w:sz w:val="21"/>
              </w:rPr>
              <w:t>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BodyText"/>
        <w:spacing w:line="240" w:lineRule="auto" w:before="36"/>
        <w:ind w:right="0"/>
        <w:jc w:val="left"/>
      </w:pPr>
      <w:r>
        <w:rPr>
          <w:spacing w:val="-2"/>
        </w:rPr>
        <w:t>期末单项金额重大并单项计提坏帐准备的应收账款</w:t>
      </w:r>
    </w:p>
    <w:p>
      <w:pPr>
        <w:pStyle w:val="BodyText"/>
        <w:spacing w:line="273" w:lineRule="auto" w:before="37"/>
        <w:ind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32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497,355,987.67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24,867,799.37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61,962,458.51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4,956,996.69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8.00</w:t>
            </w: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41,405,926.20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8,281,185.24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20.00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14,239,657.58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7,119,828.80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614,964,029.96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45,225,810.10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7.35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right="0"/>
        <w:jc w:val="left"/>
      </w:pPr>
      <w:r>
        <w:rPr>
          <w:spacing w:val="-2"/>
        </w:rPr>
        <w:t>组合中，采用余额百分比法计提坏账准备的应收账款：</w:t>
      </w:r>
    </w:p>
    <w:p>
      <w:pPr>
        <w:pStyle w:val="BodyText"/>
        <w:spacing w:line="273" w:lineRule="auto" w:before="37"/>
        <w:ind w:right="0"/>
        <w:jc w:val="left"/>
      </w:pPr>
      <w:r>
        <w:rPr/>
        <w:t>□适用</w:t>
      </w:r>
      <w:r>
        <w:rPr>
          <w:spacing w:val="-2"/>
        </w:rPr>
        <w:t> </w:t>
      </w:r>
      <w:r>
        <w:rPr/>
        <w:t>√不适用</w:t>
      </w:r>
      <w:r>
        <w:rPr>
          <w:w w:val="100"/>
        </w:rPr>
        <w:t> </w:t>
      </w:r>
      <w:r>
        <w:rPr>
          <w:spacing w:val="-2"/>
        </w:rPr>
        <w:t>组合中，采用其他方法计提坏账准备的应收账款：</w:t>
      </w:r>
    </w:p>
    <w:p>
      <w:pPr>
        <w:pStyle w:val="BodyText"/>
        <w:tabs>
          <w:tab w:pos="1060" w:val="left" w:leader="none"/>
        </w:tabs>
        <w:spacing w:line="240" w:lineRule="auto" w:before="8"/>
        <w:ind w:right="0"/>
        <w:jc w:val="left"/>
      </w:pPr>
      <w:r>
        <w:rPr>
          <w:spacing w:val="-1"/>
        </w:rPr>
        <w:t>□适用</w:t>
        <w:tab/>
      </w:r>
      <w:r>
        <w:rPr>
          <w:spacing w:val="-2"/>
        </w:rPr>
        <w:t>√不适用</w:t>
      </w:r>
    </w:p>
    <w:p>
      <w:pPr>
        <w:pStyle w:val="Heading2"/>
        <w:spacing w:line="240" w:lineRule="auto" w:before="69"/>
        <w:ind w:right="0"/>
        <w:jc w:val="left"/>
        <w:rPr>
          <w:b w:val="0"/>
          <w:bCs w:val="0"/>
        </w:rPr>
      </w:pPr>
      <w:r>
        <w:rPr>
          <w:rFonts w:ascii="宋体" w:hAnsi="宋体" w:cs="宋体" w:eastAsia="宋体" w:hint="default"/>
        </w:rPr>
        <w:t>(2).</w:t>
      </w:r>
      <w:r>
        <w:rPr>
          <w:rFonts w:ascii="宋体" w:hAnsi="宋体" w:cs="宋体" w:eastAsia="宋体" w:hint="default"/>
          <w:spacing w:val="-35"/>
        </w:rPr>
        <w:t> </w:t>
      </w:r>
      <w:r>
        <w:rPr/>
        <w:t>本期计提、收回或转回的坏账准备情况：</w:t>
      </w:r>
      <w:r>
        <w:rPr>
          <w:b w:val="0"/>
          <w:bCs w:val="0"/>
        </w:rPr>
      </w:r>
    </w:p>
    <w:p>
      <w:pPr>
        <w:pStyle w:val="BodyText"/>
        <w:spacing w:line="259" w:lineRule="auto" w:before="85"/>
        <w:ind w:right="0"/>
        <w:jc w:val="left"/>
      </w:pPr>
      <w:r>
        <w:rPr/>
        <w:t>本期计提坏账准备金额</w:t>
      </w:r>
      <w:r>
        <w:rPr>
          <w:spacing w:val="-52"/>
        </w:rPr>
        <w:t> </w:t>
      </w:r>
      <w:r>
        <w:rPr>
          <w:rFonts w:ascii="Arial Narrow" w:hAnsi="Arial Narrow" w:cs="Arial Narrow" w:eastAsia="Arial Narrow" w:hint="default"/>
        </w:rPr>
        <w:t>14,527,496.93</w:t>
      </w:r>
      <w:r>
        <w:rPr>
          <w:rFonts w:ascii="Arial Narrow" w:hAnsi="Arial Narrow" w:cs="Arial Narrow" w:eastAsia="Arial Narrow" w:hint="default"/>
          <w:spacing w:val="4"/>
        </w:rPr>
        <w:t> </w:t>
      </w:r>
      <w:r>
        <w:rPr>
          <w:spacing w:val="-3"/>
        </w:rPr>
        <w:t>元；</w:t>
      </w:r>
      <w:r>
        <w:rPr>
          <w:spacing w:val="-3"/>
          <w:w w:val="100"/>
        </w:rPr>
        <w:t> </w:t>
      </w:r>
      <w:r>
        <w:rPr>
          <w:spacing w:val="-2"/>
        </w:rPr>
        <w:t>其中本期坏账准备收回或转回金额重要的：</w:t>
      </w:r>
    </w:p>
    <w:p>
      <w:pPr>
        <w:pStyle w:val="BodyText"/>
        <w:spacing w:line="240" w:lineRule="auto" w:before="20"/>
        <w:ind w:right="0"/>
        <w:jc w:val="left"/>
      </w:pPr>
      <w:r>
        <w:rPr/>
        <w:t>□适用</w:t>
      </w:r>
      <w:r>
        <w:rPr>
          <w:spacing w:val="-1"/>
        </w:rPr>
        <w:t> </w:t>
      </w:r>
      <w:r>
        <w:rPr/>
        <w:t>√不适用</w:t>
      </w:r>
    </w:p>
    <w:p>
      <w:pPr>
        <w:pStyle w:val="Heading2"/>
        <w:spacing w:line="240" w:lineRule="auto" w:before="69"/>
        <w:ind w:right="0"/>
        <w:jc w:val="left"/>
        <w:rPr>
          <w:b w:val="0"/>
          <w:bCs w:val="0"/>
        </w:rPr>
      </w:pPr>
      <w:r>
        <w:rPr>
          <w:rFonts w:ascii="宋体" w:hAnsi="宋体" w:cs="宋体" w:eastAsia="宋体" w:hint="default"/>
        </w:rPr>
        <w:t>(3).</w:t>
      </w:r>
      <w:r>
        <w:rPr>
          <w:rFonts w:ascii="宋体" w:hAnsi="宋体" w:cs="宋体" w:eastAsia="宋体" w:hint="default"/>
          <w:spacing w:val="-33"/>
        </w:rPr>
        <w:t> </w:t>
      </w:r>
      <w:r>
        <w:rPr/>
        <w:t>本期实际核销的应收账款情况</w:t>
      </w:r>
      <w:r>
        <w:rPr>
          <w:b w:val="0"/>
          <w:bCs w:val="0"/>
        </w:rPr>
      </w:r>
    </w:p>
    <w:p>
      <w:pPr>
        <w:pStyle w:val="BodyText"/>
        <w:spacing w:line="240" w:lineRule="auto" w:before="85"/>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Narrow" w:hAnsi="Arial Narrow" w:cs="Arial Narrow" w:eastAsia="Arial Narrow" w:hint="default"/>
                <w:sz w:val="18"/>
                <w:szCs w:val="18"/>
              </w:rPr>
            </w:pPr>
            <w:r>
              <w:rPr>
                <w:rFonts w:ascii="Arial Narrow"/>
                <w:spacing w:val="-1"/>
                <w:sz w:val="18"/>
              </w:rPr>
              <w:t>173,413.00</w:t>
            </w:r>
          </w:p>
        </w:tc>
      </w:tr>
    </w:tbl>
    <w:p>
      <w:pPr>
        <w:spacing w:line="240" w:lineRule="auto" w:before="2"/>
        <w:rPr>
          <w:rFonts w:ascii="宋体" w:hAnsi="宋体" w:cs="宋体" w:eastAsia="宋体" w:hint="default"/>
          <w:sz w:val="20"/>
          <w:szCs w:val="20"/>
        </w:rPr>
      </w:pPr>
    </w:p>
    <w:p>
      <w:pPr>
        <w:pStyle w:val="BodyText"/>
        <w:spacing w:line="240" w:lineRule="auto" w:before="36"/>
        <w:ind w:right="215"/>
        <w:jc w:val="left"/>
      </w:pPr>
      <w:r>
        <w:rPr/>
        <w:t>其中重要的应收账款核销情况</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67"/>
          <w:pgSz w:w="11910" w:h="16840"/>
          <w:pgMar w:footer="1195" w:header="882" w:top="1120" w:bottom="1380" w:left="1560" w:right="1120"/>
          <w:pgNumType w:start="110"/>
        </w:sectPr>
      </w:pPr>
    </w:p>
    <w:p>
      <w:pPr>
        <w:pStyle w:val="BodyText"/>
        <w:spacing w:line="240" w:lineRule="auto" w:before="36"/>
        <w:ind w:left="238" w:right="-18"/>
        <w:jc w:val="left"/>
      </w:pPr>
      <w:r>
        <w:rPr/>
        <w:t>√适用</w:t>
      </w:r>
      <w:r>
        <w:rPr>
          <w:spacing w:val="-1"/>
        </w:rPr>
        <w:t> </w:t>
      </w:r>
      <w:r>
        <w:rPr/>
        <w:t>□不适用</w:t>
      </w:r>
    </w:p>
    <w:p>
      <w:pPr>
        <w:spacing w:line="240" w:lineRule="auto" w:before="6"/>
        <w:rPr>
          <w:rFonts w:ascii="宋体" w:hAnsi="宋体" w:cs="宋体" w:eastAsia="宋体" w:hint="default"/>
          <w:sz w:val="24"/>
          <w:szCs w:val="24"/>
        </w:rPr>
      </w:pPr>
      <w:r>
        <w:rPr/>
        <w:br w:type="column"/>
      </w:r>
      <w:r>
        <w:rPr>
          <w:rFonts w:ascii="宋体"/>
          <w:sz w:val="24"/>
        </w:rPr>
      </w:r>
    </w:p>
    <w:p>
      <w:pPr>
        <w:pStyle w:val="Heading3"/>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120"/>
          <w:cols w:num="2" w:equalWidth="0">
            <w:col w:w="1815" w:space="4378"/>
            <w:col w:w="3037"/>
          </w:cols>
        </w:sectPr>
      </w:pPr>
    </w:p>
    <w:p>
      <w:pPr>
        <w:spacing w:line="240" w:lineRule="auto" w:before="12"/>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61"/>
        <w:gridCol w:w="1361"/>
        <w:gridCol w:w="1358"/>
        <w:gridCol w:w="1361"/>
        <w:gridCol w:w="1729"/>
        <w:gridCol w:w="1726"/>
      </w:tblGrid>
      <w:tr>
        <w:trPr>
          <w:trHeight w:val="63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69"/>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0" w:right="185" w:hanging="420"/>
              <w:jc w:val="left"/>
              <w:rPr>
                <w:rFonts w:ascii="宋体" w:hAnsi="宋体" w:cs="宋体" w:eastAsia="宋体" w:hint="default"/>
                <w:sz w:val="21"/>
                <w:szCs w:val="21"/>
              </w:rPr>
            </w:pPr>
            <w:r>
              <w:rPr>
                <w:rFonts w:ascii="宋体" w:hAnsi="宋体" w:cs="宋体" w:eastAsia="宋体" w:hint="default"/>
                <w:sz w:val="21"/>
                <w:szCs w:val="21"/>
              </w:rPr>
              <w:t>应收账款性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8"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4"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6" w:right="120" w:hanging="317"/>
              <w:jc w:val="left"/>
              <w:rPr>
                <w:rFonts w:ascii="宋体" w:hAnsi="宋体" w:cs="宋体" w:eastAsia="宋体" w:hint="default"/>
                <w:sz w:val="21"/>
                <w:szCs w:val="21"/>
              </w:rPr>
            </w:pPr>
            <w:r>
              <w:rPr>
                <w:rFonts w:ascii="宋体" w:hAnsi="宋体" w:cs="宋体" w:eastAsia="宋体" w:hint="default"/>
                <w:sz w:val="21"/>
                <w:szCs w:val="21"/>
              </w:rPr>
              <w:t>款项是否由关联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交易产生</w:t>
            </w: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9"/>
              <w:jc w:val="both"/>
              <w:rPr>
                <w:rFonts w:ascii="宋体" w:hAnsi="宋体" w:cs="宋体" w:eastAsia="宋体" w:hint="default"/>
                <w:sz w:val="21"/>
                <w:szCs w:val="21"/>
              </w:rPr>
            </w:pPr>
            <w:r>
              <w:rPr>
                <w:rFonts w:ascii="宋体" w:hAnsi="宋体" w:cs="宋体" w:eastAsia="宋体" w:hint="default"/>
                <w:sz w:val="21"/>
                <w:szCs w:val="21"/>
              </w:rPr>
              <w:t>北京易佳恒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兴科技有限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sz w:val="21"/>
              </w:rPr>
              <w:t>173,413.00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客户注销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总裁审批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sz w:val="21"/>
              </w:rPr>
              <w:t>173,413.00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38" w:right="0"/>
        <w:jc w:val="left"/>
      </w:pPr>
      <w:r>
        <w:rPr/>
        <w:t>应收账款核销说明：</w:t>
      </w:r>
    </w:p>
    <w:p>
      <w:pPr>
        <w:pStyle w:val="BodyText"/>
        <w:spacing w:line="240" w:lineRule="auto" w:before="16"/>
        <w:ind w:left="238" w:right="0"/>
        <w:jc w:val="left"/>
      </w:pPr>
      <w:r>
        <w:rPr/>
        <w:t>□适用 □不适用</w:t>
      </w:r>
    </w:p>
    <w:p>
      <w:pPr>
        <w:pStyle w:val="Heading2"/>
        <w:spacing w:line="240" w:lineRule="auto" w:before="52"/>
        <w:ind w:left="238" w:right="0"/>
        <w:jc w:val="left"/>
        <w:rPr>
          <w:b w:val="0"/>
          <w:bCs w:val="0"/>
        </w:rPr>
      </w:pPr>
      <w:r>
        <w:rPr>
          <w:rFonts w:ascii="宋体" w:hAnsi="宋体" w:cs="宋体" w:eastAsia="宋体" w:hint="default"/>
        </w:rPr>
        <w:t>(4).</w:t>
      </w:r>
      <w:r>
        <w:rPr>
          <w:rFonts w:ascii="宋体" w:hAnsi="宋体" w:cs="宋体" w:eastAsia="宋体" w:hint="default"/>
          <w:spacing w:val="-35"/>
        </w:rPr>
        <w:t> </w:t>
      </w:r>
      <w:r>
        <w:rPr/>
        <w:t>按欠款方归集的期末余额前五名的应收账款情况：</w:t>
      </w:r>
      <w:r>
        <w:rPr>
          <w:b w:val="0"/>
          <w:bCs w:val="0"/>
        </w:rPr>
      </w:r>
    </w:p>
    <w:p>
      <w:pPr>
        <w:pStyle w:val="BodyText"/>
        <w:tabs>
          <w:tab w:pos="1080" w:val="left" w:leader="none"/>
        </w:tabs>
        <w:spacing w:line="240" w:lineRule="auto" w:before="64"/>
        <w:ind w:left="238" w:right="0"/>
        <w:jc w:val="left"/>
      </w:pPr>
      <w:r>
        <w:rPr/>
        <w:pict>
          <v:shape style="position:absolute;margin-left:252.770004pt;margin-top:33.46365pt;width:.48pt;height:.12pt;mso-position-horizontal-relative:page;mso-position-vertical-relative:paragraph;z-index:-941008" type="#_x0000_t75" stroked="false">
            <v:imagedata r:id="rId63" o:title=""/>
          </v:shape>
        </w:pict>
      </w:r>
      <w:r>
        <w:rPr/>
        <w:pict>
          <v:shape style="position:absolute;margin-left:345.790009pt;margin-top:33.46365pt;width:.48001pt;height:.12pt;mso-position-horizontal-relative:page;mso-position-vertical-relative:paragraph;z-index:-940984" type="#_x0000_t75" stroked="false">
            <v:imagedata r:id="rId63" o:title=""/>
          </v:shape>
        </w:pict>
      </w:r>
      <w:r>
        <w:rPr/>
        <w:pict>
          <v:shape style="position:absolute;margin-left:444.100006pt;margin-top:33.46365pt;width:.47998pt;height:.12pt;mso-position-horizontal-relative:page;mso-position-vertical-relative:paragraph;z-index:-940960" type="#_x0000_t75" stroked="false">
            <v:imagedata r:id="rId63" o:title=""/>
          </v:shape>
        </w:pict>
      </w:r>
      <w:r>
        <w:rPr/>
        <w:pict>
          <v:group style="position:absolute;margin-left:84.503998pt;margin-top:60.823669pt;width:449.5pt;height:.5pt;mso-position-horizontal-relative:page;mso-position-vertical-relative:paragraph;z-index:-940936" coordorigin="1690,1216" coordsize="8990,10">
            <v:shape style="position:absolute;left:1690;top:1216;width:3365;height:10" type="#_x0000_t75" stroked="false">
              <v:imagedata r:id="rId68" o:title=""/>
            </v:shape>
            <v:shape style="position:absolute;left:5051;top:1216;width:5629;height:10" type="#_x0000_t75" stroked="false">
              <v:imagedata r:id="rId69" o:title=""/>
            </v:shape>
            <w10:wrap type="none"/>
          </v:group>
        </w:pict>
      </w:r>
      <w:r>
        <w:rPr/>
        <w:pict>
          <v:group style="position:absolute;margin-left:84.503998pt;margin-top:73.783661pt;width:449.5pt;height:5.05pt;mso-position-horizontal-relative:page;mso-position-vertical-relative:paragraph;z-index:-940912" coordorigin="1690,1476" coordsize="8990,101">
            <v:shape style="position:absolute;left:1690;top:1476;width:3385;height:101" type="#_x0000_t75" stroked="false">
              <v:imagedata r:id="rId70" o:title=""/>
            </v:shape>
            <v:shape style="position:absolute;left:5051;top:1567;width:5629;height:10" type="#_x0000_t75" stroked="false">
              <v:imagedata r:id="rId69" o:title=""/>
            </v:shape>
            <w10:wrap type="none"/>
          </v:group>
        </w:pict>
      </w:r>
      <w:r>
        <w:rPr/>
        <w:pict>
          <v:group style="position:absolute;margin-left:84.503998pt;margin-top:91.303627pt;width:449.5pt;height:5.05pt;mso-position-horizontal-relative:page;mso-position-vertical-relative:paragraph;z-index:-940888" coordorigin="1690,1826" coordsize="8990,101">
            <v:shape style="position:absolute;left:1690;top:1826;width:3385;height:101" type="#_x0000_t75" stroked="false">
              <v:imagedata r:id="rId71" o:title=""/>
            </v:shape>
            <v:shape style="position:absolute;left:5051;top:1917;width:5629;height:10" type="#_x0000_t75" stroked="false">
              <v:imagedata r:id="rId72" o:title=""/>
            </v:shape>
            <w10:wrap type="none"/>
          </v:group>
        </w:pict>
      </w:r>
      <w:r>
        <w:rPr>
          <w:spacing w:val="-1"/>
        </w:rPr>
        <w:t>√适用</w:t>
        <w:tab/>
      </w:r>
      <w:r>
        <w:rPr>
          <w:spacing w:val="-2"/>
        </w:rPr>
        <w:t>□不适用</w:t>
      </w:r>
    </w:p>
    <w:p>
      <w:pPr>
        <w:spacing w:line="240" w:lineRule="auto" w:before="1"/>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3385"/>
        <w:gridCol w:w="1860"/>
        <w:gridCol w:w="1966"/>
        <w:gridCol w:w="1793"/>
      </w:tblGrid>
      <w:tr>
        <w:trPr>
          <w:trHeight w:val="583" w:hRule="exact"/>
        </w:trPr>
        <w:tc>
          <w:tcPr>
            <w:tcW w:w="3385" w:type="dxa"/>
            <w:tcBorders>
              <w:top w:val="single" w:sz="12" w:space="0" w:color="000000"/>
              <w:left w:val="nil" w:sz="6" w:space="0" w:color="auto"/>
              <w:bottom w:val="nil" w:sz="6" w:space="0" w:color="auto"/>
              <w:right w:val="single" w:sz="4" w:space="0" w:color="000000"/>
            </w:tcBorders>
          </w:tcPr>
          <w:p>
            <w:pPr>
              <w:pStyle w:val="TableParagraph"/>
              <w:spacing w:line="240" w:lineRule="auto" w:before="105"/>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5"/>
              <w:ind w:left="5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66" w:type="dxa"/>
            <w:tcBorders>
              <w:top w:val="single" w:sz="12" w:space="0" w:color="000000"/>
              <w:left w:val="single" w:sz="4" w:space="0" w:color="000000"/>
              <w:bottom w:val="nil" w:sz="6" w:space="0" w:color="auto"/>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占应收账款期末余</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p>
        </w:tc>
        <w:tc>
          <w:tcPr>
            <w:tcW w:w="1793" w:type="dxa"/>
            <w:tcBorders>
              <w:top w:val="single" w:sz="12" w:space="0" w:color="000000"/>
              <w:left w:val="single" w:sz="4" w:space="0" w:color="000000"/>
              <w:bottom w:val="nil" w:sz="6" w:space="0" w:color="auto"/>
              <w:right w:val="nil" w:sz="6" w:space="0" w:color="auto"/>
            </w:tcBorders>
          </w:tcPr>
          <w:p>
            <w:pPr>
              <w:pStyle w:val="TableParagraph"/>
              <w:spacing w:line="240" w:lineRule="auto" w:before="105"/>
              <w:ind w:right="156"/>
              <w:jc w:val="right"/>
              <w:rPr>
                <w:rFonts w:ascii="宋体" w:hAnsi="宋体" w:cs="宋体" w:eastAsia="宋体" w:hint="default"/>
                <w:sz w:val="21"/>
                <w:szCs w:val="21"/>
              </w:rPr>
            </w:pPr>
            <w:r>
              <w:rPr>
                <w:rFonts w:ascii="宋体" w:hAnsi="宋体" w:cs="宋体" w:eastAsia="宋体" w:hint="default"/>
                <w:spacing w:val="-1"/>
                <w:sz w:val="21"/>
                <w:szCs w:val="21"/>
              </w:rPr>
              <w:t>已计提坏账准备</w:t>
            </w:r>
          </w:p>
        </w:tc>
      </w:tr>
      <w:tr>
        <w:trPr>
          <w:trHeight w:val="238" w:hRule="exact"/>
        </w:trPr>
        <w:tc>
          <w:tcPr>
            <w:tcW w:w="3385" w:type="dxa"/>
            <w:tcBorders>
              <w:top w:val="nil" w:sz="6" w:space="0" w:color="auto"/>
              <w:left w:val="nil" w:sz="6" w:space="0" w:color="auto"/>
              <w:bottom w:val="nil" w:sz="6" w:space="0" w:color="auto"/>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34,727,812.66</w:t>
            </w:r>
          </w:p>
        </w:tc>
        <w:tc>
          <w:tcPr>
            <w:tcW w:w="1966"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5.55</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2,403,096.76</w:t>
            </w:r>
          </w:p>
        </w:tc>
      </w:tr>
      <w:tr>
        <w:trPr>
          <w:trHeight w:val="378" w:hRule="exact"/>
        </w:trPr>
        <w:tc>
          <w:tcPr>
            <w:tcW w:w="3385"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26,542,680.59</w:t>
            </w:r>
          </w:p>
        </w:tc>
        <w:tc>
          <w:tcPr>
            <w:tcW w:w="1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4.24</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2,436,270.83</w:t>
            </w:r>
          </w:p>
        </w:tc>
      </w:tr>
      <w:tr>
        <w:trPr>
          <w:trHeight w:val="74" w:hRule="exact"/>
        </w:trPr>
        <w:tc>
          <w:tcPr>
            <w:tcW w:w="338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single" w:sz="4" w:space="0" w:color="000000"/>
            </w:tcBorders>
          </w:tcPr>
          <w:p>
            <w:pPr/>
          </w:p>
        </w:tc>
        <w:tc>
          <w:tcPr>
            <w:tcW w:w="1966"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345" w:hRule="exact"/>
        </w:trPr>
        <w:tc>
          <w:tcPr>
            <w:tcW w:w="338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湖南建工德顺电子科技有限公司</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17,995,000.00</w:t>
            </w:r>
          </w:p>
        </w:tc>
        <w:tc>
          <w:tcPr>
            <w:tcW w:w="19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2.87</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899,750.00</w:t>
            </w:r>
          </w:p>
        </w:tc>
      </w:tr>
      <w:tr>
        <w:trPr>
          <w:trHeight w:val="280" w:hRule="exact"/>
        </w:trPr>
        <w:tc>
          <w:tcPr>
            <w:tcW w:w="3385"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14,135,639.37</w:t>
            </w:r>
          </w:p>
        </w:tc>
        <w:tc>
          <w:tcPr>
            <w:tcW w:w="19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z w:val="21"/>
              </w:rPr>
              <w:t>2.26</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788,355.72</w:t>
            </w:r>
          </w:p>
        </w:tc>
      </w:tr>
      <w:tr>
        <w:trPr>
          <w:trHeight w:val="74" w:hRule="exact"/>
        </w:trPr>
        <w:tc>
          <w:tcPr>
            <w:tcW w:w="338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single" w:sz="4" w:space="0" w:color="000000"/>
            </w:tcBorders>
          </w:tcPr>
          <w:p>
            <w:pPr/>
          </w:p>
        </w:tc>
        <w:tc>
          <w:tcPr>
            <w:tcW w:w="1966"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351" w:hRule="exact"/>
        </w:trPr>
        <w:tc>
          <w:tcPr>
            <w:tcW w:w="338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10,450,750.00</w:t>
            </w:r>
          </w:p>
        </w:tc>
        <w:tc>
          <w:tcPr>
            <w:tcW w:w="19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1.67</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551,097.50</w:t>
            </w:r>
          </w:p>
        </w:tc>
      </w:tr>
      <w:tr>
        <w:trPr>
          <w:trHeight w:val="355" w:hRule="exact"/>
        </w:trPr>
        <w:tc>
          <w:tcPr>
            <w:tcW w:w="3385"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103,851,882.62</w:t>
            </w:r>
          </w:p>
        </w:tc>
        <w:tc>
          <w:tcPr>
            <w:tcW w:w="19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16.59</w:t>
            </w:r>
          </w:p>
        </w:tc>
        <w:tc>
          <w:tcPr>
            <w:tcW w:w="1793"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7,078,570.81</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60" w:right="1120"/>
        </w:sectPr>
      </w:pPr>
    </w:p>
    <w:p>
      <w:pPr>
        <w:pStyle w:val="Heading2"/>
        <w:spacing w:line="240" w:lineRule="auto"/>
        <w:ind w:left="238" w:right="-17"/>
        <w:jc w:val="left"/>
        <w:rPr>
          <w:b w:val="0"/>
          <w:bCs w:val="0"/>
        </w:rPr>
      </w:pPr>
      <w:r>
        <w:rPr/>
        <w:pict>
          <v:group style="position:absolute;margin-left:84.503998pt;margin-top:-69.304359pt;width:449.5pt;height:.5pt;mso-position-horizontal-relative:page;mso-position-vertical-relative:paragraph;z-index:-940864" coordorigin="1690,-1386" coordsize="8990,10">
            <v:shape style="position:absolute;left:1690;top:-1386;width:3365;height:10" type="#_x0000_t75" stroked="false">
              <v:imagedata r:id="rId68" o:title=""/>
            </v:shape>
            <v:shape style="position:absolute;left:5051;top:-1386;width:5629;height:10" type="#_x0000_t75" stroked="false">
              <v:imagedata r:id="rId69" o:title=""/>
            </v:shape>
            <w10:wrap type="none"/>
          </v:group>
        </w:pict>
      </w:r>
      <w:r>
        <w:rPr/>
        <w:pict>
          <v:group style="position:absolute;margin-left:84.503998pt;margin-top:-56.344368pt;width:449.5pt;height:5.05pt;mso-position-horizontal-relative:page;mso-position-vertical-relative:paragraph;z-index:-940840" coordorigin="1690,-1127" coordsize="8990,101">
            <v:shape style="position:absolute;left:1690;top:-1127;width:3385;height:101" type="#_x0000_t75" stroked="false">
              <v:imagedata r:id="rId73" o:title=""/>
            </v:shape>
            <v:shape style="position:absolute;left:5051;top:-1036;width:5629;height:10" type="#_x0000_t75" stroked="false">
              <v:imagedata r:id="rId72" o:title=""/>
            </v:shape>
            <w10:wrap type="none"/>
          </v:group>
        </w:pict>
      </w:r>
      <w:r>
        <w:rPr/>
        <w:pict>
          <v:group style="position:absolute;margin-left:84.503998pt;margin-top:-38.804371pt;width:449.5pt;height:5.05pt;mso-position-horizontal-relative:page;mso-position-vertical-relative:paragraph;z-index:-940816" coordorigin="1690,-776" coordsize="8990,101">
            <v:shape style="position:absolute;left:1690;top:-776;width:3385;height:101" type="#_x0000_t75" stroked="false">
              <v:imagedata r:id="rId74" o:title=""/>
            </v:shape>
            <v:shape style="position:absolute;left:5051;top:-685;width:5629;height:10" type="#_x0000_t75" stroked="false">
              <v:imagedata r:id="rId69" o:title=""/>
            </v:shape>
            <w10:wrap type="none"/>
          </v:group>
        </w:pict>
      </w:r>
      <w:r>
        <w:rPr>
          <w:rFonts w:ascii="宋体" w:hAnsi="宋体" w:cs="宋体" w:eastAsia="宋体" w:hint="default"/>
        </w:rPr>
        <w:t>(5).</w:t>
      </w:r>
      <w:r>
        <w:rPr>
          <w:rFonts w:ascii="宋体" w:hAnsi="宋体" w:cs="宋体" w:eastAsia="宋体" w:hint="default"/>
          <w:spacing w:val="-35"/>
        </w:rPr>
        <w:t> </w:t>
      </w:r>
      <w:r>
        <w:rPr/>
        <w:t>因金融资产转移而终止确认的应收账款：</w:t>
      </w:r>
      <w:r>
        <w:rPr>
          <w:b w:val="0"/>
          <w:bCs w:val="0"/>
        </w:rPr>
      </w:r>
    </w:p>
    <w:p>
      <w:pPr>
        <w:pStyle w:val="BodyText"/>
        <w:tabs>
          <w:tab w:pos="1080" w:val="left" w:leader="none"/>
        </w:tabs>
        <w:spacing w:line="240" w:lineRule="auto" w:before="64"/>
        <w:ind w:left="238" w:right="-17"/>
        <w:jc w:val="left"/>
      </w:pPr>
      <w:r>
        <w:rPr>
          <w:spacing w:val="-1"/>
        </w:rPr>
        <w:t>□适用</w:t>
        <w:tab/>
      </w:r>
      <w:r>
        <w:rPr>
          <w:spacing w:val="-2"/>
        </w:rPr>
        <w:t>√不适用</w:t>
      </w:r>
    </w:p>
    <w:p>
      <w:pPr>
        <w:pStyle w:val="Heading2"/>
        <w:spacing w:line="240" w:lineRule="auto" w:before="52"/>
        <w:ind w:left="238" w:right="-17"/>
        <w:jc w:val="left"/>
        <w:rPr>
          <w:b w:val="0"/>
          <w:bCs w:val="0"/>
        </w:rPr>
      </w:pPr>
      <w:r>
        <w:rPr>
          <w:rFonts w:ascii="宋体" w:hAnsi="宋体" w:cs="宋体" w:eastAsia="宋体" w:hint="default"/>
        </w:rPr>
        <w:t>(6).</w:t>
      </w:r>
      <w:r>
        <w:rPr>
          <w:rFonts w:ascii="宋体" w:hAnsi="宋体" w:cs="宋体" w:eastAsia="宋体" w:hint="default"/>
          <w:spacing w:val="-33"/>
        </w:rPr>
        <w:t> </w:t>
      </w:r>
      <w:r>
        <w:rPr/>
        <w:t>转移应收账款且继续涉入形成的资产、负债金额：</w:t>
      </w:r>
      <w:r>
        <w:rPr>
          <w:b w:val="0"/>
          <w:bCs w:val="0"/>
        </w:rPr>
      </w:r>
    </w:p>
    <w:p>
      <w:pPr>
        <w:pStyle w:val="BodyText"/>
        <w:tabs>
          <w:tab w:pos="1080" w:val="left" w:leader="none"/>
        </w:tabs>
        <w:spacing w:line="272" w:lineRule="exact" w:before="92"/>
        <w:ind w:left="238" w:right="4191"/>
        <w:jc w:val="left"/>
      </w:pPr>
      <w:r>
        <w:rPr>
          <w:spacing w:val="-1"/>
        </w:rPr>
        <w:t>□适用</w:t>
        <w:tab/>
      </w:r>
      <w:r>
        <w:rPr>
          <w:spacing w:val="-2"/>
        </w:rPr>
        <w:t>√不适用</w:t>
      </w:r>
      <w:r>
        <w:rPr>
          <w:spacing w:val="-99"/>
        </w:rPr>
        <w:t> </w:t>
      </w:r>
      <w:r>
        <w:rPr>
          <w:spacing w:val="-99"/>
        </w:rPr>
      </w:r>
      <w:r>
        <w:rPr/>
        <w:t>其他说明：</w:t>
      </w:r>
    </w:p>
    <w:p>
      <w:pPr>
        <w:pStyle w:val="BodyText"/>
        <w:tabs>
          <w:tab w:pos="1080" w:val="left" w:leader="none"/>
        </w:tabs>
        <w:spacing w:line="249" w:lineRule="exact"/>
        <w:ind w:left="238" w:right="-17"/>
        <w:jc w:val="left"/>
      </w:pPr>
      <w:r>
        <w:rPr>
          <w:spacing w:val="-1"/>
        </w:rPr>
        <w:t>□适用</w:t>
        <w:tab/>
      </w:r>
      <w:r>
        <w:rPr>
          <w:spacing w:val="-2"/>
        </w:rPr>
        <w:t>√不适用</w:t>
      </w:r>
    </w:p>
    <w:p>
      <w:pPr>
        <w:pStyle w:val="Heading2"/>
        <w:spacing w:line="240" w:lineRule="auto" w:before="50"/>
        <w:ind w:left="238" w:right="-17"/>
        <w:jc w:val="left"/>
        <w:rPr>
          <w:b w:val="0"/>
          <w:bCs w:val="0"/>
        </w:rPr>
      </w:pPr>
      <w:r>
        <w:rPr>
          <w:rFonts w:ascii="宋体" w:hAnsi="宋体" w:cs="宋体" w:eastAsia="宋体" w:hint="default"/>
        </w:rPr>
        <w:t>6</w:t>
      </w:r>
      <w:r>
        <w:rPr/>
        <w:t>、</w:t>
      </w:r>
      <w:r>
        <w:rPr>
          <w:spacing w:val="-64"/>
        </w:rPr>
        <w:t> </w:t>
      </w:r>
      <w:r>
        <w:rPr/>
        <w:t>预付款项</w:t>
      </w:r>
      <w:r>
        <w:rPr>
          <w:b w:val="0"/>
          <w:bCs w:val="0"/>
        </w:rPr>
      </w:r>
    </w:p>
    <w:p>
      <w:pPr>
        <w:pStyle w:val="Heading2"/>
        <w:spacing w:line="240" w:lineRule="auto" w:before="58"/>
        <w:ind w:left="238" w:right="-17"/>
        <w:jc w:val="left"/>
        <w:rPr>
          <w:b w:val="0"/>
          <w:bCs w:val="0"/>
        </w:rPr>
      </w:pPr>
      <w:r>
        <w:rPr>
          <w:rFonts w:ascii="宋体" w:hAnsi="宋体" w:cs="宋体" w:eastAsia="宋体" w:hint="default"/>
        </w:rPr>
        <w:t>(1).</w:t>
      </w:r>
      <w:r>
        <w:rPr>
          <w:rFonts w:ascii="宋体" w:hAnsi="宋体" w:cs="宋体" w:eastAsia="宋体" w:hint="default"/>
          <w:spacing w:val="10"/>
        </w:rPr>
        <w:t> </w:t>
      </w:r>
      <w:r>
        <w:rPr/>
        <w:t>预付款项按账龄列示</w:t>
      </w:r>
      <w:r>
        <w:rPr>
          <w:b w:val="0"/>
          <w:bCs w:val="0"/>
        </w:rPr>
      </w:r>
    </w:p>
    <w:p>
      <w:pPr>
        <w:pStyle w:val="BodyText"/>
        <w:tabs>
          <w:tab w:pos="1080" w:val="left" w:leader="none"/>
        </w:tabs>
        <w:spacing w:line="240" w:lineRule="auto" w:before="85"/>
        <w:ind w:left="23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6115" w:space="407"/>
            <w:col w:w="2708"/>
          </w:cols>
        </w:sectPr>
      </w:pPr>
    </w:p>
    <w:p>
      <w:pPr>
        <w:spacing w:line="240" w:lineRule="auto" w:before="10"/>
        <w:rPr>
          <w:rFonts w:ascii="宋体" w:hAnsi="宋体" w:cs="宋体" w:eastAsia="宋体" w:hint="default"/>
          <w:sz w:val="3"/>
          <w:szCs w:val="3"/>
        </w:rPr>
      </w:pPr>
    </w:p>
    <w:tbl>
      <w:tblPr>
        <w:tblW w:w="0" w:type="auto"/>
        <w:jc w:val="left"/>
        <w:tblInd w:w="2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24"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19,986,910.30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z w:val="21"/>
              </w:rPr>
              <w:t>87.29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68,558,577.32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94.11</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436,936.26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1.91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2,711,777.48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3.72</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1,026,616.03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4.48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241,279.70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0.33</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1,447,585.45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6.32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1,338,680.23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1.84</w:t>
            </w: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7"/>
              <w:jc w:val="right"/>
              <w:rPr>
                <w:rFonts w:ascii="宋体" w:hAnsi="宋体" w:cs="宋体" w:eastAsia="宋体" w:hint="default"/>
                <w:sz w:val="21"/>
                <w:szCs w:val="21"/>
              </w:rPr>
            </w:pPr>
            <w:r>
              <w:rPr>
                <w:rFonts w:ascii="宋体"/>
                <w:spacing w:val="-1"/>
                <w:sz w:val="21"/>
              </w:rPr>
              <w:t>22,898,048.04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72,850,314.73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20"/>
          <w:szCs w:val="20"/>
        </w:rPr>
      </w:pPr>
    </w:p>
    <w:p>
      <w:pPr>
        <w:pStyle w:val="BodyText"/>
        <w:spacing w:line="240" w:lineRule="auto" w:before="36"/>
        <w:ind w:left="23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after="0" w:line="240" w:lineRule="auto"/>
        <w:jc w:val="left"/>
        <w:sectPr>
          <w:type w:val="continuous"/>
          <w:pgSz w:w="11910" w:h="16840"/>
          <w:pgMar w:top="1120" w:bottom="1380" w:left="1560" w:right="1120"/>
        </w:sectPr>
      </w:pPr>
    </w:p>
    <w:p>
      <w:pPr>
        <w:spacing w:line="240" w:lineRule="auto" w:before="5"/>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(2).</w:t>
      </w:r>
      <w:r>
        <w:rPr>
          <w:rFonts w:ascii="宋体" w:hAnsi="宋体" w:cs="宋体" w:eastAsia="宋体" w:hint="default"/>
          <w:spacing w:val="8"/>
        </w:rPr>
        <w:t> </w:t>
      </w:r>
      <w:r>
        <w:rPr/>
        <w:t>按预付对象归集的期末余额前五名的预付款情况：</w:t>
      </w:r>
      <w:r>
        <w:rPr>
          <w:b w:val="0"/>
          <w:bCs w:val="0"/>
        </w:rPr>
      </w:r>
    </w:p>
    <w:p>
      <w:pPr>
        <w:pStyle w:val="BodyText"/>
        <w:tabs>
          <w:tab w:pos="1080" w:val="left" w:leader="none"/>
        </w:tabs>
        <w:spacing w:line="240" w:lineRule="auto" w:before="64"/>
        <w:ind w:left="238" w:right="0"/>
        <w:jc w:val="left"/>
      </w:pPr>
      <w:r>
        <w:rPr/>
        <w:pict>
          <v:shape style="position:absolute;margin-left:232.970001pt;margin-top:33.583591pt;width:.47976pt;height:.12pt;mso-position-horizontal-relative:page;mso-position-vertical-relative:paragraph;z-index:-940792" type="#_x0000_t75" stroked="false">
            <v:imagedata r:id="rId75" o:title=""/>
          </v:shape>
        </w:pict>
      </w:r>
      <w:r>
        <w:rPr/>
        <w:pict>
          <v:shape style="position:absolute;margin-left:308.089996pt;margin-top:33.583591pt;width:.47974pt;height:.12pt;mso-position-horizontal-relative:page;mso-position-vertical-relative:paragraph;z-index:-940768" type="#_x0000_t75" stroked="false">
            <v:imagedata r:id="rId75" o:title=""/>
          </v:shape>
        </w:pict>
      </w:r>
      <w:r>
        <w:rPr/>
        <w:pict>
          <v:shape style="position:absolute;margin-left:383.350006pt;margin-top:33.583591pt;width:.47977pt;height:.12pt;mso-position-horizontal-relative:page;mso-position-vertical-relative:paragraph;z-index:-940744" type="#_x0000_t75" stroked="false">
            <v:imagedata r:id="rId75" o:title=""/>
          </v:shape>
        </w:pict>
      </w:r>
      <w:r>
        <w:rPr/>
        <w:pict>
          <v:shape style="position:absolute;margin-left:443.470001pt;margin-top:33.583591pt;width:.47977pt;height:.12pt;mso-position-horizontal-relative:page;mso-position-vertical-relative:paragraph;z-index:-940720" type="#_x0000_t75" stroked="false">
            <v:imagedata r:id="rId75" o:title=""/>
          </v:shape>
        </w:pict>
      </w:r>
      <w:r>
        <w:rPr/>
        <w:pict>
          <v:group style="position:absolute;margin-left:84.503998pt;margin-top:51.94363pt;width:449.5pt;height:5.55pt;mso-position-horizontal-relative:page;mso-position-vertical-relative:paragraph;z-index:-940696" coordorigin="1690,1039" coordsize="8990,111">
            <v:shape style="position:absolute;left:1690;top:1039;width:2989;height:110" type="#_x0000_t75" stroked="false">
              <v:imagedata r:id="rId76" o:title=""/>
            </v:shape>
            <v:shape style="position:absolute;left:4655;top:1140;width:1507;height:10" type="#_x0000_t75" stroked="false">
              <v:imagedata r:id="rId77" o:title=""/>
            </v:shape>
            <v:shape style="position:absolute;left:6157;top:1135;width:1520;height:14" type="#_x0000_t75" stroked="false">
              <v:imagedata r:id="rId78" o:title=""/>
            </v:shape>
            <v:shape style="position:absolute;left:7662;top:1135;width:1217;height:14" type="#_x0000_t75" stroked="false">
              <v:imagedata r:id="rId79" o:title=""/>
            </v:shape>
            <v:shape style="position:absolute;left:8865;top:1140;width:1815;height:10" type="#_x0000_t75" stroked="false">
              <v:imagedata r:id="rId80" o:title=""/>
            </v:shape>
            <w10:wrap type="none"/>
          </v:group>
        </w:pict>
      </w:r>
      <w:r>
        <w:rPr/>
        <w:pict>
          <v:group style="position:absolute;margin-left:84.503998pt;margin-top:69.943626pt;width:449.5pt;height:5.05pt;mso-position-horizontal-relative:page;mso-position-vertical-relative:paragraph;z-index:-940672" coordorigin="1690,1399" coordsize="8990,101">
            <v:shape style="position:absolute;left:1690;top:1399;width:2989;height:101" type="#_x0000_t75" stroked="false">
              <v:imagedata r:id="rId81" o:title=""/>
            </v:shape>
            <v:shape style="position:absolute;left:4655;top:1490;width:1507;height:10" type="#_x0000_t75" stroked="false">
              <v:imagedata r:id="rId82" o:title=""/>
            </v:shape>
            <v:shape style="position:absolute;left:6157;top:1490;width:2712;height:10" type="#_x0000_t75" stroked="false">
              <v:imagedata r:id="rId83" o:title=""/>
            </v:shape>
            <v:shape style="position:absolute;left:8865;top:1490;width:1815;height:10" type="#_x0000_t75" stroked="false">
              <v:imagedata r:id="rId84" o:title=""/>
            </v:shape>
            <w10:wrap type="none"/>
          </v:group>
        </w:pict>
      </w:r>
      <w:r>
        <w:rPr/>
        <w:pict>
          <v:group style="position:absolute;margin-left:84.503998pt;margin-top:87.463631pt;width:449.5pt;height:5.05pt;mso-position-horizontal-relative:page;mso-position-vertical-relative:paragraph;z-index:-940648" coordorigin="1690,1749" coordsize="8990,101">
            <v:shape style="position:absolute;left:1690;top:1749;width:2989;height:101" type="#_x0000_t75" stroked="false">
              <v:imagedata r:id="rId85" o:title=""/>
            </v:shape>
            <v:shape style="position:absolute;left:4655;top:1840;width:1507;height:10" type="#_x0000_t75" stroked="false">
              <v:imagedata r:id="rId77" o:title=""/>
            </v:shape>
            <v:shape style="position:absolute;left:6157;top:1840;width:2712;height:10" type="#_x0000_t75" stroked="false">
              <v:imagedata r:id="rId86" o:title=""/>
            </v:shape>
            <v:shape style="position:absolute;left:8865;top:1840;width:1815;height:10" type="#_x0000_t75" stroked="false">
              <v:imagedata r:id="rId80" o:title=""/>
            </v:shape>
            <w10:wrap type="none"/>
          </v:group>
        </w:pict>
      </w: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2989"/>
        <w:gridCol w:w="1502"/>
        <w:gridCol w:w="1505"/>
        <w:gridCol w:w="1202"/>
        <w:gridCol w:w="1805"/>
      </w:tblGrid>
      <w:tr>
        <w:trPr>
          <w:trHeight w:val="382" w:hRule="exact"/>
        </w:trPr>
        <w:tc>
          <w:tcPr>
            <w:tcW w:w="2989"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left="38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505" w:type="dxa"/>
            <w:vMerge w:val="restart"/>
            <w:tcBorders>
              <w:top w:val="single" w:sz="12" w:space="0" w:color="000000"/>
              <w:left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占预付账款总额</w:t>
            </w:r>
          </w:p>
          <w:p>
            <w:pPr>
              <w:pStyle w:val="TableParagraph"/>
              <w:spacing w:line="247" w:lineRule="exact"/>
              <w:ind w:right="1"/>
              <w:jc w:val="center"/>
              <w:rPr>
                <w:rFonts w:ascii="Arial Narrow" w:hAnsi="Arial Narrow" w:cs="Arial Narrow" w:eastAsia="Arial Narrow" w:hint="default"/>
                <w:sz w:val="18"/>
                <w:szCs w:val="18"/>
              </w:rPr>
            </w:pPr>
            <w:r>
              <w:rPr>
                <w:rFonts w:ascii="宋体" w:hAnsi="宋体" w:cs="宋体" w:eastAsia="宋体" w:hint="default"/>
                <w:sz w:val="18"/>
                <w:szCs w:val="18"/>
              </w:rPr>
              <w:t>的比例</w:t>
            </w:r>
            <w:r>
              <w:rPr>
                <w:rFonts w:ascii="Arial Narrow" w:hAnsi="Arial Narrow" w:cs="Arial Narrow" w:eastAsia="Arial Narrow" w:hint="default"/>
                <w:sz w:val="18"/>
                <w:szCs w:val="18"/>
              </w:rPr>
              <w:t>(%)</w:t>
            </w:r>
          </w:p>
        </w:tc>
        <w:tc>
          <w:tcPr>
            <w:tcW w:w="12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right="144"/>
              <w:jc w:val="right"/>
              <w:rPr>
                <w:rFonts w:ascii="宋体" w:hAnsi="宋体" w:cs="宋体" w:eastAsia="宋体" w:hint="default"/>
                <w:sz w:val="18"/>
                <w:szCs w:val="18"/>
              </w:rPr>
            </w:pPr>
            <w:r>
              <w:rPr>
                <w:rFonts w:ascii="宋体" w:hAnsi="宋体" w:cs="宋体" w:eastAsia="宋体" w:hint="default"/>
                <w:sz w:val="18"/>
                <w:szCs w:val="18"/>
              </w:rPr>
              <w:t>预付款时间</w:t>
            </w:r>
          </w:p>
        </w:tc>
        <w:tc>
          <w:tcPr>
            <w:tcW w:w="1805" w:type="dxa"/>
            <w:tcBorders>
              <w:top w:val="single" w:sz="12" w:space="0" w:color="000000"/>
              <w:left w:val="single" w:sz="4" w:space="0" w:color="000000"/>
              <w:bottom w:val="nil" w:sz="6" w:space="0" w:color="auto"/>
              <w:right w:val="nil" w:sz="6" w:space="0" w:color="auto"/>
            </w:tcBorders>
          </w:tcPr>
          <w:p>
            <w:pPr>
              <w:pStyle w:val="TableParagraph"/>
              <w:spacing w:line="240" w:lineRule="auto" w:before="87"/>
              <w:ind w:left="446"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81" w:hRule="exact"/>
        </w:trPr>
        <w:tc>
          <w:tcPr>
            <w:tcW w:w="2989"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single" w:sz="4" w:space="0" w:color="000000"/>
            </w:tcBorders>
          </w:tcPr>
          <w:p>
            <w:pPr/>
          </w:p>
        </w:tc>
        <w:tc>
          <w:tcPr>
            <w:tcW w:w="1505" w:type="dxa"/>
            <w:vMerge/>
            <w:tcBorders>
              <w:left w:val="single" w:sz="4" w:space="0" w:color="000000"/>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nil" w:sz="6" w:space="0" w:color="auto"/>
            </w:tcBorders>
          </w:tcPr>
          <w:p>
            <w:pPr/>
          </w:p>
        </w:tc>
      </w:tr>
      <w:tr>
        <w:trPr>
          <w:trHeight w:val="29" w:hRule="exact"/>
        </w:trPr>
        <w:tc>
          <w:tcPr>
            <w:tcW w:w="2989"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single" w:sz="4" w:space="0" w:color="000000"/>
            </w:tcBorders>
          </w:tcPr>
          <w:p>
            <w:pPr/>
          </w:p>
        </w:tc>
        <w:tc>
          <w:tcPr>
            <w:tcW w:w="1505" w:type="dxa"/>
            <w:vMerge/>
            <w:tcBorders>
              <w:left w:val="single" w:sz="4" w:space="0" w:color="000000"/>
              <w:bottom w:val="nil" w:sz="6" w:space="0" w:color="auto"/>
              <w:right w:val="single" w:sz="4" w:space="0" w:color="000000"/>
            </w:tcBorders>
          </w:tcPr>
          <w:p>
            <w:pPr/>
          </w:p>
        </w:tc>
        <w:tc>
          <w:tcPr>
            <w:tcW w:w="120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r>
      <w:tr>
        <w:trPr>
          <w:trHeight w:val="271" w:hRule="exact"/>
        </w:trPr>
        <w:tc>
          <w:tcPr>
            <w:tcW w:w="298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北京紫光恒越网络科技有限公司</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2"/>
              <w:jc w:val="right"/>
              <w:rPr>
                <w:rFonts w:ascii="Arial Narrow" w:hAnsi="Arial Narrow" w:cs="Arial Narrow" w:eastAsia="Arial Narrow" w:hint="default"/>
                <w:sz w:val="18"/>
                <w:szCs w:val="18"/>
              </w:rPr>
            </w:pPr>
            <w:r>
              <w:rPr>
                <w:rFonts w:ascii="Arial Narrow"/>
                <w:spacing w:val="-1"/>
                <w:sz w:val="18"/>
              </w:rPr>
              <w:t>4,429,905.28</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3"/>
              <w:jc w:val="right"/>
              <w:rPr>
                <w:rFonts w:ascii="Arial Narrow" w:hAnsi="Arial Narrow" w:cs="Arial Narrow" w:eastAsia="Arial Narrow" w:hint="default"/>
                <w:sz w:val="18"/>
                <w:szCs w:val="18"/>
              </w:rPr>
            </w:pPr>
            <w:r>
              <w:rPr>
                <w:rFonts w:ascii="Arial Narrow"/>
                <w:spacing w:val="-1"/>
                <w:sz w:val="18"/>
              </w:rPr>
              <w:t>19.35</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0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尚未交付货物</w:t>
            </w:r>
          </w:p>
        </w:tc>
      </w:tr>
      <w:tr>
        <w:trPr>
          <w:trHeight w:val="80" w:hRule="exact"/>
        </w:trPr>
        <w:tc>
          <w:tcPr>
            <w:tcW w:w="2989"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nil" w:sz="6" w:space="0" w:color="auto"/>
            </w:tcBorders>
          </w:tcPr>
          <w:p>
            <w:pPr/>
          </w:p>
        </w:tc>
      </w:tr>
      <w:tr>
        <w:trPr>
          <w:trHeight w:val="271" w:hRule="exact"/>
        </w:trPr>
        <w:tc>
          <w:tcPr>
            <w:tcW w:w="298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四川杰思德科技有限公司</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2"/>
              <w:jc w:val="right"/>
              <w:rPr>
                <w:rFonts w:ascii="Arial Narrow" w:hAnsi="Arial Narrow" w:cs="Arial Narrow" w:eastAsia="Arial Narrow" w:hint="default"/>
                <w:sz w:val="18"/>
                <w:szCs w:val="18"/>
              </w:rPr>
            </w:pPr>
            <w:r>
              <w:rPr>
                <w:rFonts w:ascii="Arial Narrow"/>
                <w:spacing w:val="-1"/>
                <w:sz w:val="18"/>
              </w:rPr>
              <w:t>3,070,767.30</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3"/>
              <w:jc w:val="right"/>
              <w:rPr>
                <w:rFonts w:ascii="Arial Narrow" w:hAnsi="Arial Narrow" w:cs="Arial Narrow" w:eastAsia="Arial Narrow" w:hint="default"/>
                <w:sz w:val="18"/>
                <w:szCs w:val="18"/>
              </w:rPr>
            </w:pPr>
            <w:r>
              <w:rPr>
                <w:rFonts w:ascii="Arial Narrow"/>
                <w:spacing w:val="-1"/>
                <w:sz w:val="18"/>
              </w:rPr>
              <w:t>13.41</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0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尚未交付货物</w:t>
            </w:r>
          </w:p>
        </w:tc>
      </w:tr>
      <w:tr>
        <w:trPr>
          <w:trHeight w:val="80" w:hRule="exact"/>
        </w:trPr>
        <w:tc>
          <w:tcPr>
            <w:tcW w:w="2989"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nil" w:sz="6" w:space="0" w:color="auto"/>
            </w:tcBorders>
          </w:tcPr>
          <w:p>
            <w:pPr/>
          </w:p>
        </w:tc>
      </w:tr>
      <w:tr>
        <w:trPr>
          <w:trHeight w:val="271" w:hRule="exact"/>
        </w:trPr>
        <w:tc>
          <w:tcPr>
            <w:tcW w:w="298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杭州宏杉科技股份有限公司</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2"/>
              <w:jc w:val="right"/>
              <w:rPr>
                <w:rFonts w:ascii="Arial Narrow" w:hAnsi="Arial Narrow" w:cs="Arial Narrow" w:eastAsia="Arial Narrow" w:hint="default"/>
                <w:sz w:val="18"/>
                <w:szCs w:val="18"/>
              </w:rPr>
            </w:pPr>
            <w:r>
              <w:rPr>
                <w:rFonts w:ascii="Arial Narrow"/>
                <w:spacing w:val="-1"/>
                <w:sz w:val="18"/>
              </w:rPr>
              <w:t>2,651,325.53</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3"/>
              <w:jc w:val="right"/>
              <w:rPr>
                <w:rFonts w:ascii="Arial Narrow" w:hAnsi="Arial Narrow" w:cs="Arial Narrow" w:eastAsia="Arial Narrow" w:hint="default"/>
                <w:sz w:val="18"/>
                <w:szCs w:val="18"/>
              </w:rPr>
            </w:pPr>
            <w:r>
              <w:rPr>
                <w:rFonts w:ascii="Arial Narrow"/>
                <w:spacing w:val="-1"/>
                <w:sz w:val="18"/>
              </w:rPr>
              <w:t>11.58</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年之内</w:t>
            </w:r>
          </w:p>
        </w:tc>
        <w:tc>
          <w:tcPr>
            <w:tcW w:w="180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尚未交付货物</w:t>
            </w:r>
          </w:p>
        </w:tc>
      </w:tr>
      <w:tr>
        <w:trPr>
          <w:trHeight w:val="80" w:hRule="exact"/>
        </w:trPr>
        <w:tc>
          <w:tcPr>
            <w:tcW w:w="2989"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nil" w:sz="6" w:space="0" w:color="auto"/>
            </w:tcBorders>
          </w:tcPr>
          <w:p>
            <w:pPr/>
          </w:p>
        </w:tc>
      </w:tr>
      <w:tr>
        <w:trPr>
          <w:trHeight w:val="348" w:hRule="exact"/>
        </w:trPr>
        <w:tc>
          <w:tcPr>
            <w:tcW w:w="298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新华三云计算技术有限公司</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2"/>
              <w:jc w:val="right"/>
              <w:rPr>
                <w:rFonts w:ascii="Arial Narrow" w:hAnsi="Arial Narrow" w:cs="Arial Narrow" w:eastAsia="Arial Narrow" w:hint="default"/>
                <w:sz w:val="18"/>
                <w:szCs w:val="18"/>
              </w:rPr>
            </w:pPr>
            <w:r>
              <w:rPr>
                <w:rFonts w:ascii="Arial Narrow"/>
                <w:spacing w:val="-1"/>
                <w:sz w:val="18"/>
              </w:rPr>
              <w:t>1,097,144.90</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2"/>
              <w:jc w:val="right"/>
              <w:rPr>
                <w:rFonts w:ascii="Arial Narrow" w:hAnsi="Arial Narrow" w:cs="Arial Narrow" w:eastAsia="Arial Narrow" w:hint="default"/>
                <w:sz w:val="18"/>
                <w:szCs w:val="18"/>
              </w:rPr>
            </w:pPr>
            <w:r>
              <w:rPr>
                <w:rFonts w:ascii="Arial Narrow"/>
                <w:spacing w:val="-1"/>
                <w:sz w:val="18"/>
              </w:rPr>
              <w:t>4.79</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年之内</w:t>
            </w:r>
          </w:p>
        </w:tc>
        <w:tc>
          <w:tcPr>
            <w:tcW w:w="180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尚未交付货物</w:t>
            </w:r>
          </w:p>
        </w:tc>
      </w:tr>
      <w:tr>
        <w:trPr>
          <w:trHeight w:val="350" w:hRule="exact"/>
        </w:trPr>
        <w:tc>
          <w:tcPr>
            <w:tcW w:w="298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深圳市海威森科技有限公司</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Narrow" w:hAnsi="Arial Narrow" w:cs="Arial Narrow" w:eastAsia="Arial Narrow" w:hint="default"/>
                <w:sz w:val="18"/>
                <w:szCs w:val="18"/>
              </w:rPr>
            </w:pPr>
            <w:r>
              <w:rPr>
                <w:rFonts w:ascii="Arial Narrow"/>
                <w:spacing w:val="-1"/>
                <w:sz w:val="18"/>
              </w:rPr>
              <w:t>952,737.18</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Narrow" w:hAnsi="Arial Narrow" w:cs="Arial Narrow" w:eastAsia="Arial Narrow" w:hint="default"/>
                <w:sz w:val="18"/>
                <w:szCs w:val="18"/>
              </w:rPr>
            </w:pPr>
            <w:r>
              <w:rPr>
                <w:rFonts w:ascii="Arial Narrow"/>
                <w:spacing w:val="-1"/>
                <w:sz w:val="18"/>
              </w:rPr>
              <w:t>4.16</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年之内</w:t>
            </w:r>
          </w:p>
        </w:tc>
        <w:tc>
          <w:tcPr>
            <w:tcW w:w="180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尚未交付货物</w:t>
            </w:r>
          </w:p>
        </w:tc>
      </w:tr>
      <w:tr>
        <w:trPr>
          <w:trHeight w:val="358" w:hRule="exact"/>
        </w:trPr>
        <w:tc>
          <w:tcPr>
            <w:tcW w:w="2989"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9"/>
              <w:ind w:right="103"/>
              <w:jc w:val="right"/>
              <w:rPr>
                <w:rFonts w:ascii="Arial Narrow" w:hAnsi="Arial Narrow" w:cs="Arial Narrow" w:eastAsia="Arial Narrow" w:hint="default"/>
                <w:sz w:val="18"/>
                <w:szCs w:val="18"/>
              </w:rPr>
            </w:pPr>
            <w:r>
              <w:rPr>
                <w:rFonts w:ascii="Arial Narrow"/>
                <w:spacing w:val="-1"/>
                <w:sz w:val="18"/>
              </w:rPr>
              <w:t>12,201,880.19</w:t>
            </w:r>
          </w:p>
        </w:tc>
        <w:tc>
          <w:tcPr>
            <w:tcW w:w="15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9"/>
              <w:ind w:right="103"/>
              <w:jc w:val="right"/>
              <w:rPr>
                <w:rFonts w:ascii="Arial Narrow" w:hAnsi="Arial Narrow" w:cs="Arial Narrow" w:eastAsia="Arial Narrow" w:hint="default"/>
                <w:sz w:val="18"/>
                <w:szCs w:val="18"/>
              </w:rPr>
            </w:pPr>
            <w:r>
              <w:rPr>
                <w:rFonts w:ascii="Arial Narrow"/>
                <w:spacing w:val="-1"/>
                <w:sz w:val="18"/>
              </w:rPr>
              <w:t>53.29</w:t>
            </w:r>
          </w:p>
        </w:tc>
        <w:tc>
          <w:tcPr>
            <w:tcW w:w="12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9"/>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805" w:type="dxa"/>
            <w:tcBorders>
              <w:top w:val="nil" w:sz="6" w:space="0" w:color="auto"/>
              <w:left w:val="single" w:sz="4" w:space="0" w:color="000000"/>
              <w:bottom w:val="single" w:sz="12" w:space="0" w:color="000000"/>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r>
    </w:tbl>
    <w:p>
      <w:pPr>
        <w:spacing w:line="240" w:lineRule="auto" w:before="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60" w:right="1120"/>
        </w:sectPr>
      </w:pPr>
    </w:p>
    <w:p>
      <w:pPr>
        <w:pStyle w:val="BodyText"/>
        <w:spacing w:line="240" w:lineRule="auto" w:before="36"/>
        <w:ind w:left="238" w:right="0"/>
        <w:jc w:val="left"/>
      </w:pPr>
      <w:r>
        <w:rPr/>
        <w:pict>
          <v:group style="position:absolute;margin-left:84.503998pt;margin-top:-69.726364pt;width:449.5pt;height:5.05pt;mso-position-horizontal-relative:page;mso-position-vertical-relative:paragraph;z-index:-940624" coordorigin="1690,-1395" coordsize="8990,101">
            <v:shape style="position:absolute;left:1690;top:-1395;width:2989;height:101" type="#_x0000_t75" stroked="false">
              <v:imagedata r:id="rId85" o:title=""/>
            </v:shape>
            <v:shape style="position:absolute;left:4655;top:-1303;width:1507;height:10" type="#_x0000_t75" stroked="false">
              <v:imagedata r:id="rId77" o:title=""/>
            </v:shape>
            <v:shape style="position:absolute;left:6157;top:-1303;width:2712;height:10" type="#_x0000_t75" stroked="false">
              <v:imagedata r:id="rId86" o:title=""/>
            </v:shape>
            <v:shape style="position:absolute;left:8865;top:-1303;width:1815;height:10" type="#_x0000_t75" stroked="false">
              <v:imagedata r:id="rId80" o:title=""/>
            </v:shape>
            <w10:wrap type="none"/>
          </v:group>
        </w:pict>
      </w:r>
      <w:r>
        <w:rPr/>
        <w:pict>
          <v:group style="position:absolute;margin-left:84.503998pt;margin-top:-47.766327pt;width:449.5pt;height:.5pt;mso-position-horizontal-relative:page;mso-position-vertical-relative:paragraph;z-index:-940600" coordorigin="1690,-955" coordsize="8990,10">
            <v:shape style="position:absolute;left:1690;top:-955;width:2969;height:10" type="#_x0000_t75" stroked="false">
              <v:imagedata r:id="rId87" o:title=""/>
            </v:shape>
            <v:shape style="position:absolute;left:4655;top:-955;width:1507;height:10" type="#_x0000_t75" stroked="false">
              <v:imagedata r:id="rId77" o:title=""/>
            </v:shape>
            <v:shape style="position:absolute;left:6157;top:-955;width:2712;height:10" type="#_x0000_t75" stroked="false">
              <v:imagedata r:id="rId86" o:title=""/>
            </v:shape>
            <v:shape style="position:absolute;left:8865;top:-955;width:1815;height:10" type="#_x0000_t75" stroked="false">
              <v:imagedata r:id="rId80" o:title=""/>
            </v:shape>
            <w10:wrap type="none"/>
          </v:group>
        </w:pict>
      </w:r>
      <w:r>
        <w:rPr/>
        <w:pict>
          <v:group style="position:absolute;margin-left:84.503998pt;margin-top:-34.806309pt;width:449.5pt;height:5.05pt;mso-position-horizontal-relative:page;mso-position-vertical-relative:paragraph;z-index:-940576" coordorigin="1690,-696" coordsize="8990,101">
            <v:shape style="position:absolute;left:1690;top:-696;width:2989;height:101" type="#_x0000_t75" stroked="false">
              <v:imagedata r:id="rId85" o:title=""/>
            </v:shape>
            <v:shape style="position:absolute;left:4655;top:-605;width:1507;height:10" type="#_x0000_t75" stroked="false">
              <v:imagedata r:id="rId77" o:title=""/>
            </v:shape>
            <v:shape style="position:absolute;left:6157;top:-605;width:2712;height:10" type="#_x0000_t75" stroked="false">
              <v:imagedata r:id="rId86" o:title=""/>
            </v:shape>
            <v:shape style="position:absolute;left:8865;top:-605;width:1815;height:10" type="#_x0000_t75" stroked="false">
              <v:imagedata r:id="rId80" o:title=""/>
            </v:shape>
            <w10:wrap type="none"/>
          </v:group>
        </w:pict>
      </w:r>
      <w:r>
        <w:rPr/>
        <w:t>其他说明</w:t>
      </w:r>
    </w:p>
    <w:p>
      <w:pPr>
        <w:pStyle w:val="BodyText"/>
        <w:tabs>
          <w:tab w:pos="1080" w:val="left" w:leader="none"/>
        </w:tabs>
        <w:spacing w:line="240" w:lineRule="auto" w:before="37"/>
        <w:ind w:left="238" w:right="0"/>
        <w:jc w:val="left"/>
      </w:pPr>
      <w:r>
        <w:rPr>
          <w:spacing w:val="-1"/>
        </w:rPr>
        <w:t>□适用</w:t>
        <w:tab/>
      </w:r>
      <w:r>
        <w:rPr>
          <w:spacing w:val="-2"/>
        </w:rPr>
        <w:t>√不适用</w:t>
      </w:r>
    </w:p>
    <w:p>
      <w:pPr>
        <w:pStyle w:val="Heading2"/>
        <w:spacing w:line="240" w:lineRule="auto" w:before="69"/>
        <w:ind w:left="238" w:right="0"/>
        <w:jc w:val="left"/>
        <w:rPr>
          <w:b w:val="0"/>
          <w:bCs w:val="0"/>
        </w:rPr>
      </w:pPr>
      <w:r>
        <w:rPr>
          <w:rFonts w:ascii="宋体" w:hAnsi="宋体" w:cs="宋体" w:eastAsia="宋体" w:hint="default"/>
        </w:rPr>
        <w:t>7</w:t>
      </w:r>
      <w:r>
        <w:rPr/>
        <w:t>、</w:t>
      </w:r>
      <w:r>
        <w:rPr>
          <w:spacing w:val="-64"/>
        </w:rPr>
        <w:t> </w:t>
      </w:r>
      <w:r>
        <w:rPr/>
        <w:t>应收利息</w:t>
      </w:r>
      <w:r>
        <w:rPr>
          <w:b w:val="0"/>
          <w:bCs w:val="0"/>
        </w:rPr>
      </w:r>
    </w:p>
    <w:p>
      <w:pPr>
        <w:pStyle w:val="Heading2"/>
        <w:tabs>
          <w:tab w:pos="1089" w:val="left" w:leader="none"/>
        </w:tabs>
        <w:spacing w:line="240" w:lineRule="auto" w:before="58"/>
        <w:ind w:left="238" w:right="0"/>
        <w:jc w:val="left"/>
        <w:rPr>
          <w:b w:val="0"/>
          <w:bCs w:val="0"/>
        </w:rPr>
      </w:pPr>
      <w:r>
        <w:rPr>
          <w:rFonts w:ascii="宋体" w:hAnsi="宋体" w:cs="宋体" w:eastAsia="宋体" w:hint="default"/>
        </w:rPr>
        <w:t>(1).</w:t>
        <w:tab/>
      </w:r>
      <w:r>
        <w:rPr/>
        <w:t>应收利息分类</w:t>
      </w:r>
      <w:r>
        <w:rPr>
          <w:b w:val="0"/>
          <w:bCs w:val="0"/>
        </w:rPr>
      </w:r>
    </w:p>
    <w:p>
      <w:pPr>
        <w:pStyle w:val="BodyText"/>
        <w:spacing w:line="240" w:lineRule="auto" w:before="85"/>
        <w:ind w:left="238" w:right="0"/>
        <w:jc w:val="left"/>
      </w:pPr>
      <w:r>
        <w:rPr/>
        <w:t>□适用</w:t>
      </w:r>
      <w:r>
        <w:rPr>
          <w:spacing w:val="-1"/>
        </w:rPr>
        <w:t> </w:t>
      </w:r>
      <w:r>
        <w:rPr/>
        <w:t>√不适用</w:t>
      </w:r>
    </w:p>
    <w:p>
      <w:pPr>
        <w:pStyle w:val="Heading2"/>
        <w:tabs>
          <w:tab w:pos="1089" w:val="left" w:leader="none"/>
        </w:tabs>
        <w:spacing w:line="240" w:lineRule="auto" w:before="69"/>
        <w:ind w:left="238" w:right="0"/>
        <w:jc w:val="left"/>
        <w:rPr>
          <w:b w:val="0"/>
          <w:bCs w:val="0"/>
        </w:rPr>
      </w:pPr>
      <w:r>
        <w:rPr>
          <w:rFonts w:ascii="宋体" w:hAnsi="宋体" w:cs="宋体" w:eastAsia="宋体" w:hint="default"/>
        </w:rPr>
        <w:t>(2).</w:t>
        <w:tab/>
      </w:r>
      <w:r>
        <w:rPr/>
        <w:t>重要逾期利息</w:t>
      </w:r>
      <w:r>
        <w:rPr>
          <w:b w:val="0"/>
          <w:bCs w:val="0"/>
        </w:rPr>
      </w:r>
    </w:p>
    <w:p>
      <w:pPr>
        <w:pStyle w:val="BodyText"/>
        <w:spacing w:line="273" w:lineRule="auto" w:before="85"/>
        <w:ind w:left="238" w:right="2779"/>
        <w:jc w:val="left"/>
      </w:pPr>
      <w:r>
        <w:rPr/>
        <w:t>□适用</w:t>
      </w:r>
      <w:r>
        <w:rPr>
          <w:spacing w:val="-1"/>
        </w:rPr>
        <w:t> </w:t>
      </w:r>
      <w:r>
        <w:rPr/>
        <w:t>√不适用</w:t>
      </w:r>
      <w:r>
        <w:rPr>
          <w:w w:val="100"/>
        </w:rPr>
        <w:t> </w:t>
      </w:r>
      <w:r>
        <w:rPr/>
        <w:t>其他说明：</w:t>
      </w:r>
    </w:p>
    <w:p>
      <w:pPr>
        <w:tabs>
          <w:tab w:pos="1080" w:val="left" w:leader="none"/>
        </w:tabs>
        <w:spacing w:line="292" w:lineRule="auto" w:before="8"/>
        <w:ind w:left="238" w:right="2688" w:firstLine="0"/>
        <w:jc w:val="left"/>
        <w:rPr>
          <w:rFonts w:ascii="宋体" w:hAnsi="宋体" w:cs="宋体" w:eastAsia="宋体" w:hint="default"/>
          <w:sz w:val="24"/>
          <w:szCs w:val="24"/>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4"/>
          <w:szCs w:val="24"/>
        </w:rPr>
        <w:t>8</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应收股利</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pacing w:val="-47"/>
          <w:sz w:val="24"/>
          <w:szCs w:val="24"/>
        </w:rPr>
        <w:t> </w:t>
      </w:r>
      <w:r>
        <w:rPr>
          <w:rFonts w:ascii="宋体" w:hAnsi="宋体" w:cs="宋体" w:eastAsia="宋体" w:hint="default"/>
          <w:b/>
          <w:bCs/>
          <w:sz w:val="24"/>
          <w:szCs w:val="24"/>
        </w:rPr>
        <w:t>应收股利</w:t>
      </w:r>
      <w:r>
        <w:rPr>
          <w:rFonts w:ascii="宋体" w:hAnsi="宋体" w:cs="宋体" w:eastAsia="宋体" w:hint="default"/>
          <w:sz w:val="24"/>
          <w:szCs w:val="24"/>
        </w:rPr>
      </w:r>
    </w:p>
    <w:p>
      <w:pPr>
        <w:pStyle w:val="BodyText"/>
        <w:spacing w:line="240" w:lineRule="auto" w:before="33"/>
        <w:ind w:left="238" w:right="0"/>
        <w:jc w:val="left"/>
      </w:pPr>
      <w:r>
        <w:rPr/>
        <w:t>□适用</w:t>
      </w:r>
      <w:r>
        <w:rPr>
          <w:spacing w:val="-1"/>
        </w:rPr>
        <w:t> </w:t>
      </w:r>
      <w:r>
        <w:rPr/>
        <w:t>√不适用</w:t>
      </w:r>
    </w:p>
    <w:p>
      <w:pPr>
        <w:pStyle w:val="Heading2"/>
        <w:spacing w:line="240" w:lineRule="auto" w:before="69"/>
        <w:ind w:left="238" w:right="0"/>
        <w:jc w:val="left"/>
        <w:rPr>
          <w:b w:val="0"/>
          <w:bCs w:val="0"/>
        </w:rPr>
      </w:pPr>
      <w:r>
        <w:rPr>
          <w:rFonts w:ascii="宋体" w:hAnsi="宋体" w:cs="宋体" w:eastAsia="宋体" w:hint="default"/>
        </w:rPr>
        <w:t>(2).</w:t>
      </w:r>
      <w:r>
        <w:rPr>
          <w:rFonts w:ascii="宋体" w:hAnsi="宋体" w:cs="宋体" w:eastAsia="宋体" w:hint="default"/>
          <w:spacing w:val="-49"/>
        </w:rPr>
        <w:t> </w:t>
      </w:r>
      <w:r>
        <w:rPr/>
        <w:t>重要的账龄超过</w:t>
      </w:r>
      <w:r>
        <w:rPr>
          <w:spacing w:val="-59"/>
        </w:rPr>
        <w:t> </w:t>
      </w:r>
      <w:r>
        <w:rPr>
          <w:rFonts w:ascii="Cambria" w:hAnsi="Cambria" w:cs="Cambria" w:eastAsia="Cambria" w:hint="default"/>
        </w:rPr>
        <w:t>1</w:t>
      </w:r>
      <w:r>
        <w:rPr>
          <w:rFonts w:ascii="Cambria" w:hAnsi="Cambria" w:cs="Cambria" w:eastAsia="Cambria" w:hint="default"/>
          <w:spacing w:val="5"/>
        </w:rPr>
        <w:t> </w:t>
      </w:r>
      <w:r>
        <w:rPr/>
        <w:t>年的应收股利：</w:t>
      </w:r>
      <w:r>
        <w:rPr>
          <w:b w:val="0"/>
          <w:bCs w:val="0"/>
        </w:rPr>
      </w:r>
    </w:p>
    <w:p>
      <w:pPr>
        <w:pStyle w:val="BodyText"/>
        <w:spacing w:line="273" w:lineRule="auto" w:before="66"/>
        <w:ind w:left="238" w:right="2779"/>
        <w:jc w:val="left"/>
      </w:pPr>
      <w:r>
        <w:rPr/>
        <w:t>□适用</w:t>
      </w:r>
      <w:r>
        <w:rPr>
          <w:spacing w:val="-1"/>
        </w:rPr>
        <w:t> </w:t>
      </w:r>
      <w:r>
        <w:rPr/>
        <w:t>√不适用</w:t>
      </w:r>
      <w:r>
        <w:rPr>
          <w:w w:val="100"/>
        </w:rPr>
        <w:t> </w:t>
      </w:r>
      <w:r>
        <w:rPr/>
        <w:t>其他说明：</w:t>
      </w:r>
    </w:p>
    <w:p>
      <w:pPr>
        <w:pStyle w:val="BodyText"/>
        <w:spacing w:line="240" w:lineRule="auto" w:before="7"/>
        <w:ind w:left="238" w:right="0"/>
        <w:jc w:val="left"/>
      </w:pPr>
      <w:r>
        <w:rPr/>
        <w:t>□适用</w:t>
      </w:r>
      <w:r>
        <w:rPr>
          <w:spacing w:val="-1"/>
        </w:rPr>
        <w:t> </w:t>
      </w:r>
      <w:r>
        <w:rPr/>
        <w:t>√不适用</w:t>
      </w:r>
    </w:p>
    <w:p>
      <w:pPr>
        <w:pStyle w:val="Heading2"/>
        <w:spacing w:line="240" w:lineRule="auto" w:before="69"/>
        <w:ind w:left="238" w:right="0"/>
        <w:jc w:val="left"/>
        <w:rPr>
          <w:b w:val="0"/>
          <w:bCs w:val="0"/>
        </w:rPr>
      </w:pPr>
      <w:r>
        <w:rPr>
          <w:rFonts w:ascii="宋体" w:hAnsi="宋体" w:cs="宋体" w:eastAsia="宋体" w:hint="default"/>
        </w:rPr>
        <w:t>9</w:t>
      </w:r>
      <w:r>
        <w:rPr/>
        <w:t>、</w:t>
      </w:r>
      <w:r>
        <w:rPr>
          <w:spacing w:val="-65"/>
        </w:rPr>
        <w:t> </w:t>
      </w:r>
      <w:r>
        <w:rPr/>
        <w:t>其他应收款</w:t>
      </w:r>
      <w:r>
        <w:rPr>
          <w:b w:val="0"/>
          <w:bCs w:val="0"/>
        </w:rPr>
      </w:r>
    </w:p>
    <w:p>
      <w:pPr>
        <w:pStyle w:val="Heading2"/>
        <w:spacing w:line="240" w:lineRule="auto" w:before="58"/>
        <w:ind w:left="238" w:right="0"/>
        <w:jc w:val="left"/>
        <w:rPr>
          <w:b w:val="0"/>
          <w:bCs w:val="0"/>
        </w:rPr>
      </w:pPr>
      <w:r>
        <w:rPr>
          <w:rFonts w:ascii="宋体" w:hAnsi="宋体" w:cs="宋体" w:eastAsia="宋体" w:hint="default"/>
        </w:rPr>
        <w:t>(1).</w:t>
      </w:r>
      <w:r>
        <w:rPr>
          <w:rFonts w:ascii="宋体" w:hAnsi="宋体" w:cs="宋体" w:eastAsia="宋体" w:hint="default"/>
          <w:spacing w:val="-19"/>
        </w:rPr>
        <w:t> </w:t>
      </w:r>
      <w:r>
        <w:rPr/>
        <w:t>其他应收款分类披露</w:t>
      </w:r>
      <w:r>
        <w:rPr>
          <w:b w:val="0"/>
          <w:bCs w:val="0"/>
        </w:rPr>
      </w:r>
    </w:p>
    <w:p>
      <w:pPr>
        <w:pStyle w:val="Heading3"/>
        <w:tabs>
          <w:tab w:pos="1197" w:val="left" w:leader="none"/>
        </w:tabs>
        <w:spacing w:line="240" w:lineRule="auto" w:before="58"/>
        <w:ind w:left="238"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pStyle w:val="Heading3"/>
        <w:tabs>
          <w:tab w:pos="1642" w:val="left" w:leader="none"/>
        </w:tabs>
        <w:spacing w:line="240" w:lineRule="auto"/>
        <w:ind w:left="442" w:right="0"/>
        <w:jc w:val="left"/>
      </w:pPr>
      <w:r>
        <w:rPr/>
        <w:t>单位：元</w:t>
        <w:tab/>
        <w:t>币种：人民币</w:t>
      </w:r>
    </w:p>
    <w:p>
      <w:pPr>
        <w:spacing w:after="0" w:line="240" w:lineRule="auto"/>
        <w:jc w:val="left"/>
        <w:sectPr>
          <w:type w:val="continuous"/>
          <w:pgSz w:w="11910" w:h="16840"/>
          <w:pgMar w:top="1120" w:bottom="1380" w:left="1560" w:right="1120"/>
          <w:cols w:num="2" w:equalWidth="0">
            <w:col w:w="4612" w:space="1257"/>
            <w:col w:w="3361"/>
          </w:cols>
        </w:sectPr>
      </w:pPr>
    </w:p>
    <w:p>
      <w:pPr>
        <w:spacing w:line="240" w:lineRule="auto" w:before="12"/>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450"/>
        <w:gridCol w:w="850"/>
        <w:gridCol w:w="566"/>
        <w:gridCol w:w="713"/>
        <w:gridCol w:w="710"/>
        <w:gridCol w:w="850"/>
        <w:gridCol w:w="854"/>
        <w:gridCol w:w="566"/>
        <w:gridCol w:w="853"/>
        <w:gridCol w:w="708"/>
        <w:gridCol w:w="775"/>
      </w:tblGrid>
      <w:tr>
        <w:trPr>
          <w:trHeight w:val="322"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6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450" w:type="dxa"/>
            <w:vMerge/>
            <w:tcBorders>
              <w:left w:val="single" w:sz="4" w:space="0" w:color="000000"/>
              <w:right w:val="single" w:sz="4" w:space="0" w:color="000000"/>
            </w:tcBorders>
          </w:tcPr>
          <w:p>
            <w:pP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before="148"/>
              <w:ind w:left="206" w:right="20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75" w:type="dxa"/>
            <w:vMerge w:val="restart"/>
            <w:tcBorders>
              <w:top w:val="single" w:sz="4" w:space="0" w:color="000000"/>
              <w:left w:val="single" w:sz="4" w:space="0" w:color="000000"/>
              <w:right w:val="single" w:sz="4" w:space="0" w:color="000000"/>
            </w:tcBorders>
          </w:tcPr>
          <w:p>
            <w:pPr>
              <w:pStyle w:val="TableParagraph"/>
              <w:spacing w:line="273" w:lineRule="auto" w:before="148"/>
              <w:ind w:left="170" w:right="17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636" w:hRule="exact"/>
        </w:trPr>
        <w:tc>
          <w:tcPr>
            <w:tcW w:w="1450"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9"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6" w:right="31"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50" w:type="dxa"/>
            <w:vMerge/>
            <w:tcBorders>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9"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 w:right="31"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75" w:type="dxa"/>
            <w:vMerge/>
            <w:tcBorders>
              <w:left w:val="single" w:sz="4" w:space="0" w:color="000000"/>
              <w:bottom w:val="single" w:sz="4" w:space="0" w:color="000000"/>
              <w:right w:val="single" w:sz="4" w:space="0" w:color="000000"/>
            </w:tcBorders>
          </w:tcPr>
          <w:p>
            <w:pPr/>
          </w:p>
        </w:tc>
      </w:tr>
      <w:tr>
        <w:trPr>
          <w:trHeight w:val="125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8"/>
              <w:jc w:val="both"/>
              <w:rPr>
                <w:rFonts w:ascii="宋体" w:hAnsi="宋体" w:cs="宋体" w:eastAsia="宋体" w:hint="default"/>
                <w:sz w:val="21"/>
                <w:szCs w:val="21"/>
              </w:rPr>
            </w:pPr>
            <w:r>
              <w:rPr>
                <w:rFonts w:ascii="宋体" w:hAnsi="宋体" w:cs="宋体" w:eastAsia="宋体" w:hint="default"/>
                <w:sz w:val="21"/>
                <w:szCs w:val="21"/>
              </w:rPr>
              <w:t>单项金额重大</w:t>
            </w:r>
            <w:r>
              <w:rPr>
                <w:rFonts w:ascii="宋体" w:hAnsi="宋体" w:cs="宋体" w:eastAsia="宋体" w:hint="default"/>
                <w:w w:val="100"/>
                <w:sz w:val="21"/>
                <w:szCs w:val="21"/>
              </w:rPr>
              <w:t> </w:t>
            </w: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50"/>
        <w:gridCol w:w="850"/>
        <w:gridCol w:w="566"/>
        <w:gridCol w:w="713"/>
        <w:gridCol w:w="710"/>
        <w:gridCol w:w="850"/>
        <w:gridCol w:w="854"/>
        <w:gridCol w:w="566"/>
        <w:gridCol w:w="853"/>
        <w:gridCol w:w="708"/>
        <w:gridCol w:w="775"/>
      </w:tblGrid>
      <w:tr>
        <w:trPr>
          <w:trHeight w:val="126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8"/>
              <w:jc w:val="both"/>
              <w:rPr>
                <w:rFonts w:ascii="宋体" w:hAnsi="宋体" w:cs="宋体" w:eastAsia="宋体" w:hint="default"/>
                <w:sz w:val="21"/>
                <w:szCs w:val="21"/>
              </w:rPr>
            </w:pPr>
            <w:r>
              <w:rPr>
                <w:rFonts w:ascii="宋体" w:hAnsi="宋体" w:cs="宋体" w:eastAsia="宋体" w:hint="default"/>
                <w:sz w:val="21"/>
                <w:szCs w:val="21"/>
              </w:rPr>
              <w:t>按信用风险特</w:t>
            </w:r>
            <w:r>
              <w:rPr>
                <w:rFonts w:ascii="宋体" w:hAnsi="宋体" w:cs="宋体" w:eastAsia="宋体" w:hint="default"/>
                <w:w w:val="100"/>
                <w:sz w:val="21"/>
                <w:szCs w:val="21"/>
              </w:rPr>
              <w:t> </w:t>
            </w: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4" w:right="0"/>
              <w:jc w:val="center"/>
              <w:rPr>
                <w:rFonts w:ascii="宋体" w:hAnsi="宋体" w:cs="宋体" w:eastAsia="宋体" w:hint="default"/>
                <w:sz w:val="21"/>
                <w:szCs w:val="21"/>
              </w:rPr>
            </w:pPr>
            <w:r>
              <w:rPr>
                <w:rFonts w:ascii="宋体"/>
                <w:sz w:val="21"/>
              </w:rPr>
              <w:t>56,548,</w:t>
            </w:r>
          </w:p>
          <w:p>
            <w:pPr>
              <w:pStyle w:val="TableParagraph"/>
              <w:spacing w:line="240" w:lineRule="auto" w:before="37"/>
              <w:ind w:left="157" w:right="0"/>
              <w:jc w:val="center"/>
              <w:rPr>
                <w:rFonts w:ascii="宋体" w:hAnsi="宋体" w:cs="宋体" w:eastAsia="宋体" w:hint="default"/>
                <w:sz w:val="21"/>
                <w:szCs w:val="21"/>
              </w:rPr>
            </w:pPr>
            <w:r>
              <w:rPr>
                <w:rFonts w:ascii="宋体"/>
                <w:sz w:val="21"/>
              </w:rPr>
              <w:t>713.65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97.2</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5" w:right="0"/>
              <w:jc w:val="left"/>
              <w:rPr>
                <w:rFonts w:ascii="宋体" w:hAnsi="宋体" w:cs="宋体" w:eastAsia="宋体" w:hint="default"/>
                <w:sz w:val="21"/>
                <w:szCs w:val="21"/>
              </w:rPr>
            </w:pPr>
            <w:r>
              <w:rPr>
                <w:rFonts w:ascii="宋体"/>
                <w:sz w:val="21"/>
              </w:rPr>
              <w:t>8,014,</w:t>
            </w:r>
          </w:p>
          <w:p>
            <w:pPr>
              <w:pStyle w:val="TableParagraph"/>
              <w:spacing w:line="240" w:lineRule="auto" w:before="37"/>
              <w:ind w:left="45" w:right="0"/>
              <w:jc w:val="left"/>
              <w:rPr>
                <w:rFonts w:ascii="宋体" w:hAnsi="宋体" w:cs="宋体" w:eastAsia="宋体" w:hint="default"/>
                <w:sz w:val="21"/>
                <w:szCs w:val="21"/>
              </w:rPr>
            </w:pPr>
            <w:r>
              <w:rPr>
                <w:rFonts w:ascii="宋体"/>
                <w:sz w:val="21"/>
              </w:rPr>
              <w:t>689.64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14.17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 w:right="0"/>
              <w:jc w:val="center"/>
              <w:rPr>
                <w:rFonts w:ascii="宋体" w:hAnsi="宋体" w:cs="宋体" w:eastAsia="宋体" w:hint="default"/>
                <w:sz w:val="21"/>
                <w:szCs w:val="21"/>
              </w:rPr>
            </w:pPr>
            <w:r>
              <w:rPr>
                <w:rFonts w:ascii="宋体"/>
                <w:sz w:val="21"/>
              </w:rPr>
              <w:t>48,534,</w:t>
            </w:r>
          </w:p>
          <w:p>
            <w:pPr>
              <w:pStyle w:val="TableParagraph"/>
              <w:spacing w:line="240" w:lineRule="auto" w:before="37"/>
              <w:ind w:left="153" w:right="0"/>
              <w:jc w:val="center"/>
              <w:rPr>
                <w:rFonts w:ascii="宋体" w:hAnsi="宋体" w:cs="宋体" w:eastAsia="宋体" w:hint="default"/>
                <w:sz w:val="21"/>
                <w:szCs w:val="21"/>
              </w:rPr>
            </w:pPr>
            <w:r>
              <w:rPr>
                <w:rFonts w:ascii="宋体"/>
                <w:sz w:val="21"/>
              </w:rPr>
              <w:t>024.01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 w:right="0"/>
              <w:jc w:val="center"/>
              <w:rPr>
                <w:rFonts w:ascii="宋体" w:hAnsi="宋体" w:cs="宋体" w:eastAsia="宋体" w:hint="default"/>
                <w:sz w:val="21"/>
                <w:szCs w:val="21"/>
              </w:rPr>
            </w:pPr>
            <w:r>
              <w:rPr>
                <w:rFonts w:ascii="宋体"/>
                <w:sz w:val="21"/>
              </w:rPr>
              <w:t>46,824,</w:t>
            </w:r>
          </w:p>
          <w:p>
            <w:pPr>
              <w:pStyle w:val="TableParagraph"/>
              <w:spacing w:line="240" w:lineRule="auto" w:before="37"/>
              <w:ind w:left="163" w:right="0"/>
              <w:jc w:val="center"/>
              <w:rPr>
                <w:rFonts w:ascii="宋体" w:hAnsi="宋体" w:cs="宋体" w:eastAsia="宋体" w:hint="default"/>
                <w:sz w:val="21"/>
                <w:szCs w:val="21"/>
              </w:rPr>
            </w:pPr>
            <w:r>
              <w:rPr>
                <w:rFonts w:ascii="宋体"/>
                <w:sz w:val="21"/>
              </w:rPr>
              <w:t>616.95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96.4</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 w:right="0"/>
              <w:jc w:val="left"/>
              <w:rPr>
                <w:rFonts w:ascii="宋体" w:hAnsi="宋体" w:cs="宋体" w:eastAsia="宋体" w:hint="default"/>
                <w:sz w:val="21"/>
                <w:szCs w:val="21"/>
              </w:rPr>
            </w:pPr>
            <w:r>
              <w:rPr>
                <w:rFonts w:ascii="宋体"/>
                <w:sz w:val="21"/>
              </w:rPr>
              <w:t>9,489,8</w:t>
            </w:r>
          </w:p>
          <w:p>
            <w:pPr>
              <w:pStyle w:val="TableParagraph"/>
              <w:spacing w:line="240" w:lineRule="auto" w:before="37"/>
              <w:ind w:left="287" w:right="0"/>
              <w:jc w:val="left"/>
              <w:rPr>
                <w:rFonts w:ascii="宋体" w:hAnsi="宋体" w:cs="宋体" w:eastAsia="宋体" w:hint="default"/>
                <w:sz w:val="21"/>
                <w:szCs w:val="21"/>
              </w:rPr>
            </w:pPr>
            <w:r>
              <w:rPr>
                <w:rFonts w:ascii="宋体"/>
                <w:sz w:val="21"/>
              </w:rPr>
              <w:t>62.41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20.27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37,334</w:t>
            </w:r>
          </w:p>
          <w:p>
            <w:pPr>
              <w:pStyle w:val="TableParagraph"/>
              <w:spacing w:line="240" w:lineRule="auto" w:before="37"/>
              <w:ind w:right="23"/>
              <w:jc w:val="right"/>
              <w:rPr>
                <w:rFonts w:ascii="宋体" w:hAnsi="宋体" w:cs="宋体" w:eastAsia="宋体" w:hint="default"/>
                <w:sz w:val="21"/>
                <w:szCs w:val="21"/>
              </w:rPr>
            </w:pPr>
            <w:r>
              <w:rPr>
                <w:rFonts w:ascii="宋体"/>
                <w:sz w:val="21"/>
              </w:rPr>
              <w:t>,754.5</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4</w:t>
            </w:r>
          </w:p>
        </w:tc>
      </w:tr>
      <w:tr>
        <w:trPr>
          <w:trHeight w:val="125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8"/>
              <w:jc w:val="both"/>
              <w:rPr>
                <w:rFonts w:ascii="宋体" w:hAnsi="宋体" w:cs="宋体" w:eastAsia="宋体" w:hint="default"/>
                <w:sz w:val="21"/>
                <w:szCs w:val="21"/>
              </w:rPr>
            </w:pPr>
            <w:r>
              <w:rPr>
                <w:rFonts w:ascii="宋体" w:hAnsi="宋体" w:cs="宋体" w:eastAsia="宋体" w:hint="default"/>
                <w:sz w:val="21"/>
                <w:szCs w:val="21"/>
              </w:rPr>
              <w:t>单项金额不重</w:t>
            </w:r>
            <w:r>
              <w:rPr>
                <w:rFonts w:ascii="宋体" w:hAnsi="宋体" w:cs="宋体" w:eastAsia="宋体" w:hint="default"/>
                <w:w w:val="100"/>
                <w:sz w:val="21"/>
                <w:szCs w:val="21"/>
              </w:rPr>
              <w:t> </w:t>
            </w: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1,617,4</w:t>
            </w:r>
          </w:p>
          <w:p>
            <w:pPr>
              <w:pStyle w:val="TableParagraph"/>
              <w:spacing w:line="240" w:lineRule="auto" w:before="37"/>
              <w:ind w:left="288" w:right="0"/>
              <w:jc w:val="left"/>
              <w:rPr>
                <w:rFonts w:ascii="宋体" w:hAnsi="宋体" w:cs="宋体" w:eastAsia="宋体" w:hint="default"/>
                <w:sz w:val="21"/>
                <w:szCs w:val="21"/>
              </w:rPr>
            </w:pPr>
            <w:r>
              <w:rPr>
                <w:rFonts w:ascii="宋体"/>
                <w:sz w:val="21"/>
              </w:rPr>
              <w:t>05.98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2.78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sz w:val="21"/>
              </w:rPr>
              <w:t>1,617,</w:t>
            </w:r>
          </w:p>
          <w:p>
            <w:pPr>
              <w:pStyle w:val="TableParagraph"/>
              <w:spacing w:line="240" w:lineRule="auto" w:before="37"/>
              <w:ind w:left="45" w:right="0"/>
              <w:jc w:val="left"/>
              <w:rPr>
                <w:rFonts w:ascii="宋体" w:hAnsi="宋体" w:cs="宋体" w:eastAsia="宋体" w:hint="default"/>
                <w:sz w:val="21"/>
                <w:szCs w:val="21"/>
              </w:rPr>
            </w:pPr>
            <w:r>
              <w:rPr>
                <w:rFonts w:ascii="宋体"/>
                <w:sz w:val="21"/>
              </w:rPr>
              <w:t>405.98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 w:right="0"/>
              <w:jc w:val="left"/>
              <w:rPr>
                <w:rFonts w:ascii="宋体" w:hAnsi="宋体" w:cs="宋体" w:eastAsia="宋体" w:hint="default"/>
                <w:sz w:val="21"/>
                <w:szCs w:val="21"/>
              </w:rPr>
            </w:pPr>
            <w:r>
              <w:rPr>
                <w:rFonts w:ascii="宋体"/>
                <w:sz w:val="21"/>
              </w:rPr>
              <w:t>1,705,4</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05.98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center"/>
              <w:rPr>
                <w:rFonts w:ascii="宋体" w:hAnsi="宋体" w:cs="宋体" w:eastAsia="宋体" w:hint="default"/>
                <w:sz w:val="21"/>
                <w:szCs w:val="21"/>
              </w:rPr>
            </w:pPr>
            <w:r>
              <w:rPr>
                <w:rFonts w:ascii="宋体"/>
                <w:sz w:val="21"/>
              </w:rPr>
              <w:t>3.51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1,705,4</w:t>
            </w:r>
          </w:p>
          <w:p>
            <w:pPr>
              <w:pStyle w:val="TableParagraph"/>
              <w:spacing w:line="240" w:lineRule="auto" w:before="37"/>
              <w:ind w:left="287" w:right="0"/>
              <w:jc w:val="left"/>
              <w:rPr>
                <w:rFonts w:ascii="宋体" w:hAnsi="宋体" w:cs="宋体" w:eastAsia="宋体" w:hint="default"/>
                <w:sz w:val="21"/>
                <w:szCs w:val="21"/>
              </w:rPr>
            </w:pPr>
            <w:r>
              <w:rPr>
                <w:rFonts w:ascii="宋体"/>
                <w:sz w:val="21"/>
              </w:rPr>
              <w:t>05.98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100.00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 w:right="0"/>
              <w:jc w:val="center"/>
              <w:rPr>
                <w:rFonts w:ascii="宋体" w:hAnsi="宋体" w:cs="宋体" w:eastAsia="宋体" w:hint="default"/>
                <w:sz w:val="21"/>
                <w:szCs w:val="21"/>
              </w:rPr>
            </w:pPr>
            <w:r>
              <w:rPr>
                <w:rFonts w:ascii="宋体"/>
                <w:sz w:val="21"/>
              </w:rPr>
              <w:t>58,166,</w:t>
            </w:r>
          </w:p>
          <w:p>
            <w:pPr>
              <w:pStyle w:val="TableParagraph"/>
              <w:spacing w:line="240" w:lineRule="auto" w:before="37"/>
              <w:ind w:left="157" w:right="0"/>
              <w:jc w:val="center"/>
              <w:rPr>
                <w:rFonts w:ascii="宋体" w:hAnsi="宋体" w:cs="宋体" w:eastAsia="宋体" w:hint="default"/>
                <w:sz w:val="21"/>
                <w:szCs w:val="21"/>
              </w:rPr>
            </w:pPr>
            <w:r>
              <w:rPr>
                <w:rFonts w:ascii="宋体"/>
                <w:sz w:val="21"/>
              </w:rPr>
              <w:t>119.63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p>
            <w:pPr>
              <w:pStyle w:val="TableParagraph"/>
              <w:spacing w:line="240" w:lineRule="auto" w:before="37"/>
              <w:ind w:right="0"/>
              <w:jc w:val="center"/>
              <w:rPr>
                <w:rFonts w:ascii="宋体" w:hAnsi="宋体" w:cs="宋体" w:eastAsia="宋体" w:hint="default"/>
                <w:sz w:val="21"/>
                <w:szCs w:val="21"/>
              </w:rPr>
            </w:pPr>
            <w:r>
              <w:rPr>
                <w:rFonts w:ascii="宋体"/>
                <w:sz w:val="21"/>
              </w:rPr>
              <w:t>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sz w:val="21"/>
              </w:rPr>
              <w:t>9,632,</w:t>
            </w:r>
          </w:p>
          <w:p>
            <w:pPr>
              <w:pStyle w:val="TableParagraph"/>
              <w:spacing w:line="240" w:lineRule="auto" w:before="37"/>
              <w:ind w:left="45" w:right="0"/>
              <w:jc w:val="left"/>
              <w:rPr>
                <w:rFonts w:ascii="宋体" w:hAnsi="宋体" w:cs="宋体" w:eastAsia="宋体" w:hint="default"/>
                <w:sz w:val="21"/>
                <w:szCs w:val="21"/>
              </w:rPr>
            </w:pPr>
            <w:r>
              <w:rPr>
                <w:rFonts w:ascii="宋体"/>
                <w:sz w:val="21"/>
              </w:rPr>
              <w:t>095.62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4"/>
              <w:jc w:val="right"/>
              <w:rPr>
                <w:rFonts w:ascii="宋体" w:hAnsi="宋体" w:cs="宋体" w:eastAsia="宋体" w:hint="default"/>
                <w:sz w:val="21"/>
                <w:szCs w:val="21"/>
              </w:rPr>
            </w:pPr>
            <w:r>
              <w:rPr>
                <w:rFonts w:ascii="宋体"/>
                <w:sz w:val="21"/>
              </w:rPr>
              <w:t>16.56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center"/>
              <w:rPr>
                <w:rFonts w:ascii="宋体" w:hAnsi="宋体" w:cs="宋体" w:eastAsia="宋体" w:hint="default"/>
                <w:sz w:val="21"/>
                <w:szCs w:val="21"/>
              </w:rPr>
            </w:pPr>
            <w:r>
              <w:rPr>
                <w:rFonts w:ascii="宋体"/>
                <w:sz w:val="21"/>
              </w:rPr>
              <w:t>48,534,</w:t>
            </w:r>
          </w:p>
          <w:p>
            <w:pPr>
              <w:pStyle w:val="TableParagraph"/>
              <w:spacing w:line="240" w:lineRule="auto" w:before="37"/>
              <w:ind w:left="153" w:right="0"/>
              <w:jc w:val="center"/>
              <w:rPr>
                <w:rFonts w:ascii="宋体" w:hAnsi="宋体" w:cs="宋体" w:eastAsia="宋体" w:hint="default"/>
                <w:sz w:val="21"/>
                <w:szCs w:val="21"/>
              </w:rPr>
            </w:pPr>
            <w:r>
              <w:rPr>
                <w:rFonts w:ascii="宋体"/>
                <w:sz w:val="21"/>
              </w:rPr>
              <w:t>024.01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 w:right="0"/>
              <w:jc w:val="center"/>
              <w:rPr>
                <w:rFonts w:ascii="宋体" w:hAnsi="宋体" w:cs="宋体" w:eastAsia="宋体" w:hint="default"/>
                <w:sz w:val="21"/>
                <w:szCs w:val="21"/>
              </w:rPr>
            </w:pPr>
            <w:r>
              <w:rPr>
                <w:rFonts w:ascii="宋体"/>
                <w:sz w:val="21"/>
              </w:rPr>
              <w:t>48,530,</w:t>
            </w:r>
          </w:p>
          <w:p>
            <w:pPr>
              <w:pStyle w:val="TableParagraph"/>
              <w:spacing w:line="240" w:lineRule="auto" w:before="37"/>
              <w:ind w:left="163" w:right="0"/>
              <w:jc w:val="center"/>
              <w:rPr>
                <w:rFonts w:ascii="宋体" w:hAnsi="宋体" w:cs="宋体" w:eastAsia="宋体" w:hint="default"/>
                <w:sz w:val="21"/>
                <w:szCs w:val="21"/>
              </w:rPr>
            </w:pPr>
            <w:r>
              <w:rPr>
                <w:rFonts w:ascii="宋体"/>
                <w:sz w:val="21"/>
              </w:rPr>
              <w:t>022.93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 w:right="0"/>
              <w:jc w:val="center"/>
              <w:rPr>
                <w:rFonts w:ascii="宋体" w:hAnsi="宋体" w:cs="宋体" w:eastAsia="宋体" w:hint="default"/>
                <w:sz w:val="21"/>
                <w:szCs w:val="21"/>
              </w:rPr>
            </w:pPr>
            <w:r>
              <w:rPr>
                <w:rFonts w:ascii="宋体"/>
                <w:sz w:val="21"/>
              </w:rPr>
              <w:t>11,195,</w:t>
            </w:r>
          </w:p>
          <w:p>
            <w:pPr>
              <w:pStyle w:val="TableParagraph"/>
              <w:spacing w:line="240" w:lineRule="auto" w:before="37"/>
              <w:ind w:left="155" w:right="0"/>
              <w:jc w:val="center"/>
              <w:rPr>
                <w:rFonts w:ascii="宋体" w:hAnsi="宋体" w:cs="宋体" w:eastAsia="宋体" w:hint="default"/>
                <w:sz w:val="21"/>
                <w:szCs w:val="21"/>
              </w:rPr>
            </w:pPr>
            <w:r>
              <w:rPr>
                <w:rFonts w:ascii="宋体"/>
                <w:sz w:val="21"/>
              </w:rPr>
              <w:t>268.39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37,334</w:t>
            </w:r>
          </w:p>
          <w:p>
            <w:pPr>
              <w:pStyle w:val="TableParagraph"/>
              <w:spacing w:line="240" w:lineRule="auto" w:before="37"/>
              <w:ind w:right="23"/>
              <w:jc w:val="right"/>
              <w:rPr>
                <w:rFonts w:ascii="宋体" w:hAnsi="宋体" w:cs="宋体" w:eastAsia="宋体" w:hint="default"/>
                <w:sz w:val="21"/>
                <w:szCs w:val="21"/>
              </w:rPr>
            </w:pPr>
            <w:r>
              <w:rPr>
                <w:rFonts w:ascii="宋体"/>
                <w:sz w:val="21"/>
              </w:rPr>
              <w:t>,754.5</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1120"/>
        </w:sectPr>
      </w:pPr>
    </w:p>
    <w:p>
      <w:pPr>
        <w:pStyle w:val="BodyText"/>
        <w:spacing w:line="240" w:lineRule="auto" w:before="36"/>
        <w:ind w:left="138" w:right="0"/>
        <w:jc w:val="left"/>
      </w:pPr>
      <w:r>
        <w:rPr>
          <w:spacing w:val="-2"/>
        </w:rPr>
        <w:t>期末单项金额重大并单项计提坏帐准备的其他应收款</w:t>
      </w:r>
    </w:p>
    <w:p>
      <w:pPr>
        <w:pStyle w:val="BodyText"/>
        <w:spacing w:line="273" w:lineRule="auto" w:before="37"/>
        <w:ind w:left="13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7"/>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73" w:space="1549"/>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36,090,774.31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1,804,538.73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7,786,960.67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622,956.85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8.00</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2,494,317.58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498,863.51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20.00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10,176,661.09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5,088,330.55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56,548,713.65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8,014,689.64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14.17</w:t>
            </w:r>
          </w:p>
        </w:tc>
      </w:tr>
    </w:tbl>
    <w:p>
      <w:pPr>
        <w:spacing w:line="240" w:lineRule="auto" w:before="2"/>
        <w:rPr>
          <w:rFonts w:ascii="宋体" w:hAnsi="宋体" w:cs="宋体" w:eastAsia="宋体" w:hint="default"/>
          <w:sz w:val="20"/>
          <w:szCs w:val="20"/>
        </w:rPr>
      </w:pPr>
    </w:p>
    <w:p>
      <w:pPr>
        <w:pStyle w:val="BodyText"/>
        <w:spacing w:line="292" w:lineRule="auto" w:before="36"/>
        <w:ind w:left="558" w:right="158" w:hanging="420"/>
        <w:jc w:val="left"/>
      </w:pPr>
      <w:r>
        <w:rPr/>
        <w:t>确定该组合依据的说明：</w:t>
      </w:r>
      <w:r>
        <w:rPr>
          <w:w w:val="100"/>
        </w:rPr>
        <w:t> </w:t>
      </w:r>
      <w:r>
        <w:rPr>
          <w:spacing w:val="-2"/>
        </w:rPr>
        <w:t>已单独计提减值准备的其他应收款除外，公司根据以前年度与之具有类似信用风险特征的其</w:t>
      </w:r>
    </w:p>
    <w:p>
      <w:pPr>
        <w:pStyle w:val="BodyText"/>
        <w:spacing w:line="290" w:lineRule="auto" w:before="39"/>
        <w:ind w:left="138" w:right="158"/>
        <w:jc w:val="left"/>
      </w:pPr>
      <w:r>
        <w:rPr>
          <w:spacing w:val="-2"/>
        </w:rPr>
        <w:t>他应收款组合的实际损失率为基础，结合现时情况确定坏账准备计提比例。</w:t>
      </w:r>
      <w:r>
        <w:rPr>
          <w:spacing w:val="-42"/>
        </w:rPr>
        <w:t> </w:t>
      </w:r>
      <w:r>
        <w:rPr>
          <w:spacing w:val="-42"/>
        </w:rPr>
      </w:r>
      <w:r>
        <w:rPr/>
        <w:t>组合中，采用余额百分比法计提坏账准备的其他应收款：</w:t>
      </w:r>
    </w:p>
    <w:p>
      <w:pPr>
        <w:pStyle w:val="BodyText"/>
        <w:spacing w:line="273" w:lineRule="auto"/>
        <w:ind w:left="138" w:right="3691"/>
        <w:jc w:val="left"/>
      </w:pPr>
      <w:r>
        <w:rPr/>
        <w:t>□适用</w:t>
      </w:r>
      <w:r>
        <w:rPr>
          <w:spacing w:val="-2"/>
        </w:rPr>
        <w:t> </w:t>
      </w:r>
      <w:r>
        <w:rPr/>
        <w:t>√不适用</w:t>
      </w:r>
      <w:r>
        <w:rPr>
          <w:w w:val="100"/>
        </w:rPr>
        <w:t> </w:t>
      </w:r>
      <w:r>
        <w:rPr>
          <w:spacing w:val="-2"/>
        </w:rPr>
        <w:t>组合中，采用其他方法计提坏账准备的其他应收款：</w:t>
      </w:r>
    </w:p>
    <w:p>
      <w:pPr>
        <w:pStyle w:val="BodyText"/>
        <w:spacing w:line="240" w:lineRule="auto" w:before="7"/>
        <w:ind w:left="138" w:right="158"/>
        <w:jc w:val="left"/>
      </w:pPr>
      <w:r>
        <w:rPr/>
        <w:t>□适用</w:t>
      </w:r>
      <w:r>
        <w:rPr>
          <w:spacing w:val="-1"/>
        </w:rPr>
        <w:t> </w:t>
      </w:r>
      <w:r>
        <w:rPr/>
        <w:t>√不适用</w:t>
      </w:r>
    </w:p>
    <w:p>
      <w:pPr>
        <w:pStyle w:val="Heading2"/>
        <w:spacing w:line="240" w:lineRule="auto" w:before="69"/>
        <w:ind w:left="138" w:right="158"/>
        <w:jc w:val="left"/>
        <w:rPr>
          <w:b w:val="0"/>
          <w:bCs w:val="0"/>
        </w:rPr>
      </w:pPr>
      <w:r>
        <w:rPr>
          <w:rFonts w:ascii="宋体" w:hAnsi="宋体" w:cs="宋体" w:eastAsia="宋体" w:hint="default"/>
        </w:rPr>
        <w:t>(2).</w:t>
      </w:r>
      <w:r>
        <w:rPr>
          <w:rFonts w:ascii="宋体" w:hAnsi="宋体" w:cs="宋体" w:eastAsia="宋体" w:hint="default"/>
          <w:spacing w:val="-21"/>
        </w:rPr>
        <w:t> </w:t>
      </w:r>
      <w:r>
        <w:rPr/>
        <w:t>本期计提、收回或转回的坏账准备情况：</w:t>
      </w:r>
      <w:r>
        <w:rPr>
          <w:b w:val="0"/>
          <w:bCs w:val="0"/>
        </w:rPr>
      </w:r>
    </w:p>
    <w:p>
      <w:pPr>
        <w:pStyle w:val="BodyText"/>
        <w:spacing w:line="256" w:lineRule="auto" w:before="85"/>
        <w:ind w:left="138" w:right="4617"/>
        <w:jc w:val="left"/>
      </w:pPr>
      <w:r>
        <w:rPr/>
        <w:t>本期收回或转回坏账准备金额</w:t>
      </w:r>
      <w:r>
        <w:rPr>
          <w:spacing w:val="-53"/>
        </w:rPr>
        <w:t> </w:t>
      </w:r>
      <w:r>
        <w:rPr>
          <w:rFonts w:ascii="Times New Roman" w:hAnsi="Times New Roman" w:cs="Times New Roman" w:eastAsia="Times New Roman" w:hint="default"/>
        </w:rPr>
        <w:t>1,556,314.43 </w:t>
      </w:r>
      <w:r>
        <w:rPr>
          <w:spacing w:val="-3"/>
        </w:rPr>
        <w:t>元。</w:t>
      </w:r>
      <w:r>
        <w:rPr>
          <w:spacing w:val="-3"/>
          <w:w w:val="100"/>
        </w:rPr>
        <w:t> </w:t>
      </w:r>
      <w:r>
        <w:rPr/>
        <w:t>其中本期坏账准备转回或收回金额重要的：</w:t>
      </w:r>
    </w:p>
    <w:p>
      <w:pPr>
        <w:pStyle w:val="BodyText"/>
        <w:spacing w:line="240" w:lineRule="auto" w:before="22"/>
        <w:ind w:left="138" w:right="158"/>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19"/>
        </w:rPr>
        <w:t> </w:t>
      </w:r>
      <w:r>
        <w:rPr/>
        <w:t>本期实际核销的其他应收款情况</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179" w:space="2342"/>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32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Arial Narrow" w:hAnsi="Arial Narrow" w:cs="Arial Narrow" w:eastAsia="Arial Narrow" w:hint="default"/>
                <w:sz w:val="18"/>
                <w:szCs w:val="18"/>
              </w:rPr>
            </w:pPr>
            <w:r>
              <w:rPr>
                <w:rFonts w:ascii="Arial Narrow"/>
                <w:spacing w:val="-1"/>
                <w:sz w:val="18"/>
              </w:rPr>
              <w:t>95,185.00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right="-18"/>
        <w:jc w:val="left"/>
      </w:pPr>
      <w:r>
        <w:rPr/>
        <w:t>其中重要的其他应收款核销情况：</w:t>
      </w:r>
    </w:p>
    <w:p>
      <w:pPr>
        <w:pStyle w:val="BodyText"/>
        <w:spacing w:line="254" w:lineRule="auto" w:before="37"/>
        <w:ind w:right="327"/>
        <w:jc w:val="left"/>
      </w:pPr>
      <w:r>
        <w:rPr/>
        <w:t>□适用</w:t>
      </w:r>
      <w:r>
        <w:rPr>
          <w:spacing w:val="-2"/>
        </w:rPr>
        <w:t> </w:t>
      </w:r>
      <w:r>
        <w:rPr/>
        <w:t>√不适用</w:t>
      </w:r>
      <w:r>
        <w:rPr>
          <w:w w:val="100"/>
        </w:rPr>
        <w:t> </w:t>
      </w:r>
      <w:r>
        <w:rPr>
          <w:spacing w:val="-2"/>
        </w:rPr>
        <w:t>其他应收款核销说明：</w:t>
      </w:r>
    </w:p>
    <w:p>
      <w:pPr>
        <w:pStyle w:val="BodyText"/>
        <w:spacing w:line="259" w:lineRule="exact"/>
        <w:ind w:right="-18"/>
        <w:jc w:val="left"/>
      </w:pPr>
      <w:r>
        <w:rPr/>
        <w:t>□适用</w:t>
      </w:r>
      <w:r>
        <w:rPr>
          <w:spacing w:val="-1"/>
        </w:rPr>
        <w:t> </w:t>
      </w:r>
      <w:r>
        <w:rPr/>
        <w:t>√不适用</w:t>
      </w:r>
    </w:p>
    <w:p>
      <w:pPr>
        <w:pStyle w:val="Heading2"/>
        <w:spacing w:line="240" w:lineRule="auto" w:before="53"/>
        <w:ind w:right="-18"/>
        <w:jc w:val="left"/>
        <w:rPr>
          <w:b w:val="0"/>
          <w:bCs w:val="0"/>
        </w:rPr>
      </w:pPr>
      <w:r>
        <w:rPr>
          <w:rFonts w:ascii="宋体" w:hAnsi="宋体" w:cs="宋体" w:eastAsia="宋体" w:hint="default"/>
        </w:rPr>
        <w:t>(4).</w:t>
      </w:r>
      <w:r>
        <w:rPr>
          <w:rFonts w:ascii="宋体" w:hAnsi="宋体" w:cs="宋体" w:eastAsia="宋体" w:hint="default"/>
          <w:spacing w:val="-19"/>
        </w:rPr>
        <w:t> </w:t>
      </w:r>
      <w:r>
        <w:rPr/>
        <w:t>其他应收款按款项性质分类情况</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179" w:space="2333"/>
            <w:col w:w="277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w:t>
            </w: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31,895,606.54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32,355,822.86</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7,918,002.48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4,502,461.83</w:t>
            </w:r>
          </w:p>
        </w:tc>
      </w:tr>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10,139,656.48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5,115,345.67</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代垫保险费</w:t>
            </w:r>
            <w:r>
              <w:rPr>
                <w:rFonts w:ascii="宋体" w:hAnsi="宋体" w:cs="宋体" w:eastAsia="宋体" w:hint="default"/>
                <w:sz w:val="21"/>
                <w:szCs w:val="21"/>
              </w:rPr>
              <w:t>\</w:t>
            </w:r>
            <w:r>
              <w:rPr>
                <w:rFonts w:ascii="宋体" w:hAnsi="宋体" w:cs="宋体" w:eastAsia="宋体" w:hint="default"/>
                <w:sz w:val="21"/>
                <w:szCs w:val="21"/>
              </w:rPr>
              <w:t>公积金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188,332.46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145,696.37</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8,047,601.67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6,410,696.20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58,189,199.63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48,530,022.93</w:t>
            </w:r>
          </w:p>
        </w:tc>
      </w:tr>
    </w:tbl>
    <w:p>
      <w:pPr>
        <w:pStyle w:val="BodyText"/>
        <w:spacing w:line="273" w:lineRule="auto"/>
        <w:ind w:right="215"/>
        <w:jc w:val="left"/>
      </w:pPr>
      <w:r>
        <w:rPr>
          <w:spacing w:val="-2"/>
        </w:rPr>
        <w:t>期末余额其他中包含本公司全资子公司北京联龙博通电子商务技术有限公司代缴纳股权转让款个</w:t>
      </w:r>
      <w:r>
        <w:rPr>
          <w:spacing w:val="-25"/>
        </w:rPr>
        <w:t> </w:t>
      </w:r>
      <w:r>
        <w:rPr>
          <w:spacing w:val="-25"/>
        </w:rPr>
      </w:r>
      <w:r>
        <w:rPr/>
        <w:t>人所得税</w:t>
      </w:r>
      <w:r>
        <w:rPr>
          <w:spacing w:val="-54"/>
        </w:rPr>
        <w:t> </w:t>
      </w:r>
      <w:r>
        <w:rPr>
          <w:rFonts w:ascii="Times New Roman" w:hAnsi="Times New Roman" w:cs="Times New Roman" w:eastAsia="Times New Roman" w:hint="default"/>
        </w:rPr>
        <w:t>613.63</w:t>
      </w:r>
      <w:r>
        <w:rPr>
          <w:rFonts w:ascii="Times New Roman" w:hAnsi="Times New Roman" w:cs="Times New Roman" w:eastAsia="Times New Roman" w:hint="default"/>
          <w:spacing w:val="-1"/>
        </w:rPr>
        <w:t> </w:t>
      </w:r>
      <w:r>
        <w:rPr/>
        <w:t>万元。</w:t>
      </w:r>
    </w:p>
    <w:p>
      <w:pPr>
        <w:pStyle w:val="Heading2"/>
        <w:spacing w:line="240" w:lineRule="auto" w:before="21"/>
        <w:ind w:right="215"/>
        <w:jc w:val="left"/>
        <w:rPr>
          <w:b w:val="0"/>
          <w:bCs w:val="0"/>
        </w:rPr>
      </w:pPr>
      <w:r>
        <w:rPr>
          <w:rFonts w:ascii="宋体" w:hAnsi="宋体" w:cs="宋体" w:eastAsia="宋体" w:hint="default"/>
        </w:rPr>
        <w:t>(5).</w:t>
      </w:r>
      <w:r>
        <w:rPr>
          <w:rFonts w:ascii="宋体" w:hAnsi="宋体" w:cs="宋体" w:eastAsia="宋体" w:hint="default"/>
          <w:spacing w:val="-22"/>
        </w:rPr>
        <w:t> </w:t>
      </w:r>
      <w:r>
        <w:rPr/>
        <w:t>按欠款方归集的期末余额前五名的其他应收款情况：</w:t>
      </w:r>
      <w:r>
        <w:rPr>
          <w:b w:val="0"/>
          <w:bCs w:val="0"/>
        </w:rPr>
      </w:r>
    </w:p>
    <w:p>
      <w:pPr>
        <w:pStyle w:val="BodyText"/>
        <w:spacing w:line="240" w:lineRule="auto" w:before="85"/>
        <w:ind w:right="215"/>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441"/>
        <w:gridCol w:w="1135"/>
        <w:gridCol w:w="1133"/>
        <w:gridCol w:w="1505"/>
        <w:gridCol w:w="1366"/>
        <w:gridCol w:w="1315"/>
      </w:tblGrid>
      <w:tr>
        <w:trPr>
          <w:trHeight w:val="94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4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20" w:right="175"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 w:right="44"/>
              <w:jc w:val="both"/>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22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63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25"/>
              <w:jc w:val="left"/>
              <w:rPr>
                <w:rFonts w:ascii="宋体" w:hAnsi="宋体" w:cs="宋体" w:eastAsia="宋体" w:hint="default"/>
                <w:sz w:val="21"/>
                <w:szCs w:val="21"/>
              </w:rPr>
            </w:pPr>
            <w:r>
              <w:rPr>
                <w:rFonts w:ascii="宋体" w:hAnsi="宋体" w:cs="宋体" w:eastAsia="宋体" w:hint="default"/>
                <w:spacing w:val="-5"/>
                <w:sz w:val="21"/>
                <w:szCs w:val="21"/>
              </w:rPr>
              <w:t>中国（南京）软件谷管理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委员会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63"/>
              <w:jc w:val="right"/>
              <w:rPr>
                <w:rFonts w:ascii="宋体" w:hAnsi="宋体" w:cs="宋体" w:eastAsia="宋体" w:hint="default"/>
                <w:sz w:val="21"/>
                <w:szCs w:val="21"/>
              </w:rPr>
            </w:pPr>
            <w:r>
              <w:rPr>
                <w:rFonts w:ascii="宋体" w:hAnsi="宋体" w:cs="宋体" w:eastAsia="宋体" w:hint="default"/>
                <w:sz w:val="21"/>
                <w:szCs w:val="21"/>
              </w:rPr>
              <w:t>保证金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 w:right="0"/>
              <w:jc w:val="left"/>
              <w:rPr>
                <w:rFonts w:ascii="宋体" w:hAnsi="宋体" w:cs="宋体" w:eastAsia="宋体" w:hint="default"/>
                <w:sz w:val="21"/>
                <w:szCs w:val="21"/>
              </w:rPr>
            </w:pPr>
            <w:r>
              <w:rPr>
                <w:rFonts w:ascii="宋体"/>
                <w:sz w:val="21"/>
              </w:rPr>
              <w:t>5,000,000</w:t>
            </w:r>
          </w:p>
          <w:p>
            <w:pPr>
              <w:pStyle w:val="TableParagraph"/>
              <w:spacing w:line="240" w:lineRule="auto" w:before="37"/>
              <w:ind w:left="710" w:right="0"/>
              <w:jc w:val="left"/>
              <w:rPr>
                <w:rFonts w:ascii="宋体" w:hAnsi="宋体" w:cs="宋体" w:eastAsia="宋体" w:hint="default"/>
                <w:sz w:val="21"/>
                <w:szCs w:val="21"/>
              </w:rPr>
            </w:pPr>
            <w:r>
              <w:rPr>
                <w:rFonts w:ascii="宋体"/>
                <w:sz w:val="21"/>
              </w:rPr>
              <w:t>.00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8.60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2,500,000.0</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0</w:t>
            </w:r>
          </w:p>
        </w:tc>
      </w:tr>
      <w:tr>
        <w:trPr>
          <w:trHeight w:val="63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刘琦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54"/>
              <w:jc w:val="left"/>
              <w:rPr>
                <w:rFonts w:ascii="宋体" w:hAnsi="宋体" w:cs="宋体" w:eastAsia="宋体" w:hint="default"/>
                <w:sz w:val="21"/>
                <w:szCs w:val="21"/>
              </w:rPr>
            </w:pPr>
            <w:r>
              <w:rPr>
                <w:rFonts w:ascii="宋体" w:hAnsi="宋体" w:cs="宋体" w:eastAsia="宋体" w:hint="default"/>
                <w:sz w:val="21"/>
                <w:szCs w:val="21"/>
              </w:rPr>
              <w:t>代缴个人</w:t>
            </w:r>
            <w:r>
              <w:rPr>
                <w:rFonts w:ascii="宋体" w:hAnsi="宋体" w:cs="宋体" w:eastAsia="宋体" w:hint="default"/>
                <w:w w:val="100"/>
                <w:sz w:val="21"/>
                <w:szCs w:val="21"/>
              </w:rPr>
              <w:t> </w:t>
            </w:r>
            <w:r>
              <w:rPr>
                <w:rFonts w:ascii="宋体" w:hAnsi="宋体" w:cs="宋体" w:eastAsia="宋体" w:hint="default"/>
                <w:sz w:val="21"/>
                <w:szCs w:val="21"/>
              </w:rPr>
              <w:t>所得税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9" w:right="0"/>
              <w:jc w:val="left"/>
              <w:rPr>
                <w:rFonts w:ascii="宋体" w:hAnsi="宋体" w:cs="宋体" w:eastAsia="宋体" w:hint="default"/>
                <w:sz w:val="21"/>
                <w:szCs w:val="21"/>
              </w:rPr>
            </w:pPr>
            <w:r>
              <w:rPr>
                <w:rFonts w:ascii="宋体"/>
                <w:sz w:val="21"/>
              </w:rPr>
              <w:t>3,681,343</w:t>
            </w:r>
          </w:p>
          <w:p>
            <w:pPr>
              <w:pStyle w:val="TableParagraph"/>
              <w:spacing w:line="240" w:lineRule="auto" w:before="37"/>
              <w:ind w:left="710" w:right="0"/>
              <w:jc w:val="left"/>
              <w:rPr>
                <w:rFonts w:ascii="宋体" w:hAnsi="宋体" w:cs="宋体" w:eastAsia="宋体" w:hint="default"/>
                <w:sz w:val="21"/>
                <w:szCs w:val="21"/>
              </w:rPr>
            </w:pPr>
            <w:r>
              <w:rPr>
                <w:rFonts w:ascii="宋体"/>
                <w:sz w:val="21"/>
              </w:rPr>
              <w:t>.00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6.33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184,067.15</w:t>
            </w:r>
          </w:p>
        </w:tc>
      </w:tr>
      <w:tr>
        <w:trPr>
          <w:trHeight w:val="125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00"/>
              <w:jc w:val="left"/>
              <w:rPr>
                <w:rFonts w:ascii="宋体" w:hAnsi="宋体" w:cs="宋体" w:eastAsia="宋体" w:hint="default"/>
                <w:sz w:val="21"/>
                <w:szCs w:val="21"/>
              </w:rPr>
            </w:pPr>
            <w:r>
              <w:rPr>
                <w:rFonts w:ascii="宋体" w:hAnsi="宋体" w:cs="宋体" w:eastAsia="宋体" w:hint="default"/>
                <w:spacing w:val="-2"/>
                <w:sz w:val="21"/>
                <w:szCs w:val="21"/>
              </w:rPr>
              <w:t>华北建设集团有限公司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南京分公司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63"/>
              <w:jc w:val="right"/>
              <w:rPr>
                <w:rFonts w:ascii="宋体" w:hAnsi="宋体" w:cs="宋体" w:eastAsia="宋体" w:hint="default"/>
                <w:sz w:val="21"/>
                <w:szCs w:val="21"/>
              </w:rPr>
            </w:pPr>
            <w:r>
              <w:rPr>
                <w:rFonts w:ascii="宋体" w:hAnsi="宋体" w:cs="宋体" w:eastAsia="宋体" w:hint="default"/>
                <w:sz w:val="21"/>
                <w:szCs w:val="21"/>
              </w:rPr>
              <w:t>往来款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2,653,521</w:t>
            </w:r>
          </w:p>
          <w:p>
            <w:pPr>
              <w:pStyle w:val="TableParagraph"/>
              <w:spacing w:line="240" w:lineRule="auto" w:before="37"/>
              <w:ind w:left="710" w:right="0"/>
              <w:jc w:val="left"/>
              <w:rPr>
                <w:rFonts w:ascii="宋体" w:hAnsi="宋体" w:cs="宋体" w:eastAsia="宋体" w:hint="default"/>
                <w:sz w:val="21"/>
                <w:szCs w:val="21"/>
              </w:rPr>
            </w:pPr>
            <w:r>
              <w:rPr>
                <w:rFonts w:ascii="宋体"/>
                <w:sz w:val="21"/>
              </w:rPr>
              <w:t>.94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40" w:lineRule="auto" w:before="37"/>
              <w:ind w:left="26" w:right="0"/>
              <w:jc w:val="left"/>
              <w:rPr>
                <w:rFonts w:ascii="宋体" w:hAnsi="宋体" w:cs="宋体" w:eastAsia="宋体" w:hint="default"/>
                <w:sz w:val="21"/>
                <w:szCs w:val="21"/>
              </w:rPr>
            </w:pPr>
            <w:r>
              <w:rPr>
                <w:rFonts w:ascii="宋体"/>
                <w:sz w:val="21"/>
              </w:rPr>
              <w:t>465,364.51</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2188157.43</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4.56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198,320.82</w:t>
            </w:r>
          </w:p>
        </w:tc>
      </w:tr>
      <w:tr>
        <w:trPr>
          <w:trHeight w:val="63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00"/>
              <w:jc w:val="left"/>
              <w:rPr>
                <w:rFonts w:ascii="宋体" w:hAnsi="宋体" w:cs="宋体" w:eastAsia="宋体" w:hint="default"/>
                <w:sz w:val="21"/>
                <w:szCs w:val="21"/>
              </w:rPr>
            </w:pPr>
            <w:r>
              <w:rPr>
                <w:rFonts w:ascii="宋体" w:hAnsi="宋体" w:cs="宋体" w:eastAsia="宋体" w:hint="default"/>
                <w:spacing w:val="-2"/>
                <w:sz w:val="21"/>
                <w:szCs w:val="21"/>
              </w:rPr>
              <w:t>永兴县城市基础设施建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设投资有限公司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54"/>
              <w:jc w:val="left"/>
              <w:rPr>
                <w:rFonts w:ascii="宋体" w:hAnsi="宋体" w:cs="宋体" w:eastAsia="宋体" w:hint="default"/>
                <w:sz w:val="21"/>
                <w:szCs w:val="21"/>
              </w:rPr>
            </w:pPr>
            <w:r>
              <w:rPr>
                <w:rFonts w:ascii="宋体" w:hAnsi="宋体" w:cs="宋体" w:eastAsia="宋体" w:hint="default"/>
                <w:sz w:val="21"/>
                <w:szCs w:val="21"/>
              </w:rPr>
              <w:t>履约保证</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2,240,000</w:t>
            </w:r>
          </w:p>
          <w:p>
            <w:pPr>
              <w:pStyle w:val="TableParagraph"/>
              <w:spacing w:line="240" w:lineRule="auto" w:before="37"/>
              <w:ind w:left="710" w:right="0"/>
              <w:jc w:val="left"/>
              <w:rPr>
                <w:rFonts w:ascii="宋体" w:hAnsi="宋体" w:cs="宋体" w:eastAsia="宋体" w:hint="default"/>
                <w:sz w:val="21"/>
                <w:szCs w:val="21"/>
              </w:rPr>
            </w:pPr>
            <w:r>
              <w:rPr>
                <w:rFonts w:ascii="宋体"/>
                <w:sz w:val="21"/>
              </w:rPr>
              <w:t>.00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3.85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112,000.00</w:t>
            </w:r>
          </w:p>
        </w:tc>
      </w:tr>
      <w:tr>
        <w:trPr>
          <w:trHeight w:val="63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天一证券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54"/>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保证金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1,617,405</w:t>
            </w:r>
          </w:p>
          <w:p>
            <w:pPr>
              <w:pStyle w:val="TableParagraph"/>
              <w:spacing w:line="240" w:lineRule="auto" w:before="37"/>
              <w:ind w:left="710" w:right="0"/>
              <w:jc w:val="left"/>
              <w:rPr>
                <w:rFonts w:ascii="宋体" w:hAnsi="宋体" w:cs="宋体" w:eastAsia="宋体" w:hint="default"/>
                <w:sz w:val="21"/>
                <w:szCs w:val="21"/>
              </w:rPr>
            </w:pPr>
            <w:r>
              <w:rPr>
                <w:rFonts w:ascii="宋体"/>
                <w:sz w:val="21"/>
              </w:rPr>
              <w:t>.98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2.78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1,617,405.9</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8</w:t>
            </w:r>
          </w:p>
        </w:tc>
      </w:tr>
      <w:tr>
        <w:trPr>
          <w:trHeight w:val="63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7"/>
              <w:jc w:val="right"/>
              <w:rPr>
                <w:rFonts w:ascii="宋体" w:hAnsi="宋体" w:cs="宋体" w:eastAsia="宋体" w:hint="default"/>
                <w:sz w:val="21"/>
                <w:szCs w:val="21"/>
              </w:rPr>
            </w:pPr>
            <w:r>
              <w:rPr>
                <w:rFonts w:ascii="宋体"/>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15,192,27</w:t>
            </w:r>
          </w:p>
          <w:p>
            <w:pPr>
              <w:pStyle w:val="TableParagraph"/>
              <w:spacing w:line="240" w:lineRule="auto" w:before="37"/>
              <w:ind w:left="604" w:right="0"/>
              <w:jc w:val="left"/>
              <w:rPr>
                <w:rFonts w:ascii="宋体" w:hAnsi="宋体" w:cs="宋体" w:eastAsia="宋体" w:hint="default"/>
                <w:sz w:val="21"/>
                <w:szCs w:val="21"/>
              </w:rPr>
            </w:pPr>
            <w:r>
              <w:rPr>
                <w:rFonts w:ascii="宋体"/>
                <w:sz w:val="21"/>
              </w:rPr>
              <w:t>0.92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7"/>
              <w:jc w:val="center"/>
              <w:rPr>
                <w:rFonts w:ascii="宋体" w:hAnsi="宋体" w:cs="宋体" w:eastAsia="宋体" w:hint="default"/>
                <w:sz w:val="21"/>
                <w:szCs w:val="21"/>
              </w:rPr>
            </w:pPr>
            <w:r>
              <w:rPr>
                <w:rFonts w:ascii="宋体"/>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26.12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4,611,793.9</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5</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40"/>
        </w:sectPr>
      </w:pPr>
    </w:p>
    <w:p>
      <w:pPr>
        <w:pStyle w:val="Heading2"/>
        <w:spacing w:line="240" w:lineRule="auto" w:before="168"/>
        <w:ind w:left="258" w:right="-17"/>
        <w:jc w:val="left"/>
        <w:rPr>
          <w:b w:val="0"/>
          <w:bCs w:val="0"/>
        </w:rPr>
      </w:pPr>
      <w:r>
        <w:rPr>
          <w:rFonts w:ascii="宋体" w:hAnsi="宋体" w:cs="宋体" w:eastAsia="宋体" w:hint="default"/>
        </w:rPr>
        <w:t>(6).</w:t>
      </w:r>
      <w:r>
        <w:rPr>
          <w:rFonts w:ascii="宋体" w:hAnsi="宋体" w:cs="宋体" w:eastAsia="宋体" w:hint="default"/>
          <w:spacing w:val="-21"/>
        </w:rPr>
        <w:t> </w:t>
      </w:r>
      <w:r>
        <w:rPr/>
        <w:t>涉及政府补助的应收款项</w:t>
      </w:r>
      <w:r>
        <w:rPr>
          <w:b w:val="0"/>
          <w:bCs w:val="0"/>
        </w:rPr>
      </w:r>
    </w:p>
    <w:p>
      <w:pPr>
        <w:pStyle w:val="BodyText"/>
        <w:spacing w:line="240" w:lineRule="auto" w:before="85"/>
        <w:ind w:left="258" w:right="-17"/>
        <w:jc w:val="left"/>
      </w:pPr>
      <w:r>
        <w:rPr/>
        <w:t>□适用</w:t>
      </w:r>
      <w:r>
        <w:rPr>
          <w:spacing w:val="-1"/>
        </w:rPr>
        <w:t> </w:t>
      </w:r>
      <w:r>
        <w:rPr/>
        <w:t>√不适用</w:t>
      </w:r>
    </w:p>
    <w:p>
      <w:pPr>
        <w:pStyle w:val="Heading2"/>
        <w:spacing w:line="240" w:lineRule="auto" w:before="69"/>
        <w:ind w:left="258" w:right="-17"/>
        <w:jc w:val="left"/>
        <w:rPr>
          <w:b w:val="0"/>
          <w:bCs w:val="0"/>
        </w:rPr>
      </w:pPr>
      <w:r>
        <w:rPr>
          <w:rFonts w:ascii="宋体" w:hAnsi="宋体" w:cs="宋体" w:eastAsia="宋体" w:hint="default"/>
        </w:rPr>
        <w:t>(7).</w:t>
      </w:r>
      <w:r>
        <w:rPr>
          <w:rFonts w:ascii="宋体" w:hAnsi="宋体" w:cs="宋体" w:eastAsia="宋体" w:hint="default"/>
          <w:spacing w:val="-20"/>
        </w:rPr>
        <w:t> </w:t>
      </w:r>
      <w:r>
        <w:rPr/>
        <w:t>因金融资产转移而终止确认的其他应收款：</w:t>
      </w:r>
      <w:r>
        <w:rPr>
          <w:b w:val="0"/>
          <w:bCs w:val="0"/>
        </w:rPr>
      </w:r>
    </w:p>
    <w:p>
      <w:pPr>
        <w:pStyle w:val="BodyText"/>
        <w:tabs>
          <w:tab w:pos="1100" w:val="left" w:leader="none"/>
        </w:tabs>
        <w:spacing w:line="240" w:lineRule="auto" w:before="85"/>
        <w:ind w:left="258" w:right="-17"/>
        <w:jc w:val="left"/>
      </w:pPr>
      <w:r>
        <w:rPr>
          <w:spacing w:val="-1"/>
        </w:rPr>
        <w:t>□适用</w:t>
        <w:tab/>
      </w:r>
      <w:r>
        <w:rPr>
          <w:spacing w:val="-2"/>
        </w:rPr>
        <w:t>√不适用</w:t>
      </w:r>
    </w:p>
    <w:p>
      <w:pPr>
        <w:pStyle w:val="Heading2"/>
        <w:spacing w:line="240" w:lineRule="auto" w:before="69"/>
        <w:ind w:left="258" w:right="-17"/>
        <w:jc w:val="left"/>
        <w:rPr>
          <w:b w:val="0"/>
          <w:bCs w:val="0"/>
        </w:rPr>
      </w:pPr>
      <w:r>
        <w:rPr>
          <w:rFonts w:ascii="宋体" w:hAnsi="宋体" w:cs="宋体" w:eastAsia="宋体" w:hint="default"/>
        </w:rPr>
        <w:t>(8).</w:t>
      </w:r>
      <w:r>
        <w:rPr>
          <w:rFonts w:ascii="宋体" w:hAnsi="宋体" w:cs="宋体" w:eastAsia="宋体" w:hint="default"/>
          <w:spacing w:val="-21"/>
        </w:rPr>
        <w:t> </w:t>
      </w:r>
      <w:r>
        <w:rPr/>
        <w:t>转移其他应收款且继续涉入形成的资产、负债的金额：</w:t>
      </w:r>
      <w:r>
        <w:rPr>
          <w:b w:val="0"/>
          <w:bCs w:val="0"/>
        </w:rPr>
      </w:r>
    </w:p>
    <w:p>
      <w:pPr>
        <w:pStyle w:val="BodyText"/>
        <w:tabs>
          <w:tab w:pos="1100" w:val="left" w:leader="none"/>
        </w:tabs>
        <w:spacing w:line="273" w:lineRule="auto" w:before="85"/>
        <w:ind w:left="258" w:right="4685"/>
        <w:jc w:val="left"/>
      </w:pPr>
      <w:r>
        <w:rPr>
          <w:spacing w:val="-1"/>
        </w:rPr>
        <w:t>□适用</w:t>
        <w:tab/>
      </w:r>
      <w:r>
        <w:rPr>
          <w:spacing w:val="-2"/>
        </w:rPr>
        <w:t>√不适用</w:t>
      </w:r>
      <w:r>
        <w:rPr>
          <w:spacing w:val="-99"/>
        </w:rPr>
        <w:t> </w:t>
      </w:r>
      <w:r>
        <w:rPr>
          <w:spacing w:val="-99"/>
        </w:rPr>
      </w:r>
      <w:r>
        <w:rPr/>
        <w:t>其他说明：</w:t>
      </w:r>
    </w:p>
    <w:p>
      <w:pPr>
        <w:tabs>
          <w:tab w:pos="1097" w:val="left" w:leader="none"/>
        </w:tabs>
        <w:spacing w:line="292" w:lineRule="auto" w:before="7"/>
        <w:ind w:left="258" w:right="4685" w:firstLine="0"/>
        <w:jc w:val="left"/>
        <w:rPr>
          <w:rFonts w:ascii="宋体" w:hAnsi="宋体" w:cs="宋体" w:eastAsia="宋体" w:hint="default"/>
          <w:sz w:val="24"/>
          <w:szCs w:val="24"/>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4"/>
          <w:szCs w:val="24"/>
        </w:rPr>
        <w:t>10</w:t>
      </w:r>
      <w:r>
        <w:rPr>
          <w:rFonts w:ascii="宋体" w:hAnsi="宋体" w:cs="宋体" w:eastAsia="宋体" w:hint="default"/>
          <w:b/>
          <w:bCs/>
          <w:w w:val="95"/>
          <w:sz w:val="24"/>
          <w:szCs w:val="24"/>
        </w:rPr>
        <w:t>、</w:t>
        <w:tab/>
      </w:r>
      <w:r>
        <w:rPr>
          <w:rFonts w:ascii="宋体" w:hAnsi="宋体" w:cs="宋体" w:eastAsia="宋体" w:hint="default"/>
          <w:b/>
          <w:bCs/>
          <w:sz w:val="24"/>
          <w:szCs w:val="24"/>
        </w:rPr>
        <w:t>存货</w:t>
      </w:r>
      <w:r>
        <w:rPr>
          <w:rFonts w:ascii="宋体" w:hAnsi="宋体" w:cs="宋体" w:eastAsia="宋体" w:hint="default"/>
          <w:b/>
          <w:bCs/>
          <w:spacing w:val="-119"/>
          <w:sz w:val="24"/>
          <w:szCs w:val="24"/>
        </w:rPr>
        <w:t> </w:t>
      </w:r>
      <w:r>
        <w:rPr>
          <w:rFonts w:ascii="宋体" w:hAnsi="宋体" w:cs="宋体" w:eastAsia="宋体" w:hint="default"/>
          <w:b/>
          <w:bCs/>
          <w:spacing w:val="-119"/>
          <w:sz w:val="24"/>
          <w:szCs w:val="24"/>
        </w:rPr>
      </w:r>
      <w:r>
        <w:rPr>
          <w:rFonts w:ascii="宋体" w:hAnsi="宋体" w:cs="宋体" w:eastAsia="宋体" w:hint="default"/>
          <w:b/>
          <w:bCs/>
          <w:sz w:val="24"/>
          <w:szCs w:val="24"/>
        </w:rPr>
        <w:t>(1).</w:t>
      </w:r>
      <w:r>
        <w:rPr>
          <w:rFonts w:ascii="宋体" w:hAnsi="宋体" w:cs="宋体" w:eastAsia="宋体" w:hint="default"/>
          <w:b/>
          <w:bCs/>
          <w:spacing w:val="25"/>
          <w:sz w:val="24"/>
          <w:szCs w:val="24"/>
        </w:rPr>
        <w:t> </w:t>
      </w:r>
      <w:r>
        <w:rPr>
          <w:rFonts w:ascii="宋体" w:hAnsi="宋体" w:cs="宋体" w:eastAsia="宋体" w:hint="default"/>
          <w:b/>
          <w:bCs/>
          <w:sz w:val="24"/>
          <w:szCs w:val="24"/>
        </w:rPr>
        <w:t>存货分类</w:t>
      </w:r>
      <w:r>
        <w:rPr>
          <w:rFonts w:ascii="宋体" w:hAnsi="宋体" w:cs="宋体" w:eastAsia="宋体" w:hint="default"/>
          <w:sz w:val="24"/>
          <w:szCs w:val="24"/>
        </w:rPr>
      </w:r>
    </w:p>
    <w:p>
      <w:pPr>
        <w:pStyle w:val="BodyText"/>
        <w:spacing w:line="240" w:lineRule="auto" w:before="33"/>
        <w:ind w:left="2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tabs>
          <w:tab w:pos="1163" w:val="left" w:leader="none"/>
        </w:tabs>
        <w:spacing w:line="240" w:lineRule="auto"/>
        <w:ind w:left="112"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628" w:space="40"/>
            <w:col w:w="2662"/>
          </w:cols>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135"/>
        <w:gridCol w:w="1702"/>
        <w:gridCol w:w="708"/>
        <w:gridCol w:w="1412"/>
        <w:gridCol w:w="1536"/>
        <w:gridCol w:w="1328"/>
        <w:gridCol w:w="1253"/>
      </w:tblGrid>
      <w:tr>
        <w:trPr>
          <w:trHeight w:val="322"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113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7" w:right="35" w:hanging="209"/>
              <w:jc w:val="left"/>
              <w:rPr>
                <w:rFonts w:ascii="宋体" w:hAnsi="宋体" w:cs="宋体" w:eastAsia="宋体" w:hint="default"/>
                <w:sz w:val="21"/>
                <w:szCs w:val="21"/>
              </w:rPr>
            </w:pPr>
            <w:r>
              <w:rPr>
                <w:rFonts w:ascii="宋体" w:hAnsi="宋体" w:cs="宋体" w:eastAsia="宋体" w:hint="default"/>
                <w:sz w:val="21"/>
                <w:szCs w:val="21"/>
              </w:rPr>
              <w:t>跌价准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348,358,633.70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348,358,633.</w:t>
            </w:r>
          </w:p>
          <w:p>
            <w:pPr>
              <w:pStyle w:val="TableParagraph"/>
              <w:spacing w:line="240" w:lineRule="auto" w:before="37"/>
              <w:ind w:right="31"/>
              <w:jc w:val="right"/>
              <w:rPr>
                <w:rFonts w:ascii="宋体" w:hAnsi="宋体" w:cs="宋体" w:eastAsia="宋体" w:hint="default"/>
                <w:sz w:val="21"/>
                <w:szCs w:val="21"/>
              </w:rPr>
            </w:pPr>
            <w:r>
              <w:rPr>
                <w:rFonts w:ascii="宋体"/>
                <w:sz w:val="21"/>
              </w:rPr>
              <w:t>70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199,543,246.93</w:t>
            </w:r>
          </w:p>
        </w:tc>
        <w:tc>
          <w:tcPr>
            <w:tcW w:w="132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199,543,246</w:t>
            </w:r>
          </w:p>
          <w:p>
            <w:pPr>
              <w:pStyle w:val="TableParagraph"/>
              <w:spacing w:line="240" w:lineRule="auto" w:before="37"/>
              <w:ind w:right="26"/>
              <w:jc w:val="right"/>
              <w:rPr>
                <w:rFonts w:ascii="宋体" w:hAnsi="宋体" w:cs="宋体" w:eastAsia="宋体" w:hint="default"/>
                <w:sz w:val="21"/>
                <w:szCs w:val="21"/>
              </w:rPr>
            </w:pPr>
            <w:r>
              <w:rPr>
                <w:rFonts w:ascii="宋体"/>
                <w:sz w:val="21"/>
              </w:rPr>
              <w:t>.93</w:t>
            </w:r>
          </w:p>
        </w:tc>
      </w:tr>
      <w:tr>
        <w:trPr>
          <w:trHeight w:val="63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9"/>
              <w:jc w:val="right"/>
              <w:rPr>
                <w:rFonts w:ascii="宋体" w:hAnsi="宋体" w:cs="宋体" w:eastAsia="宋体" w:hint="default"/>
                <w:sz w:val="21"/>
                <w:szCs w:val="21"/>
              </w:rPr>
            </w:pPr>
            <w:r>
              <w:rPr>
                <w:rFonts w:ascii="宋体"/>
                <w:spacing w:val="-1"/>
                <w:sz w:val="21"/>
              </w:rPr>
              <w:t>126,886,738.18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 w:right="0"/>
              <w:jc w:val="left"/>
              <w:rPr>
                <w:rFonts w:ascii="宋体" w:hAnsi="宋体" w:cs="宋体" w:eastAsia="宋体" w:hint="default"/>
                <w:sz w:val="21"/>
                <w:szCs w:val="21"/>
              </w:rPr>
            </w:pPr>
            <w:r>
              <w:rPr>
                <w:rFonts w:ascii="宋体"/>
                <w:sz w:val="21"/>
              </w:rPr>
              <w:t>1,095,</w:t>
            </w:r>
          </w:p>
          <w:p>
            <w:pPr>
              <w:pStyle w:val="TableParagraph"/>
              <w:spacing w:line="240" w:lineRule="auto" w:before="37"/>
              <w:ind w:left="33" w:right="0"/>
              <w:jc w:val="left"/>
              <w:rPr>
                <w:rFonts w:ascii="宋体" w:hAnsi="宋体" w:cs="宋体" w:eastAsia="宋体" w:hint="default"/>
                <w:sz w:val="21"/>
                <w:szCs w:val="21"/>
              </w:rPr>
            </w:pPr>
            <w:r>
              <w:rPr>
                <w:rFonts w:ascii="宋体"/>
                <w:sz w:val="21"/>
              </w:rPr>
              <w:t>150.24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9"/>
              <w:jc w:val="right"/>
              <w:rPr>
                <w:rFonts w:ascii="宋体" w:hAnsi="宋体" w:cs="宋体" w:eastAsia="宋体" w:hint="default"/>
                <w:sz w:val="21"/>
                <w:szCs w:val="21"/>
              </w:rPr>
            </w:pPr>
            <w:r>
              <w:rPr>
                <w:rFonts w:ascii="宋体"/>
                <w:spacing w:val="-1"/>
                <w:sz w:val="21"/>
              </w:rPr>
              <w:t>125,791,587.</w:t>
            </w:r>
          </w:p>
          <w:p>
            <w:pPr>
              <w:pStyle w:val="TableParagraph"/>
              <w:spacing w:line="240" w:lineRule="auto" w:before="37"/>
              <w:ind w:right="31"/>
              <w:jc w:val="right"/>
              <w:rPr>
                <w:rFonts w:ascii="宋体" w:hAnsi="宋体" w:cs="宋体" w:eastAsia="宋体" w:hint="default"/>
                <w:sz w:val="21"/>
                <w:szCs w:val="21"/>
              </w:rPr>
            </w:pPr>
            <w:r>
              <w:rPr>
                <w:rFonts w:ascii="宋体"/>
                <w:sz w:val="21"/>
              </w:rPr>
              <w:t>94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51,008,685.18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1,095,150.24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49,913,534.</w:t>
            </w:r>
          </w:p>
          <w:p>
            <w:pPr>
              <w:pStyle w:val="TableParagraph"/>
              <w:spacing w:line="240" w:lineRule="auto" w:before="37"/>
              <w:ind w:right="29"/>
              <w:jc w:val="right"/>
              <w:rPr>
                <w:rFonts w:ascii="宋体" w:hAnsi="宋体" w:cs="宋体" w:eastAsia="宋体" w:hint="default"/>
                <w:sz w:val="21"/>
                <w:szCs w:val="21"/>
              </w:rPr>
            </w:pPr>
            <w:r>
              <w:rPr>
                <w:rFonts w:ascii="宋体"/>
                <w:sz w:val="21"/>
              </w:rPr>
              <w:t>94</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587,801,221.81</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587,801,221.</w:t>
            </w:r>
          </w:p>
          <w:p>
            <w:pPr>
              <w:pStyle w:val="TableParagraph"/>
              <w:spacing w:line="240" w:lineRule="auto" w:before="37"/>
              <w:ind w:right="31"/>
              <w:jc w:val="right"/>
              <w:rPr>
                <w:rFonts w:ascii="宋体" w:hAnsi="宋体" w:cs="宋体" w:eastAsia="宋体" w:hint="default"/>
                <w:sz w:val="21"/>
                <w:szCs w:val="21"/>
              </w:rPr>
            </w:pPr>
            <w:r>
              <w:rPr>
                <w:rFonts w:ascii="宋体"/>
                <w:sz w:val="21"/>
              </w:rPr>
              <w:t>81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597,713,436.05</w:t>
            </w:r>
          </w:p>
        </w:tc>
        <w:tc>
          <w:tcPr>
            <w:tcW w:w="132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597,713,436</w:t>
            </w:r>
          </w:p>
          <w:p>
            <w:pPr>
              <w:pStyle w:val="TableParagraph"/>
              <w:spacing w:line="240" w:lineRule="auto" w:before="37"/>
              <w:ind w:right="26"/>
              <w:jc w:val="right"/>
              <w:rPr>
                <w:rFonts w:ascii="宋体" w:hAnsi="宋体" w:cs="宋体" w:eastAsia="宋体" w:hint="default"/>
                <w:sz w:val="21"/>
                <w:szCs w:val="21"/>
              </w:rPr>
            </w:pPr>
            <w:r>
              <w:rPr>
                <w:rFonts w:ascii="宋体"/>
                <w:sz w:val="21"/>
              </w:rPr>
              <w:t>.05</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1,063,046,593.6</w:t>
            </w:r>
          </w:p>
          <w:p>
            <w:pPr>
              <w:pStyle w:val="TableParagraph"/>
              <w:spacing w:line="240" w:lineRule="auto" w:before="37"/>
              <w:ind w:right="31"/>
              <w:jc w:val="right"/>
              <w:rPr>
                <w:rFonts w:ascii="宋体" w:hAnsi="宋体" w:cs="宋体" w:eastAsia="宋体" w:hint="default"/>
                <w:sz w:val="21"/>
                <w:szCs w:val="21"/>
              </w:rPr>
            </w:pPr>
            <w:r>
              <w:rPr>
                <w:rFonts w:ascii="宋体"/>
                <w:w w:val="100"/>
                <w:sz w:val="21"/>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left"/>
              <w:rPr>
                <w:rFonts w:ascii="宋体" w:hAnsi="宋体" w:cs="宋体" w:eastAsia="宋体" w:hint="default"/>
                <w:sz w:val="21"/>
                <w:szCs w:val="21"/>
              </w:rPr>
            </w:pPr>
            <w:r>
              <w:rPr>
                <w:rFonts w:ascii="宋体"/>
                <w:sz w:val="21"/>
              </w:rPr>
              <w:t>1,095,</w:t>
            </w:r>
          </w:p>
          <w:p>
            <w:pPr>
              <w:pStyle w:val="TableParagraph"/>
              <w:spacing w:line="240" w:lineRule="auto" w:before="37"/>
              <w:ind w:left="33" w:right="0"/>
              <w:jc w:val="left"/>
              <w:rPr>
                <w:rFonts w:ascii="宋体" w:hAnsi="宋体" w:cs="宋体" w:eastAsia="宋体" w:hint="default"/>
                <w:sz w:val="21"/>
                <w:szCs w:val="21"/>
              </w:rPr>
            </w:pPr>
            <w:r>
              <w:rPr>
                <w:rFonts w:ascii="宋体"/>
                <w:sz w:val="21"/>
              </w:rPr>
              <w:t>150.24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1,061,951,44</w:t>
            </w:r>
          </w:p>
          <w:p>
            <w:pPr>
              <w:pStyle w:val="TableParagraph"/>
              <w:spacing w:line="240" w:lineRule="auto" w:before="37"/>
              <w:ind w:right="29"/>
              <w:jc w:val="right"/>
              <w:rPr>
                <w:rFonts w:ascii="宋体" w:hAnsi="宋体" w:cs="宋体" w:eastAsia="宋体" w:hint="default"/>
                <w:sz w:val="21"/>
                <w:szCs w:val="21"/>
              </w:rPr>
            </w:pPr>
            <w:r>
              <w:rPr>
                <w:rFonts w:ascii="宋体"/>
                <w:sz w:val="21"/>
              </w:rPr>
              <w:t>3.45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848,265,368.16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1,095,150.24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847,170,217</w:t>
            </w:r>
          </w:p>
          <w:p>
            <w:pPr>
              <w:pStyle w:val="TableParagraph"/>
              <w:spacing w:line="240" w:lineRule="auto" w:before="37"/>
              <w:ind w:right="26"/>
              <w:jc w:val="right"/>
              <w:rPr>
                <w:rFonts w:ascii="宋体" w:hAnsi="宋体" w:cs="宋体" w:eastAsia="宋体" w:hint="default"/>
                <w:sz w:val="21"/>
                <w:szCs w:val="21"/>
              </w:rPr>
            </w:pPr>
            <w:r>
              <w:rPr>
                <w:rFonts w:ascii="宋体"/>
                <w:sz w:val="21"/>
              </w:rPr>
              <w:t>.92</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40" w:right="1040"/>
        </w:sectPr>
      </w:pPr>
    </w:p>
    <w:p>
      <w:pPr>
        <w:pStyle w:val="Heading2"/>
        <w:spacing w:line="240" w:lineRule="auto"/>
        <w:ind w:left="258" w:right="-18"/>
        <w:jc w:val="left"/>
        <w:rPr>
          <w:b w:val="0"/>
          <w:bCs w:val="0"/>
        </w:rPr>
      </w:pPr>
      <w:r>
        <w:rPr>
          <w:rFonts w:ascii="宋体" w:hAnsi="宋体" w:cs="宋体" w:eastAsia="宋体" w:hint="default"/>
        </w:rPr>
        <w:t>(2).</w:t>
      </w:r>
      <w:r>
        <w:rPr>
          <w:rFonts w:ascii="宋体" w:hAnsi="宋体" w:cs="宋体" w:eastAsia="宋体" w:hint="default"/>
          <w:spacing w:val="23"/>
        </w:rPr>
        <w:t> </w:t>
      </w:r>
      <w:r>
        <w:rPr/>
        <w:t>存货跌价准备</w:t>
      </w:r>
      <w:r>
        <w:rPr>
          <w:b w:val="0"/>
          <w:bCs w:val="0"/>
        </w:rPr>
      </w:r>
    </w:p>
    <w:p>
      <w:pPr>
        <w:pStyle w:val="BodyText"/>
        <w:spacing w:line="240" w:lineRule="auto" w:before="85"/>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334" w:space="4188"/>
            <w:col w:w="2808"/>
          </w:cols>
        </w:sectPr>
      </w:pP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918"/>
        <w:gridCol w:w="1738"/>
        <w:gridCol w:w="708"/>
        <w:gridCol w:w="994"/>
        <w:gridCol w:w="1318"/>
        <w:gridCol w:w="809"/>
        <w:gridCol w:w="1565"/>
      </w:tblGrid>
      <w:tr>
        <w:trPr>
          <w:trHeight w:val="322" w:hRule="exact"/>
        </w:trPr>
        <w:tc>
          <w:tcPr>
            <w:tcW w:w="1918" w:type="dxa"/>
            <w:vMerge w:val="restart"/>
            <w:tcBorders>
              <w:top w:val="single" w:sz="4" w:space="0" w:color="000000"/>
              <w:left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8"/>
              <w:ind w:left="4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65" w:type="dxa"/>
            <w:vMerge w:val="restart"/>
            <w:tcBorders>
              <w:top w:val="single" w:sz="4" w:space="0" w:color="000000"/>
              <w:left w:val="single" w:sz="4" w:space="0" w:color="000000"/>
              <w:right w:val="single" w:sz="4" w:space="0" w:color="000000"/>
            </w:tcBorders>
          </w:tcPr>
          <w:p>
            <w:pPr>
              <w:pStyle w:val="TableParagraph"/>
              <w:spacing w:line="240" w:lineRule="auto" w:before="148"/>
              <w:ind w:left="35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91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9"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7"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5" w:type="dxa"/>
            <w:vMerge/>
            <w:tcBorders>
              <w:left w:val="single" w:sz="4" w:space="0" w:color="000000"/>
              <w:bottom w:val="single" w:sz="4" w:space="0" w:color="000000"/>
              <w:right w:val="single" w:sz="4" w:space="0" w:color="000000"/>
            </w:tcBorders>
          </w:tcPr>
          <w:p>
            <w:pPr/>
          </w:p>
        </w:tc>
      </w:tr>
      <w:tr>
        <w:trPr>
          <w:trHeight w:val="32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1,095,150.24</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1,095,150.24</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1,095,150.24</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1,095,150.24</w:t>
            </w:r>
          </w:p>
        </w:tc>
      </w:tr>
    </w:tbl>
    <w:p>
      <w:pPr>
        <w:spacing w:line="240" w:lineRule="auto" w:before="5"/>
        <w:rPr>
          <w:rFonts w:ascii="宋体" w:hAnsi="宋体" w:cs="宋体" w:eastAsia="宋体" w:hint="default"/>
          <w:sz w:val="23"/>
          <w:szCs w:val="23"/>
        </w:rPr>
      </w:pPr>
    </w:p>
    <w:p>
      <w:pPr>
        <w:pStyle w:val="Heading2"/>
        <w:spacing w:line="240" w:lineRule="auto"/>
        <w:ind w:left="258" w:right="246"/>
        <w:jc w:val="left"/>
        <w:rPr>
          <w:b w:val="0"/>
          <w:bCs w:val="0"/>
        </w:rPr>
      </w:pPr>
      <w:r>
        <w:rPr>
          <w:rFonts w:ascii="宋体" w:hAnsi="宋体" w:cs="宋体" w:eastAsia="宋体" w:hint="default"/>
        </w:rPr>
        <w:t>(3).</w:t>
      </w:r>
      <w:r>
        <w:rPr>
          <w:rFonts w:ascii="宋体" w:hAnsi="宋体" w:cs="宋体" w:eastAsia="宋体" w:hint="default"/>
          <w:spacing w:val="21"/>
        </w:rPr>
        <w:t> </w:t>
      </w:r>
      <w:r>
        <w:rPr/>
        <w:t>存货期末余额含有借款费用资本化金额的说明：</w:t>
      </w:r>
      <w:r>
        <w:rPr>
          <w:b w:val="0"/>
          <w:bCs w:val="0"/>
        </w:rPr>
      </w:r>
    </w:p>
    <w:p>
      <w:pPr>
        <w:pStyle w:val="BodyText"/>
        <w:tabs>
          <w:tab w:pos="1100" w:val="left" w:leader="none"/>
        </w:tabs>
        <w:spacing w:line="240" w:lineRule="auto" w:before="85"/>
        <w:ind w:left="258" w:right="246"/>
        <w:jc w:val="left"/>
      </w:pPr>
      <w:r>
        <w:rPr>
          <w:spacing w:val="-1"/>
        </w:rPr>
        <w:t>□适用</w:t>
        <w:tab/>
      </w:r>
      <w:r>
        <w:rPr>
          <w:spacing w:val="-2"/>
        </w:rPr>
        <w:t>√不适用</w:t>
      </w:r>
    </w:p>
    <w:p>
      <w:pPr>
        <w:pStyle w:val="Heading2"/>
        <w:spacing w:line="240" w:lineRule="auto" w:before="69"/>
        <w:ind w:left="258" w:right="246"/>
        <w:jc w:val="left"/>
        <w:rPr>
          <w:b w:val="0"/>
          <w:bCs w:val="0"/>
        </w:rPr>
      </w:pPr>
      <w:r>
        <w:rPr>
          <w:rFonts w:ascii="宋体" w:hAnsi="宋体" w:cs="宋体" w:eastAsia="宋体" w:hint="default"/>
        </w:rPr>
        <w:t>(4).</w:t>
      </w:r>
      <w:r>
        <w:rPr>
          <w:rFonts w:ascii="宋体" w:hAnsi="宋体" w:cs="宋体" w:eastAsia="宋体" w:hint="default"/>
          <w:spacing w:val="22"/>
        </w:rPr>
        <w:t> </w:t>
      </w:r>
      <w:r>
        <w:rPr/>
        <w:t>期末建造合同形成的已完工未结算资产情况：</w:t>
      </w:r>
      <w:r>
        <w:rPr>
          <w:b w:val="0"/>
          <w:bCs w:val="0"/>
        </w:rPr>
      </w:r>
    </w:p>
    <w:p>
      <w:pPr>
        <w:pStyle w:val="BodyText"/>
        <w:spacing w:line="273" w:lineRule="auto" w:before="85"/>
        <w:ind w:left="258" w:right="7474"/>
        <w:jc w:val="left"/>
      </w:pPr>
      <w:r>
        <w:rPr/>
        <w:t>□适用</w:t>
      </w:r>
      <w:r>
        <w:rPr>
          <w:spacing w:val="-1"/>
        </w:rPr>
        <w:t> </w:t>
      </w:r>
      <w:r>
        <w:rPr/>
        <w:t>√不适用</w:t>
      </w:r>
      <w:r>
        <w:rPr>
          <w:w w:val="100"/>
        </w:rPr>
        <w:t> </w:t>
      </w:r>
      <w:r>
        <w:rPr/>
        <w:t>其他说明</w:t>
      </w:r>
    </w:p>
    <w:p>
      <w:pPr>
        <w:pStyle w:val="BodyText"/>
        <w:tabs>
          <w:tab w:pos="1100" w:val="left" w:leader="none"/>
        </w:tabs>
        <w:spacing w:line="240" w:lineRule="auto" w:before="7"/>
        <w:ind w:left="258" w:right="246"/>
        <w:jc w:val="left"/>
      </w:pPr>
      <w:r>
        <w:rPr>
          <w:spacing w:val="-1"/>
        </w:rPr>
        <w:t>□适用</w:t>
        <w:tab/>
      </w:r>
      <w:r>
        <w:rPr>
          <w:spacing w:val="-2"/>
        </w:rPr>
        <w:t>√不适用</w:t>
      </w:r>
    </w:p>
    <w:p>
      <w:pPr>
        <w:pStyle w:val="Heading2"/>
        <w:spacing w:line="240" w:lineRule="auto" w:before="69"/>
        <w:ind w:left="258" w:right="246"/>
        <w:jc w:val="left"/>
        <w:rPr>
          <w:b w:val="0"/>
          <w:bCs w:val="0"/>
        </w:rPr>
      </w:pPr>
      <w:r>
        <w:rPr>
          <w:rFonts w:ascii="宋体" w:hAnsi="宋体" w:cs="宋体" w:eastAsia="宋体" w:hint="default"/>
        </w:rPr>
        <w:t>11</w:t>
      </w:r>
      <w:r>
        <w:rPr/>
        <w:t>、</w:t>
      </w:r>
      <w:r>
        <w:rPr>
          <w:spacing w:val="-104"/>
        </w:rPr>
        <w:t> </w:t>
      </w:r>
      <w:r>
        <w:rPr/>
        <w:t>持有待售资产</w:t>
      </w:r>
      <w:r>
        <w:rPr>
          <w:b w:val="0"/>
          <w:bCs w:val="0"/>
        </w:rPr>
      </w:r>
    </w:p>
    <w:p>
      <w:pPr>
        <w:pStyle w:val="BodyText"/>
        <w:spacing w:line="240" w:lineRule="auto" w:before="85"/>
        <w:ind w:left="258" w:right="246"/>
        <w:jc w:val="left"/>
      </w:pPr>
      <w:r>
        <w:rPr/>
        <w:t>□适用</w:t>
      </w:r>
      <w:r>
        <w:rPr>
          <w:spacing w:val="-1"/>
        </w:rPr>
        <w:t> </w:t>
      </w:r>
      <w:r>
        <w:rPr/>
        <w:t>√不适用</w:t>
      </w:r>
    </w:p>
    <w:p>
      <w:pPr>
        <w:spacing w:after="0" w:line="240" w:lineRule="auto"/>
        <w:jc w:val="left"/>
        <w:sectPr>
          <w:type w:val="continuous"/>
          <w:pgSz w:w="11910" w:h="16840"/>
          <w:pgMar w:top="1120" w:bottom="1380" w:left="154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8"/>
          <w:pgSz w:w="11910" w:h="16840"/>
          <w:pgMar w:footer="1195" w:header="882" w:top="1120" w:bottom="1380" w:left="1400" w:right="1040"/>
          <w:pgNumType w:start="115"/>
        </w:sectPr>
      </w:pPr>
    </w:p>
    <w:p>
      <w:pPr>
        <w:pStyle w:val="Heading2"/>
        <w:spacing w:line="240" w:lineRule="auto"/>
        <w:ind w:left="398" w:right="-17"/>
        <w:jc w:val="left"/>
        <w:rPr>
          <w:b w:val="0"/>
          <w:bCs w:val="0"/>
        </w:rPr>
      </w:pPr>
      <w:r>
        <w:rPr>
          <w:rFonts w:ascii="宋体" w:hAnsi="宋体" w:cs="宋体" w:eastAsia="宋体" w:hint="default"/>
        </w:rPr>
        <w:t>12</w:t>
      </w:r>
      <w:r>
        <w:rPr/>
        <w:t>、</w:t>
      </w:r>
      <w:r>
        <w:rPr>
          <w:spacing w:val="-105"/>
        </w:rPr>
        <w:t> </w:t>
      </w:r>
      <w:r>
        <w:rPr/>
        <w:t>一年内到期的非流动资产</w:t>
      </w:r>
      <w:r>
        <w:rPr>
          <w:b w:val="0"/>
          <w:bCs w:val="0"/>
        </w:rPr>
      </w:r>
    </w:p>
    <w:p>
      <w:pPr>
        <w:pStyle w:val="BodyText"/>
        <w:spacing w:line="240" w:lineRule="auto" w:before="85"/>
        <w:ind w:left="398" w:right="-17"/>
        <w:jc w:val="left"/>
      </w:pPr>
      <w:r>
        <w:rPr/>
        <w:t>□适用</w:t>
      </w:r>
      <w:r>
        <w:rPr>
          <w:spacing w:val="-1"/>
        </w:rPr>
        <w:t> </w:t>
      </w:r>
      <w:r>
        <w:rPr/>
        <w:t>√不适用</w:t>
      </w:r>
    </w:p>
    <w:p>
      <w:pPr>
        <w:pStyle w:val="Heading2"/>
        <w:spacing w:line="240" w:lineRule="auto" w:before="69"/>
        <w:ind w:left="398" w:right="-17"/>
        <w:jc w:val="left"/>
        <w:rPr>
          <w:b w:val="0"/>
          <w:bCs w:val="0"/>
        </w:rPr>
      </w:pPr>
      <w:r>
        <w:rPr>
          <w:rFonts w:ascii="宋体" w:hAnsi="宋体" w:cs="宋体" w:eastAsia="宋体" w:hint="default"/>
        </w:rPr>
        <w:t>13</w:t>
      </w:r>
      <w:r>
        <w:rPr/>
        <w:t>、</w:t>
      </w:r>
      <w:r>
        <w:rPr>
          <w:spacing w:val="-104"/>
        </w:rPr>
        <w:t> </w:t>
      </w:r>
      <w:r>
        <w:rPr/>
        <w:t>其他流动资产</w:t>
      </w:r>
      <w:r>
        <w:rPr>
          <w:b w:val="0"/>
          <w:bCs w:val="0"/>
        </w:rPr>
      </w:r>
    </w:p>
    <w:p>
      <w:pPr>
        <w:pStyle w:val="BodyText"/>
        <w:spacing w:line="240" w:lineRule="auto" w:before="85"/>
        <w:ind w:left="39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49" w:val="left" w:leader="none"/>
        </w:tabs>
        <w:spacing w:line="240" w:lineRule="auto" w:before="173"/>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3551" w:space="2971"/>
            <w:col w:w="2948"/>
          </w:cols>
        </w:sectPr>
      </w:pPr>
    </w:p>
    <w:p>
      <w:pPr>
        <w:spacing w:line="240" w:lineRule="auto" w:before="10"/>
        <w:rPr>
          <w:rFonts w:ascii="宋体" w:hAnsi="宋体" w:cs="宋体" w:eastAsia="宋体" w:hint="default"/>
          <w:sz w:val="3"/>
          <w:szCs w:val="3"/>
        </w:rPr>
      </w:pPr>
    </w:p>
    <w:tbl>
      <w:tblPr>
        <w:tblW w:w="0" w:type="auto"/>
        <w:jc w:val="left"/>
        <w:tblInd w:w="285" w:type="dxa"/>
        <w:tblLayout w:type="fixed"/>
        <w:tblCellMar>
          <w:top w:w="0" w:type="dxa"/>
          <w:left w:w="0" w:type="dxa"/>
          <w:bottom w:w="0" w:type="dxa"/>
          <w:right w:w="0" w:type="dxa"/>
        </w:tblCellMar>
        <w:tblLook w:val="01E0"/>
      </w:tblPr>
      <w:tblGrid>
        <w:gridCol w:w="3289"/>
        <w:gridCol w:w="2916"/>
        <w:gridCol w:w="2845"/>
      </w:tblGrid>
      <w:tr>
        <w:trPr>
          <w:trHeight w:val="32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21,585,715.28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30,938,251.21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短期金融理财产品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6,727,000.00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313,603.92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270,802.80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451,330.90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22,350,650.10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37,936,054.01</w:t>
            </w:r>
          </w:p>
        </w:tc>
      </w:tr>
    </w:tbl>
    <w:p>
      <w:pPr>
        <w:spacing w:after="0" w:line="241" w:lineRule="exact"/>
        <w:jc w:val="right"/>
        <w:rPr>
          <w:rFonts w:ascii="宋体" w:hAnsi="宋体" w:cs="宋体" w:eastAsia="宋体" w:hint="default"/>
          <w:sz w:val="21"/>
          <w:szCs w:val="21"/>
        </w:rPr>
        <w:sectPr>
          <w:type w:val="continuous"/>
          <w:pgSz w:w="11910" w:h="16840"/>
          <w:pgMar w:top="1120" w:bottom="1380" w:left="1400" w:right="1040"/>
        </w:sectPr>
      </w:pPr>
    </w:p>
    <w:p>
      <w:pPr>
        <w:pStyle w:val="BodyText"/>
        <w:spacing w:line="262" w:lineRule="exact"/>
        <w:ind w:left="398" w:right="-18"/>
        <w:jc w:val="left"/>
      </w:pPr>
      <w:r>
        <w:rPr/>
        <w:t>其他说明</w:t>
      </w:r>
    </w:p>
    <w:p>
      <w:pPr>
        <w:pStyle w:val="Heading2"/>
        <w:spacing w:line="240" w:lineRule="auto" w:before="69"/>
        <w:ind w:left="398" w:right="-18"/>
        <w:jc w:val="left"/>
        <w:rPr>
          <w:b w:val="0"/>
          <w:bCs w:val="0"/>
        </w:rPr>
      </w:pPr>
      <w:r>
        <w:rPr>
          <w:rFonts w:ascii="宋体" w:hAnsi="宋体" w:cs="宋体" w:eastAsia="宋体" w:hint="default"/>
        </w:rPr>
        <w:t>14</w:t>
      </w:r>
      <w:r>
        <w:rPr/>
        <w:t>、</w:t>
      </w:r>
      <w:r>
        <w:rPr>
          <w:spacing w:val="-104"/>
        </w:rPr>
        <w:t> </w:t>
      </w:r>
      <w:r>
        <w:rPr/>
        <w:t>可供出售金融资产</w:t>
      </w:r>
      <w:r>
        <w:rPr>
          <w:b w:val="0"/>
          <w:bCs w:val="0"/>
        </w:rPr>
      </w:r>
    </w:p>
    <w:p>
      <w:pPr>
        <w:pStyle w:val="Heading2"/>
        <w:spacing w:line="240" w:lineRule="auto" w:before="58"/>
        <w:ind w:left="398" w:right="-18"/>
        <w:jc w:val="left"/>
        <w:rPr>
          <w:b w:val="0"/>
          <w:bCs w:val="0"/>
        </w:rPr>
      </w:pPr>
      <w:r>
        <w:rPr>
          <w:rFonts w:ascii="宋体" w:hAnsi="宋体" w:cs="宋体" w:eastAsia="宋体" w:hint="default"/>
        </w:rPr>
        <w:t>(1).</w:t>
      </w:r>
      <w:r>
        <w:rPr>
          <w:rFonts w:ascii="宋体" w:hAnsi="宋体" w:cs="宋体" w:eastAsia="宋体" w:hint="default"/>
          <w:spacing w:val="35"/>
        </w:rPr>
        <w:t> </w:t>
      </w:r>
      <w:r>
        <w:rPr/>
        <w:t>可供出售金融资产情况</w:t>
      </w:r>
      <w:r>
        <w:rPr>
          <w:b w:val="0"/>
          <w:bCs w:val="0"/>
        </w:rPr>
      </w:r>
    </w:p>
    <w:p>
      <w:pPr>
        <w:pStyle w:val="BodyText"/>
        <w:spacing w:line="240" w:lineRule="auto" w:before="85"/>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3450" w:space="3071"/>
            <w:col w:w="2949"/>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135"/>
        <w:gridCol w:w="1135"/>
        <w:gridCol w:w="1417"/>
        <w:gridCol w:w="1416"/>
        <w:gridCol w:w="1560"/>
        <w:gridCol w:w="1054"/>
        <w:gridCol w:w="1498"/>
      </w:tblGrid>
      <w:tr>
        <w:trPr>
          <w:trHeight w:val="322"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8"/>
              <w:ind w:left="35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135"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left"/>
              <w:rPr>
                <w:rFonts w:ascii="宋体" w:hAnsi="宋体" w:cs="宋体" w:eastAsia="宋体" w:hint="default"/>
                <w:sz w:val="21"/>
                <w:szCs w:val="21"/>
              </w:rPr>
            </w:pPr>
            <w:r>
              <w:rPr>
                <w:rFonts w:ascii="宋体" w:hAnsi="宋体" w:cs="宋体" w:eastAsia="宋体" w:hint="default"/>
                <w:sz w:val="21"/>
                <w:szCs w:val="21"/>
              </w:rPr>
              <w:t>可供出售权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益工具：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 w:right="0"/>
              <w:jc w:val="left"/>
              <w:rPr>
                <w:rFonts w:ascii="宋体" w:hAnsi="宋体" w:cs="宋体" w:eastAsia="宋体" w:hint="default"/>
                <w:sz w:val="21"/>
                <w:szCs w:val="21"/>
              </w:rPr>
            </w:pPr>
            <w:r>
              <w:rPr>
                <w:rFonts w:ascii="宋体"/>
                <w:sz w:val="21"/>
              </w:rPr>
              <w:t>129,995,64</w:t>
            </w:r>
          </w:p>
          <w:p>
            <w:pPr>
              <w:pStyle w:val="TableParagraph"/>
              <w:spacing w:line="240" w:lineRule="auto" w:before="37"/>
              <w:ind w:left="679" w:right="0"/>
              <w:jc w:val="left"/>
              <w:rPr>
                <w:rFonts w:ascii="宋体" w:hAnsi="宋体" w:cs="宋体" w:eastAsia="宋体" w:hint="default"/>
                <w:sz w:val="21"/>
                <w:szCs w:val="21"/>
              </w:rPr>
            </w:pPr>
            <w:r>
              <w:rPr>
                <w:rFonts w:ascii="宋体"/>
                <w:sz w:val="21"/>
              </w:rPr>
              <w:t>2.84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sz w:val="21"/>
              </w:rPr>
              <w:t>4,800,000.00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125,195,642.</w:t>
            </w:r>
          </w:p>
          <w:p>
            <w:pPr>
              <w:pStyle w:val="TableParagraph"/>
              <w:spacing w:line="240" w:lineRule="auto" w:before="37"/>
              <w:ind w:right="23"/>
              <w:jc w:val="right"/>
              <w:rPr>
                <w:rFonts w:ascii="宋体" w:hAnsi="宋体" w:cs="宋体" w:eastAsia="宋体" w:hint="default"/>
                <w:sz w:val="21"/>
                <w:szCs w:val="21"/>
              </w:rPr>
            </w:pPr>
            <w:r>
              <w:rPr>
                <w:rFonts w:ascii="宋体"/>
                <w:sz w:val="21"/>
              </w:rPr>
              <w:t>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92,015,454.55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87,215,454.55</w:t>
            </w:r>
          </w:p>
        </w:tc>
      </w:tr>
      <w:tr>
        <w:trPr>
          <w:trHeight w:val="63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left"/>
              <w:rPr>
                <w:rFonts w:ascii="宋体" w:hAnsi="宋体" w:cs="宋体" w:eastAsia="宋体" w:hint="default"/>
                <w:sz w:val="21"/>
                <w:szCs w:val="21"/>
              </w:rPr>
            </w:pPr>
            <w:r>
              <w:rPr>
                <w:rFonts w:ascii="宋体" w:hAnsi="宋体" w:cs="宋体" w:eastAsia="宋体" w:hint="default"/>
                <w:sz w:val="21"/>
                <w:szCs w:val="21"/>
              </w:rPr>
              <w:t>按公允价值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计量的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89,503,715</w:t>
            </w:r>
          </w:p>
          <w:p>
            <w:pPr>
              <w:pStyle w:val="TableParagraph"/>
              <w:spacing w:line="240" w:lineRule="auto" w:before="37"/>
              <w:ind w:right="23"/>
              <w:jc w:val="right"/>
              <w:rPr>
                <w:rFonts w:ascii="宋体" w:hAnsi="宋体" w:cs="宋体" w:eastAsia="宋体" w:hint="default"/>
                <w:sz w:val="21"/>
                <w:szCs w:val="21"/>
              </w:rPr>
            </w:pPr>
            <w:r>
              <w:rPr>
                <w:rFonts w:ascii="宋体"/>
                <w:sz w:val="21"/>
              </w:rPr>
              <w:t>.55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6" w:right="0"/>
              <w:jc w:val="center"/>
              <w:rPr>
                <w:rFonts w:ascii="宋体" w:hAnsi="宋体" w:cs="宋体" w:eastAsia="宋体" w:hint="default"/>
                <w:sz w:val="21"/>
                <w:szCs w:val="21"/>
              </w:rPr>
            </w:pPr>
            <w:r>
              <w:rPr>
                <w:rFonts w:ascii="宋体"/>
                <w:sz w:val="21"/>
              </w:rPr>
              <w:t>4,800,000.00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84,703,715.5</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5,011,739.00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5,011,739.00</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left"/>
              <w:rPr>
                <w:rFonts w:ascii="宋体" w:hAnsi="宋体" w:cs="宋体" w:eastAsia="宋体" w:hint="default"/>
                <w:sz w:val="21"/>
                <w:szCs w:val="21"/>
              </w:rPr>
            </w:pPr>
            <w:r>
              <w:rPr>
                <w:rFonts w:ascii="宋体" w:hAnsi="宋体" w:cs="宋体" w:eastAsia="宋体" w:hint="default"/>
                <w:sz w:val="21"/>
                <w:szCs w:val="21"/>
              </w:rPr>
              <w:t>按成本计量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40,491,927</w:t>
            </w:r>
          </w:p>
          <w:p>
            <w:pPr>
              <w:pStyle w:val="TableParagraph"/>
              <w:spacing w:line="240" w:lineRule="auto" w:before="37"/>
              <w:ind w:right="23"/>
              <w:jc w:val="right"/>
              <w:rPr>
                <w:rFonts w:ascii="宋体" w:hAnsi="宋体" w:cs="宋体" w:eastAsia="宋体" w:hint="default"/>
                <w:sz w:val="21"/>
                <w:szCs w:val="21"/>
              </w:rPr>
            </w:pPr>
            <w:r>
              <w:rPr>
                <w:rFonts w:ascii="宋体"/>
                <w:sz w:val="21"/>
              </w:rPr>
              <w:t>.29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40,491,927.2</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87,003,715.55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82,203,715.55</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 w:right="0"/>
              <w:jc w:val="left"/>
              <w:rPr>
                <w:rFonts w:ascii="宋体" w:hAnsi="宋体" w:cs="宋体" w:eastAsia="宋体" w:hint="default"/>
                <w:sz w:val="21"/>
                <w:szCs w:val="21"/>
              </w:rPr>
            </w:pPr>
            <w:r>
              <w:rPr>
                <w:rFonts w:ascii="宋体"/>
                <w:sz w:val="21"/>
              </w:rPr>
              <w:t>129,995,64</w:t>
            </w:r>
          </w:p>
          <w:p>
            <w:pPr>
              <w:pStyle w:val="TableParagraph"/>
              <w:spacing w:line="240" w:lineRule="auto" w:before="37"/>
              <w:ind w:left="679" w:right="0"/>
              <w:jc w:val="left"/>
              <w:rPr>
                <w:rFonts w:ascii="宋体" w:hAnsi="宋体" w:cs="宋体" w:eastAsia="宋体" w:hint="default"/>
                <w:sz w:val="21"/>
                <w:szCs w:val="21"/>
              </w:rPr>
            </w:pPr>
            <w:r>
              <w:rPr>
                <w:rFonts w:ascii="宋体"/>
                <w:sz w:val="21"/>
              </w:rPr>
              <w:t>2.84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sz w:val="21"/>
              </w:rPr>
              <w:t>4,800,000.00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125,195,642.</w:t>
            </w:r>
          </w:p>
          <w:p>
            <w:pPr>
              <w:pStyle w:val="TableParagraph"/>
              <w:spacing w:line="240" w:lineRule="auto" w:before="37"/>
              <w:ind w:right="23"/>
              <w:jc w:val="right"/>
              <w:rPr>
                <w:rFonts w:ascii="宋体" w:hAnsi="宋体" w:cs="宋体" w:eastAsia="宋体" w:hint="default"/>
                <w:sz w:val="21"/>
                <w:szCs w:val="21"/>
              </w:rPr>
            </w:pPr>
            <w:r>
              <w:rPr>
                <w:rFonts w:ascii="宋体"/>
                <w:sz w:val="21"/>
              </w:rPr>
              <w:t>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92,015,454.55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87,215,454.55</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400" w:right="1040"/>
        </w:sectPr>
      </w:pPr>
    </w:p>
    <w:p>
      <w:pPr>
        <w:pStyle w:val="Heading2"/>
        <w:spacing w:line="240" w:lineRule="auto"/>
        <w:ind w:left="398" w:right="-18"/>
        <w:jc w:val="left"/>
        <w:rPr>
          <w:b w:val="0"/>
          <w:bCs w:val="0"/>
        </w:rPr>
      </w:pPr>
      <w:r>
        <w:rPr>
          <w:rFonts w:ascii="宋体" w:hAnsi="宋体" w:cs="宋体" w:eastAsia="宋体" w:hint="default"/>
        </w:rPr>
        <w:t>(2).</w:t>
      </w:r>
      <w:r>
        <w:rPr>
          <w:rFonts w:ascii="宋体" w:hAnsi="宋体" w:cs="宋体" w:eastAsia="宋体" w:hint="default"/>
          <w:spacing w:val="34"/>
        </w:rPr>
        <w:t> </w:t>
      </w:r>
      <w:r>
        <w:rPr/>
        <w:t>期末按公允价值计量的可供出售金融资产</w:t>
      </w:r>
      <w:r>
        <w:rPr>
          <w:b w:val="0"/>
          <w:bCs w:val="0"/>
        </w:rPr>
      </w:r>
    </w:p>
    <w:p>
      <w:pPr>
        <w:pStyle w:val="BodyText"/>
        <w:spacing w:line="240" w:lineRule="auto" w:before="85"/>
        <w:ind w:left="39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5377" w:space="1145"/>
            <w:col w:w="2948"/>
          </w:cols>
        </w:sectPr>
      </w:pPr>
    </w:p>
    <w:p>
      <w:pPr>
        <w:spacing w:line="240" w:lineRule="auto" w:before="10"/>
        <w:rPr>
          <w:rFonts w:ascii="宋体" w:hAnsi="宋体" w:cs="宋体" w:eastAsia="宋体" w:hint="default"/>
          <w:sz w:val="3"/>
          <w:szCs w:val="3"/>
        </w:rPr>
      </w:pPr>
    </w:p>
    <w:tbl>
      <w:tblPr>
        <w:tblW w:w="0" w:type="auto"/>
        <w:jc w:val="left"/>
        <w:tblInd w:w="285" w:type="dxa"/>
        <w:tblLayout w:type="fixed"/>
        <w:tblCellMar>
          <w:top w:w="0" w:type="dxa"/>
          <w:left w:w="0" w:type="dxa"/>
          <w:bottom w:w="0" w:type="dxa"/>
          <w:right w:w="0" w:type="dxa"/>
        </w:tblCellMar>
        <w:tblLook w:val="01E0"/>
      </w:tblPr>
      <w:tblGrid>
        <w:gridCol w:w="2713"/>
        <w:gridCol w:w="1627"/>
        <w:gridCol w:w="1575"/>
        <w:gridCol w:w="1556"/>
        <w:gridCol w:w="1579"/>
      </w:tblGrid>
      <w:tr>
        <w:trPr>
          <w:trHeight w:val="634"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0"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175" w:hanging="420"/>
              <w:jc w:val="left"/>
              <w:rPr>
                <w:rFonts w:ascii="宋体" w:hAnsi="宋体" w:cs="宋体" w:eastAsia="宋体" w:hint="default"/>
                <w:sz w:val="21"/>
                <w:szCs w:val="21"/>
              </w:rPr>
            </w:pPr>
            <w:r>
              <w:rPr>
                <w:rFonts w:ascii="宋体" w:hAnsi="宋体" w:cs="宋体" w:eastAsia="宋体" w:hint="default"/>
                <w:sz w:val="21"/>
                <w:szCs w:val="21"/>
              </w:rPr>
              <w:t>可供出售权益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9" w:right="151" w:hanging="421"/>
              <w:jc w:val="left"/>
              <w:rPr>
                <w:rFonts w:ascii="宋体" w:hAnsi="宋体" w:cs="宋体" w:eastAsia="宋体" w:hint="default"/>
                <w:sz w:val="21"/>
                <w:szCs w:val="21"/>
              </w:rPr>
            </w:pPr>
            <w:r>
              <w:rPr>
                <w:rFonts w:ascii="宋体" w:hAnsi="宋体" w:cs="宋体" w:eastAsia="宋体" w:hint="default"/>
                <w:sz w:val="21"/>
                <w:szCs w:val="21"/>
              </w:rPr>
              <w:t>可供出售债务</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34"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pacing w:val="-2"/>
                <w:sz w:val="21"/>
                <w:szCs w:val="21"/>
              </w:rPr>
              <w:t>权益工具的成本</w:t>
            </w:r>
            <w:r>
              <w:rPr>
                <w:rFonts w:ascii="宋体" w:hAnsi="宋体" w:cs="宋体" w:eastAsia="宋体" w:hint="default"/>
                <w:spacing w:val="-2"/>
                <w:sz w:val="21"/>
                <w:szCs w:val="21"/>
              </w:rPr>
              <w:t>/</w:t>
            </w:r>
            <w:r>
              <w:rPr>
                <w:rFonts w:ascii="宋体" w:hAnsi="宋体" w:cs="宋体" w:eastAsia="宋体" w:hint="default"/>
                <w:spacing w:val="-2"/>
                <w:sz w:val="21"/>
                <w:szCs w:val="21"/>
              </w:rPr>
              <w:t>债务工具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的摊余成本</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40,000,000.00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40,000,000.00</w:t>
            </w:r>
          </w:p>
        </w:tc>
      </w:tr>
      <w:tr>
        <w:trPr>
          <w:trHeight w:val="324"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40,491,927.29</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40,491,927.29</w:t>
            </w:r>
          </w:p>
        </w:tc>
      </w:tr>
      <w:tr>
        <w:trPr>
          <w:trHeight w:val="634"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3"/>
              <w:jc w:val="left"/>
              <w:rPr>
                <w:rFonts w:ascii="宋体" w:hAnsi="宋体" w:cs="宋体" w:eastAsia="宋体" w:hint="default"/>
                <w:sz w:val="21"/>
                <w:szCs w:val="21"/>
              </w:rPr>
            </w:pPr>
            <w:r>
              <w:rPr>
                <w:rFonts w:ascii="宋体" w:hAnsi="宋体" w:cs="宋体" w:eastAsia="宋体" w:hint="default"/>
                <w:spacing w:val="-2"/>
                <w:sz w:val="21"/>
                <w:szCs w:val="21"/>
              </w:rPr>
              <w:t>累计计入其他综合收益的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公允价值变动金额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491,927.29</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491,927.29</w:t>
            </w:r>
          </w:p>
        </w:tc>
      </w:tr>
      <w:tr>
        <w:trPr>
          <w:trHeight w:val="322"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74" w:lineRule="exact" w:before="0"/>
        <w:ind w:left="398" w:right="0"/>
        <w:jc w:val="left"/>
        <w:rPr>
          <w:b w:val="0"/>
          <w:bCs w:val="0"/>
        </w:rPr>
      </w:pPr>
      <w:r>
        <w:rPr/>
        <w:t>说明：期末余额全部为子公司金证财富南京科技有限公司购置的基金产品。</w:t>
      </w:r>
      <w:r>
        <w:rPr>
          <w:b w:val="0"/>
          <w:bCs w:val="0"/>
        </w:rPr>
      </w:r>
    </w:p>
    <w:p>
      <w:pPr>
        <w:spacing w:line="240" w:lineRule="auto" w:before="4"/>
        <w:rPr>
          <w:rFonts w:ascii="宋体" w:hAnsi="宋体" w:cs="宋体" w:eastAsia="宋体" w:hint="default"/>
          <w:b/>
          <w:bCs/>
          <w:sz w:val="28"/>
          <w:szCs w:val="28"/>
        </w:rPr>
      </w:pPr>
    </w:p>
    <w:p>
      <w:pPr>
        <w:pStyle w:val="Heading2"/>
        <w:spacing w:line="240" w:lineRule="auto" w:before="0"/>
        <w:ind w:left="398" w:right="0"/>
        <w:jc w:val="left"/>
        <w:rPr>
          <w:b w:val="0"/>
          <w:bCs w:val="0"/>
        </w:rPr>
      </w:pPr>
      <w:r>
        <w:rPr>
          <w:rFonts w:ascii="宋体" w:hAnsi="宋体" w:cs="宋体" w:eastAsia="宋体" w:hint="default"/>
        </w:rPr>
        <w:t>(3).</w:t>
      </w:r>
      <w:r>
        <w:rPr>
          <w:rFonts w:ascii="宋体" w:hAnsi="宋体" w:cs="宋体" w:eastAsia="宋体" w:hint="default"/>
          <w:spacing w:val="34"/>
        </w:rPr>
        <w:t> </w:t>
      </w:r>
      <w:r>
        <w:rPr/>
        <w:t>期末按成本计量的可供出售金融资产</w:t>
      </w:r>
      <w:r>
        <w:rPr>
          <w:b w:val="0"/>
          <w:bCs w:val="0"/>
        </w:rPr>
      </w:r>
    </w:p>
    <w:p>
      <w:pPr>
        <w:pStyle w:val="BodyText"/>
        <w:spacing w:line="240" w:lineRule="auto" w:before="85"/>
        <w:ind w:left="398" w:right="0"/>
        <w:jc w:val="left"/>
      </w:pPr>
      <w:r>
        <w:rPr/>
        <w:t>√适用</w:t>
      </w:r>
      <w:r>
        <w:rPr>
          <w:spacing w:val="-1"/>
        </w:rPr>
        <w:t> </w:t>
      </w:r>
      <w:r>
        <w:rPr/>
        <w:t>□不适用</w:t>
      </w:r>
    </w:p>
    <w:p>
      <w:pPr>
        <w:spacing w:after="0" w:line="240" w:lineRule="auto"/>
        <w:jc w:val="left"/>
        <w:sectPr>
          <w:type w:val="continuous"/>
          <w:pgSz w:w="11910" w:h="16840"/>
          <w:pgMar w:top="1120" w:bottom="1380" w:left="1400" w:right="1040"/>
        </w:sectPr>
      </w:pPr>
    </w:p>
    <w:p>
      <w:pPr>
        <w:spacing w:line="240" w:lineRule="auto" w:before="10"/>
        <w:rPr>
          <w:rFonts w:ascii="宋体" w:hAnsi="宋体" w:cs="宋体" w:eastAsia="宋体" w:hint="default"/>
          <w:sz w:val="26"/>
          <w:szCs w:val="26"/>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85"/>
        <w:gridCol w:w="855"/>
        <w:gridCol w:w="706"/>
        <w:gridCol w:w="718"/>
        <w:gridCol w:w="996"/>
        <w:gridCol w:w="710"/>
        <w:gridCol w:w="708"/>
        <w:gridCol w:w="710"/>
        <w:gridCol w:w="709"/>
        <w:gridCol w:w="852"/>
        <w:gridCol w:w="701"/>
      </w:tblGrid>
      <w:tr>
        <w:trPr>
          <w:trHeight w:val="720"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77" w:right="367"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2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852" w:type="dxa"/>
            <w:vMerge w:val="restart"/>
            <w:tcBorders>
              <w:top w:val="single" w:sz="4" w:space="0" w:color="000000"/>
              <w:left w:val="single" w:sz="4" w:space="0" w:color="000000"/>
              <w:right w:val="single" w:sz="4" w:space="0" w:color="000000"/>
            </w:tcBorders>
          </w:tcPr>
          <w:p>
            <w:pPr>
              <w:pStyle w:val="TableParagraph"/>
              <w:spacing w:line="273" w:lineRule="auto" w:before="35"/>
              <w:ind w:left="105" w:right="101"/>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36" w:right="13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634" w:hRule="exact"/>
        </w:trPr>
        <w:tc>
          <w:tcPr>
            <w:tcW w:w="1385"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4" w:right="13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3"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52"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r>
      <w:tr>
        <w:trPr>
          <w:trHeight w:val="15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上海国君创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投证鋆一号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股权投资合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伙企业（有限</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合伙）</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18,376</w:t>
            </w:r>
          </w:p>
          <w:p>
            <w:pPr>
              <w:pStyle w:val="TableParagraph"/>
              <w:spacing w:line="240" w:lineRule="auto" w:before="37"/>
              <w:ind w:right="101"/>
              <w:jc w:val="right"/>
              <w:rPr>
                <w:rFonts w:ascii="宋体" w:hAnsi="宋体" w:cs="宋体" w:eastAsia="宋体" w:hint="default"/>
                <w:sz w:val="21"/>
                <w:szCs w:val="21"/>
              </w:rPr>
            </w:pPr>
            <w:r>
              <w:rPr>
                <w:rFonts w:ascii="宋体"/>
                <w:sz w:val="21"/>
              </w:rPr>
              <w:t>,452.9</w:t>
            </w:r>
          </w:p>
          <w:p>
            <w:pPr>
              <w:pStyle w:val="TableParagraph"/>
              <w:spacing w:line="240" w:lineRule="auto" w:before="37"/>
              <w:ind w:right="104"/>
              <w:jc w:val="right"/>
              <w:rPr>
                <w:rFonts w:ascii="宋体" w:hAnsi="宋体" w:cs="宋体" w:eastAsia="宋体" w:hint="default"/>
                <w:sz w:val="21"/>
                <w:szCs w:val="21"/>
              </w:rPr>
            </w:pPr>
            <w:r>
              <w:rPr>
                <w:rFonts w:ascii="宋体"/>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 w:right="0"/>
              <w:jc w:val="center"/>
              <w:rPr>
                <w:rFonts w:ascii="宋体" w:hAnsi="宋体" w:cs="宋体" w:eastAsia="宋体" w:hint="default"/>
                <w:sz w:val="21"/>
                <w:szCs w:val="21"/>
              </w:rPr>
            </w:pPr>
            <w:r>
              <w:rPr>
                <w:rFonts w:ascii="宋体"/>
                <w:sz w:val="21"/>
              </w:rPr>
              <w:t>18,376,</w:t>
            </w:r>
          </w:p>
          <w:p>
            <w:pPr>
              <w:pStyle w:val="TableParagraph"/>
              <w:spacing w:line="240" w:lineRule="auto" w:before="37"/>
              <w:ind w:left="150" w:right="0"/>
              <w:jc w:val="center"/>
              <w:rPr>
                <w:rFonts w:ascii="宋体" w:hAnsi="宋体" w:cs="宋体" w:eastAsia="宋体" w:hint="default"/>
                <w:sz w:val="21"/>
                <w:szCs w:val="21"/>
              </w:rPr>
            </w:pPr>
            <w:r>
              <w:rPr>
                <w:rFonts w:ascii="宋体"/>
                <w:sz w:val="21"/>
              </w:rPr>
              <w:t>452.95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37.495</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山西同仁股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权投资合伙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企业（有限合</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伙）</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8" w:right="0"/>
              <w:jc w:val="left"/>
              <w:rPr>
                <w:rFonts w:ascii="宋体" w:hAnsi="宋体" w:cs="宋体" w:eastAsia="宋体" w:hint="default"/>
                <w:sz w:val="21"/>
                <w:szCs w:val="21"/>
              </w:rPr>
            </w:pPr>
            <w:r>
              <w:rPr>
                <w:rFonts w:ascii="宋体"/>
                <w:sz w:val="21"/>
              </w:rPr>
              <w:t>5,000,0</w:t>
            </w:r>
          </w:p>
          <w:p>
            <w:pPr>
              <w:pStyle w:val="TableParagraph"/>
              <w:spacing w:line="240" w:lineRule="auto" w:before="37"/>
              <w:ind w:left="357" w:right="0"/>
              <w:jc w:val="left"/>
              <w:rPr>
                <w:rFonts w:ascii="宋体" w:hAnsi="宋体" w:cs="宋体" w:eastAsia="宋体" w:hint="default"/>
                <w:sz w:val="21"/>
                <w:szCs w:val="21"/>
              </w:rPr>
            </w:pPr>
            <w:r>
              <w:rPr>
                <w:rFonts w:ascii="宋体"/>
                <w:sz w:val="21"/>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3.0303</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7"/>
                <w:w w:val="100"/>
                <w:sz w:val="21"/>
                <w:szCs w:val="21"/>
              </w:rPr>
              <w:t>中融子午（北</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7"/>
                <w:w w:val="100"/>
                <w:sz w:val="21"/>
                <w:szCs w:val="21"/>
              </w:rPr>
              <w:t>京）资产管理</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有限公司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4,800,</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4,800,0</w:t>
            </w:r>
          </w:p>
          <w:p>
            <w:pPr>
              <w:pStyle w:val="TableParagraph"/>
              <w:spacing w:line="240" w:lineRule="auto" w:before="37"/>
              <w:ind w:left="357" w:right="0"/>
              <w:jc w:val="left"/>
              <w:rPr>
                <w:rFonts w:ascii="宋体" w:hAnsi="宋体" w:cs="宋体" w:eastAsia="宋体" w:hint="default"/>
                <w:sz w:val="21"/>
                <w:szCs w:val="21"/>
              </w:rPr>
            </w:pPr>
            <w:r>
              <w:rPr>
                <w:rFonts w:ascii="宋体"/>
                <w:sz w:val="21"/>
              </w:rPr>
              <w:t>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4,80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4,80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16.00</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both"/>
              <w:rPr>
                <w:rFonts w:ascii="宋体" w:hAnsi="宋体" w:cs="宋体" w:eastAsia="宋体" w:hint="default"/>
                <w:sz w:val="21"/>
                <w:szCs w:val="21"/>
              </w:rPr>
            </w:pPr>
            <w:r>
              <w:rPr>
                <w:rFonts w:ascii="宋体" w:hAnsi="宋体" w:cs="宋体" w:eastAsia="宋体" w:hint="default"/>
                <w:sz w:val="21"/>
                <w:szCs w:val="21"/>
              </w:rPr>
              <w:t>河北信创达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物联网科技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600,00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600,000</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证通股份有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25,000</w:t>
            </w:r>
          </w:p>
          <w:p>
            <w:pPr>
              <w:pStyle w:val="TableParagraph"/>
              <w:spacing w:line="240" w:lineRule="auto" w:before="37"/>
              <w:ind w:right="101"/>
              <w:jc w:val="right"/>
              <w:rPr>
                <w:rFonts w:ascii="宋体" w:hAnsi="宋体" w:cs="宋体" w:eastAsia="宋体" w:hint="default"/>
                <w:sz w:val="21"/>
                <w:szCs w:val="21"/>
              </w:rPr>
            </w:pPr>
            <w:r>
              <w:rPr>
                <w:rFonts w:ascii="宋体"/>
                <w:sz w:val="21"/>
              </w:rPr>
              <w:t>,000.0</w:t>
            </w:r>
          </w:p>
          <w:p>
            <w:pPr>
              <w:pStyle w:val="TableParagraph"/>
              <w:spacing w:line="240" w:lineRule="auto" w:before="37"/>
              <w:ind w:right="104"/>
              <w:jc w:val="right"/>
              <w:rPr>
                <w:rFonts w:ascii="宋体" w:hAnsi="宋体" w:cs="宋体" w:eastAsia="宋体" w:hint="default"/>
                <w:sz w:val="21"/>
                <w:szCs w:val="21"/>
              </w:rPr>
            </w:pPr>
            <w:r>
              <w:rPr>
                <w:rFonts w:ascii="宋体"/>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7" w:right="0"/>
              <w:jc w:val="center"/>
              <w:rPr>
                <w:rFonts w:ascii="宋体" w:hAnsi="宋体" w:cs="宋体" w:eastAsia="宋体" w:hint="default"/>
                <w:sz w:val="21"/>
                <w:szCs w:val="21"/>
              </w:rPr>
            </w:pPr>
            <w:r>
              <w:rPr>
                <w:rFonts w:ascii="宋体"/>
                <w:sz w:val="21"/>
              </w:rPr>
              <w:t>25,000,</w:t>
            </w:r>
          </w:p>
          <w:p>
            <w:pPr>
              <w:pStyle w:val="TableParagraph"/>
              <w:spacing w:line="240" w:lineRule="auto" w:before="37"/>
              <w:ind w:left="150" w:right="0"/>
              <w:jc w:val="center"/>
              <w:rPr>
                <w:rFonts w:ascii="宋体" w:hAnsi="宋体" w:cs="宋体" w:eastAsia="宋体" w:hint="default"/>
                <w:sz w:val="21"/>
                <w:szCs w:val="21"/>
              </w:rPr>
            </w:pPr>
            <w:r>
              <w:rPr>
                <w:rFonts w:ascii="宋体"/>
                <w:sz w:val="21"/>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1.24</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上海国君创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投证鋆三号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股权投资合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伙企业（有限</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合伙）</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,000.0</w:t>
            </w:r>
          </w:p>
          <w:p>
            <w:pPr>
              <w:pStyle w:val="TableParagraph"/>
              <w:spacing w:line="240" w:lineRule="auto" w:before="37"/>
              <w:ind w:right="104"/>
              <w:jc w:val="right"/>
              <w:rPr>
                <w:rFonts w:ascii="宋体" w:hAnsi="宋体" w:cs="宋体" w:eastAsia="宋体" w:hint="default"/>
                <w:sz w:val="21"/>
                <w:szCs w:val="21"/>
              </w:rPr>
            </w:pPr>
            <w:r>
              <w:rPr>
                <w:rFonts w:ascii="宋体"/>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 w:right="0"/>
              <w:jc w:val="center"/>
              <w:rPr>
                <w:rFonts w:ascii="宋体" w:hAnsi="宋体" w:cs="宋体" w:eastAsia="宋体" w:hint="default"/>
                <w:sz w:val="21"/>
                <w:szCs w:val="21"/>
              </w:rPr>
            </w:pPr>
            <w:r>
              <w:rPr>
                <w:rFonts w:ascii="宋体"/>
                <w:sz w:val="21"/>
              </w:rPr>
              <w:t>30,000,</w:t>
            </w:r>
          </w:p>
          <w:p>
            <w:pPr>
              <w:pStyle w:val="TableParagraph"/>
              <w:spacing w:line="240" w:lineRule="auto" w:before="37"/>
              <w:ind w:left="150" w:right="0"/>
              <w:jc w:val="center"/>
              <w:rPr>
                <w:rFonts w:ascii="宋体" w:hAnsi="宋体" w:cs="宋体" w:eastAsia="宋体" w:hint="default"/>
                <w:sz w:val="21"/>
                <w:szCs w:val="21"/>
              </w:rPr>
            </w:pPr>
            <w:r>
              <w:rPr>
                <w:rFonts w:ascii="宋体"/>
                <w:sz w:val="21"/>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29.997</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both"/>
              <w:rPr>
                <w:rFonts w:ascii="宋体" w:hAnsi="宋体" w:cs="宋体" w:eastAsia="宋体" w:hint="default"/>
                <w:sz w:val="21"/>
                <w:szCs w:val="21"/>
              </w:rPr>
            </w:pPr>
            <w:r>
              <w:rPr>
                <w:rFonts w:ascii="宋体" w:hAnsi="宋体" w:cs="宋体" w:eastAsia="宋体" w:hint="default"/>
                <w:sz w:val="21"/>
                <w:szCs w:val="21"/>
              </w:rPr>
              <w:t>深圳市盈通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数据服务股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3,227,</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262.60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3,227,2</w:t>
            </w:r>
          </w:p>
          <w:p>
            <w:pPr>
              <w:pStyle w:val="TableParagraph"/>
              <w:spacing w:line="240" w:lineRule="auto" w:before="37"/>
              <w:ind w:left="357" w:right="0"/>
              <w:jc w:val="left"/>
              <w:rPr>
                <w:rFonts w:ascii="宋体" w:hAnsi="宋体" w:cs="宋体" w:eastAsia="宋体" w:hint="default"/>
                <w:sz w:val="21"/>
                <w:szCs w:val="21"/>
              </w:rPr>
            </w:pPr>
            <w:r>
              <w:rPr>
                <w:rFonts w:ascii="宋体"/>
                <w:sz w:val="21"/>
              </w:rPr>
              <w:t>62.60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19.00</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both"/>
              <w:rPr>
                <w:rFonts w:ascii="宋体" w:hAnsi="宋体" w:cs="宋体" w:eastAsia="宋体" w:hint="default"/>
                <w:sz w:val="21"/>
                <w:szCs w:val="21"/>
              </w:rPr>
            </w:pPr>
            <w:r>
              <w:rPr>
                <w:rFonts w:ascii="宋体" w:hAnsi="宋体" w:cs="宋体" w:eastAsia="宋体" w:hint="default"/>
                <w:sz w:val="21"/>
                <w:szCs w:val="21"/>
              </w:rPr>
              <w:t>山东省华众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金融信息服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务有限公司</w:t>
            </w:r>
          </w:p>
        </w:tc>
        <w:tc>
          <w:tcPr>
            <w:tcW w:w="85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72" w:right="0"/>
              <w:jc w:val="left"/>
              <w:rPr>
                <w:rFonts w:ascii="宋体" w:hAnsi="宋体" w:cs="宋体" w:eastAsia="宋体" w:hint="default"/>
                <w:sz w:val="21"/>
                <w:szCs w:val="21"/>
              </w:rPr>
            </w:pPr>
            <w:r>
              <w:rPr>
                <w:rFonts w:ascii="宋体"/>
                <w:sz w:val="21"/>
              </w:rPr>
              <w:t>2,50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8" w:right="0"/>
              <w:jc w:val="left"/>
              <w:rPr>
                <w:rFonts w:ascii="宋体" w:hAnsi="宋体" w:cs="宋体" w:eastAsia="宋体" w:hint="default"/>
                <w:sz w:val="21"/>
                <w:szCs w:val="21"/>
              </w:rPr>
            </w:pPr>
            <w:r>
              <w:rPr>
                <w:rFonts w:ascii="宋体"/>
                <w:sz w:val="21"/>
              </w:rPr>
              <w:t>2,500,0</w:t>
            </w:r>
          </w:p>
          <w:p>
            <w:pPr>
              <w:pStyle w:val="TableParagraph"/>
              <w:spacing w:line="240" w:lineRule="auto" w:before="37"/>
              <w:ind w:left="357" w:right="0"/>
              <w:jc w:val="left"/>
              <w:rPr>
                <w:rFonts w:ascii="宋体" w:hAnsi="宋体" w:cs="宋体" w:eastAsia="宋体" w:hint="default"/>
                <w:sz w:val="21"/>
                <w:szCs w:val="21"/>
              </w:rPr>
            </w:pPr>
            <w:r>
              <w:rPr>
                <w:rFonts w:ascii="宋体"/>
                <w:sz w:val="21"/>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10.00</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87,003</w:t>
            </w:r>
          </w:p>
          <w:p>
            <w:pPr>
              <w:pStyle w:val="TableParagraph"/>
              <w:spacing w:line="240" w:lineRule="auto" w:before="37"/>
              <w:ind w:right="101"/>
              <w:jc w:val="right"/>
              <w:rPr>
                <w:rFonts w:ascii="宋体" w:hAnsi="宋体" w:cs="宋体" w:eastAsia="宋体" w:hint="default"/>
                <w:sz w:val="21"/>
                <w:szCs w:val="21"/>
              </w:rPr>
            </w:pPr>
            <w:r>
              <w:rPr>
                <w:rFonts w:ascii="宋体"/>
                <w:sz w:val="21"/>
              </w:rPr>
              <w:t>,715.5</w:t>
            </w:r>
          </w:p>
          <w:p>
            <w:pPr>
              <w:pStyle w:val="TableParagraph"/>
              <w:spacing w:line="240" w:lineRule="auto" w:before="37"/>
              <w:ind w:right="104"/>
              <w:jc w:val="right"/>
              <w:rPr>
                <w:rFonts w:ascii="宋体" w:hAnsi="宋体" w:cs="宋体" w:eastAsia="宋体" w:hint="default"/>
                <w:sz w:val="21"/>
                <w:szCs w:val="21"/>
              </w:rPr>
            </w:pPr>
            <w:r>
              <w:rPr>
                <w:rFonts w:ascii="宋体"/>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2,50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 w:right="0"/>
              <w:jc w:val="center"/>
              <w:rPr>
                <w:rFonts w:ascii="宋体" w:hAnsi="宋体" w:cs="宋体" w:eastAsia="宋体" w:hint="default"/>
                <w:sz w:val="21"/>
                <w:szCs w:val="21"/>
              </w:rPr>
            </w:pPr>
            <w:r>
              <w:rPr>
                <w:rFonts w:ascii="宋体"/>
                <w:sz w:val="21"/>
              </w:rPr>
              <w:t>89,503,</w:t>
            </w:r>
          </w:p>
          <w:p>
            <w:pPr>
              <w:pStyle w:val="TableParagraph"/>
              <w:spacing w:line="240" w:lineRule="auto" w:before="37"/>
              <w:ind w:left="150" w:right="0"/>
              <w:jc w:val="center"/>
              <w:rPr>
                <w:rFonts w:ascii="宋体" w:hAnsi="宋体" w:cs="宋体" w:eastAsia="宋体" w:hint="default"/>
                <w:sz w:val="21"/>
                <w:szCs w:val="21"/>
              </w:rPr>
            </w:pPr>
            <w:r>
              <w:rPr>
                <w:rFonts w:ascii="宋体"/>
                <w:sz w:val="21"/>
              </w:rPr>
              <w:t>715.55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4,80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4,80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7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right="215"/>
        <w:jc w:val="left"/>
        <w:rPr>
          <w:b w:val="0"/>
          <w:bCs w:val="0"/>
        </w:rPr>
      </w:pPr>
      <w:r>
        <w:rPr>
          <w:rFonts w:ascii="宋体" w:hAnsi="宋体" w:cs="宋体" w:eastAsia="宋体" w:hint="default"/>
        </w:rPr>
        <w:t>(4).</w:t>
      </w:r>
      <w:r>
        <w:rPr>
          <w:rFonts w:ascii="宋体" w:hAnsi="宋体" w:cs="宋体" w:eastAsia="宋体" w:hint="default"/>
          <w:spacing w:val="35"/>
        </w:rPr>
        <w:t> </w:t>
      </w:r>
      <w:r>
        <w:rPr/>
        <w:t>报告期内可供出售金融资产减值的变动情况</w:t>
      </w:r>
      <w:r>
        <w:rPr>
          <w:b w:val="0"/>
          <w:bCs w:val="0"/>
        </w:rPr>
      </w:r>
    </w:p>
    <w:p>
      <w:pPr>
        <w:pStyle w:val="BodyText"/>
        <w:spacing w:line="240" w:lineRule="auto" w:before="85"/>
        <w:ind w:right="215"/>
        <w:jc w:val="left"/>
      </w:pPr>
      <w:r>
        <w:rPr/>
        <w:t>□适用</w:t>
      </w:r>
      <w:r>
        <w:rPr>
          <w:spacing w:val="-1"/>
        </w:rPr>
        <w:t> </w:t>
      </w:r>
      <w:r>
        <w:rPr/>
        <w:t>√不适用</w:t>
      </w:r>
    </w:p>
    <w:p>
      <w:pPr>
        <w:pStyle w:val="Heading2"/>
        <w:spacing w:line="240" w:lineRule="auto" w:before="69"/>
        <w:ind w:left="638" w:right="215" w:hanging="420"/>
        <w:jc w:val="left"/>
        <w:rPr>
          <w:b w:val="0"/>
          <w:bCs w:val="0"/>
        </w:rPr>
      </w:pPr>
      <w:r>
        <w:rPr>
          <w:rFonts w:ascii="宋体" w:hAnsi="宋体" w:cs="宋体" w:eastAsia="宋体" w:hint="default"/>
        </w:rPr>
        <w:t>(5).</w:t>
      </w:r>
      <w:r>
        <w:rPr>
          <w:rFonts w:ascii="宋体" w:hAnsi="宋体" w:cs="宋体" w:eastAsia="宋体" w:hint="default"/>
          <w:spacing w:val="15"/>
        </w:rPr>
        <w:t> </w:t>
      </w:r>
      <w:r>
        <w:rPr>
          <w:spacing w:val="7"/>
        </w:rPr>
        <w:t>可供出售权益工具期末公允价值严重下跌或非暂时性下跌但未计提减值准备</w:t>
      </w:r>
      <w:r>
        <w:rPr>
          <w:w w:val="99"/>
        </w:rPr>
        <w:t> </w:t>
      </w:r>
      <w:r>
        <w:rPr/>
        <w:t>的相关说明：</w:t>
      </w:r>
      <w:r>
        <w:rPr>
          <w:b w:val="0"/>
          <w:bCs w:val="0"/>
        </w:rPr>
      </w:r>
    </w:p>
    <w:p>
      <w:pPr>
        <w:pStyle w:val="BodyText"/>
        <w:spacing w:line="240" w:lineRule="auto" w:before="85"/>
        <w:ind w:right="215"/>
        <w:jc w:val="left"/>
      </w:pPr>
      <w:r>
        <w:rPr/>
        <w:t>□适用</w:t>
      </w:r>
      <w:r>
        <w:rPr>
          <w:spacing w:val="-1"/>
        </w:rPr>
        <w:t> </w:t>
      </w:r>
      <w:r>
        <w:rPr/>
        <w:t>√不适用</w:t>
      </w:r>
    </w:p>
    <w:p>
      <w:pPr>
        <w:spacing w:after="0" w:line="240" w:lineRule="auto"/>
        <w:jc w:val="left"/>
        <w:sectPr>
          <w:footerReference w:type="default" r:id="rId89"/>
          <w:pgSz w:w="11910" w:h="16840"/>
          <w:pgMar w:footer="1195" w:header="882" w:top="1120" w:bottom="1380" w:left="1580" w:right="1040"/>
          <w:pgNumType w:start="116"/>
        </w:sectPr>
      </w:pPr>
    </w:p>
    <w:p>
      <w:pPr>
        <w:spacing w:line="240" w:lineRule="auto" w:before="10"/>
        <w:rPr>
          <w:rFonts w:ascii="宋体" w:hAnsi="宋体" w:cs="宋体" w:eastAsia="宋体" w:hint="default"/>
          <w:sz w:val="26"/>
          <w:szCs w:val="26"/>
        </w:rPr>
      </w:pPr>
    </w:p>
    <w:p>
      <w:pPr>
        <w:pStyle w:val="BodyText"/>
        <w:spacing w:line="240" w:lineRule="auto" w:before="36"/>
        <w:ind w:right="215"/>
        <w:jc w:val="left"/>
      </w:pPr>
      <w:r>
        <w:rPr/>
        <w:t>其他说明</w:t>
      </w:r>
    </w:p>
    <w:p>
      <w:pPr>
        <w:pStyle w:val="BodyText"/>
        <w:spacing w:line="240" w:lineRule="auto" w:before="37"/>
        <w:ind w:right="215"/>
        <w:jc w:val="left"/>
      </w:pPr>
      <w:r>
        <w:rPr/>
        <w:t>√适用</w:t>
      </w:r>
      <w:r>
        <w:rPr>
          <w:spacing w:val="-1"/>
        </w:rPr>
        <w:t> </w:t>
      </w:r>
      <w:r>
        <w:rPr/>
        <w:t>□不适用</w:t>
      </w:r>
    </w:p>
    <w:p>
      <w:pPr>
        <w:pStyle w:val="BodyText"/>
        <w:spacing w:line="314" w:lineRule="auto" w:before="61"/>
        <w:ind w:right="227" w:firstLine="479"/>
        <w:jc w:val="both"/>
      </w:pPr>
      <w:r>
        <w:rPr>
          <w:rFonts w:ascii="宋体" w:hAnsi="宋体" w:cs="宋体" w:eastAsia="宋体" w:hint="default"/>
          <w:spacing w:val="-3"/>
        </w:rPr>
        <w:t>1</w:t>
      </w:r>
      <w:r>
        <w:rPr>
          <w:spacing w:val="-3"/>
        </w:rPr>
        <w:t>、本公司持有上海国君创投证鋆一号股权投资合伙企业（有限合伙）</w:t>
      </w:r>
      <w:r>
        <w:rPr>
          <w:rFonts w:ascii="宋体" w:hAnsi="宋体" w:cs="宋体" w:eastAsia="宋体" w:hint="default"/>
          <w:spacing w:val="-3"/>
        </w:rPr>
        <w:t>37.495%</w:t>
      </w:r>
      <w:r>
        <w:rPr>
          <w:spacing w:val="-3"/>
        </w:rPr>
        <w:t>的权益，但按</w:t>
      </w:r>
      <w:r>
        <w:rPr>
          <w:w w:val="100"/>
        </w:rPr>
        <w:t> </w:t>
      </w:r>
      <w:r>
        <w:rPr>
          <w:spacing w:val="-2"/>
        </w:rPr>
        <w:t>照合伙协议约定：本公司作为有限合伙人不参与合伙企业的管理、经营，并且在与合伙企业管理</w:t>
      </w:r>
      <w:r>
        <w:rPr>
          <w:spacing w:val="-25"/>
        </w:rPr>
        <w:t> </w:t>
      </w:r>
      <w:r>
        <w:rPr>
          <w:spacing w:val="-25"/>
        </w:rPr>
      </w:r>
      <w:r>
        <w:rPr/>
        <w:t>和经营的相关事务中无权代表合伙企业，对其不构成重大影响。</w:t>
      </w:r>
    </w:p>
    <w:p>
      <w:pPr>
        <w:pStyle w:val="BodyText"/>
        <w:spacing w:line="314" w:lineRule="auto" w:before="20"/>
        <w:ind w:right="237" w:firstLine="419"/>
        <w:jc w:val="both"/>
      </w:pPr>
      <w:r>
        <w:rPr>
          <w:rFonts w:ascii="宋体" w:hAnsi="宋体" w:cs="宋体" w:eastAsia="宋体" w:hint="default"/>
          <w:spacing w:val="-2"/>
        </w:rPr>
        <w:t>2</w:t>
      </w:r>
      <w:r>
        <w:rPr>
          <w:spacing w:val="-2"/>
        </w:rPr>
        <w:t>、本公司持有上海国君创投证鋆三号股权投资合伙企业（有限合伙）</w:t>
      </w:r>
      <w:r>
        <w:rPr>
          <w:rFonts w:ascii="宋体" w:hAnsi="宋体" w:cs="宋体" w:eastAsia="宋体" w:hint="default"/>
          <w:spacing w:val="-2"/>
        </w:rPr>
        <w:t>29.997%</w:t>
      </w:r>
      <w:r>
        <w:rPr>
          <w:spacing w:val="-2"/>
        </w:rPr>
        <w:t>的权益，但按</w:t>
      </w:r>
      <w:r>
        <w:rPr>
          <w:w w:val="100"/>
        </w:rPr>
        <w:t> </w:t>
      </w:r>
      <w:r>
        <w:rPr>
          <w:spacing w:val="-2"/>
        </w:rPr>
        <w:t>照合伙协议约定：本公司作为有限合伙人不参与合伙企业的管理、经营，并且在与合伙企业管理</w:t>
      </w:r>
      <w:r>
        <w:rPr>
          <w:spacing w:val="-25"/>
        </w:rPr>
        <w:t> </w:t>
      </w:r>
      <w:r>
        <w:rPr>
          <w:spacing w:val="-25"/>
        </w:rPr>
      </w:r>
      <w:r>
        <w:rPr/>
        <w:t>和经营的相关事务中无权代表合伙企业，对其不构成重大影响。</w:t>
      </w:r>
    </w:p>
    <w:p>
      <w:pPr>
        <w:pStyle w:val="Heading2"/>
        <w:spacing w:line="240" w:lineRule="auto"/>
        <w:ind w:right="215"/>
        <w:jc w:val="left"/>
        <w:rPr>
          <w:b w:val="0"/>
          <w:bCs w:val="0"/>
        </w:rPr>
      </w:pPr>
      <w:r>
        <w:rPr>
          <w:rFonts w:ascii="宋体" w:hAnsi="宋体" w:cs="宋体" w:eastAsia="宋体" w:hint="default"/>
        </w:rPr>
        <w:t>15</w:t>
      </w:r>
      <w:r>
        <w:rPr/>
        <w:t>、</w:t>
      </w:r>
      <w:r>
        <w:rPr>
          <w:spacing w:val="-103"/>
        </w:rPr>
        <w:t> </w:t>
      </w:r>
      <w:r>
        <w:rPr/>
        <w:t>持有至到期投资</w:t>
      </w:r>
      <w:r>
        <w:rPr>
          <w:b w:val="0"/>
          <w:bCs w:val="0"/>
        </w:rPr>
      </w:r>
    </w:p>
    <w:p>
      <w:pPr>
        <w:pStyle w:val="Heading2"/>
        <w:tabs>
          <w:tab w:pos="1057" w:val="left" w:leader="none"/>
        </w:tabs>
        <w:spacing w:line="240" w:lineRule="auto" w:before="58"/>
        <w:ind w:right="215"/>
        <w:jc w:val="left"/>
        <w:rPr>
          <w:b w:val="0"/>
          <w:bCs w:val="0"/>
        </w:rPr>
      </w:pPr>
      <w:r>
        <w:rPr>
          <w:rFonts w:ascii="宋体" w:hAnsi="宋体" w:cs="宋体" w:eastAsia="宋体" w:hint="default"/>
        </w:rPr>
        <w:t>(1).</w:t>
        <w:tab/>
      </w:r>
      <w:r>
        <w:rPr/>
        <w:t>持有至到期投资情况：</w:t>
      </w:r>
      <w:r>
        <w:rPr>
          <w:b w:val="0"/>
          <w:bCs w:val="0"/>
        </w:rPr>
      </w:r>
    </w:p>
    <w:p>
      <w:pPr>
        <w:pStyle w:val="BodyText"/>
        <w:spacing w:line="240" w:lineRule="auto" w:before="25"/>
        <w:ind w:right="215"/>
        <w:jc w:val="left"/>
      </w:pPr>
      <w:r>
        <w:rPr/>
        <w:t>□适用</w:t>
      </w:r>
      <w:r>
        <w:rPr>
          <w:spacing w:val="-1"/>
        </w:rPr>
        <w:t> </w:t>
      </w:r>
      <w:r>
        <w:rPr/>
        <w:t>√不适用</w:t>
      </w:r>
    </w:p>
    <w:p>
      <w:pPr>
        <w:pStyle w:val="Heading2"/>
        <w:tabs>
          <w:tab w:pos="1057" w:val="left" w:leader="none"/>
        </w:tabs>
        <w:spacing w:line="240" w:lineRule="auto" w:before="9"/>
        <w:ind w:right="215"/>
        <w:jc w:val="left"/>
        <w:rPr>
          <w:b w:val="0"/>
          <w:bCs w:val="0"/>
        </w:rPr>
      </w:pPr>
      <w:r>
        <w:rPr>
          <w:rFonts w:ascii="宋体" w:hAnsi="宋体" w:cs="宋体" w:eastAsia="宋体" w:hint="default"/>
        </w:rPr>
        <w:t>(2).</w:t>
        <w:tab/>
      </w:r>
      <w:r>
        <w:rPr/>
        <w:t>期末重要的持有至到期投资：</w:t>
      </w:r>
      <w:r>
        <w:rPr>
          <w:b w:val="0"/>
          <w:bCs w:val="0"/>
        </w:rPr>
      </w:r>
    </w:p>
    <w:p>
      <w:pPr>
        <w:pStyle w:val="BodyText"/>
        <w:spacing w:line="240" w:lineRule="auto" w:before="25"/>
        <w:ind w:right="215"/>
        <w:jc w:val="left"/>
      </w:pPr>
      <w:r>
        <w:rPr/>
        <w:t>□适用</w:t>
      </w:r>
      <w:r>
        <w:rPr>
          <w:spacing w:val="-1"/>
        </w:rPr>
        <w:t> </w:t>
      </w:r>
      <w:r>
        <w:rPr/>
        <w:t>√不适用</w:t>
      </w:r>
    </w:p>
    <w:p>
      <w:pPr>
        <w:pStyle w:val="Heading2"/>
        <w:tabs>
          <w:tab w:pos="1057" w:val="left" w:leader="none"/>
        </w:tabs>
        <w:spacing w:line="240" w:lineRule="auto" w:before="9"/>
        <w:ind w:right="215"/>
        <w:jc w:val="left"/>
        <w:rPr>
          <w:b w:val="0"/>
          <w:bCs w:val="0"/>
        </w:rPr>
      </w:pPr>
      <w:r>
        <w:rPr>
          <w:rFonts w:ascii="宋体" w:hAnsi="宋体" w:cs="宋体" w:eastAsia="宋体" w:hint="default"/>
        </w:rPr>
        <w:t>(3).</w:t>
        <w:tab/>
      </w:r>
      <w:r>
        <w:rPr/>
        <w:t>本期重分类的持有至到期投资：</w:t>
      </w:r>
      <w:r>
        <w:rPr>
          <w:b w:val="0"/>
          <w:bCs w:val="0"/>
        </w:rPr>
      </w:r>
    </w:p>
    <w:p>
      <w:pPr>
        <w:pStyle w:val="BodyText"/>
        <w:tabs>
          <w:tab w:pos="1060" w:val="left" w:leader="none"/>
        </w:tabs>
        <w:spacing w:line="273" w:lineRule="auto" w:before="25"/>
        <w:ind w:right="7383"/>
        <w:jc w:val="left"/>
      </w:pPr>
      <w:r>
        <w:rPr>
          <w:spacing w:val="-1"/>
        </w:rPr>
        <w:t>□适用</w:t>
        <w:tab/>
      </w:r>
      <w:r>
        <w:rPr>
          <w:spacing w:val="-2"/>
        </w:rPr>
        <w:t>√不适用</w:t>
      </w:r>
      <w:r>
        <w:rPr>
          <w:spacing w:val="-99"/>
        </w:rPr>
        <w:t> </w:t>
      </w:r>
      <w:r>
        <w:rPr>
          <w:spacing w:val="-99"/>
        </w:rPr>
      </w:r>
      <w:r>
        <w:rPr/>
        <w:t>其他说明：</w:t>
      </w:r>
    </w:p>
    <w:p>
      <w:pPr>
        <w:pStyle w:val="BodyText"/>
        <w:spacing w:line="240" w:lineRule="auto" w:before="7"/>
        <w:ind w:right="215"/>
        <w:jc w:val="left"/>
      </w:pPr>
      <w:r>
        <w:rPr/>
        <w:t>□适用</w:t>
      </w:r>
      <w:r>
        <w:rPr>
          <w:spacing w:val="-1"/>
        </w:rPr>
        <w:t> </w:t>
      </w:r>
      <w:r>
        <w:rPr/>
        <w:t>√不适用</w:t>
      </w:r>
    </w:p>
    <w:p>
      <w:pPr>
        <w:pStyle w:val="Heading2"/>
        <w:spacing w:line="240" w:lineRule="auto" w:before="69"/>
        <w:ind w:right="215"/>
        <w:jc w:val="left"/>
        <w:rPr>
          <w:b w:val="0"/>
          <w:bCs w:val="0"/>
        </w:rPr>
      </w:pPr>
      <w:r>
        <w:rPr>
          <w:rFonts w:ascii="宋体" w:hAnsi="宋体" w:cs="宋体" w:eastAsia="宋体" w:hint="default"/>
        </w:rPr>
        <w:t>16</w:t>
      </w:r>
      <w:r>
        <w:rPr/>
        <w:t>、</w:t>
      </w:r>
      <w:r>
        <w:rPr>
          <w:spacing w:val="-103"/>
        </w:rPr>
        <w:t> </w:t>
      </w:r>
      <w:r>
        <w:rPr/>
        <w:t>长期应收款</w:t>
      </w:r>
      <w:r>
        <w:rPr>
          <w:b w:val="0"/>
          <w:bCs w:val="0"/>
        </w:rPr>
      </w:r>
    </w:p>
    <w:p>
      <w:pPr>
        <w:pStyle w:val="Heading2"/>
        <w:spacing w:line="240" w:lineRule="auto" w:before="58"/>
        <w:ind w:right="215"/>
        <w:jc w:val="left"/>
        <w:rPr>
          <w:b w:val="0"/>
          <w:bCs w:val="0"/>
        </w:rPr>
      </w:pPr>
      <w:r>
        <w:rPr>
          <w:rFonts w:ascii="宋体" w:hAnsi="宋体" w:cs="宋体" w:eastAsia="宋体" w:hint="default"/>
        </w:rPr>
        <w:t>(1)</w:t>
      </w:r>
      <w:r>
        <w:rPr>
          <w:rFonts w:ascii="宋体" w:hAnsi="宋体" w:cs="宋体" w:eastAsia="宋体" w:hint="default"/>
          <w:spacing w:val="-62"/>
        </w:rPr>
        <w:t> </w:t>
      </w:r>
      <w:r>
        <w:rPr/>
        <w:t>长期应收款情况：</w:t>
      </w:r>
      <w:r>
        <w:rPr>
          <w:b w:val="0"/>
          <w:bCs w:val="0"/>
        </w:rPr>
      </w:r>
    </w:p>
    <w:p>
      <w:pPr>
        <w:pStyle w:val="BodyText"/>
        <w:spacing w:line="240" w:lineRule="auto" w:before="86"/>
        <w:ind w:right="215"/>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377"/>
        <w:gridCol w:w="994"/>
        <w:gridCol w:w="850"/>
        <w:gridCol w:w="1419"/>
        <w:gridCol w:w="1205"/>
        <w:gridCol w:w="497"/>
        <w:gridCol w:w="994"/>
        <w:gridCol w:w="715"/>
      </w:tblGrid>
      <w:tr>
        <w:trPr>
          <w:trHeight w:val="326"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2" w:type="dxa"/>
            <w:gridSpan w:val="3"/>
            <w:tcBorders>
              <w:top w:val="single" w:sz="4" w:space="0" w:color="000000"/>
              <w:left w:val="single" w:sz="4" w:space="0" w:color="000000"/>
              <w:bottom w:val="single" w:sz="6"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96" w:type="dxa"/>
            <w:gridSpan w:val="3"/>
            <w:tcBorders>
              <w:top w:val="single" w:sz="4" w:space="0" w:color="000000"/>
              <w:left w:val="single" w:sz="4" w:space="0" w:color="000000"/>
              <w:bottom w:val="single" w:sz="6"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715" w:type="dxa"/>
            <w:vMerge w:val="restart"/>
            <w:tcBorders>
              <w:top w:val="single" w:sz="4" w:space="0" w:color="000000"/>
              <w:left w:val="single" w:sz="4" w:space="0" w:color="000000"/>
              <w:right w:val="single" w:sz="4" w:space="0" w:color="000000"/>
            </w:tcBorders>
          </w:tcPr>
          <w:p>
            <w:pPr>
              <w:pStyle w:val="TableParagraph"/>
              <w:spacing w:line="273" w:lineRule="auto"/>
              <w:ind w:left="141" w:right="139"/>
              <w:jc w:val="both"/>
              <w:rPr>
                <w:rFonts w:ascii="宋体" w:hAnsi="宋体" w:cs="宋体" w:eastAsia="宋体" w:hint="default"/>
                <w:sz w:val="21"/>
                <w:szCs w:val="21"/>
              </w:rPr>
            </w:pPr>
            <w:r>
              <w:rPr>
                <w:rFonts w:ascii="宋体" w:hAnsi="宋体" w:cs="宋体" w:eastAsia="宋体" w:hint="default"/>
                <w:sz w:val="21"/>
                <w:szCs w:val="21"/>
              </w:rPr>
              <w:t>折现</w:t>
            </w:r>
            <w:r>
              <w:rPr>
                <w:rFonts w:ascii="宋体" w:hAnsi="宋体" w:cs="宋体" w:eastAsia="宋体" w:hint="default"/>
                <w:spacing w:val="-103"/>
                <w:sz w:val="21"/>
                <w:szCs w:val="21"/>
              </w:rPr>
              <w:t> </w:t>
            </w:r>
            <w:r>
              <w:rPr>
                <w:rFonts w:ascii="宋体" w:hAnsi="宋体" w:cs="宋体" w:eastAsia="宋体" w:hint="default"/>
                <w:sz w:val="21"/>
                <w:szCs w:val="21"/>
              </w:rPr>
              <w:t>率区</w:t>
            </w:r>
            <w:r>
              <w:rPr>
                <w:rFonts w:ascii="宋体" w:hAnsi="宋体" w:cs="宋体" w:eastAsia="宋体" w:hint="default"/>
                <w:spacing w:val="-103"/>
                <w:sz w:val="21"/>
                <w:szCs w:val="21"/>
              </w:rPr>
              <w:t> </w:t>
            </w:r>
            <w:r>
              <w:rPr>
                <w:rFonts w:ascii="宋体" w:hAnsi="宋体" w:cs="宋体" w:eastAsia="宋体" w:hint="default"/>
                <w:sz w:val="21"/>
                <w:szCs w:val="21"/>
              </w:rPr>
              <w:t>间</w:t>
            </w:r>
          </w:p>
        </w:tc>
      </w:tr>
      <w:tr>
        <w:trPr>
          <w:trHeight w:val="638" w:hRule="exact"/>
        </w:trPr>
        <w:tc>
          <w:tcPr>
            <w:tcW w:w="2377" w:type="dxa"/>
            <w:vMerge/>
            <w:tcBorders>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left="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9" w:right="101" w:hanging="212"/>
              <w:jc w:val="left"/>
              <w:rPr>
                <w:rFonts w:ascii="宋体" w:hAnsi="宋体" w:cs="宋体" w:eastAsia="宋体" w:hint="default"/>
                <w:sz w:val="21"/>
                <w:szCs w:val="21"/>
              </w:rPr>
            </w:pP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7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1" w:right="27"/>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9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3"/>
              <w:ind w:left="6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715" w:type="dxa"/>
            <w:vMerge/>
            <w:tcBorders>
              <w:left w:val="single" w:sz="4" w:space="0" w:color="000000"/>
              <w:bottom w:val="single" w:sz="6" w:space="0" w:color="000000"/>
              <w:right w:val="single" w:sz="4" w:space="0" w:color="000000"/>
            </w:tcBorders>
          </w:tcPr>
          <w:p>
            <w:pPr/>
          </w:p>
        </w:tc>
      </w:tr>
      <w:tr>
        <w:trPr>
          <w:trHeight w:val="32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4" w:space="0" w:color="000000"/>
            </w:tcBorders>
          </w:tcPr>
          <w:p>
            <w:pPr/>
          </w:p>
        </w:tc>
        <w:tc>
          <w:tcPr>
            <w:tcW w:w="715"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其中：未实现融资收</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4" w:space="0" w:color="000000"/>
            </w:tcBorders>
          </w:tcPr>
          <w:p>
            <w:pPr/>
          </w:p>
        </w:tc>
        <w:tc>
          <w:tcPr>
            <w:tcW w:w="715" w:type="dxa"/>
            <w:tcBorders>
              <w:top w:val="single" w:sz="6" w:space="0" w:color="000000"/>
              <w:left w:val="single" w:sz="4" w:space="0" w:color="000000"/>
              <w:bottom w:val="single" w:sz="6" w:space="0" w:color="000000"/>
              <w:right w:val="single" w:sz="6" w:space="0" w:color="000000"/>
            </w:tcBorders>
          </w:tcPr>
          <w:p>
            <w:pPr/>
          </w:p>
        </w:tc>
      </w:tr>
      <w:tr>
        <w:trPr>
          <w:trHeight w:val="329"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4" w:space="0" w:color="000000"/>
            </w:tcBorders>
          </w:tcPr>
          <w:p>
            <w:pPr/>
          </w:p>
        </w:tc>
        <w:tc>
          <w:tcPr>
            <w:tcW w:w="715"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4" w:space="0" w:color="000000"/>
            </w:tcBorders>
          </w:tcPr>
          <w:p>
            <w:pPr/>
          </w:p>
        </w:tc>
        <w:tc>
          <w:tcPr>
            <w:tcW w:w="715" w:type="dxa"/>
            <w:tcBorders>
              <w:top w:val="single" w:sz="6" w:space="0" w:color="000000"/>
              <w:left w:val="single" w:sz="4" w:space="0" w:color="000000"/>
              <w:bottom w:val="single" w:sz="6" w:space="0" w:color="000000"/>
              <w:right w:val="single" w:sz="6" w:space="0" w:color="000000"/>
            </w:tcBorders>
          </w:tcPr>
          <w:p>
            <w:pPr/>
          </w:p>
        </w:tc>
      </w:tr>
      <w:tr>
        <w:trPr>
          <w:trHeight w:val="327"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项目款项</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4" w:space="0" w:color="000000"/>
            </w:tcBorders>
          </w:tcPr>
          <w:p>
            <w:pPr/>
          </w:p>
        </w:tc>
        <w:tc>
          <w:tcPr>
            <w:tcW w:w="715"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0"/>
                <w:w w:val="100"/>
                <w:sz w:val="21"/>
                <w:szCs w:val="21"/>
              </w:rPr>
              <w:t>1</w:t>
            </w:r>
            <w:r>
              <w:rPr>
                <w:rFonts w:ascii="宋体" w:hAnsi="宋体" w:cs="宋体" w:eastAsia="宋体" w:hint="default"/>
                <w:spacing w:val="-10"/>
                <w:w w:val="100"/>
                <w:sz w:val="21"/>
                <w:szCs w:val="21"/>
              </w:rPr>
              <w:t>、眉山市“两宋荣光”眉</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州大道改造</w:t>
            </w:r>
            <w:r>
              <w:rPr>
                <w:rFonts w:ascii="宋体" w:hAnsi="宋体" w:cs="宋体" w:eastAsia="宋体" w:hint="default"/>
                <w:spacing w:val="-52"/>
                <w:sz w:val="21"/>
                <w:szCs w:val="21"/>
              </w:rPr>
              <w:t> </w:t>
            </w: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16,247,6</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69.52</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16,247,669.5</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2</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17,286,940</w:t>
            </w:r>
          </w:p>
          <w:p>
            <w:pPr>
              <w:pStyle w:val="TableParagraph"/>
              <w:spacing w:line="240" w:lineRule="auto" w:before="37"/>
              <w:ind w:right="23"/>
              <w:jc w:val="right"/>
              <w:rPr>
                <w:rFonts w:ascii="宋体" w:hAnsi="宋体" w:cs="宋体" w:eastAsia="宋体" w:hint="default"/>
                <w:sz w:val="21"/>
                <w:szCs w:val="21"/>
              </w:rPr>
            </w:pPr>
            <w:r>
              <w:rPr>
                <w:rFonts w:ascii="宋体"/>
                <w:sz w:val="21"/>
              </w:rPr>
              <w:t>.39</w:t>
            </w:r>
          </w:p>
        </w:tc>
        <w:tc>
          <w:tcPr>
            <w:tcW w:w="49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17,286,9</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40.39</w:t>
            </w:r>
          </w:p>
        </w:tc>
        <w:tc>
          <w:tcPr>
            <w:tcW w:w="715" w:type="dxa"/>
            <w:tcBorders>
              <w:top w:val="single" w:sz="6" w:space="0" w:color="000000"/>
              <w:left w:val="single" w:sz="4" w:space="0" w:color="000000"/>
              <w:bottom w:val="single" w:sz="6" w:space="0" w:color="000000"/>
              <w:right w:val="single" w:sz="6" w:space="0" w:color="000000"/>
            </w:tcBorders>
          </w:tcPr>
          <w:p>
            <w:pPr/>
          </w:p>
        </w:tc>
      </w:tr>
      <w:tr>
        <w:trPr>
          <w:trHeight w:val="953"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9"/>
              <w:jc w:val="both"/>
              <w:rPr>
                <w:rFonts w:ascii="宋体" w:hAnsi="宋体" w:cs="宋体" w:eastAsia="宋体" w:hint="default"/>
                <w:sz w:val="21"/>
                <w:szCs w:val="21"/>
              </w:rPr>
            </w:pPr>
            <w:r>
              <w:rPr>
                <w:rFonts w:ascii="宋体" w:hAnsi="宋体" w:cs="宋体" w:eastAsia="宋体" w:hint="default"/>
                <w:spacing w:val="-10"/>
                <w:w w:val="100"/>
                <w:sz w:val="21"/>
                <w:szCs w:val="21"/>
              </w:rPr>
              <w:t>2</w:t>
            </w:r>
            <w:r>
              <w:rPr>
                <w:rFonts w:ascii="宋体" w:hAnsi="宋体" w:cs="宋体" w:eastAsia="宋体" w:hint="default"/>
                <w:spacing w:val="-10"/>
                <w:w w:val="100"/>
                <w:sz w:val="21"/>
                <w:szCs w:val="21"/>
              </w:rPr>
              <w:t>、眉山市“两宋荣光”眉</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州大道改造工程“两桥一</w:t>
            </w:r>
            <w:r>
              <w:rPr>
                <w:rFonts w:ascii="宋体" w:hAnsi="宋体" w:cs="宋体" w:eastAsia="宋体" w:hint="default"/>
                <w:w w:val="100"/>
                <w:sz w:val="21"/>
                <w:szCs w:val="21"/>
              </w:rPr>
              <w:t> </w:t>
            </w:r>
            <w:r>
              <w:rPr>
                <w:rFonts w:ascii="宋体" w:hAnsi="宋体" w:cs="宋体" w:eastAsia="宋体" w:hint="default"/>
                <w:sz w:val="21"/>
                <w:szCs w:val="21"/>
              </w:rPr>
              <w:t>站” BT</w:t>
            </w:r>
            <w:r>
              <w:rPr>
                <w:rFonts w:ascii="宋体" w:hAnsi="宋体" w:cs="宋体" w:eastAsia="宋体" w:hint="default"/>
                <w:spacing w:val="-50"/>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12" w:right="0"/>
              <w:jc w:val="left"/>
              <w:rPr>
                <w:rFonts w:ascii="宋体" w:hAnsi="宋体" w:cs="宋体" w:eastAsia="宋体" w:hint="default"/>
                <w:sz w:val="21"/>
                <w:szCs w:val="21"/>
              </w:rPr>
            </w:pPr>
            <w:r>
              <w:rPr>
                <w:rFonts w:ascii="宋体"/>
                <w:sz w:val="21"/>
              </w:rPr>
              <w:t>25,859,3</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30.87</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25,859,330.8</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7</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39,340,242</w:t>
            </w:r>
          </w:p>
          <w:p>
            <w:pPr>
              <w:pStyle w:val="TableParagraph"/>
              <w:spacing w:line="240" w:lineRule="auto" w:before="37"/>
              <w:ind w:right="23"/>
              <w:jc w:val="right"/>
              <w:rPr>
                <w:rFonts w:ascii="宋体" w:hAnsi="宋体" w:cs="宋体" w:eastAsia="宋体" w:hint="default"/>
                <w:sz w:val="21"/>
                <w:szCs w:val="21"/>
              </w:rPr>
            </w:pPr>
            <w:r>
              <w:rPr>
                <w:rFonts w:ascii="宋体"/>
                <w:sz w:val="21"/>
              </w:rPr>
              <w:t>.63</w:t>
            </w:r>
          </w:p>
        </w:tc>
        <w:tc>
          <w:tcPr>
            <w:tcW w:w="49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left="112" w:right="0"/>
              <w:jc w:val="left"/>
              <w:rPr>
                <w:rFonts w:ascii="宋体" w:hAnsi="宋体" w:cs="宋体" w:eastAsia="宋体" w:hint="default"/>
                <w:sz w:val="21"/>
                <w:szCs w:val="21"/>
              </w:rPr>
            </w:pPr>
            <w:r>
              <w:rPr>
                <w:rFonts w:ascii="宋体"/>
                <w:sz w:val="21"/>
              </w:rPr>
              <w:t>39,340,2</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42.63</w:t>
            </w:r>
          </w:p>
        </w:tc>
        <w:tc>
          <w:tcPr>
            <w:tcW w:w="715"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、眉州大道西段新增</w:t>
            </w:r>
            <w:r>
              <w:rPr>
                <w:rFonts w:ascii="宋体" w:hAnsi="宋体" w:cs="宋体" w:eastAsia="宋体" w:hint="default"/>
                <w:spacing w:val="-46"/>
                <w:sz w:val="21"/>
                <w:szCs w:val="21"/>
              </w:rPr>
              <w:t> </w:t>
            </w:r>
            <w:r>
              <w:rPr>
                <w:rFonts w:ascii="宋体" w:hAnsi="宋体" w:cs="宋体" w:eastAsia="宋体" w:hint="default"/>
                <w:sz w:val="21"/>
                <w:szCs w:val="21"/>
              </w:rPr>
              <w:t>850</w:t>
            </w:r>
            <w:r>
              <w:rPr>
                <w:rFonts w:ascii="宋体" w:hAnsi="宋体" w:cs="宋体" w:eastAsia="宋体" w:hint="default"/>
                <w:spacing w:val="-102"/>
                <w:sz w:val="21"/>
                <w:szCs w:val="21"/>
              </w:rPr>
              <w:t> </w:t>
            </w:r>
            <w:r>
              <w:rPr>
                <w:rFonts w:ascii="宋体" w:hAnsi="宋体" w:cs="宋体" w:eastAsia="宋体" w:hint="default"/>
                <w:sz w:val="21"/>
                <w:szCs w:val="21"/>
              </w:rPr>
              <w:t>米道路</w:t>
            </w:r>
            <w:r>
              <w:rPr>
                <w:rFonts w:ascii="宋体" w:hAnsi="宋体" w:cs="宋体" w:eastAsia="宋体" w:hint="default"/>
                <w:spacing w:val="-51"/>
                <w:sz w:val="21"/>
                <w:szCs w:val="21"/>
              </w:rPr>
              <w:t> </w:t>
            </w: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29,060,4</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15.26</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29,060,415.2</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6</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27,006,935</w:t>
            </w:r>
          </w:p>
          <w:p>
            <w:pPr>
              <w:pStyle w:val="TableParagraph"/>
              <w:spacing w:line="240" w:lineRule="auto" w:before="37"/>
              <w:ind w:right="23"/>
              <w:jc w:val="right"/>
              <w:rPr>
                <w:rFonts w:ascii="宋体" w:hAnsi="宋体" w:cs="宋体" w:eastAsia="宋体" w:hint="default"/>
                <w:sz w:val="21"/>
                <w:szCs w:val="21"/>
              </w:rPr>
            </w:pPr>
            <w:r>
              <w:rPr>
                <w:rFonts w:ascii="宋体"/>
                <w:sz w:val="21"/>
              </w:rPr>
              <w:t>.14</w:t>
            </w:r>
          </w:p>
        </w:tc>
        <w:tc>
          <w:tcPr>
            <w:tcW w:w="49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27,006,9</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35.14</w:t>
            </w:r>
          </w:p>
        </w:tc>
        <w:tc>
          <w:tcPr>
            <w:tcW w:w="715"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71,167,4</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15.65</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71,167,415.6</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5</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83,634,118</w:t>
            </w:r>
          </w:p>
          <w:p>
            <w:pPr>
              <w:pStyle w:val="TableParagraph"/>
              <w:spacing w:line="240" w:lineRule="auto" w:before="37"/>
              <w:ind w:right="23"/>
              <w:jc w:val="right"/>
              <w:rPr>
                <w:rFonts w:ascii="宋体" w:hAnsi="宋体" w:cs="宋体" w:eastAsia="宋体" w:hint="default"/>
                <w:sz w:val="21"/>
                <w:szCs w:val="21"/>
              </w:rPr>
            </w:pPr>
            <w:r>
              <w:rPr>
                <w:rFonts w:ascii="宋体"/>
                <w:sz w:val="21"/>
              </w:rPr>
              <w:t>.16</w:t>
            </w:r>
          </w:p>
        </w:tc>
        <w:tc>
          <w:tcPr>
            <w:tcW w:w="49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83,634,1</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18.16</w:t>
            </w:r>
          </w:p>
        </w:tc>
        <w:tc>
          <w:tcPr>
            <w:tcW w:w="71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after="0" w:line="262"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62"/>
        </w:rPr>
        <w:t> </w:t>
      </w:r>
      <w:r>
        <w:rPr/>
        <w:t>因金融资产转移而终止确认的长期应收款</w:t>
      </w:r>
      <w:r>
        <w:rPr>
          <w:b w:val="0"/>
          <w:bCs w:val="0"/>
        </w:rPr>
      </w:r>
    </w:p>
    <w:p>
      <w:pPr>
        <w:pStyle w:val="BodyText"/>
        <w:tabs>
          <w:tab w:pos="1060" w:val="left" w:leader="none"/>
        </w:tabs>
        <w:spacing w:line="240" w:lineRule="auto" w:before="85"/>
        <w:ind w:right="-19"/>
        <w:jc w:val="left"/>
      </w:pPr>
      <w:r>
        <w:rPr>
          <w:spacing w:val="-1"/>
        </w:rPr>
        <w:t>□适用</w:t>
        <w:tab/>
      </w:r>
      <w:r>
        <w:rPr>
          <w:spacing w:val="-2"/>
        </w:rPr>
        <w:t>√不适用</w:t>
      </w:r>
    </w:p>
    <w:p>
      <w:pPr>
        <w:pStyle w:val="Heading2"/>
        <w:spacing w:line="240" w:lineRule="auto" w:before="69"/>
        <w:ind w:right="-19"/>
        <w:jc w:val="left"/>
        <w:rPr>
          <w:b w:val="0"/>
          <w:bCs w:val="0"/>
        </w:rPr>
      </w:pPr>
      <w:r>
        <w:rPr>
          <w:rFonts w:ascii="宋体" w:hAnsi="宋体" w:cs="宋体" w:eastAsia="宋体" w:hint="default"/>
        </w:rPr>
        <w:t>(3)</w:t>
      </w:r>
      <w:r>
        <w:rPr>
          <w:rFonts w:ascii="宋体" w:hAnsi="宋体" w:cs="宋体" w:eastAsia="宋体" w:hint="default"/>
          <w:spacing w:val="-63"/>
        </w:rPr>
        <w:t> </w:t>
      </w:r>
      <w:r>
        <w:rPr/>
        <w:t>转移长期应收款且继续涉入形成的资产、负债金额</w:t>
      </w:r>
      <w:r>
        <w:rPr>
          <w:b w:val="0"/>
          <w:bCs w:val="0"/>
        </w:rPr>
      </w:r>
    </w:p>
    <w:p>
      <w:pPr>
        <w:pStyle w:val="BodyText"/>
        <w:tabs>
          <w:tab w:pos="1060" w:val="left" w:leader="none"/>
        </w:tabs>
        <w:spacing w:line="273" w:lineRule="auto" w:before="85"/>
        <w:ind w:right="4436"/>
        <w:jc w:val="left"/>
      </w:pPr>
      <w:r>
        <w:rPr>
          <w:spacing w:val="-1"/>
        </w:rPr>
        <w:t>□适用</w:t>
        <w:tab/>
      </w:r>
      <w:r>
        <w:rPr>
          <w:spacing w:val="-2"/>
        </w:rPr>
        <w:t>√不适用</w:t>
      </w:r>
      <w:r>
        <w:rPr>
          <w:spacing w:val="-99"/>
        </w:rPr>
        <w:t> </w:t>
      </w:r>
      <w:r>
        <w:rPr>
          <w:spacing w:val="-99"/>
        </w:rPr>
      </w:r>
      <w:r>
        <w:rPr/>
        <w:t>其他说明</w:t>
      </w:r>
    </w:p>
    <w:p>
      <w:pPr>
        <w:pStyle w:val="BodyText"/>
        <w:spacing w:line="240" w:lineRule="auto" w:before="7"/>
        <w:ind w:right="-19"/>
        <w:jc w:val="left"/>
      </w:pPr>
      <w:r>
        <w:rPr/>
        <w:t>√适用</w:t>
      </w:r>
      <w:r>
        <w:rPr>
          <w:spacing w:val="-1"/>
        </w:rPr>
        <w:t> </w:t>
      </w:r>
      <w:r>
        <w:rPr/>
        <w:t>□不适用</w:t>
      </w:r>
    </w:p>
    <w:p>
      <w:pPr>
        <w:spacing w:line="283" w:lineRule="auto" w:before="9"/>
        <w:ind w:left="218" w:right="-19" w:firstLine="0"/>
        <w:jc w:val="left"/>
        <w:rPr>
          <w:rFonts w:ascii="宋体" w:hAnsi="宋体" w:cs="宋体" w:eastAsia="宋体" w:hint="default"/>
          <w:sz w:val="24"/>
          <w:szCs w:val="24"/>
        </w:rPr>
      </w:pPr>
      <w:r>
        <w:rPr>
          <w:rFonts w:ascii="宋体" w:hAnsi="宋体" w:cs="宋体" w:eastAsia="宋体" w:hint="default"/>
          <w:sz w:val="24"/>
          <w:szCs w:val="24"/>
        </w:rPr>
        <w:t>上述</w:t>
      </w:r>
      <w:r>
        <w:rPr>
          <w:rFonts w:ascii="宋体" w:hAnsi="宋体" w:cs="宋体" w:eastAsia="宋体" w:hint="default"/>
          <w:spacing w:val="-61"/>
          <w:sz w:val="24"/>
          <w:szCs w:val="24"/>
        </w:rPr>
        <w:t> </w:t>
      </w:r>
      <w:r>
        <w:rPr>
          <w:rFonts w:ascii="宋体" w:hAnsi="宋体" w:cs="宋体" w:eastAsia="宋体" w:hint="default"/>
          <w:sz w:val="24"/>
          <w:szCs w:val="24"/>
        </w:rPr>
        <w:t>BT</w:t>
      </w:r>
      <w:r>
        <w:rPr>
          <w:rFonts w:ascii="宋体" w:hAnsi="宋体" w:cs="宋体" w:eastAsia="宋体" w:hint="default"/>
          <w:spacing w:val="-60"/>
          <w:sz w:val="24"/>
          <w:szCs w:val="24"/>
        </w:rPr>
        <w:t> </w:t>
      </w:r>
      <w:r>
        <w:rPr>
          <w:rFonts w:ascii="宋体" w:hAnsi="宋体" w:cs="宋体" w:eastAsia="宋体" w:hint="default"/>
          <w:sz w:val="24"/>
          <w:szCs w:val="24"/>
        </w:rPr>
        <w:t>项目的具体情况详见附注十六、其他重要事项说明 </w:t>
      </w:r>
      <w:r>
        <w:rPr>
          <w:rFonts w:ascii="宋体" w:hAnsi="宋体" w:cs="宋体" w:eastAsia="宋体" w:hint="default"/>
          <w:b/>
          <w:bCs/>
          <w:sz w:val="24"/>
          <w:szCs w:val="24"/>
        </w:rPr>
        <w:t>17</w:t>
      </w:r>
      <w:r>
        <w:rPr>
          <w:rFonts w:ascii="宋体" w:hAnsi="宋体" w:cs="宋体" w:eastAsia="宋体" w:hint="default"/>
          <w:b/>
          <w:bCs/>
          <w:sz w:val="24"/>
          <w:szCs w:val="24"/>
        </w:rPr>
        <w:t>、</w:t>
      </w:r>
      <w:r>
        <w:rPr>
          <w:rFonts w:ascii="宋体" w:hAnsi="宋体" w:cs="宋体" w:eastAsia="宋体" w:hint="default"/>
          <w:b/>
          <w:bCs/>
          <w:spacing w:val="-104"/>
          <w:sz w:val="24"/>
          <w:szCs w:val="24"/>
        </w:rPr>
        <w:t> </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spacing w:line="240" w:lineRule="auto" w:before="42"/>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339" w:space="183"/>
            <w:col w:w="2768"/>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99"/>
        <w:gridCol w:w="850"/>
        <w:gridCol w:w="853"/>
        <w:gridCol w:w="427"/>
        <w:gridCol w:w="850"/>
        <w:gridCol w:w="711"/>
        <w:gridCol w:w="708"/>
        <w:gridCol w:w="703"/>
        <w:gridCol w:w="708"/>
        <w:gridCol w:w="625"/>
        <w:gridCol w:w="773"/>
        <w:gridCol w:w="744"/>
      </w:tblGrid>
      <w:tr>
        <w:trPr>
          <w:trHeight w:val="324" w:hRule="exact"/>
        </w:trPr>
        <w:tc>
          <w:tcPr>
            <w:tcW w:w="10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auto"/>
              <w:ind w:left="439" w:right="120" w:hanging="315"/>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auto"/>
              <w:ind w:left="208" w:right="20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58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auto"/>
              <w:ind w:left="170" w:right="16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156"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882" w:hRule="exact"/>
        </w:trPr>
        <w:tc>
          <w:tcPr>
            <w:tcW w:w="109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14" w:right="101" w:hanging="210"/>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3"/>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6"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2"/>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6" w:right="13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9" w:right="2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773"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r>
      <w:tr>
        <w:trPr>
          <w:trHeight w:val="32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深圳市中</w:t>
            </w:r>
            <w:r>
              <w:rPr>
                <w:rFonts w:ascii="宋体" w:hAnsi="宋体" w:cs="宋体" w:eastAsia="宋体" w:hint="default"/>
                <w:w w:val="100"/>
                <w:sz w:val="21"/>
                <w:szCs w:val="21"/>
              </w:rPr>
              <w:t> </w:t>
            </w:r>
            <w:r>
              <w:rPr>
                <w:rFonts w:ascii="宋体" w:hAnsi="宋体" w:cs="宋体" w:eastAsia="宋体" w:hint="default"/>
                <w:sz w:val="21"/>
                <w:szCs w:val="21"/>
              </w:rPr>
              <w:t>科金证科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3,000,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174.56</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651,25</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7.21</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3,651</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,431.</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77</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深圳市丽</w:t>
            </w:r>
            <w:r>
              <w:rPr>
                <w:rFonts w:ascii="宋体" w:hAnsi="宋体" w:cs="宋体" w:eastAsia="宋体" w:hint="default"/>
                <w:w w:val="100"/>
                <w:sz w:val="21"/>
                <w:szCs w:val="21"/>
              </w:rPr>
              <w:t> </w:t>
            </w:r>
            <w:r>
              <w:rPr>
                <w:rFonts w:ascii="宋体" w:hAnsi="宋体" w:cs="宋体" w:eastAsia="宋体" w:hint="default"/>
                <w:sz w:val="21"/>
                <w:szCs w:val="21"/>
              </w:rPr>
              <w:t>海弘金科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2,063,</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757.51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-5,045</w:t>
            </w:r>
          </w:p>
          <w:p>
            <w:pPr>
              <w:pStyle w:val="TableParagraph"/>
              <w:spacing w:line="240" w:lineRule="auto" w:before="37"/>
              <w:ind w:right="98"/>
              <w:jc w:val="right"/>
              <w:rPr>
                <w:rFonts w:ascii="宋体" w:hAnsi="宋体" w:cs="宋体" w:eastAsia="宋体" w:hint="default"/>
                <w:sz w:val="21"/>
                <w:szCs w:val="21"/>
              </w:rPr>
            </w:pPr>
            <w:r>
              <w:rPr>
                <w:rFonts w:ascii="宋体"/>
                <w:sz w:val="21"/>
              </w:rPr>
              <w:t>,713.6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3,018</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,043.</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85</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贵州金证</w:t>
            </w:r>
            <w:r>
              <w:rPr>
                <w:rFonts w:ascii="宋体" w:hAnsi="宋体" w:cs="宋体" w:eastAsia="宋体" w:hint="default"/>
                <w:w w:val="100"/>
                <w:sz w:val="21"/>
                <w:szCs w:val="21"/>
              </w:rPr>
              <w:t> </w:t>
            </w:r>
            <w:r>
              <w:rPr>
                <w:rFonts w:ascii="宋体" w:hAnsi="宋体" w:cs="宋体" w:eastAsia="宋体" w:hint="default"/>
                <w:sz w:val="21"/>
                <w:szCs w:val="21"/>
              </w:rPr>
              <w:t>飞翔科技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198,26</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6.15</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-2,536</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.24</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1" w:right="0"/>
              <w:jc w:val="left"/>
              <w:rPr>
                <w:rFonts w:ascii="宋体" w:hAnsi="宋体" w:cs="宋体" w:eastAsia="宋体" w:hint="default"/>
                <w:sz w:val="21"/>
                <w:szCs w:val="21"/>
              </w:rPr>
            </w:pPr>
            <w:r>
              <w:rPr>
                <w:rFonts w:ascii="宋体"/>
                <w:sz w:val="21"/>
              </w:rPr>
              <w:t>195,7</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29.91</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广州佳时</w:t>
            </w:r>
            <w:r>
              <w:rPr>
                <w:rFonts w:ascii="宋体" w:hAnsi="宋体" w:cs="宋体" w:eastAsia="宋体" w:hint="default"/>
                <w:w w:val="100"/>
                <w:sz w:val="21"/>
                <w:szCs w:val="21"/>
              </w:rPr>
              <w:t> </w:t>
            </w:r>
            <w:r>
              <w:rPr>
                <w:rFonts w:ascii="宋体" w:hAnsi="宋体" w:cs="宋体" w:eastAsia="宋体" w:hint="default"/>
                <w:sz w:val="21"/>
                <w:szCs w:val="21"/>
              </w:rPr>
              <w:t>达软件股</w:t>
            </w:r>
            <w:r>
              <w:rPr>
                <w:rFonts w:ascii="宋体" w:hAnsi="宋体" w:cs="宋体" w:eastAsia="宋体" w:hint="default"/>
                <w:w w:val="100"/>
                <w:sz w:val="21"/>
                <w:szCs w:val="21"/>
              </w:rPr>
              <w:t> </w:t>
            </w:r>
            <w:r>
              <w:rPr>
                <w:rFonts w:ascii="宋体" w:hAnsi="宋体" w:cs="宋体" w:eastAsia="宋体" w:hint="default"/>
                <w:sz w:val="21"/>
                <w:szCs w:val="21"/>
              </w:rPr>
              <w:t>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9,784,</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079.92</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52,347</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.56</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9,836</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,427.</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48</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深圳市金</w:t>
            </w:r>
            <w:r>
              <w:rPr>
                <w:rFonts w:ascii="宋体" w:hAnsi="宋体" w:cs="宋体" w:eastAsia="宋体" w:hint="default"/>
                <w:w w:val="100"/>
                <w:sz w:val="21"/>
                <w:szCs w:val="21"/>
              </w:rPr>
              <w:t> </w:t>
            </w:r>
            <w:r>
              <w:rPr>
                <w:rFonts w:ascii="宋体" w:hAnsi="宋体" w:cs="宋体" w:eastAsia="宋体" w:hint="default"/>
                <w:sz w:val="21"/>
                <w:szCs w:val="21"/>
              </w:rPr>
              <w:t>证前海金</w:t>
            </w:r>
            <w:r>
              <w:rPr>
                <w:rFonts w:ascii="宋体" w:hAnsi="宋体" w:cs="宋体" w:eastAsia="宋体" w:hint="default"/>
                <w:w w:val="100"/>
                <w:sz w:val="21"/>
                <w:szCs w:val="21"/>
              </w:rPr>
              <w:t> </w:t>
            </w:r>
            <w:r>
              <w:rPr>
                <w:rFonts w:ascii="宋体" w:hAnsi="宋体" w:cs="宋体" w:eastAsia="宋体" w:hint="default"/>
                <w:sz w:val="21"/>
                <w:szCs w:val="21"/>
              </w:rPr>
              <w:t>融科技有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5,481,</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267.15</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-2,962</w:t>
            </w:r>
          </w:p>
          <w:p>
            <w:pPr>
              <w:pStyle w:val="TableParagraph"/>
              <w:spacing w:line="240" w:lineRule="auto" w:before="37"/>
              <w:ind w:right="98"/>
              <w:jc w:val="right"/>
              <w:rPr>
                <w:rFonts w:ascii="宋体" w:hAnsi="宋体" w:cs="宋体" w:eastAsia="宋体" w:hint="default"/>
                <w:sz w:val="21"/>
                <w:szCs w:val="21"/>
              </w:rPr>
            </w:pPr>
            <w:r>
              <w:rPr>
                <w:rFonts w:ascii="宋体"/>
                <w:sz w:val="21"/>
              </w:rPr>
              <w:t>,002.2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2,519</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,264.</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92</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left"/>
              <w:rPr>
                <w:rFonts w:ascii="宋体" w:hAnsi="宋体" w:cs="宋体" w:eastAsia="宋体" w:hint="default"/>
                <w:sz w:val="21"/>
                <w:szCs w:val="21"/>
              </w:rPr>
            </w:pPr>
            <w:r>
              <w:rPr>
                <w:rFonts w:ascii="宋体" w:hAnsi="宋体" w:cs="宋体" w:eastAsia="宋体" w:hint="default"/>
                <w:sz w:val="21"/>
                <w:szCs w:val="21"/>
              </w:rPr>
              <w:t>西安中沥</w:t>
            </w:r>
            <w:r>
              <w:rPr>
                <w:rFonts w:ascii="宋体" w:hAnsi="宋体" w:cs="宋体" w:eastAsia="宋体" w:hint="default"/>
                <w:w w:val="100"/>
                <w:sz w:val="21"/>
                <w:szCs w:val="21"/>
              </w:rPr>
              <w:t> </w:t>
            </w:r>
            <w:r>
              <w:rPr>
                <w:rFonts w:ascii="宋体" w:hAnsi="宋体" w:cs="宋体" w:eastAsia="宋体" w:hint="default"/>
                <w:sz w:val="21"/>
                <w:szCs w:val="21"/>
              </w:rPr>
              <w:t>电子商务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3,126,</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923.05</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398,63</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9.51</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2" w:right="0"/>
              <w:jc w:val="left"/>
              <w:rPr>
                <w:rFonts w:ascii="宋体" w:hAnsi="宋体" w:cs="宋体" w:eastAsia="宋体" w:hint="default"/>
                <w:sz w:val="21"/>
                <w:szCs w:val="21"/>
              </w:rPr>
            </w:pPr>
            <w:r>
              <w:rPr>
                <w:rFonts w:ascii="宋体"/>
                <w:sz w:val="21"/>
              </w:rPr>
              <w:t>520,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930.</w:t>
            </w: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1" w:right="0"/>
              <w:jc w:val="left"/>
              <w:rPr>
                <w:rFonts w:ascii="宋体" w:hAnsi="宋体" w:cs="宋体" w:eastAsia="宋体" w:hint="default"/>
                <w:sz w:val="21"/>
                <w:szCs w:val="21"/>
              </w:rPr>
            </w:pPr>
            <w:r>
              <w:rPr>
                <w:rFonts w:ascii="宋体"/>
                <w:sz w:val="21"/>
              </w:rPr>
              <w:t>4,046</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,493.</w:t>
            </w:r>
          </w:p>
        </w:tc>
        <w:tc>
          <w:tcPr>
            <w:tcW w:w="7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9"/>
        <w:gridCol w:w="850"/>
        <w:gridCol w:w="853"/>
        <w:gridCol w:w="427"/>
        <w:gridCol w:w="850"/>
        <w:gridCol w:w="711"/>
        <w:gridCol w:w="708"/>
        <w:gridCol w:w="703"/>
        <w:gridCol w:w="708"/>
        <w:gridCol w:w="625"/>
        <w:gridCol w:w="773"/>
        <w:gridCol w:w="744"/>
      </w:tblGrid>
      <w:tr>
        <w:trPr>
          <w:trHeight w:val="32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81" w:right="0"/>
              <w:jc w:val="left"/>
              <w:rPr>
                <w:rFonts w:ascii="宋体" w:hAnsi="宋体" w:cs="宋体" w:eastAsia="宋体" w:hint="default"/>
                <w:sz w:val="21"/>
                <w:szCs w:val="21"/>
              </w:rPr>
            </w:pPr>
            <w:r>
              <w:rPr>
                <w:rFonts w:ascii="宋体"/>
                <w:sz w:val="21"/>
              </w:rPr>
              <w:t>78</w:t>
            </w: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6" w:right="0"/>
              <w:jc w:val="left"/>
              <w:rPr>
                <w:rFonts w:ascii="宋体" w:hAnsi="宋体" w:cs="宋体" w:eastAsia="宋体" w:hint="default"/>
                <w:sz w:val="21"/>
                <w:szCs w:val="21"/>
              </w:rPr>
            </w:pPr>
            <w:r>
              <w:rPr>
                <w:rFonts w:ascii="宋体"/>
                <w:sz w:val="21"/>
              </w:rPr>
              <w:t>34</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兴业数字</w:t>
            </w:r>
            <w:r>
              <w:rPr>
                <w:rFonts w:ascii="宋体" w:hAnsi="宋体" w:cs="宋体" w:eastAsia="宋体" w:hint="default"/>
                <w:w w:val="100"/>
                <w:sz w:val="21"/>
                <w:szCs w:val="21"/>
              </w:rPr>
              <w:t> </w:t>
            </w:r>
            <w:r>
              <w:rPr>
                <w:rFonts w:ascii="宋体" w:hAnsi="宋体" w:cs="宋体" w:eastAsia="宋体" w:hint="default"/>
                <w:sz w:val="21"/>
                <w:szCs w:val="21"/>
              </w:rPr>
              <w:t>金融服务</w:t>
            </w:r>
          </w:p>
          <w:p>
            <w:pPr>
              <w:pStyle w:val="TableParagraph"/>
              <w:spacing w:line="273" w:lineRule="auto" w:before="7"/>
              <w:ind w:left="103" w:right="141"/>
              <w:jc w:val="both"/>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51,558</w:t>
            </w:r>
          </w:p>
          <w:p>
            <w:pPr>
              <w:pStyle w:val="TableParagraph"/>
              <w:spacing w:line="240" w:lineRule="auto" w:before="37"/>
              <w:ind w:right="98"/>
              <w:jc w:val="right"/>
              <w:rPr>
                <w:rFonts w:ascii="宋体" w:hAnsi="宋体" w:cs="宋体" w:eastAsia="宋体" w:hint="default"/>
                <w:sz w:val="21"/>
                <w:szCs w:val="21"/>
              </w:rPr>
            </w:pPr>
            <w:r>
              <w:rPr>
                <w:rFonts w:ascii="宋体"/>
                <w:sz w:val="21"/>
              </w:rPr>
              <w:t>,070.9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-2,205</w:t>
            </w:r>
          </w:p>
          <w:p>
            <w:pPr>
              <w:pStyle w:val="TableParagraph"/>
              <w:spacing w:line="240" w:lineRule="auto" w:before="37"/>
              <w:ind w:right="98"/>
              <w:jc w:val="right"/>
              <w:rPr>
                <w:rFonts w:ascii="宋体" w:hAnsi="宋体" w:cs="宋体" w:eastAsia="宋体" w:hint="default"/>
                <w:sz w:val="21"/>
                <w:szCs w:val="21"/>
              </w:rPr>
            </w:pPr>
            <w:r>
              <w:rPr>
                <w:rFonts w:ascii="宋体"/>
                <w:sz w:val="21"/>
              </w:rPr>
              <w:t>,294.4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49,35</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2,776</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.49</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山东晶芯</w:t>
            </w:r>
            <w:r>
              <w:rPr>
                <w:rFonts w:ascii="宋体" w:hAnsi="宋体" w:cs="宋体" w:eastAsia="宋体" w:hint="default"/>
                <w:w w:val="100"/>
                <w:sz w:val="21"/>
                <w:szCs w:val="21"/>
              </w:rPr>
              <w:t> </w:t>
            </w:r>
            <w:r>
              <w:rPr>
                <w:rFonts w:ascii="宋体" w:hAnsi="宋体" w:cs="宋体" w:eastAsia="宋体" w:hint="default"/>
                <w:sz w:val="21"/>
                <w:szCs w:val="21"/>
              </w:rPr>
              <w:t>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1,620,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031.50</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168,09</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7.05</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1,788</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,128.</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55</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山东金证</w:t>
            </w:r>
            <w:r>
              <w:rPr>
                <w:rFonts w:ascii="宋体" w:hAnsi="宋体" w:cs="宋体" w:eastAsia="宋体" w:hint="default"/>
                <w:w w:val="100"/>
                <w:sz w:val="21"/>
                <w:szCs w:val="21"/>
              </w:rPr>
              <w:t> </w:t>
            </w:r>
            <w:r>
              <w:rPr>
                <w:rFonts w:ascii="宋体" w:hAnsi="宋体" w:cs="宋体" w:eastAsia="宋体" w:hint="default"/>
                <w:sz w:val="21"/>
                <w:szCs w:val="21"/>
              </w:rPr>
              <w:t>智城科技</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218,63</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9.76</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-92,25</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8.15</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126,3</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81.61</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福建金证</w:t>
            </w:r>
            <w:r>
              <w:rPr>
                <w:rFonts w:ascii="宋体" w:hAnsi="宋体" w:cs="宋体" w:eastAsia="宋体" w:hint="default"/>
                <w:w w:val="100"/>
                <w:sz w:val="21"/>
                <w:szCs w:val="21"/>
              </w:rPr>
              <w:t> </w:t>
            </w:r>
            <w:r>
              <w:rPr>
                <w:rFonts w:ascii="宋体" w:hAnsi="宋体" w:cs="宋体" w:eastAsia="宋体" w:hint="default"/>
                <w:sz w:val="21"/>
                <w:szCs w:val="21"/>
              </w:rPr>
              <w:t>智城科技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452,10</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1.75</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38,690</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.31</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490,7</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92.06</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贵州中融</w:t>
            </w:r>
            <w:r>
              <w:rPr>
                <w:rFonts w:ascii="宋体" w:hAnsi="宋体" w:cs="宋体" w:eastAsia="宋体" w:hint="default"/>
                <w:w w:val="100"/>
                <w:sz w:val="21"/>
                <w:szCs w:val="21"/>
              </w:rPr>
              <w:t> </w:t>
            </w:r>
            <w:r>
              <w:rPr>
                <w:rFonts w:ascii="宋体" w:hAnsi="宋体" w:cs="宋体" w:eastAsia="宋体" w:hint="default"/>
                <w:sz w:val="21"/>
                <w:szCs w:val="21"/>
              </w:rPr>
              <w:t>信应收账</w:t>
            </w:r>
            <w:r>
              <w:rPr>
                <w:rFonts w:ascii="宋体" w:hAnsi="宋体" w:cs="宋体" w:eastAsia="宋体" w:hint="default"/>
                <w:w w:val="100"/>
                <w:sz w:val="21"/>
                <w:szCs w:val="21"/>
              </w:rPr>
              <w:t> </w:t>
            </w:r>
            <w:r>
              <w:rPr>
                <w:rFonts w:ascii="宋体" w:hAnsi="宋体" w:cs="宋体" w:eastAsia="宋体" w:hint="default"/>
                <w:sz w:val="21"/>
                <w:szCs w:val="21"/>
              </w:rPr>
              <w:t>款交易中</w:t>
            </w:r>
            <w:r>
              <w:rPr>
                <w:rFonts w:ascii="宋体" w:hAnsi="宋体" w:cs="宋体" w:eastAsia="宋体" w:hint="default"/>
                <w:w w:val="100"/>
                <w:sz w:val="21"/>
                <w:szCs w:val="21"/>
              </w:rPr>
              <w:t> </w:t>
            </w:r>
            <w:r>
              <w:rPr>
                <w:rFonts w:ascii="宋体" w:hAnsi="宋体" w:cs="宋体" w:eastAsia="宋体" w:hint="default"/>
                <w:sz w:val="21"/>
                <w:szCs w:val="21"/>
              </w:rPr>
              <w:t>心有限公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4,886,</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306.72</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-486,9</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34.89</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4,399</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,371.</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83</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深圳市隆</w:t>
            </w:r>
            <w:r>
              <w:rPr>
                <w:rFonts w:ascii="宋体" w:hAnsi="宋体" w:cs="宋体" w:eastAsia="宋体" w:hint="default"/>
                <w:w w:val="100"/>
                <w:sz w:val="21"/>
                <w:szCs w:val="21"/>
              </w:rPr>
              <w:t> </w:t>
            </w:r>
            <w:r>
              <w:rPr>
                <w:rFonts w:ascii="宋体" w:hAnsi="宋体" w:cs="宋体" w:eastAsia="宋体" w:hint="default"/>
                <w:sz w:val="21"/>
                <w:szCs w:val="21"/>
              </w:rPr>
              <w:t>通电子商</w:t>
            </w:r>
            <w:r>
              <w:rPr>
                <w:rFonts w:ascii="宋体" w:hAnsi="宋体" w:cs="宋体" w:eastAsia="宋体" w:hint="default"/>
                <w:w w:val="100"/>
                <w:sz w:val="21"/>
                <w:szCs w:val="21"/>
              </w:rPr>
              <w:t> </w:t>
            </w:r>
            <w:r>
              <w:rPr>
                <w:rFonts w:ascii="宋体" w:hAnsi="宋体" w:cs="宋体" w:eastAsia="宋体" w:hint="default"/>
                <w:sz w:val="21"/>
                <w:szCs w:val="21"/>
              </w:rPr>
              <w:t>务有限公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sz w:val="21"/>
              </w:rPr>
              <w:t>100,00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-40,34</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9.35</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 w:right="0"/>
              <w:jc w:val="center"/>
              <w:rPr>
                <w:rFonts w:ascii="宋体" w:hAnsi="宋体" w:cs="宋体" w:eastAsia="宋体" w:hint="default"/>
                <w:sz w:val="21"/>
                <w:szCs w:val="21"/>
              </w:rPr>
            </w:pPr>
            <w:r>
              <w:rPr>
                <w:rFonts w:ascii="宋体"/>
                <w:sz w:val="21"/>
              </w:rPr>
              <w:t>59,65</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0.65</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深圳市星</w:t>
            </w:r>
            <w:r>
              <w:rPr>
                <w:rFonts w:ascii="宋体" w:hAnsi="宋体" w:cs="宋体" w:eastAsia="宋体" w:hint="default"/>
                <w:w w:val="100"/>
                <w:sz w:val="21"/>
                <w:szCs w:val="21"/>
              </w:rPr>
              <w:t> </w:t>
            </w:r>
            <w:r>
              <w:rPr>
                <w:rFonts w:ascii="宋体" w:hAnsi="宋体" w:cs="宋体" w:eastAsia="宋体" w:hint="default"/>
                <w:sz w:val="21"/>
                <w:szCs w:val="21"/>
              </w:rPr>
              <w:t>网信通科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33,840</w:t>
            </w:r>
          </w:p>
          <w:p>
            <w:pPr>
              <w:pStyle w:val="TableParagraph"/>
              <w:spacing w:line="240" w:lineRule="auto" w:before="37"/>
              <w:ind w:right="99"/>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2,649,</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161.83</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36,48</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9,161</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.83</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深圳金证</w:t>
            </w:r>
            <w:r>
              <w:rPr>
                <w:rFonts w:ascii="宋体" w:hAnsi="宋体" w:cs="宋体" w:eastAsia="宋体" w:hint="default"/>
                <w:w w:val="100"/>
                <w:sz w:val="21"/>
                <w:szCs w:val="21"/>
              </w:rPr>
              <w:t> </w:t>
            </w:r>
            <w:r>
              <w:rPr>
                <w:rFonts w:ascii="宋体" w:hAnsi="宋体" w:cs="宋体" w:eastAsia="宋体" w:hint="default"/>
                <w:sz w:val="21"/>
                <w:szCs w:val="21"/>
              </w:rPr>
              <w:t>文体科技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3,000,</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19,059</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.17</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3,019</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,059.</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17</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武汉无线</w:t>
            </w:r>
            <w:r>
              <w:rPr>
                <w:rFonts w:ascii="宋体" w:hAnsi="宋体" w:cs="宋体" w:eastAsia="宋体" w:hint="default"/>
                <w:w w:val="100"/>
                <w:sz w:val="21"/>
                <w:szCs w:val="21"/>
              </w:rPr>
              <w:t> </w:t>
            </w:r>
            <w:r>
              <w:rPr>
                <w:rFonts w:ascii="宋体" w:hAnsi="宋体" w:cs="宋体" w:eastAsia="宋体" w:hint="default"/>
                <w:sz w:val="21"/>
                <w:szCs w:val="21"/>
              </w:rPr>
              <w:t>飞翔科技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101,18</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7.49</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2,18</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0,19</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1.68</w:t>
            </w: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8,281</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,379.</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17</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82,389</w:t>
            </w:r>
          </w:p>
          <w:p>
            <w:pPr>
              <w:pStyle w:val="TableParagraph"/>
              <w:spacing w:line="240" w:lineRule="auto" w:before="37"/>
              <w:ind w:right="98"/>
              <w:jc w:val="right"/>
              <w:rPr>
                <w:rFonts w:ascii="宋体" w:hAnsi="宋体" w:cs="宋体" w:eastAsia="宋体" w:hint="default"/>
                <w:sz w:val="21"/>
                <w:szCs w:val="21"/>
              </w:rPr>
            </w:pPr>
            <w:r>
              <w:rPr>
                <w:rFonts w:ascii="宋体"/>
                <w:sz w:val="21"/>
              </w:rPr>
              <w:t>,619.0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48,940</w:t>
            </w:r>
          </w:p>
          <w:p>
            <w:pPr>
              <w:pStyle w:val="TableParagraph"/>
              <w:spacing w:line="240" w:lineRule="auto" w:before="37"/>
              <w:ind w:right="99"/>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-6,756</w:t>
            </w:r>
          </w:p>
          <w:p>
            <w:pPr>
              <w:pStyle w:val="TableParagraph"/>
              <w:spacing w:line="240" w:lineRule="auto" w:before="37"/>
              <w:ind w:right="98"/>
              <w:jc w:val="right"/>
              <w:rPr>
                <w:rFonts w:ascii="宋体" w:hAnsi="宋体" w:cs="宋体" w:eastAsia="宋体" w:hint="default"/>
                <w:sz w:val="21"/>
                <w:szCs w:val="21"/>
              </w:rPr>
            </w:pPr>
            <w:r>
              <w:rPr>
                <w:rFonts w:ascii="宋体"/>
                <w:sz w:val="21"/>
              </w:rPr>
              <w:t>,648.8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2,70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1,12</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2.46</w:t>
            </w: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 w:right="0"/>
              <w:jc w:val="center"/>
              <w:rPr>
                <w:rFonts w:ascii="宋体" w:hAnsi="宋体" w:cs="宋体" w:eastAsia="宋体" w:hint="default"/>
                <w:sz w:val="21"/>
                <w:szCs w:val="21"/>
              </w:rPr>
            </w:pPr>
            <w:r>
              <w:rPr>
                <w:rFonts w:ascii="宋体"/>
                <w:sz w:val="21"/>
              </w:rPr>
              <w:t>127,2</w:t>
            </w:r>
          </w:p>
          <w:p>
            <w:pPr>
              <w:pStyle w:val="TableParagraph"/>
              <w:spacing w:line="240" w:lineRule="auto" w:before="37"/>
              <w:ind w:left="28" w:right="0"/>
              <w:jc w:val="center"/>
              <w:rPr>
                <w:rFonts w:ascii="宋体" w:hAnsi="宋体" w:cs="宋体" w:eastAsia="宋体" w:hint="default"/>
                <w:sz w:val="21"/>
                <w:szCs w:val="21"/>
              </w:rPr>
            </w:pPr>
            <w:r>
              <w:rPr>
                <w:rFonts w:ascii="宋体"/>
                <w:sz w:val="21"/>
              </w:rPr>
              <w:t>74,09</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2.63</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82,389</w:t>
            </w:r>
          </w:p>
          <w:p>
            <w:pPr>
              <w:pStyle w:val="TableParagraph"/>
              <w:spacing w:line="240" w:lineRule="auto" w:before="37"/>
              <w:ind w:right="98"/>
              <w:jc w:val="right"/>
              <w:rPr>
                <w:rFonts w:ascii="宋体" w:hAnsi="宋体" w:cs="宋体" w:eastAsia="宋体" w:hint="default"/>
                <w:sz w:val="21"/>
                <w:szCs w:val="21"/>
              </w:rPr>
            </w:pPr>
            <w:r>
              <w:rPr>
                <w:rFonts w:ascii="宋体"/>
                <w:sz w:val="21"/>
              </w:rPr>
              <w:t>,619.0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48,940</w:t>
            </w:r>
          </w:p>
          <w:p>
            <w:pPr>
              <w:pStyle w:val="TableParagraph"/>
              <w:spacing w:line="240" w:lineRule="auto" w:before="37"/>
              <w:ind w:right="99"/>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-6,756</w:t>
            </w:r>
          </w:p>
          <w:p>
            <w:pPr>
              <w:pStyle w:val="TableParagraph"/>
              <w:spacing w:line="240" w:lineRule="auto" w:before="37"/>
              <w:ind w:right="98"/>
              <w:jc w:val="right"/>
              <w:rPr>
                <w:rFonts w:ascii="宋体" w:hAnsi="宋体" w:cs="宋体" w:eastAsia="宋体" w:hint="default"/>
                <w:sz w:val="21"/>
                <w:szCs w:val="21"/>
              </w:rPr>
            </w:pPr>
            <w:r>
              <w:rPr>
                <w:rFonts w:ascii="宋体"/>
                <w:sz w:val="21"/>
              </w:rPr>
              <w:t>,648.8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2,70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1,12</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2.46</w:t>
            </w: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 w:right="0"/>
              <w:jc w:val="center"/>
              <w:rPr>
                <w:rFonts w:ascii="宋体" w:hAnsi="宋体" w:cs="宋体" w:eastAsia="宋体" w:hint="default"/>
                <w:sz w:val="21"/>
                <w:szCs w:val="21"/>
              </w:rPr>
            </w:pPr>
            <w:r>
              <w:rPr>
                <w:rFonts w:ascii="宋体"/>
                <w:sz w:val="21"/>
              </w:rPr>
              <w:t>127,2</w:t>
            </w:r>
          </w:p>
          <w:p>
            <w:pPr>
              <w:pStyle w:val="TableParagraph"/>
              <w:spacing w:line="240" w:lineRule="auto" w:before="37"/>
              <w:ind w:left="28" w:right="0"/>
              <w:jc w:val="center"/>
              <w:rPr>
                <w:rFonts w:ascii="宋体" w:hAnsi="宋体" w:cs="宋体" w:eastAsia="宋体" w:hint="default"/>
                <w:sz w:val="21"/>
                <w:szCs w:val="21"/>
              </w:rPr>
            </w:pPr>
            <w:r>
              <w:rPr>
                <w:rFonts w:ascii="宋体"/>
                <w:sz w:val="21"/>
              </w:rPr>
              <w:t>74,09</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2.63</w:t>
            </w:r>
          </w:p>
        </w:tc>
        <w:tc>
          <w:tcPr>
            <w:tcW w:w="7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8"/>
          <w:szCs w:val="18"/>
        </w:rPr>
      </w:pPr>
    </w:p>
    <w:p>
      <w:pPr>
        <w:pStyle w:val="BodyText"/>
        <w:spacing w:line="240" w:lineRule="auto" w:before="36"/>
        <w:ind w:right="215"/>
        <w:jc w:val="left"/>
      </w:pPr>
      <w:r>
        <w:rPr/>
        <w:t>其他说明</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1" w:lineRule="auto" w:before="36"/>
        <w:ind w:left="138" w:right="147" w:firstLine="419"/>
        <w:jc w:val="both"/>
      </w:pPr>
      <w:r>
        <w:rPr>
          <w:spacing w:val="-2"/>
        </w:rPr>
        <w:t>本公司持有深圳市中科金证科技有限公司、广州佳时达软件股份有限公司、兴业数字金融服</w:t>
      </w:r>
      <w:r>
        <w:rPr>
          <w:w w:val="100"/>
        </w:rPr>
        <w:t> </w:t>
      </w:r>
      <w:r>
        <w:rPr>
          <w:spacing w:val="-2"/>
        </w:rPr>
        <w:t>务（上海）股份有限公司、山东晶芯能源科技有限公司、山东金证智城科技股份有限公司、福建</w:t>
      </w:r>
      <w:r>
        <w:rPr>
          <w:spacing w:val="-25"/>
        </w:rPr>
        <w:t> </w:t>
      </w:r>
      <w:r>
        <w:rPr>
          <w:spacing w:val="-25"/>
        </w:rPr>
      </w:r>
      <w:r>
        <w:rPr>
          <w:spacing w:val="-6"/>
          <w:w w:val="100"/>
        </w:rPr>
        <w:t>金证智城科技有限公司、贵州中融信应收账款交易中心有限公司、深圳市隆通电子商务有限公司、</w:t>
      </w:r>
      <w:r>
        <w:rPr>
          <w:w w:val="100"/>
        </w:rPr>
        <w:t> </w:t>
      </w:r>
      <w:r>
        <w:rPr/>
        <w:t>深圳金证文体科技有限公司的股权比例均低于</w:t>
      </w:r>
      <w:r>
        <w:rPr>
          <w:spacing w:val="-21"/>
        </w:rPr>
        <w:t> </w:t>
      </w:r>
      <w:r>
        <w:rPr>
          <w:rFonts w:ascii="Arial" w:hAnsi="Arial" w:cs="Arial" w:eastAsia="Arial" w:hint="default"/>
          <w:spacing w:val="-4"/>
        </w:rPr>
        <w:t>20%</w:t>
      </w:r>
      <w:r>
        <w:rPr>
          <w:spacing w:val="-4"/>
        </w:rPr>
        <w:t>，因本公司均委派有董事参与上述被投资单位</w:t>
      </w:r>
      <w:r>
        <w:rPr>
          <w:spacing w:val="-93"/>
        </w:rPr>
        <w:t> </w:t>
      </w:r>
      <w:r>
        <w:rPr>
          <w:spacing w:val="-93"/>
        </w:rPr>
      </w:r>
      <w:r>
        <w:rPr/>
        <w:t>经营决策，对其构成重大影响，长期股权投资按权益法核算。</w:t>
      </w:r>
    </w:p>
    <w:p>
      <w:pPr>
        <w:spacing w:line="288" w:lineRule="auto" w:before="66"/>
        <w:ind w:left="138" w:right="6377" w:firstLine="0"/>
        <w:jc w:val="left"/>
        <w:rPr>
          <w:rFonts w:ascii="宋体" w:hAnsi="宋体" w:cs="宋体" w:eastAsia="宋体" w:hint="default"/>
          <w:sz w:val="21"/>
          <w:szCs w:val="21"/>
        </w:rPr>
      </w:pPr>
      <w:r>
        <w:rPr>
          <w:rFonts w:ascii="宋体" w:hAnsi="宋体" w:cs="宋体" w:eastAsia="宋体" w:hint="default"/>
          <w:b/>
          <w:bCs/>
          <w:sz w:val="24"/>
          <w:szCs w:val="24"/>
        </w:rPr>
        <w:t>18</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pacing w:val="-2"/>
          <w:sz w:val="21"/>
          <w:szCs w:val="21"/>
        </w:rPr>
        <w:t>投资性房地产计量模式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不适用</w:t>
      </w:r>
    </w:p>
    <w:p>
      <w:pPr>
        <w:pStyle w:val="Heading2"/>
        <w:spacing w:line="240" w:lineRule="auto" w:before="27"/>
        <w:ind w:left="138" w:right="158"/>
        <w:jc w:val="left"/>
        <w:rPr>
          <w:b w:val="0"/>
          <w:bCs w:val="0"/>
        </w:rPr>
      </w:pPr>
      <w:r>
        <w:rPr>
          <w:rFonts w:ascii="宋体" w:hAnsi="宋体" w:cs="宋体" w:eastAsia="宋体" w:hint="default"/>
        </w:rPr>
        <w:t>19</w:t>
      </w:r>
      <w:r>
        <w:rPr/>
        <w:t>、</w:t>
      </w:r>
      <w:r>
        <w:rPr>
          <w:spacing w:val="-102"/>
        </w:rPr>
        <w:t> </w:t>
      </w:r>
      <w:r>
        <w:rPr/>
        <w:t>固定资产</w:t>
      </w:r>
      <w:r>
        <w:rPr>
          <w:b w:val="0"/>
          <w:bCs w:val="0"/>
        </w:rPr>
      </w:r>
    </w:p>
    <w:p>
      <w:pPr>
        <w:pStyle w:val="Heading2"/>
        <w:tabs>
          <w:tab w:pos="977" w:val="left" w:leader="none"/>
        </w:tabs>
        <w:spacing w:line="240" w:lineRule="auto" w:before="58"/>
        <w:ind w:left="138" w:right="158"/>
        <w:jc w:val="left"/>
        <w:rPr>
          <w:b w:val="0"/>
          <w:bCs w:val="0"/>
        </w:rPr>
      </w:pPr>
      <w:r>
        <w:rPr>
          <w:rFonts w:ascii="宋体" w:hAnsi="宋体" w:cs="宋体" w:eastAsia="宋体" w:hint="default"/>
        </w:rPr>
        <w:t>(1).</w:t>
        <w:tab/>
      </w:r>
      <w:r>
        <w:rPr/>
        <w:t>固定资产情况</w:t>
      </w:r>
      <w:r>
        <w:rPr>
          <w:b w:val="0"/>
          <w:bCs w:val="0"/>
        </w:rPr>
      </w:r>
    </w:p>
    <w:p>
      <w:pPr>
        <w:pStyle w:val="BodyText"/>
        <w:spacing w:line="240" w:lineRule="auto" w:before="86"/>
        <w:ind w:left="138" w:right="158"/>
        <w:jc w:val="left"/>
      </w:pPr>
      <w:r>
        <w:rPr/>
        <w:t>√适用</w:t>
      </w:r>
      <w:r>
        <w:rPr>
          <w:spacing w:val="-1"/>
        </w:rPr>
        <w:t> </w:t>
      </w:r>
      <w:r>
        <w:rPr/>
        <w:t>□不适用</w:t>
      </w:r>
    </w:p>
    <w:p>
      <w:pPr>
        <w:pStyle w:val="BodyText"/>
        <w:tabs>
          <w:tab w:pos="1051" w:val="left" w:leader="none"/>
        </w:tabs>
        <w:spacing w:line="240" w:lineRule="auto" w:before="3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18"/>
        <w:gridCol w:w="1683"/>
        <w:gridCol w:w="1320"/>
        <w:gridCol w:w="1423"/>
        <w:gridCol w:w="1321"/>
        <w:gridCol w:w="1531"/>
      </w:tblGrid>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0" w:right="72" w:hanging="524"/>
              <w:jc w:val="left"/>
              <w:rPr>
                <w:rFonts w:ascii="宋体" w:hAnsi="宋体" w:cs="宋体" w:eastAsia="宋体" w:hint="default"/>
                <w:sz w:val="21"/>
                <w:szCs w:val="21"/>
              </w:rPr>
            </w:pPr>
            <w:r>
              <w:rPr>
                <w:rFonts w:ascii="宋体" w:hAnsi="宋体" w:cs="宋体" w:eastAsia="宋体" w:hint="default"/>
                <w:sz w:val="21"/>
                <w:szCs w:val="21"/>
              </w:rPr>
              <w:t>办公及电子设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95,763,485.92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7,937,977.11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31,530,049.28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3,472,709.88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138,704,222.19</w:t>
            </w:r>
          </w:p>
        </w:tc>
      </w:tr>
      <w:tr>
        <w:trPr>
          <w:trHeight w:val="636"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5"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1"/>
                <w:szCs w:val="21"/>
              </w:rPr>
            </w:pPr>
            <w:r>
              <w:rPr>
                <w:rFonts w:ascii="宋体"/>
                <w:spacing w:val="-1"/>
                <w:sz w:val="21"/>
              </w:rPr>
              <w:t>536,601.88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6,641,285.69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1"/>
                <w:szCs w:val="21"/>
              </w:rPr>
            </w:pPr>
            <w:r>
              <w:rPr>
                <w:rFonts w:ascii="宋体"/>
                <w:spacing w:val="-1"/>
                <w:sz w:val="21"/>
              </w:rPr>
              <w:t>26,092.83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7,203,980.40</w:t>
            </w: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）购置</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536,601.88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6,641,285.69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26,092.83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7,203,980.40</w:t>
            </w:r>
          </w:p>
        </w:tc>
      </w:tr>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firstLine="631"/>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其他增加</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1" w:firstLine="525"/>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r>
              <w:rPr>
                <w:rFonts w:ascii="宋体" w:hAnsi="宋体" w:cs="宋体" w:eastAsia="宋体" w:hint="default"/>
                <w:w w:val="100"/>
                <w:sz w:val="21"/>
                <w:szCs w:val="21"/>
              </w:rPr>
              <w:t> </w:t>
            </w:r>
            <w:r>
              <w:rPr>
                <w:rFonts w:ascii="宋体" w:hAnsi="宋体" w:cs="宋体" w:eastAsia="宋体" w:hint="default"/>
                <w:sz w:val="21"/>
                <w:szCs w:val="21"/>
              </w:rPr>
              <w:t>少金额</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1,048,906.00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3,331,735.47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75,031.62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4,455,673.09</w:t>
            </w:r>
          </w:p>
        </w:tc>
      </w:tr>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firstLine="631"/>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1,048,906.00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3,331,735.47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75,031.62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4,455,673.09</w:t>
            </w:r>
          </w:p>
        </w:tc>
      </w:tr>
      <w:tr>
        <w:trPr>
          <w:trHeight w:val="324"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95,763,485.92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7,425,672.99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34,839,599.50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3,423,771.09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141,452,529.50</w:t>
            </w: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37,036,555.97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5,024,073.39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19,244,707.63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2,127,615.66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63,432,952.65</w:t>
            </w:r>
          </w:p>
        </w:tc>
      </w:tr>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5"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宋体" w:hAnsi="宋体" w:cs="宋体" w:eastAsia="宋体" w:hint="default"/>
                <w:sz w:val="21"/>
                <w:szCs w:val="21"/>
              </w:rPr>
            </w:pPr>
            <w:r>
              <w:rPr>
                <w:rFonts w:ascii="宋体"/>
                <w:spacing w:val="-1"/>
                <w:sz w:val="21"/>
              </w:rPr>
              <w:t>4,425,321.26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宋体" w:hAnsi="宋体" w:cs="宋体" w:eastAsia="宋体" w:hint="default"/>
                <w:sz w:val="21"/>
                <w:szCs w:val="21"/>
              </w:rPr>
            </w:pPr>
            <w:r>
              <w:rPr>
                <w:rFonts w:ascii="宋体"/>
                <w:spacing w:val="-1"/>
                <w:sz w:val="21"/>
              </w:rPr>
              <w:t>1,025,058.88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6,465,766.58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201,748.75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12,117,895.47</w:t>
            </w: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）计提</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4,425,321.26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1,025,058.88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6,465,766.58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201,748.75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12,117,895.47</w:t>
            </w:r>
          </w:p>
        </w:tc>
      </w:tr>
      <w:tr>
        <w:trPr>
          <w:trHeight w:val="636"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5"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1"/>
                <w:szCs w:val="21"/>
              </w:rPr>
            </w:pPr>
            <w:r>
              <w:rPr>
                <w:rFonts w:ascii="宋体"/>
                <w:spacing w:val="-1"/>
                <w:sz w:val="21"/>
              </w:rPr>
              <w:t>953,766.95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3,102,270.69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1"/>
                <w:szCs w:val="21"/>
              </w:rPr>
            </w:pPr>
            <w:r>
              <w:rPr>
                <w:rFonts w:ascii="宋体"/>
                <w:spacing w:val="-1"/>
                <w:sz w:val="21"/>
              </w:rPr>
              <w:t>64,282.44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4,120,320.08</w:t>
            </w:r>
          </w:p>
        </w:tc>
      </w:tr>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firstLine="631"/>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953,766.95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3,102,270.69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64,282.44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4,120,320.08</w:t>
            </w: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41,461,877.23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5,095,365.32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22,608,203.52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2,265,081.97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71,430,528.04</w:t>
            </w: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96,727.37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453,274.64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555,648.96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1,105,650.97</w:t>
            </w:r>
          </w:p>
        </w:tc>
      </w:tr>
      <w:tr>
        <w:trPr>
          <w:trHeight w:val="636"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5"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宋体" w:hAnsi="宋体" w:cs="宋体" w:eastAsia="宋体" w:hint="default"/>
                <w:sz w:val="21"/>
                <w:szCs w:val="21"/>
              </w:rPr>
            </w:pPr>
            <w:r>
              <w:rPr>
                <w:rFonts w:ascii="宋体"/>
                <w:spacing w:val="-1"/>
                <w:sz w:val="21"/>
              </w:rPr>
              <w:t>22,099.43</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22,099.43</w:t>
            </w:r>
          </w:p>
        </w:tc>
      </w:tr>
    </w:tbl>
    <w:p>
      <w:pPr>
        <w:spacing w:after="0" w:line="240" w:lineRule="auto"/>
        <w:jc w:val="right"/>
        <w:rPr>
          <w:rFonts w:ascii="宋体" w:hAnsi="宋体" w:cs="宋体" w:eastAsia="宋体" w:hint="default"/>
          <w:sz w:val="21"/>
          <w:szCs w:val="21"/>
        </w:rPr>
        <w:sectPr>
          <w:footerReference w:type="default" r:id="rId90"/>
          <w:pgSz w:w="11910" w:h="16840"/>
          <w:pgMar w:footer="1195" w:header="882"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618"/>
        <w:gridCol w:w="1683"/>
        <w:gridCol w:w="1320"/>
        <w:gridCol w:w="1423"/>
        <w:gridCol w:w="1321"/>
        <w:gridCol w:w="1531"/>
      </w:tblGrid>
      <w:tr>
        <w:trPr>
          <w:trHeight w:val="32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）计提</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22,099.43</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22,099.43</w:t>
            </w:r>
          </w:p>
        </w:tc>
      </w:tr>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5"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42,693.75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4,361.51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8,438.01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55,493.27</w:t>
            </w:r>
          </w:p>
        </w:tc>
      </w:tr>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firstLine="631"/>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42,693.75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4,361.51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8,438.01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55,493.27</w:t>
            </w: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76,133.05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448,913.13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547,210.95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1,072,257.13</w:t>
            </w: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5"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54,301,608.69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2,254,174.62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11,782,482.85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611,478.17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68,949,744.33</w:t>
            </w:r>
          </w:p>
        </w:tc>
      </w:tr>
      <w:tr>
        <w:trPr>
          <w:trHeight w:val="637"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5"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1"/>
                <w:szCs w:val="21"/>
              </w:rPr>
            </w:pPr>
            <w:r>
              <w:rPr>
                <w:rFonts w:ascii="宋体"/>
                <w:spacing w:val="-1"/>
                <w:sz w:val="21"/>
              </w:rPr>
              <w:t>58,726,929.95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1"/>
                <w:szCs w:val="21"/>
              </w:rPr>
            </w:pPr>
            <w:r>
              <w:rPr>
                <w:rFonts w:ascii="宋体"/>
                <w:spacing w:val="-1"/>
                <w:sz w:val="21"/>
              </w:rPr>
              <w:t>2,817,176.35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11,832,067.01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1"/>
                <w:szCs w:val="21"/>
              </w:rPr>
            </w:pPr>
            <w:r>
              <w:rPr>
                <w:rFonts w:ascii="宋体"/>
                <w:spacing w:val="-1"/>
                <w:sz w:val="21"/>
              </w:rPr>
              <w:t>789,445.26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74,165,618.57</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91"/>
          <w:pgSz w:w="11910" w:h="16840"/>
          <w:pgMar w:footer="1195" w:header="882" w:top="1120" w:bottom="1380" w:left="1660" w:right="1040"/>
          <w:pgNumType w:start="121"/>
        </w:sectPr>
      </w:pPr>
    </w:p>
    <w:p>
      <w:pPr>
        <w:pStyle w:val="Heading2"/>
        <w:tabs>
          <w:tab w:pos="977" w:val="left" w:leader="none"/>
        </w:tabs>
        <w:spacing w:line="240" w:lineRule="auto"/>
        <w:ind w:left="138" w:right="-19"/>
        <w:jc w:val="left"/>
        <w:rPr>
          <w:b w:val="0"/>
          <w:bCs w:val="0"/>
        </w:rPr>
      </w:pPr>
      <w:r>
        <w:rPr>
          <w:rFonts w:ascii="宋体" w:hAnsi="宋体" w:cs="宋体" w:eastAsia="宋体" w:hint="default"/>
        </w:rPr>
        <w:t>(2).</w:t>
        <w:tab/>
      </w:r>
      <w:r>
        <w:rPr/>
        <w:t>暂时闲置的固定资产情况</w:t>
      </w:r>
      <w:r>
        <w:rPr>
          <w:b w:val="0"/>
          <w:bCs w:val="0"/>
        </w:rPr>
      </w:r>
    </w:p>
    <w:p>
      <w:pPr>
        <w:pStyle w:val="BodyText"/>
        <w:spacing w:line="240" w:lineRule="auto" w:before="85"/>
        <w:ind w:left="138" w:right="-19"/>
        <w:jc w:val="left"/>
      </w:pPr>
      <w:r>
        <w:rPr/>
        <w:t>□适用</w:t>
      </w:r>
      <w:r>
        <w:rPr>
          <w:spacing w:val="-1"/>
        </w:rPr>
        <w:t> </w:t>
      </w:r>
      <w:r>
        <w:rPr/>
        <w:t>√不适用</w:t>
      </w:r>
    </w:p>
    <w:p>
      <w:pPr>
        <w:pStyle w:val="Heading2"/>
        <w:tabs>
          <w:tab w:pos="977" w:val="left" w:leader="none"/>
        </w:tabs>
        <w:spacing w:line="240" w:lineRule="auto" w:before="69"/>
        <w:ind w:left="138" w:right="-19"/>
        <w:jc w:val="left"/>
        <w:rPr>
          <w:b w:val="0"/>
          <w:bCs w:val="0"/>
        </w:rPr>
      </w:pPr>
      <w:r>
        <w:rPr>
          <w:rFonts w:ascii="宋体" w:hAnsi="宋体" w:cs="宋体" w:eastAsia="宋体" w:hint="default"/>
        </w:rPr>
        <w:t>(3).</w:t>
        <w:tab/>
      </w:r>
      <w:r>
        <w:rPr/>
        <w:t>通过融资租赁租入的固定资产情况</w:t>
      </w:r>
      <w:r>
        <w:rPr>
          <w:b w:val="0"/>
          <w:bCs w:val="0"/>
        </w:rPr>
      </w:r>
    </w:p>
    <w:p>
      <w:pPr>
        <w:pStyle w:val="BodyText"/>
        <w:spacing w:line="240" w:lineRule="auto" w:before="85"/>
        <w:ind w:left="138" w:right="-19"/>
        <w:jc w:val="left"/>
      </w:pPr>
      <w:r>
        <w:rPr/>
        <w:t>□适用</w:t>
      </w:r>
      <w:r>
        <w:rPr>
          <w:spacing w:val="-1"/>
        </w:rPr>
        <w:t> </w:t>
      </w:r>
      <w:r>
        <w:rPr/>
        <w:t>√不适用</w:t>
      </w:r>
    </w:p>
    <w:p>
      <w:pPr>
        <w:pStyle w:val="Heading2"/>
        <w:tabs>
          <w:tab w:pos="977" w:val="left" w:leader="none"/>
        </w:tabs>
        <w:spacing w:line="240" w:lineRule="auto" w:before="69"/>
        <w:ind w:left="138" w:right="-19"/>
        <w:jc w:val="left"/>
        <w:rPr>
          <w:b w:val="0"/>
          <w:bCs w:val="0"/>
        </w:rPr>
      </w:pPr>
      <w:r>
        <w:rPr>
          <w:rFonts w:ascii="宋体" w:hAnsi="宋体" w:cs="宋体" w:eastAsia="宋体" w:hint="default"/>
        </w:rPr>
        <w:t>(4).</w:t>
        <w:tab/>
      </w:r>
      <w:r>
        <w:rPr/>
        <w:t>通过经营租赁租出的固定资产</w:t>
      </w:r>
      <w:r>
        <w:rPr>
          <w:b w:val="0"/>
          <w:bCs w:val="0"/>
        </w:rPr>
      </w:r>
    </w:p>
    <w:p>
      <w:pPr>
        <w:pStyle w:val="BodyText"/>
        <w:spacing w:line="240" w:lineRule="auto" w:before="85"/>
        <w:ind w:left="138" w:right="-19"/>
        <w:jc w:val="left"/>
      </w:pPr>
      <w:r>
        <w:rPr/>
        <w:t>□适用</w:t>
      </w:r>
      <w:r>
        <w:rPr>
          <w:spacing w:val="-1"/>
        </w:rPr>
        <w:t> </w:t>
      </w:r>
      <w:r>
        <w:rPr/>
        <w:t>√不适用</w:t>
      </w:r>
    </w:p>
    <w:p>
      <w:pPr>
        <w:pStyle w:val="Heading2"/>
        <w:tabs>
          <w:tab w:pos="977" w:val="left" w:leader="none"/>
        </w:tabs>
        <w:spacing w:line="240" w:lineRule="auto" w:before="69"/>
        <w:ind w:left="138" w:right="-19"/>
        <w:jc w:val="left"/>
        <w:rPr>
          <w:b w:val="0"/>
          <w:bCs w:val="0"/>
        </w:rPr>
      </w:pPr>
      <w:r>
        <w:rPr>
          <w:rFonts w:ascii="宋体" w:hAnsi="宋体" w:cs="宋体" w:eastAsia="宋体" w:hint="default"/>
        </w:rPr>
        <w:t>(5).</w:t>
        <w:tab/>
      </w:r>
      <w:r>
        <w:rPr/>
        <w:t>未办妥产权证书的固定资产情况</w:t>
      </w:r>
      <w:r>
        <w:rPr>
          <w:b w:val="0"/>
          <w:bCs w:val="0"/>
        </w:rPr>
      </w:r>
    </w:p>
    <w:p>
      <w:pPr>
        <w:pStyle w:val="BodyText"/>
        <w:spacing w:line="273" w:lineRule="auto" w:before="86"/>
        <w:ind w:left="138" w:right="2860"/>
        <w:jc w:val="left"/>
      </w:pPr>
      <w:r>
        <w:rPr/>
        <w:t>□适用</w:t>
      </w:r>
      <w:r>
        <w:rPr>
          <w:spacing w:val="-1"/>
        </w:rPr>
        <w:t> </w:t>
      </w:r>
      <w:r>
        <w:rPr/>
        <w:t>√不适用</w:t>
      </w:r>
      <w:r>
        <w:rPr>
          <w:w w:val="100"/>
        </w:rPr>
        <w:t> </w:t>
      </w:r>
      <w:r>
        <w:rPr/>
        <w:t>其他说明：</w:t>
      </w:r>
    </w:p>
    <w:p>
      <w:pPr>
        <w:pStyle w:val="BodyText"/>
        <w:spacing w:line="240" w:lineRule="auto" w:before="7"/>
        <w:ind w:left="138" w:right="-19"/>
        <w:jc w:val="left"/>
      </w:pPr>
      <w:r>
        <w:rPr/>
        <w:t>□适用</w:t>
      </w:r>
      <w:r>
        <w:rPr>
          <w:spacing w:val="-1"/>
        </w:rPr>
        <w:t> </w:t>
      </w:r>
      <w:r>
        <w:rPr/>
        <w:t>√不适用</w:t>
      </w:r>
    </w:p>
    <w:p>
      <w:pPr>
        <w:pStyle w:val="Heading2"/>
        <w:spacing w:line="240" w:lineRule="auto" w:before="69"/>
        <w:ind w:left="138" w:right="-19"/>
        <w:jc w:val="left"/>
        <w:rPr>
          <w:b w:val="0"/>
          <w:bCs w:val="0"/>
        </w:rPr>
      </w:pPr>
      <w:r>
        <w:rPr>
          <w:rFonts w:ascii="宋体" w:hAnsi="宋体" w:cs="宋体" w:eastAsia="宋体" w:hint="default"/>
        </w:rPr>
        <w:t>20</w:t>
      </w:r>
      <w:r>
        <w:rPr/>
        <w:t>、</w:t>
      </w:r>
      <w:r>
        <w:rPr>
          <w:spacing w:val="-102"/>
        </w:rPr>
        <w:t> </w:t>
      </w:r>
      <w:r>
        <w:rPr/>
        <w:t>在建工程</w:t>
      </w:r>
      <w:r>
        <w:rPr>
          <w:b w:val="0"/>
          <w:bCs w:val="0"/>
        </w:rPr>
      </w:r>
    </w:p>
    <w:p>
      <w:pPr>
        <w:pStyle w:val="Heading2"/>
        <w:tabs>
          <w:tab w:pos="977" w:val="left" w:leader="none"/>
        </w:tabs>
        <w:spacing w:line="240" w:lineRule="auto" w:before="58"/>
        <w:ind w:left="138" w:right="-19"/>
        <w:jc w:val="left"/>
        <w:rPr>
          <w:b w:val="0"/>
          <w:bCs w:val="0"/>
        </w:rPr>
      </w:pPr>
      <w:r>
        <w:rPr>
          <w:rFonts w:ascii="宋体" w:hAnsi="宋体" w:cs="宋体" w:eastAsia="宋体" w:hint="default"/>
        </w:rPr>
        <w:t>(1).</w:t>
        <w:tab/>
      </w:r>
      <w:r>
        <w:rPr/>
        <w:t>在建工程情况</w:t>
      </w:r>
      <w:r>
        <w:rPr>
          <w:b w:val="0"/>
          <w:bCs w:val="0"/>
        </w:rPr>
      </w:r>
    </w:p>
    <w:p>
      <w:pPr>
        <w:pStyle w:val="BodyText"/>
        <w:spacing w:line="240" w:lineRule="auto" w:before="85"/>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40"/>
          <w:cols w:num="2" w:equalWidth="0">
            <w:col w:w="4593" w:space="1929"/>
            <w:col w:w="268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85"/>
        <w:gridCol w:w="1133"/>
        <w:gridCol w:w="852"/>
        <w:gridCol w:w="1277"/>
        <w:gridCol w:w="989"/>
        <w:gridCol w:w="997"/>
        <w:gridCol w:w="1157"/>
      </w:tblGrid>
      <w:tr>
        <w:trPr>
          <w:trHeight w:val="322" w:hRule="exact"/>
        </w:trPr>
        <w:tc>
          <w:tcPr>
            <w:tcW w:w="25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58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成都金证信息软件、服务外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包及金融后台服务基地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5" w:right="0"/>
              <w:jc w:val="left"/>
              <w:rPr>
                <w:rFonts w:ascii="宋体" w:hAnsi="宋体" w:cs="宋体" w:eastAsia="宋体" w:hint="default"/>
                <w:sz w:val="21"/>
                <w:szCs w:val="21"/>
              </w:rPr>
            </w:pPr>
            <w:r>
              <w:rPr>
                <w:rFonts w:ascii="宋体"/>
                <w:sz w:val="21"/>
              </w:rPr>
              <w:t>134,513,5</w:t>
            </w:r>
          </w:p>
          <w:p>
            <w:pPr>
              <w:pStyle w:val="TableParagraph"/>
              <w:spacing w:line="240" w:lineRule="auto" w:before="37"/>
              <w:ind w:left="465" w:right="0"/>
              <w:jc w:val="left"/>
              <w:rPr>
                <w:rFonts w:ascii="宋体" w:hAnsi="宋体" w:cs="宋体" w:eastAsia="宋体" w:hint="default"/>
                <w:sz w:val="21"/>
                <w:szCs w:val="21"/>
              </w:rPr>
            </w:pPr>
            <w:r>
              <w:rPr>
                <w:rFonts w:ascii="宋体"/>
                <w:sz w:val="21"/>
              </w:rPr>
              <w:t>04.67</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5" w:right="0"/>
              <w:jc w:val="left"/>
              <w:rPr>
                <w:rFonts w:ascii="宋体" w:hAnsi="宋体" w:cs="宋体" w:eastAsia="宋体" w:hint="default"/>
                <w:sz w:val="21"/>
                <w:szCs w:val="21"/>
              </w:rPr>
            </w:pPr>
            <w:r>
              <w:rPr>
                <w:rFonts w:ascii="宋体"/>
                <w:sz w:val="21"/>
              </w:rPr>
              <w:t>134,513,50</w:t>
            </w:r>
          </w:p>
          <w:p>
            <w:pPr>
              <w:pStyle w:val="TableParagraph"/>
              <w:spacing w:line="240" w:lineRule="auto" w:before="37"/>
              <w:ind w:left="746" w:right="0"/>
              <w:jc w:val="left"/>
              <w:rPr>
                <w:rFonts w:ascii="宋体" w:hAnsi="宋体" w:cs="宋体" w:eastAsia="宋体" w:hint="default"/>
                <w:sz w:val="21"/>
                <w:szCs w:val="21"/>
              </w:rPr>
            </w:pPr>
            <w:r>
              <w:rPr>
                <w:rFonts w:ascii="宋体"/>
                <w:sz w:val="21"/>
              </w:rPr>
              <w:t>4.67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5" w:right="0"/>
              <w:jc w:val="left"/>
              <w:rPr>
                <w:rFonts w:ascii="宋体" w:hAnsi="宋体" w:cs="宋体" w:eastAsia="宋体" w:hint="default"/>
                <w:sz w:val="21"/>
                <w:szCs w:val="21"/>
              </w:rPr>
            </w:pPr>
            <w:r>
              <w:rPr>
                <w:rFonts w:ascii="宋体"/>
                <w:sz w:val="21"/>
              </w:rPr>
              <w:t>116,145,</w:t>
            </w:r>
          </w:p>
          <w:p>
            <w:pPr>
              <w:pStyle w:val="TableParagraph"/>
              <w:spacing w:line="240" w:lineRule="auto" w:before="37"/>
              <w:ind w:left="324" w:right="0"/>
              <w:jc w:val="left"/>
              <w:rPr>
                <w:rFonts w:ascii="宋体" w:hAnsi="宋体" w:cs="宋体" w:eastAsia="宋体" w:hint="default"/>
                <w:sz w:val="21"/>
                <w:szCs w:val="21"/>
              </w:rPr>
            </w:pPr>
            <w:r>
              <w:rPr>
                <w:rFonts w:ascii="宋体"/>
                <w:sz w:val="21"/>
              </w:rPr>
              <w:t>663.17</w:t>
            </w:r>
          </w:p>
        </w:tc>
        <w:tc>
          <w:tcPr>
            <w:tcW w:w="99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9" w:right="0"/>
              <w:jc w:val="left"/>
              <w:rPr>
                <w:rFonts w:ascii="宋体" w:hAnsi="宋体" w:cs="宋体" w:eastAsia="宋体" w:hint="default"/>
                <w:sz w:val="21"/>
                <w:szCs w:val="21"/>
              </w:rPr>
            </w:pPr>
            <w:r>
              <w:rPr>
                <w:rFonts w:ascii="宋体"/>
                <w:sz w:val="21"/>
              </w:rPr>
              <w:t>116,145,66</w:t>
            </w:r>
          </w:p>
          <w:p>
            <w:pPr>
              <w:pStyle w:val="TableParagraph"/>
              <w:spacing w:line="240" w:lineRule="auto" w:before="37"/>
              <w:ind w:left="700" w:right="0"/>
              <w:jc w:val="left"/>
              <w:rPr>
                <w:rFonts w:ascii="宋体" w:hAnsi="宋体" w:cs="宋体" w:eastAsia="宋体" w:hint="default"/>
                <w:sz w:val="21"/>
                <w:szCs w:val="21"/>
              </w:rPr>
            </w:pPr>
            <w:r>
              <w:rPr>
                <w:rFonts w:ascii="宋体"/>
                <w:sz w:val="21"/>
              </w:rPr>
              <w:t>3.17</w:t>
            </w:r>
          </w:p>
        </w:tc>
      </w:tr>
      <w:tr>
        <w:trPr>
          <w:trHeight w:val="63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成都金证博泽科技有限公司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服务外包项目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sz w:val="21"/>
              </w:rPr>
              <w:t>13,544,67</w:t>
            </w:r>
          </w:p>
          <w:p>
            <w:pPr>
              <w:pStyle w:val="TableParagraph"/>
              <w:spacing w:line="240" w:lineRule="auto" w:before="37"/>
              <w:ind w:left="571" w:right="0"/>
              <w:jc w:val="left"/>
              <w:rPr>
                <w:rFonts w:ascii="宋体" w:hAnsi="宋体" w:cs="宋体" w:eastAsia="宋体" w:hint="default"/>
                <w:sz w:val="21"/>
                <w:szCs w:val="21"/>
              </w:rPr>
            </w:pPr>
            <w:r>
              <w:rPr>
                <w:rFonts w:ascii="宋体"/>
                <w:sz w:val="21"/>
              </w:rPr>
              <w:t>0.92</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13,544,670</w:t>
            </w:r>
          </w:p>
          <w:p>
            <w:pPr>
              <w:pStyle w:val="TableParagraph"/>
              <w:spacing w:line="240" w:lineRule="auto" w:before="37"/>
              <w:ind w:right="96"/>
              <w:jc w:val="right"/>
              <w:rPr>
                <w:rFonts w:ascii="宋体" w:hAnsi="宋体" w:cs="宋体" w:eastAsia="宋体" w:hint="default"/>
                <w:sz w:val="21"/>
                <w:szCs w:val="21"/>
              </w:rPr>
            </w:pPr>
            <w:r>
              <w:rPr>
                <w:rFonts w:ascii="宋体"/>
                <w:sz w:val="21"/>
              </w:rPr>
              <w:t>.92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13,380,1</w:t>
            </w:r>
          </w:p>
          <w:p>
            <w:pPr>
              <w:pStyle w:val="TableParagraph"/>
              <w:spacing w:line="240" w:lineRule="auto" w:before="37"/>
              <w:ind w:left="429" w:right="0"/>
              <w:jc w:val="left"/>
              <w:rPr>
                <w:rFonts w:ascii="宋体" w:hAnsi="宋体" w:cs="宋体" w:eastAsia="宋体" w:hint="default"/>
                <w:sz w:val="21"/>
                <w:szCs w:val="21"/>
              </w:rPr>
            </w:pPr>
            <w:r>
              <w:rPr>
                <w:rFonts w:ascii="宋体"/>
                <w:sz w:val="21"/>
              </w:rPr>
              <w:t>96.30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13,380,196</w:t>
            </w:r>
          </w:p>
          <w:p>
            <w:pPr>
              <w:pStyle w:val="TableParagraph"/>
              <w:spacing w:line="240" w:lineRule="auto" w:before="37"/>
              <w:ind w:right="23"/>
              <w:jc w:val="right"/>
              <w:rPr>
                <w:rFonts w:ascii="宋体" w:hAnsi="宋体" w:cs="宋体" w:eastAsia="宋体" w:hint="default"/>
                <w:sz w:val="21"/>
                <w:szCs w:val="21"/>
              </w:rPr>
            </w:pPr>
            <w:r>
              <w:rPr>
                <w:rFonts w:ascii="宋体"/>
                <w:sz w:val="21"/>
              </w:rPr>
              <w:t>.30</w:t>
            </w:r>
          </w:p>
        </w:tc>
      </w:tr>
      <w:tr>
        <w:trPr>
          <w:trHeight w:val="63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成都金证同洲科技有限公司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灾备中心项目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5" w:right="0"/>
              <w:jc w:val="left"/>
              <w:rPr>
                <w:rFonts w:ascii="宋体" w:hAnsi="宋体" w:cs="宋体" w:eastAsia="宋体" w:hint="default"/>
                <w:sz w:val="21"/>
                <w:szCs w:val="21"/>
              </w:rPr>
            </w:pPr>
            <w:r>
              <w:rPr>
                <w:rFonts w:ascii="宋体"/>
                <w:sz w:val="21"/>
              </w:rPr>
              <w:t>9,242,38</w:t>
            </w:r>
          </w:p>
          <w:p>
            <w:pPr>
              <w:pStyle w:val="TableParagraph"/>
              <w:spacing w:line="240" w:lineRule="auto" w:before="37"/>
              <w:ind w:left="535" w:right="0"/>
              <w:jc w:val="left"/>
              <w:rPr>
                <w:rFonts w:ascii="宋体" w:hAnsi="宋体" w:cs="宋体" w:eastAsia="宋体" w:hint="default"/>
                <w:sz w:val="21"/>
                <w:szCs w:val="21"/>
              </w:rPr>
            </w:pPr>
            <w:r>
              <w:rPr>
                <w:rFonts w:ascii="宋体"/>
                <w:sz w:val="21"/>
              </w:rPr>
              <w:t>0.19</w:t>
            </w:r>
          </w:p>
        </w:tc>
        <w:tc>
          <w:tcPr>
            <w:tcW w:w="99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9,242,380.</w:t>
            </w:r>
          </w:p>
          <w:p>
            <w:pPr>
              <w:pStyle w:val="TableParagraph"/>
              <w:spacing w:line="240" w:lineRule="auto" w:before="37"/>
              <w:ind w:right="24"/>
              <w:jc w:val="right"/>
              <w:rPr>
                <w:rFonts w:ascii="宋体" w:hAnsi="宋体" w:cs="宋体" w:eastAsia="宋体" w:hint="default"/>
                <w:sz w:val="21"/>
                <w:szCs w:val="21"/>
              </w:rPr>
            </w:pPr>
            <w:r>
              <w:rPr>
                <w:rFonts w:ascii="宋体"/>
                <w:sz w:val="21"/>
              </w:rPr>
              <w:t>19</w:t>
            </w:r>
          </w:p>
        </w:tc>
      </w:tr>
      <w:tr>
        <w:trPr>
          <w:trHeight w:val="63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南京金证信息技术有限公司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雨花地块基建工程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sz w:val="21"/>
              </w:rPr>
              <w:t>169,620,1</w:t>
            </w:r>
          </w:p>
          <w:p>
            <w:pPr>
              <w:pStyle w:val="TableParagraph"/>
              <w:spacing w:line="240" w:lineRule="auto" w:before="37"/>
              <w:ind w:left="465" w:right="0"/>
              <w:jc w:val="left"/>
              <w:rPr>
                <w:rFonts w:ascii="宋体" w:hAnsi="宋体" w:cs="宋体" w:eastAsia="宋体" w:hint="default"/>
                <w:sz w:val="21"/>
                <w:szCs w:val="21"/>
              </w:rPr>
            </w:pPr>
            <w:r>
              <w:rPr>
                <w:rFonts w:ascii="宋体"/>
                <w:sz w:val="21"/>
              </w:rPr>
              <w:t>63.34</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169,620,16</w:t>
            </w:r>
          </w:p>
          <w:p>
            <w:pPr>
              <w:pStyle w:val="TableParagraph"/>
              <w:spacing w:line="240" w:lineRule="auto" w:before="37"/>
              <w:ind w:left="746" w:right="0"/>
              <w:jc w:val="left"/>
              <w:rPr>
                <w:rFonts w:ascii="宋体" w:hAnsi="宋体" w:cs="宋体" w:eastAsia="宋体" w:hint="default"/>
                <w:sz w:val="21"/>
                <w:szCs w:val="21"/>
              </w:rPr>
            </w:pPr>
            <w:r>
              <w:rPr>
                <w:rFonts w:ascii="宋体"/>
                <w:sz w:val="21"/>
              </w:rPr>
              <w:t>3.34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76,330,6</w:t>
            </w:r>
          </w:p>
          <w:p>
            <w:pPr>
              <w:pStyle w:val="TableParagraph"/>
              <w:spacing w:line="240" w:lineRule="auto" w:before="37"/>
              <w:ind w:left="429" w:right="0"/>
              <w:jc w:val="left"/>
              <w:rPr>
                <w:rFonts w:ascii="宋体" w:hAnsi="宋体" w:cs="宋体" w:eastAsia="宋体" w:hint="default"/>
                <w:sz w:val="21"/>
                <w:szCs w:val="21"/>
              </w:rPr>
            </w:pPr>
            <w:r>
              <w:rPr>
                <w:rFonts w:ascii="宋体"/>
                <w:sz w:val="21"/>
              </w:rPr>
              <w:t>19.28</w:t>
            </w:r>
          </w:p>
        </w:tc>
        <w:tc>
          <w:tcPr>
            <w:tcW w:w="99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76,330,619</w:t>
            </w:r>
          </w:p>
          <w:p>
            <w:pPr>
              <w:pStyle w:val="TableParagraph"/>
              <w:spacing w:line="240" w:lineRule="auto" w:before="37"/>
              <w:ind w:right="23"/>
              <w:jc w:val="right"/>
              <w:rPr>
                <w:rFonts w:ascii="宋体" w:hAnsi="宋体" w:cs="宋体" w:eastAsia="宋体" w:hint="default"/>
                <w:sz w:val="21"/>
                <w:szCs w:val="21"/>
              </w:rPr>
            </w:pPr>
            <w:r>
              <w:rPr>
                <w:rFonts w:ascii="宋体"/>
                <w:sz w:val="21"/>
              </w:rPr>
              <w:t>.28</w:t>
            </w:r>
          </w:p>
        </w:tc>
      </w:tr>
      <w:tr>
        <w:trPr>
          <w:trHeight w:val="63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sz w:val="21"/>
              </w:rPr>
              <w:t>317,678,3</w:t>
            </w:r>
          </w:p>
          <w:p>
            <w:pPr>
              <w:pStyle w:val="TableParagraph"/>
              <w:spacing w:line="240" w:lineRule="auto" w:before="37"/>
              <w:ind w:left="465" w:right="0"/>
              <w:jc w:val="left"/>
              <w:rPr>
                <w:rFonts w:ascii="宋体" w:hAnsi="宋体" w:cs="宋体" w:eastAsia="宋体" w:hint="default"/>
                <w:sz w:val="21"/>
                <w:szCs w:val="21"/>
              </w:rPr>
            </w:pPr>
            <w:r>
              <w:rPr>
                <w:rFonts w:ascii="宋体"/>
                <w:sz w:val="21"/>
              </w:rPr>
              <w:t>38.93</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317,678,33</w:t>
            </w:r>
          </w:p>
          <w:p>
            <w:pPr>
              <w:pStyle w:val="TableParagraph"/>
              <w:spacing w:line="240" w:lineRule="auto" w:before="37"/>
              <w:ind w:left="746" w:right="0"/>
              <w:jc w:val="left"/>
              <w:rPr>
                <w:rFonts w:ascii="宋体" w:hAnsi="宋体" w:cs="宋体" w:eastAsia="宋体" w:hint="default"/>
                <w:sz w:val="21"/>
                <w:szCs w:val="21"/>
              </w:rPr>
            </w:pPr>
            <w:r>
              <w:rPr>
                <w:rFonts w:ascii="宋体"/>
                <w:sz w:val="21"/>
              </w:rPr>
              <w:t>8.93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215,098,</w:t>
            </w:r>
          </w:p>
          <w:p>
            <w:pPr>
              <w:pStyle w:val="TableParagraph"/>
              <w:spacing w:line="240" w:lineRule="auto" w:before="37"/>
              <w:ind w:left="324" w:right="0"/>
              <w:jc w:val="left"/>
              <w:rPr>
                <w:rFonts w:ascii="宋体" w:hAnsi="宋体" w:cs="宋体" w:eastAsia="宋体" w:hint="default"/>
                <w:sz w:val="21"/>
                <w:szCs w:val="21"/>
              </w:rPr>
            </w:pPr>
            <w:r>
              <w:rPr>
                <w:rFonts w:ascii="宋体"/>
                <w:sz w:val="21"/>
              </w:rPr>
              <w:t>858.94</w:t>
            </w:r>
          </w:p>
        </w:tc>
        <w:tc>
          <w:tcPr>
            <w:tcW w:w="99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 w:right="0"/>
              <w:jc w:val="left"/>
              <w:rPr>
                <w:rFonts w:ascii="宋体" w:hAnsi="宋体" w:cs="宋体" w:eastAsia="宋体" w:hint="default"/>
                <w:sz w:val="21"/>
                <w:szCs w:val="21"/>
              </w:rPr>
            </w:pPr>
            <w:r>
              <w:rPr>
                <w:rFonts w:ascii="宋体"/>
                <w:sz w:val="21"/>
              </w:rPr>
              <w:t>215,098,85</w:t>
            </w:r>
          </w:p>
          <w:p>
            <w:pPr>
              <w:pStyle w:val="TableParagraph"/>
              <w:spacing w:line="240" w:lineRule="auto" w:before="37"/>
              <w:ind w:left="700" w:right="0"/>
              <w:jc w:val="left"/>
              <w:rPr>
                <w:rFonts w:ascii="宋体" w:hAnsi="宋体" w:cs="宋体" w:eastAsia="宋体" w:hint="default"/>
                <w:sz w:val="21"/>
                <w:szCs w:val="21"/>
              </w:rPr>
            </w:pPr>
            <w:r>
              <w:rPr>
                <w:rFonts w:ascii="宋体"/>
                <w:sz w:val="21"/>
              </w:rPr>
              <w:t>8.94</w:t>
            </w:r>
          </w:p>
        </w:tc>
      </w:tr>
    </w:tbl>
    <w:p>
      <w:pPr>
        <w:spacing w:after="0" w:line="240" w:lineRule="auto"/>
        <w:jc w:val="left"/>
        <w:rPr>
          <w:rFonts w:ascii="宋体" w:hAnsi="宋体" w:cs="宋体" w:eastAsia="宋体" w:hint="default"/>
          <w:sz w:val="21"/>
          <w:szCs w:val="21"/>
        </w:rPr>
        <w:sectPr>
          <w:type w:val="continuous"/>
          <w:pgSz w:w="11910" w:h="16840"/>
          <w:pgMar w:top="1120" w:bottom="1380" w:left="166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2"/>
        <w:tabs>
          <w:tab w:pos="977" w:val="left" w:leader="none"/>
        </w:tabs>
        <w:spacing w:line="240" w:lineRule="auto"/>
        <w:ind w:left="138" w:right="-20"/>
        <w:jc w:val="left"/>
        <w:rPr>
          <w:b w:val="0"/>
          <w:bCs w:val="0"/>
        </w:rPr>
      </w:pPr>
      <w:r>
        <w:rPr>
          <w:rFonts w:ascii="宋体" w:hAnsi="宋体" w:cs="宋体" w:eastAsia="宋体" w:hint="default"/>
        </w:rPr>
        <w:t>(2).</w:t>
        <w:tab/>
      </w:r>
      <w:r>
        <w:rPr/>
        <w:t>重要在建工程项目本期变动情况</w:t>
      </w:r>
      <w:r>
        <w:rPr>
          <w:b w:val="0"/>
          <w:bCs w:val="0"/>
        </w:rPr>
      </w:r>
    </w:p>
    <w:p>
      <w:pPr>
        <w:pStyle w:val="BodyText"/>
        <w:spacing w:line="240" w:lineRule="auto" w:before="85"/>
        <w:ind w:left="1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351" w:space="2170"/>
            <w:col w:w="260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874"/>
        <w:gridCol w:w="709"/>
        <w:gridCol w:w="569"/>
        <w:gridCol w:w="708"/>
        <w:gridCol w:w="708"/>
        <w:gridCol w:w="567"/>
        <w:gridCol w:w="710"/>
        <w:gridCol w:w="708"/>
        <w:gridCol w:w="425"/>
        <w:gridCol w:w="425"/>
        <w:gridCol w:w="569"/>
        <w:gridCol w:w="425"/>
        <w:gridCol w:w="499"/>
      </w:tblGrid>
      <w:tr>
        <w:trPr>
          <w:trHeight w:val="188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45" w:right="151"/>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3" w:right="113"/>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2" w:right="13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1" w:right="31" w:firstLine="45"/>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 w:right="27"/>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8" w:right="-8" w:hanging="72"/>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本期 利息 资本 化率 </w:t>
            </w:r>
            <w:r>
              <w:rPr>
                <w:rFonts w:ascii="宋体" w:hAnsi="宋体" w:cs="宋体" w:eastAsia="宋体" w:hint="default"/>
                <w:sz w:val="18"/>
                <w:szCs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64" w:right="62"/>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94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16"/>
              <w:jc w:val="both"/>
              <w:rPr>
                <w:rFonts w:ascii="宋体" w:hAnsi="宋体" w:cs="宋体" w:eastAsia="宋体" w:hint="default"/>
                <w:sz w:val="18"/>
                <w:szCs w:val="18"/>
              </w:rPr>
            </w:pPr>
            <w:r>
              <w:rPr>
                <w:rFonts w:ascii="宋体" w:hAnsi="宋体" w:cs="宋体" w:eastAsia="宋体" w:hint="default"/>
                <w:sz w:val="18"/>
                <w:szCs w:val="18"/>
              </w:rPr>
              <w:t>成都金证信息软件、 服务外包及金融后台 服务基地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sz w:val="18"/>
              </w:rPr>
              <w:t>177,75</w:t>
            </w:r>
          </w:p>
          <w:p>
            <w:pPr>
              <w:pStyle w:val="TableParagraph"/>
              <w:spacing w:line="240" w:lineRule="auto" w:before="77"/>
              <w:ind w:left="28" w:right="0"/>
              <w:jc w:val="left"/>
              <w:rPr>
                <w:rFonts w:ascii="宋体" w:hAnsi="宋体" w:cs="宋体" w:eastAsia="宋体" w:hint="default"/>
                <w:sz w:val="18"/>
                <w:szCs w:val="18"/>
              </w:rPr>
            </w:pPr>
            <w:r>
              <w:rPr>
                <w:rFonts w:ascii="宋体"/>
                <w:sz w:val="18"/>
              </w:rPr>
              <w:t>4,700.</w:t>
            </w:r>
          </w:p>
          <w:p>
            <w:pPr>
              <w:pStyle w:val="TableParagraph"/>
              <w:spacing w:line="240" w:lineRule="auto" w:before="76"/>
              <w:ind w:left="389" w:right="0"/>
              <w:jc w:val="left"/>
              <w:rPr>
                <w:rFonts w:ascii="宋体" w:hAnsi="宋体" w:cs="宋体" w:eastAsia="宋体" w:hint="default"/>
                <w:sz w:val="18"/>
                <w:szCs w:val="18"/>
              </w:rPr>
            </w:pPr>
            <w:r>
              <w:rPr>
                <w:rFonts w:ascii="宋体"/>
                <w:sz w:val="18"/>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 w:right="0"/>
              <w:jc w:val="left"/>
              <w:rPr>
                <w:rFonts w:ascii="宋体" w:hAnsi="宋体" w:cs="宋体" w:eastAsia="宋体" w:hint="default"/>
                <w:sz w:val="18"/>
                <w:szCs w:val="18"/>
              </w:rPr>
            </w:pPr>
            <w:r>
              <w:rPr>
                <w:rFonts w:ascii="宋体"/>
                <w:sz w:val="18"/>
              </w:rPr>
              <w:t>116,1</w:t>
            </w:r>
          </w:p>
          <w:p>
            <w:pPr>
              <w:pStyle w:val="TableParagraph"/>
              <w:spacing w:line="240" w:lineRule="auto" w:before="77"/>
              <w:ind w:left="79" w:right="0"/>
              <w:jc w:val="left"/>
              <w:rPr>
                <w:rFonts w:ascii="宋体" w:hAnsi="宋体" w:cs="宋体" w:eastAsia="宋体" w:hint="default"/>
                <w:sz w:val="18"/>
                <w:szCs w:val="18"/>
              </w:rPr>
            </w:pPr>
            <w:r>
              <w:rPr>
                <w:rFonts w:ascii="宋体"/>
                <w:sz w:val="18"/>
              </w:rPr>
              <w:t>45,66</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3.17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18,367</w:t>
            </w:r>
          </w:p>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,841.5</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宋体"/>
                <w:sz w:val="18"/>
              </w:rPr>
              <w:t>134,513</w:t>
            </w:r>
          </w:p>
          <w:p>
            <w:pPr>
              <w:pStyle w:val="TableParagraph"/>
              <w:spacing w:line="240" w:lineRule="auto" w:before="77"/>
              <w:ind w:left="43" w:right="0"/>
              <w:jc w:val="left"/>
              <w:rPr>
                <w:rFonts w:ascii="宋体" w:hAnsi="宋体" w:cs="宋体" w:eastAsia="宋体" w:hint="default"/>
                <w:sz w:val="18"/>
                <w:szCs w:val="18"/>
              </w:rPr>
            </w:pPr>
            <w:r>
              <w:rPr>
                <w:rFonts w:ascii="宋体"/>
                <w:sz w:val="18"/>
              </w:rPr>
              <w:t>,504.67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sz w:val="18"/>
              </w:rPr>
              <w:t>80.94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80.9</w:t>
            </w:r>
          </w:p>
          <w:p>
            <w:pPr>
              <w:pStyle w:val="TableParagraph"/>
              <w:spacing w:line="240" w:lineRule="auto" w:before="77"/>
              <w:ind w:left="26" w:right="0"/>
              <w:jc w:val="left"/>
              <w:rPr>
                <w:rFonts w:ascii="宋体" w:hAnsi="宋体" w:cs="宋体" w:eastAsia="宋体" w:hint="default"/>
                <w:sz w:val="18"/>
                <w:szCs w:val="18"/>
              </w:rPr>
            </w:pPr>
            <w:r>
              <w:rPr>
                <w:rFonts w:ascii="宋体"/>
                <w:sz w:val="18"/>
              </w:rPr>
              <w:t>4</w:t>
            </w: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0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94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16"/>
              <w:jc w:val="left"/>
              <w:rPr>
                <w:rFonts w:ascii="宋体" w:hAnsi="宋体" w:cs="宋体" w:eastAsia="宋体" w:hint="default"/>
                <w:sz w:val="18"/>
                <w:szCs w:val="18"/>
              </w:rPr>
            </w:pPr>
            <w:r>
              <w:rPr>
                <w:rFonts w:ascii="宋体" w:hAnsi="宋体" w:cs="宋体" w:eastAsia="宋体" w:hint="default"/>
                <w:sz w:val="18"/>
                <w:szCs w:val="18"/>
              </w:rPr>
              <w:t>成都金证博泽科技有 限公司服务外包项目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sz w:val="18"/>
              </w:rPr>
              <w:t>132,84</w:t>
            </w:r>
          </w:p>
          <w:p>
            <w:pPr>
              <w:pStyle w:val="TableParagraph"/>
              <w:spacing w:line="240" w:lineRule="auto" w:before="76"/>
              <w:ind w:left="28"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389" w:right="0"/>
              <w:jc w:val="left"/>
              <w:rPr>
                <w:rFonts w:ascii="宋体" w:hAnsi="宋体" w:cs="宋体" w:eastAsia="宋体" w:hint="default"/>
                <w:sz w:val="18"/>
                <w:szCs w:val="18"/>
              </w:rPr>
            </w:pPr>
            <w:r>
              <w:rPr>
                <w:rFonts w:ascii="宋体"/>
                <w:sz w:val="18"/>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 w:right="0"/>
              <w:jc w:val="center"/>
              <w:rPr>
                <w:rFonts w:ascii="宋体" w:hAnsi="宋体" w:cs="宋体" w:eastAsia="宋体" w:hint="default"/>
                <w:sz w:val="18"/>
                <w:szCs w:val="18"/>
              </w:rPr>
            </w:pPr>
            <w:r>
              <w:rPr>
                <w:rFonts w:ascii="宋体"/>
                <w:sz w:val="18"/>
              </w:rPr>
              <w:t>13,38</w:t>
            </w:r>
          </w:p>
          <w:p>
            <w:pPr>
              <w:pStyle w:val="TableParagraph"/>
              <w:spacing w:line="240" w:lineRule="auto" w:before="76"/>
              <w:ind w:left="51" w:right="0"/>
              <w:jc w:val="center"/>
              <w:rPr>
                <w:rFonts w:ascii="宋体" w:hAnsi="宋体" w:cs="宋体" w:eastAsia="宋体" w:hint="default"/>
                <w:sz w:val="18"/>
                <w:szCs w:val="18"/>
              </w:rPr>
            </w:pPr>
            <w:r>
              <w:rPr>
                <w:rFonts w:ascii="宋体"/>
                <w:sz w:val="18"/>
              </w:rPr>
              <w:t>0,196</w:t>
            </w:r>
          </w:p>
          <w:p>
            <w:pPr>
              <w:pStyle w:val="TableParagraph"/>
              <w:spacing w:line="240" w:lineRule="auto" w:before="76"/>
              <w:ind w:left="232" w:right="0"/>
              <w:jc w:val="center"/>
              <w:rPr>
                <w:rFonts w:ascii="宋体" w:hAnsi="宋体" w:cs="宋体" w:eastAsia="宋体" w:hint="default"/>
                <w:sz w:val="18"/>
                <w:szCs w:val="18"/>
              </w:rPr>
            </w:pPr>
            <w:r>
              <w:rPr>
                <w:rFonts w:ascii="宋体"/>
                <w:sz w:val="18"/>
              </w:rPr>
              <w:t>.30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
              <w:jc w:val="center"/>
              <w:rPr>
                <w:rFonts w:ascii="宋体" w:hAnsi="宋体" w:cs="宋体" w:eastAsia="宋体" w:hint="default"/>
                <w:sz w:val="18"/>
                <w:szCs w:val="18"/>
              </w:rPr>
            </w:pPr>
            <w:r>
              <w:rPr>
                <w:rFonts w:ascii="宋体"/>
                <w:sz w:val="18"/>
              </w:rPr>
              <w:t>164,47</w:t>
            </w:r>
          </w:p>
          <w:p>
            <w:pPr>
              <w:pStyle w:val="TableParagraph"/>
              <w:spacing w:line="240" w:lineRule="auto" w:before="76"/>
              <w:ind w:left="137" w:right="0"/>
              <w:jc w:val="center"/>
              <w:rPr>
                <w:rFonts w:ascii="宋体" w:hAnsi="宋体" w:cs="宋体" w:eastAsia="宋体" w:hint="default"/>
                <w:sz w:val="18"/>
                <w:szCs w:val="18"/>
              </w:rPr>
            </w:pPr>
            <w:r>
              <w:rPr>
                <w:rFonts w:ascii="宋体"/>
                <w:sz w:val="18"/>
              </w:rPr>
              <w:t>4.62</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宋体"/>
                <w:sz w:val="18"/>
              </w:rPr>
              <w:t>13,544,</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670.92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sz w:val="18"/>
              </w:rPr>
              <w:t>10.20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10.2</w:t>
            </w:r>
          </w:p>
          <w:p>
            <w:pPr>
              <w:pStyle w:val="TableParagraph"/>
              <w:spacing w:line="240" w:lineRule="auto" w:before="76"/>
              <w:ind w:left="26" w:right="0"/>
              <w:jc w:val="lef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94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16"/>
              <w:jc w:val="left"/>
              <w:rPr>
                <w:rFonts w:ascii="宋体" w:hAnsi="宋体" w:cs="宋体" w:eastAsia="宋体" w:hint="default"/>
                <w:sz w:val="18"/>
                <w:szCs w:val="18"/>
              </w:rPr>
            </w:pPr>
            <w:r>
              <w:rPr>
                <w:rFonts w:ascii="宋体" w:hAnsi="宋体" w:cs="宋体" w:eastAsia="宋体" w:hint="default"/>
                <w:sz w:val="18"/>
                <w:szCs w:val="18"/>
              </w:rPr>
              <w:t>成都金证同洲科技有 限公司灾备中心项目</w:t>
            </w: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 w:right="0"/>
              <w:jc w:val="left"/>
              <w:rPr>
                <w:rFonts w:ascii="宋体" w:hAnsi="宋体" w:cs="宋体" w:eastAsia="宋体" w:hint="default"/>
                <w:sz w:val="18"/>
                <w:szCs w:val="18"/>
              </w:rPr>
            </w:pPr>
            <w:r>
              <w:rPr>
                <w:rFonts w:ascii="宋体"/>
                <w:sz w:val="18"/>
              </w:rPr>
              <w:t>9,242</w:t>
            </w:r>
          </w:p>
          <w:p>
            <w:pPr>
              <w:pStyle w:val="TableParagraph"/>
              <w:spacing w:line="240" w:lineRule="auto" w:before="76"/>
              <w:ind w:left="79" w:right="0"/>
              <w:jc w:val="left"/>
              <w:rPr>
                <w:rFonts w:ascii="宋体" w:hAnsi="宋体" w:cs="宋体" w:eastAsia="宋体" w:hint="default"/>
                <w:sz w:val="18"/>
                <w:szCs w:val="18"/>
              </w:rPr>
            </w:pPr>
            <w:r>
              <w:rPr>
                <w:rFonts w:ascii="宋体"/>
                <w:sz w:val="18"/>
              </w:rPr>
              <w:t>,380.</w:t>
            </w:r>
          </w:p>
          <w:p>
            <w:pPr>
              <w:pStyle w:val="TableParagraph"/>
              <w:spacing w:line="240" w:lineRule="auto" w:before="76"/>
              <w:ind w:left="350" w:right="0"/>
              <w:jc w:val="left"/>
              <w:rPr>
                <w:rFonts w:ascii="宋体" w:hAnsi="宋体" w:cs="宋体" w:eastAsia="宋体" w:hint="default"/>
                <w:sz w:val="18"/>
                <w:szCs w:val="18"/>
              </w:rPr>
            </w:pPr>
            <w:r>
              <w:rPr>
                <w:rFonts w:ascii="宋体"/>
                <w:sz w:val="18"/>
              </w:rPr>
              <w:t>19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 w:right="0"/>
              <w:jc w:val="left"/>
              <w:rPr>
                <w:rFonts w:ascii="宋体" w:hAnsi="宋体" w:cs="宋体" w:eastAsia="宋体" w:hint="default"/>
                <w:sz w:val="18"/>
                <w:szCs w:val="18"/>
              </w:rPr>
            </w:pPr>
            <w:r>
              <w:rPr>
                <w:rFonts w:ascii="宋体"/>
                <w:sz w:val="18"/>
              </w:rPr>
              <w:t>9,242</w:t>
            </w:r>
          </w:p>
          <w:p>
            <w:pPr>
              <w:pStyle w:val="TableParagraph"/>
              <w:spacing w:line="240" w:lineRule="auto" w:before="76"/>
              <w:ind w:left="79" w:right="0"/>
              <w:jc w:val="left"/>
              <w:rPr>
                <w:rFonts w:ascii="宋体" w:hAnsi="宋体" w:cs="宋体" w:eastAsia="宋体" w:hint="default"/>
                <w:sz w:val="18"/>
                <w:szCs w:val="18"/>
              </w:rPr>
            </w:pPr>
            <w:r>
              <w:rPr>
                <w:rFonts w:ascii="宋体"/>
                <w:sz w:val="18"/>
              </w:rPr>
              <w:t>,380.</w:t>
            </w:r>
          </w:p>
          <w:p>
            <w:pPr>
              <w:pStyle w:val="TableParagraph"/>
              <w:spacing w:line="240" w:lineRule="auto" w:before="76"/>
              <w:ind w:left="350" w:right="0"/>
              <w:jc w:val="left"/>
              <w:rPr>
                <w:rFonts w:ascii="宋体" w:hAnsi="宋体" w:cs="宋体" w:eastAsia="宋体" w:hint="default"/>
                <w:sz w:val="18"/>
                <w:szCs w:val="18"/>
              </w:rPr>
            </w:pPr>
            <w:r>
              <w:rPr>
                <w:rFonts w:ascii="宋体"/>
                <w:sz w:val="18"/>
              </w:rPr>
              <w:t>19</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94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16"/>
              <w:jc w:val="both"/>
              <w:rPr>
                <w:rFonts w:ascii="宋体" w:hAnsi="宋体" w:cs="宋体" w:eastAsia="宋体" w:hint="default"/>
                <w:sz w:val="18"/>
                <w:szCs w:val="18"/>
              </w:rPr>
            </w:pPr>
            <w:r>
              <w:rPr>
                <w:rFonts w:ascii="宋体" w:hAnsi="宋体" w:cs="宋体" w:eastAsia="宋体" w:hint="default"/>
                <w:sz w:val="18"/>
                <w:szCs w:val="18"/>
              </w:rPr>
              <w:t>南京金证信息技术有 限公司雨花地块基建 工程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sz w:val="18"/>
              </w:rPr>
              <w:t>411,06</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389" w:right="0"/>
              <w:jc w:val="left"/>
              <w:rPr>
                <w:rFonts w:ascii="宋体" w:hAnsi="宋体" w:cs="宋体" w:eastAsia="宋体" w:hint="default"/>
                <w:sz w:val="18"/>
                <w:szCs w:val="18"/>
              </w:rPr>
            </w:pPr>
            <w:r>
              <w:rPr>
                <w:rFonts w:ascii="宋体"/>
                <w:sz w:val="18"/>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 w:right="0"/>
              <w:jc w:val="center"/>
              <w:rPr>
                <w:rFonts w:ascii="宋体" w:hAnsi="宋体" w:cs="宋体" w:eastAsia="宋体" w:hint="default"/>
                <w:sz w:val="18"/>
                <w:szCs w:val="18"/>
              </w:rPr>
            </w:pPr>
            <w:r>
              <w:rPr>
                <w:rFonts w:ascii="宋体"/>
                <w:sz w:val="18"/>
              </w:rPr>
              <w:t>76,33</w:t>
            </w:r>
          </w:p>
          <w:p>
            <w:pPr>
              <w:pStyle w:val="TableParagraph"/>
              <w:spacing w:line="240" w:lineRule="auto" w:before="76"/>
              <w:ind w:left="51" w:right="0"/>
              <w:jc w:val="center"/>
              <w:rPr>
                <w:rFonts w:ascii="宋体" w:hAnsi="宋体" w:cs="宋体" w:eastAsia="宋体" w:hint="default"/>
                <w:sz w:val="18"/>
                <w:szCs w:val="18"/>
              </w:rPr>
            </w:pPr>
            <w:r>
              <w:rPr>
                <w:rFonts w:ascii="宋体"/>
                <w:sz w:val="18"/>
              </w:rPr>
              <w:t>0,619</w:t>
            </w:r>
          </w:p>
          <w:p>
            <w:pPr>
              <w:pStyle w:val="TableParagraph"/>
              <w:spacing w:line="240" w:lineRule="auto" w:before="76"/>
              <w:ind w:left="232" w:right="0"/>
              <w:jc w:val="center"/>
              <w:rPr>
                <w:rFonts w:ascii="宋体" w:hAnsi="宋体" w:cs="宋体" w:eastAsia="宋体" w:hint="default"/>
                <w:sz w:val="18"/>
                <w:szCs w:val="18"/>
              </w:rPr>
            </w:pPr>
            <w:r>
              <w:rPr>
                <w:rFonts w:ascii="宋体"/>
                <w:sz w:val="18"/>
              </w:rPr>
              <w:t>.28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93,289</w:t>
            </w:r>
          </w:p>
          <w:p>
            <w:pPr>
              <w:pStyle w:val="TableParagraph"/>
              <w:spacing w:line="240" w:lineRule="auto" w:before="76"/>
              <w:ind w:right="98"/>
              <w:jc w:val="right"/>
              <w:rPr>
                <w:rFonts w:ascii="宋体" w:hAnsi="宋体" w:cs="宋体" w:eastAsia="宋体" w:hint="default"/>
                <w:sz w:val="18"/>
                <w:szCs w:val="18"/>
              </w:rPr>
            </w:pPr>
            <w:r>
              <w:rPr>
                <w:rFonts w:ascii="宋体"/>
                <w:spacing w:val="-1"/>
                <w:sz w:val="18"/>
              </w:rPr>
              <w:t>,544.0</w:t>
            </w:r>
          </w:p>
          <w:p>
            <w:pPr>
              <w:pStyle w:val="TableParagraph"/>
              <w:spacing w:line="240" w:lineRule="auto" w:before="76"/>
              <w:ind w:right="101"/>
              <w:jc w:val="right"/>
              <w:rPr>
                <w:rFonts w:ascii="宋体" w:hAnsi="宋体" w:cs="宋体" w:eastAsia="宋体" w:hint="default"/>
                <w:sz w:val="18"/>
                <w:szCs w:val="18"/>
              </w:rPr>
            </w:pPr>
            <w:r>
              <w:rPr>
                <w:rFonts w:ascii="宋体"/>
                <w:sz w:val="18"/>
              </w:rPr>
              <w:t>6</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宋体"/>
                <w:sz w:val="18"/>
              </w:rPr>
              <w:t>169,620</w:t>
            </w:r>
          </w:p>
          <w:p>
            <w:pPr>
              <w:pStyle w:val="TableParagraph"/>
              <w:spacing w:line="240" w:lineRule="auto" w:before="76"/>
              <w:ind w:left="43" w:right="0"/>
              <w:jc w:val="left"/>
              <w:rPr>
                <w:rFonts w:ascii="宋体" w:hAnsi="宋体" w:cs="宋体" w:eastAsia="宋体" w:hint="default"/>
                <w:sz w:val="18"/>
                <w:szCs w:val="18"/>
              </w:rPr>
            </w:pPr>
            <w:r>
              <w:rPr>
                <w:rFonts w:ascii="宋体"/>
                <w:sz w:val="18"/>
              </w:rPr>
              <w:t>,163.34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sz w:val="18"/>
              </w:rPr>
              <w:t>41.73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41.7</w:t>
            </w:r>
          </w:p>
          <w:p>
            <w:pPr>
              <w:pStyle w:val="TableParagraph"/>
              <w:spacing w:line="240" w:lineRule="auto" w:before="76"/>
              <w:ind w:left="26" w:right="0"/>
              <w:jc w:val="left"/>
              <w:rPr>
                <w:rFonts w:ascii="宋体" w:hAnsi="宋体" w:cs="宋体" w:eastAsia="宋体" w:hint="default"/>
                <w:sz w:val="18"/>
                <w:szCs w:val="18"/>
              </w:rPr>
            </w:pPr>
            <w:r>
              <w:rPr>
                <w:rFonts w:ascii="宋体"/>
                <w:sz w:val="18"/>
              </w:rPr>
              <w:t>3</w:t>
            </w: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94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sz w:val="18"/>
              </w:rPr>
              <w:t>721,65</w:t>
            </w:r>
          </w:p>
          <w:p>
            <w:pPr>
              <w:pStyle w:val="TableParagraph"/>
              <w:spacing w:line="240" w:lineRule="auto" w:before="76"/>
              <w:ind w:left="28" w:right="0"/>
              <w:jc w:val="left"/>
              <w:rPr>
                <w:rFonts w:ascii="宋体" w:hAnsi="宋体" w:cs="宋体" w:eastAsia="宋体" w:hint="default"/>
                <w:sz w:val="18"/>
                <w:szCs w:val="18"/>
              </w:rPr>
            </w:pPr>
            <w:r>
              <w:rPr>
                <w:rFonts w:ascii="宋体"/>
                <w:sz w:val="18"/>
              </w:rPr>
              <w:t>9,700.</w:t>
            </w:r>
          </w:p>
          <w:p>
            <w:pPr>
              <w:pStyle w:val="TableParagraph"/>
              <w:spacing w:line="240" w:lineRule="auto" w:before="76"/>
              <w:ind w:left="389" w:right="0"/>
              <w:jc w:val="left"/>
              <w:rPr>
                <w:rFonts w:ascii="宋体" w:hAnsi="宋体" w:cs="宋体" w:eastAsia="宋体" w:hint="default"/>
                <w:sz w:val="18"/>
                <w:szCs w:val="18"/>
              </w:rPr>
            </w:pPr>
            <w:r>
              <w:rPr>
                <w:rFonts w:ascii="宋体"/>
                <w:sz w:val="18"/>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 w:right="0"/>
              <w:jc w:val="left"/>
              <w:rPr>
                <w:rFonts w:ascii="宋体" w:hAnsi="宋体" w:cs="宋体" w:eastAsia="宋体" w:hint="default"/>
                <w:sz w:val="18"/>
                <w:szCs w:val="18"/>
              </w:rPr>
            </w:pPr>
            <w:r>
              <w:rPr>
                <w:rFonts w:ascii="宋体"/>
                <w:sz w:val="18"/>
              </w:rPr>
              <w:t>215,0</w:t>
            </w:r>
          </w:p>
          <w:p>
            <w:pPr>
              <w:pStyle w:val="TableParagraph"/>
              <w:spacing w:line="240" w:lineRule="auto" w:before="76"/>
              <w:ind w:left="79" w:right="0"/>
              <w:jc w:val="left"/>
              <w:rPr>
                <w:rFonts w:ascii="宋体" w:hAnsi="宋体" w:cs="宋体" w:eastAsia="宋体" w:hint="default"/>
                <w:sz w:val="18"/>
                <w:szCs w:val="18"/>
              </w:rPr>
            </w:pPr>
            <w:r>
              <w:rPr>
                <w:rFonts w:ascii="宋体"/>
                <w:sz w:val="18"/>
              </w:rPr>
              <w:t>98,85</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8.94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 w:right="0"/>
              <w:jc w:val="left"/>
              <w:rPr>
                <w:rFonts w:ascii="宋体" w:hAnsi="宋体" w:cs="宋体" w:eastAsia="宋体" w:hint="default"/>
                <w:sz w:val="18"/>
                <w:szCs w:val="18"/>
              </w:rPr>
            </w:pPr>
            <w:r>
              <w:rPr>
                <w:rFonts w:ascii="宋体"/>
                <w:sz w:val="18"/>
              </w:rPr>
              <w:t>111,82</w:t>
            </w:r>
          </w:p>
          <w:p>
            <w:pPr>
              <w:pStyle w:val="TableParagraph"/>
              <w:spacing w:line="240" w:lineRule="auto" w:before="76"/>
              <w:ind w:left="57" w:right="0"/>
              <w:jc w:val="left"/>
              <w:rPr>
                <w:rFonts w:ascii="宋体" w:hAnsi="宋体" w:cs="宋体" w:eastAsia="宋体" w:hint="default"/>
                <w:sz w:val="18"/>
                <w:szCs w:val="18"/>
              </w:rPr>
            </w:pPr>
            <w:r>
              <w:rPr>
                <w:rFonts w:ascii="宋体"/>
                <w:sz w:val="18"/>
              </w:rPr>
              <w:t>1,860.</w:t>
            </w:r>
          </w:p>
          <w:p>
            <w:pPr>
              <w:pStyle w:val="TableParagraph"/>
              <w:spacing w:line="240" w:lineRule="auto" w:before="76"/>
              <w:ind w:left="417" w:right="0"/>
              <w:jc w:val="left"/>
              <w:rPr>
                <w:rFonts w:ascii="宋体" w:hAnsi="宋体" w:cs="宋体" w:eastAsia="宋体" w:hint="default"/>
                <w:sz w:val="18"/>
                <w:szCs w:val="18"/>
              </w:rPr>
            </w:pPr>
            <w:r>
              <w:rPr>
                <w:rFonts w:ascii="宋体"/>
                <w:sz w:val="18"/>
              </w:rPr>
              <w:t>18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 w:right="0"/>
              <w:jc w:val="left"/>
              <w:rPr>
                <w:rFonts w:ascii="宋体" w:hAnsi="宋体" w:cs="宋体" w:eastAsia="宋体" w:hint="default"/>
                <w:sz w:val="18"/>
                <w:szCs w:val="18"/>
              </w:rPr>
            </w:pPr>
            <w:r>
              <w:rPr>
                <w:rFonts w:ascii="宋体"/>
                <w:sz w:val="18"/>
              </w:rPr>
              <w:t>9,242</w:t>
            </w:r>
          </w:p>
          <w:p>
            <w:pPr>
              <w:pStyle w:val="TableParagraph"/>
              <w:spacing w:line="240" w:lineRule="auto" w:before="76"/>
              <w:ind w:left="79" w:right="0"/>
              <w:jc w:val="left"/>
              <w:rPr>
                <w:rFonts w:ascii="宋体" w:hAnsi="宋体" w:cs="宋体" w:eastAsia="宋体" w:hint="default"/>
                <w:sz w:val="18"/>
                <w:szCs w:val="18"/>
              </w:rPr>
            </w:pPr>
            <w:r>
              <w:rPr>
                <w:rFonts w:ascii="宋体"/>
                <w:sz w:val="18"/>
              </w:rPr>
              <w:t>,380.</w:t>
            </w:r>
          </w:p>
          <w:p>
            <w:pPr>
              <w:pStyle w:val="TableParagraph"/>
              <w:spacing w:line="240" w:lineRule="auto" w:before="76"/>
              <w:ind w:left="350" w:right="0"/>
              <w:jc w:val="left"/>
              <w:rPr>
                <w:rFonts w:ascii="宋体" w:hAnsi="宋体" w:cs="宋体" w:eastAsia="宋体" w:hint="default"/>
                <w:sz w:val="18"/>
                <w:szCs w:val="18"/>
              </w:rPr>
            </w:pPr>
            <w:r>
              <w:rPr>
                <w:rFonts w:ascii="宋体"/>
                <w:sz w:val="18"/>
              </w:rPr>
              <w:t>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宋体"/>
                <w:sz w:val="18"/>
              </w:rPr>
              <w:t>317,678</w:t>
            </w:r>
          </w:p>
          <w:p>
            <w:pPr>
              <w:pStyle w:val="TableParagraph"/>
              <w:spacing w:line="240" w:lineRule="auto" w:before="76"/>
              <w:ind w:left="43" w:right="0"/>
              <w:jc w:val="left"/>
              <w:rPr>
                <w:rFonts w:ascii="宋体" w:hAnsi="宋体" w:cs="宋体" w:eastAsia="宋体" w:hint="default"/>
                <w:sz w:val="18"/>
                <w:szCs w:val="18"/>
              </w:rPr>
            </w:pPr>
            <w:r>
              <w:rPr>
                <w:rFonts w:ascii="宋体"/>
                <w:sz w:val="18"/>
              </w:rPr>
              <w:t>,338.93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tabs>
          <w:tab w:pos="977" w:val="left" w:leader="none"/>
        </w:tabs>
        <w:spacing w:line="240" w:lineRule="auto"/>
        <w:ind w:left="138" w:right="158"/>
        <w:jc w:val="left"/>
        <w:rPr>
          <w:b w:val="0"/>
          <w:bCs w:val="0"/>
        </w:rPr>
      </w:pPr>
      <w:r>
        <w:rPr>
          <w:rFonts w:ascii="宋体" w:hAnsi="宋体" w:cs="宋体" w:eastAsia="宋体" w:hint="default"/>
        </w:rPr>
        <w:t>(3).</w:t>
        <w:tab/>
      </w:r>
      <w:r>
        <w:rPr/>
        <w:t>本期计提在建工程减值准备情况：</w:t>
      </w:r>
      <w:r>
        <w:rPr>
          <w:b w:val="0"/>
          <w:bCs w:val="0"/>
        </w:rPr>
      </w:r>
    </w:p>
    <w:p>
      <w:pPr>
        <w:pStyle w:val="BodyText"/>
        <w:spacing w:line="273" w:lineRule="auto" w:before="85"/>
        <w:ind w:left="138" w:right="7394"/>
        <w:jc w:val="left"/>
      </w:pPr>
      <w:r>
        <w:rPr/>
        <w:t>□适用</w:t>
      </w:r>
      <w:r>
        <w:rPr>
          <w:spacing w:val="-1"/>
        </w:rPr>
        <w:t> </w:t>
      </w:r>
      <w:r>
        <w:rPr/>
        <w:t>√不适用</w:t>
      </w:r>
      <w:r>
        <w:rPr>
          <w:w w:val="100"/>
        </w:rPr>
        <w:t> </w:t>
      </w:r>
      <w:r>
        <w:rPr/>
        <w:t>其他说明</w:t>
      </w:r>
    </w:p>
    <w:p>
      <w:pPr>
        <w:pStyle w:val="BodyText"/>
        <w:spacing w:line="240" w:lineRule="auto" w:before="7"/>
        <w:ind w:left="138" w:right="158"/>
        <w:jc w:val="left"/>
      </w:pPr>
      <w:r>
        <w:rPr/>
        <w:t>□适用</w:t>
      </w:r>
      <w:r>
        <w:rPr>
          <w:spacing w:val="-1"/>
        </w:rPr>
        <w:t> </w:t>
      </w:r>
      <w:r>
        <w:rPr/>
        <w:t>√不适用</w:t>
      </w:r>
    </w:p>
    <w:p>
      <w:pPr>
        <w:pStyle w:val="Heading2"/>
        <w:spacing w:line="240" w:lineRule="auto" w:before="70"/>
        <w:ind w:left="138" w:right="158"/>
        <w:jc w:val="left"/>
        <w:rPr>
          <w:b w:val="0"/>
          <w:bCs w:val="0"/>
        </w:rPr>
      </w:pPr>
      <w:r>
        <w:rPr>
          <w:rFonts w:ascii="宋体" w:hAnsi="宋体" w:cs="宋体" w:eastAsia="宋体" w:hint="default"/>
        </w:rPr>
        <w:t>21</w:t>
      </w:r>
      <w:r>
        <w:rPr/>
        <w:t>、</w:t>
      </w:r>
      <w:r>
        <w:rPr>
          <w:spacing w:val="-102"/>
        </w:rPr>
        <w:t> </w:t>
      </w:r>
      <w:r>
        <w:rPr/>
        <w:t>工程物资</w:t>
      </w:r>
      <w:r>
        <w:rPr>
          <w:b w:val="0"/>
          <w:bCs w:val="0"/>
        </w:rPr>
      </w:r>
    </w:p>
    <w:p>
      <w:pPr>
        <w:pStyle w:val="BodyText"/>
        <w:spacing w:line="240" w:lineRule="auto" w:before="85"/>
        <w:ind w:left="138" w:right="158"/>
        <w:jc w:val="left"/>
      </w:pPr>
      <w:r>
        <w:rPr/>
        <w:t>□适用</w:t>
      </w:r>
      <w:r>
        <w:rPr>
          <w:spacing w:val="-1"/>
        </w:rPr>
        <w:t> </w:t>
      </w:r>
      <w:r>
        <w:rPr/>
        <w:t>√不适用</w:t>
      </w:r>
    </w:p>
    <w:p>
      <w:pPr>
        <w:pStyle w:val="Heading2"/>
        <w:spacing w:line="240" w:lineRule="auto" w:before="69"/>
        <w:ind w:left="138" w:right="158"/>
        <w:jc w:val="left"/>
        <w:rPr>
          <w:b w:val="0"/>
          <w:bCs w:val="0"/>
        </w:rPr>
      </w:pPr>
      <w:r>
        <w:rPr>
          <w:rFonts w:ascii="宋体" w:hAnsi="宋体" w:cs="宋体" w:eastAsia="宋体" w:hint="default"/>
        </w:rPr>
        <w:t>22</w:t>
      </w:r>
      <w:r>
        <w:rPr/>
        <w:t>、</w:t>
      </w:r>
      <w:r>
        <w:rPr>
          <w:spacing w:val="-104"/>
        </w:rPr>
        <w:t> </w:t>
      </w:r>
      <w:r>
        <w:rPr/>
        <w:t>固定资产清理</w:t>
      </w:r>
      <w:r>
        <w:rPr>
          <w:b w:val="0"/>
          <w:bCs w:val="0"/>
        </w:rPr>
      </w:r>
    </w:p>
    <w:p>
      <w:pPr>
        <w:pStyle w:val="BodyText"/>
        <w:spacing w:line="240" w:lineRule="auto" w:before="85"/>
        <w:ind w:left="138" w:right="158"/>
        <w:jc w:val="left"/>
      </w:pPr>
      <w:r>
        <w:rPr/>
        <w:t>□适用</w:t>
      </w:r>
      <w:r>
        <w:rPr>
          <w:spacing w:val="-1"/>
        </w:rPr>
        <w:t> </w:t>
      </w:r>
      <w:r>
        <w:rPr/>
        <w:t>√不适用</w:t>
      </w:r>
    </w:p>
    <w:p>
      <w:pPr>
        <w:pStyle w:val="Heading2"/>
        <w:spacing w:line="240" w:lineRule="auto" w:before="69"/>
        <w:ind w:left="138" w:right="158"/>
        <w:jc w:val="left"/>
        <w:rPr>
          <w:b w:val="0"/>
          <w:bCs w:val="0"/>
        </w:rPr>
      </w:pPr>
      <w:r>
        <w:rPr>
          <w:rFonts w:ascii="宋体" w:hAnsi="宋体" w:cs="宋体" w:eastAsia="宋体" w:hint="default"/>
        </w:rPr>
        <w:t>23</w:t>
      </w:r>
      <w:r>
        <w:rPr/>
        <w:t>、</w:t>
      </w:r>
      <w:r>
        <w:rPr>
          <w:spacing w:val="-103"/>
        </w:rPr>
        <w:t> </w:t>
      </w:r>
      <w:r>
        <w:rPr/>
        <w:t>生产性生物资产</w:t>
      </w:r>
      <w:r>
        <w:rPr>
          <w:b w:val="0"/>
          <w:bCs w:val="0"/>
        </w:rPr>
      </w:r>
    </w:p>
    <w:p>
      <w:pPr>
        <w:pStyle w:val="Heading2"/>
        <w:tabs>
          <w:tab w:pos="934" w:val="left" w:leader="none"/>
        </w:tabs>
        <w:spacing w:line="240" w:lineRule="auto" w:before="58"/>
        <w:ind w:left="138" w:right="158"/>
        <w:jc w:val="left"/>
        <w:rPr>
          <w:b w:val="0"/>
          <w:bCs w:val="0"/>
        </w:rPr>
      </w:pPr>
      <w:r>
        <w:rPr>
          <w:rFonts w:ascii="宋体" w:hAnsi="宋体" w:cs="宋体" w:eastAsia="宋体" w:hint="default"/>
        </w:rPr>
        <w:t>(1).</w:t>
        <w:tab/>
      </w:r>
      <w:r>
        <w:rPr/>
        <w:t>采用成本计量模式的生产性生物资产</w:t>
      </w:r>
      <w:r>
        <w:rPr>
          <w:b w:val="0"/>
          <w:bCs w:val="0"/>
        </w:rPr>
      </w:r>
    </w:p>
    <w:p>
      <w:pPr>
        <w:pStyle w:val="BodyText"/>
        <w:spacing w:line="240" w:lineRule="auto" w:before="85"/>
        <w:ind w:left="138" w:right="158"/>
        <w:jc w:val="left"/>
      </w:pPr>
      <w:r>
        <w:rPr/>
        <w:t>□适用</w:t>
      </w:r>
      <w:r>
        <w:rPr>
          <w:spacing w:val="-1"/>
        </w:rPr>
        <w:t> </w:t>
      </w:r>
      <w:r>
        <w:rPr/>
        <w:t>√不适用</w:t>
      </w:r>
    </w:p>
    <w:p>
      <w:pPr>
        <w:pStyle w:val="Heading2"/>
        <w:tabs>
          <w:tab w:pos="934" w:val="left" w:leader="none"/>
        </w:tabs>
        <w:spacing w:line="240" w:lineRule="auto" w:before="69"/>
        <w:ind w:left="138" w:right="158"/>
        <w:jc w:val="left"/>
        <w:rPr>
          <w:b w:val="0"/>
          <w:bCs w:val="0"/>
        </w:rPr>
      </w:pPr>
      <w:r>
        <w:rPr>
          <w:rFonts w:ascii="宋体" w:hAnsi="宋体" w:cs="宋体" w:eastAsia="宋体" w:hint="default"/>
        </w:rPr>
        <w:t>(2).</w:t>
        <w:tab/>
      </w:r>
      <w:r>
        <w:rPr/>
        <w:t>采用公允价值计量模式的生产性生物资产</w:t>
      </w:r>
      <w:r>
        <w:rPr>
          <w:b w:val="0"/>
          <w:bCs w:val="0"/>
        </w:rPr>
      </w:r>
    </w:p>
    <w:p>
      <w:pPr>
        <w:pStyle w:val="BodyText"/>
        <w:spacing w:line="273" w:lineRule="auto" w:before="85"/>
        <w:ind w:left="138" w:right="7394"/>
        <w:jc w:val="left"/>
      </w:pPr>
      <w:r>
        <w:rPr/>
        <w:t>□适用</w:t>
      </w:r>
      <w:r>
        <w:rPr>
          <w:spacing w:val="-1"/>
        </w:rPr>
        <w:t> </w:t>
      </w:r>
      <w:r>
        <w:rPr/>
        <w:t>√不适用</w:t>
      </w:r>
      <w:r>
        <w:rPr>
          <w:w w:val="100"/>
        </w:rPr>
        <w:t> </w:t>
      </w:r>
      <w:r>
        <w:rPr/>
        <w:t>其他说明</w:t>
      </w:r>
    </w:p>
    <w:p>
      <w:pPr>
        <w:pStyle w:val="BodyText"/>
        <w:spacing w:line="240" w:lineRule="auto" w:before="7"/>
        <w:ind w:left="138" w:right="158"/>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0"/>
        <w:jc w:val="left"/>
        <w:rPr>
          <w:b w:val="0"/>
          <w:bCs w:val="0"/>
        </w:rPr>
      </w:pPr>
      <w:r>
        <w:rPr>
          <w:rFonts w:ascii="宋体" w:hAnsi="宋体" w:cs="宋体" w:eastAsia="宋体" w:hint="default"/>
        </w:rPr>
        <w:t>24</w:t>
      </w:r>
      <w:r>
        <w:rPr/>
        <w:t>、</w:t>
      </w:r>
      <w:r>
        <w:rPr>
          <w:spacing w:val="-102"/>
        </w:rPr>
        <w:t> </w:t>
      </w:r>
      <w:r>
        <w:rPr/>
        <w:t>油气资产</w:t>
      </w:r>
      <w:r>
        <w:rPr>
          <w:b w:val="0"/>
          <w:bCs w:val="0"/>
        </w:rPr>
      </w:r>
    </w:p>
    <w:p>
      <w:pPr>
        <w:pStyle w:val="BodyText"/>
        <w:spacing w:line="240" w:lineRule="auto" w:before="85"/>
        <w:ind w:right="0"/>
        <w:jc w:val="left"/>
      </w:pPr>
      <w:r>
        <w:rPr/>
        <w:t>□适用</w:t>
      </w:r>
      <w:r>
        <w:rPr>
          <w:spacing w:val="-1"/>
        </w:rPr>
        <w:t> </w:t>
      </w:r>
      <w:r>
        <w:rPr/>
        <w:t>√不适用</w:t>
      </w:r>
    </w:p>
    <w:p>
      <w:pPr>
        <w:pStyle w:val="Heading2"/>
        <w:spacing w:line="240" w:lineRule="auto" w:before="69"/>
        <w:ind w:right="0"/>
        <w:jc w:val="left"/>
        <w:rPr>
          <w:b w:val="0"/>
          <w:bCs w:val="0"/>
        </w:rPr>
      </w:pPr>
      <w:r>
        <w:rPr>
          <w:rFonts w:ascii="宋体" w:hAnsi="宋体" w:cs="宋体" w:eastAsia="宋体" w:hint="default"/>
        </w:rPr>
        <w:t>25</w:t>
      </w:r>
      <w:r>
        <w:rPr/>
        <w:t>、</w:t>
      </w:r>
      <w:r>
        <w:rPr>
          <w:spacing w:val="-102"/>
        </w:rPr>
        <w:t> </w:t>
      </w:r>
      <w:r>
        <w:rPr/>
        <w:t>无形资产</w:t>
      </w:r>
      <w:r>
        <w:rPr>
          <w:b w:val="0"/>
          <w:bCs w:val="0"/>
        </w:rPr>
      </w:r>
    </w:p>
    <w:p>
      <w:pPr>
        <w:pStyle w:val="Heading2"/>
        <w:tabs>
          <w:tab w:pos="1057" w:val="left" w:leader="none"/>
        </w:tabs>
        <w:spacing w:line="240" w:lineRule="auto" w:before="58"/>
        <w:ind w:right="0"/>
        <w:jc w:val="left"/>
        <w:rPr>
          <w:b w:val="0"/>
          <w:bCs w:val="0"/>
        </w:rPr>
      </w:pPr>
      <w:r>
        <w:rPr>
          <w:rFonts w:ascii="宋体" w:hAnsi="宋体" w:cs="宋体" w:eastAsia="宋体" w:hint="default"/>
        </w:rPr>
        <w:t>(1).</w:t>
        <w:tab/>
      </w:r>
      <w:r>
        <w:rPr>
          <w:w w:val="95"/>
        </w:rPr>
        <w:t>无形资产情况</w:t>
      </w:r>
      <w:r>
        <w:rPr>
          <w:b w:val="0"/>
          <w:bCs w:val="0"/>
        </w:rPr>
      </w:r>
    </w:p>
    <w:p>
      <w:pPr>
        <w:pStyle w:val="Heading3"/>
        <w:tabs>
          <w:tab w:pos="1297" w:val="left" w:leader="none"/>
        </w:tabs>
        <w:spacing w:line="240" w:lineRule="auto" w:before="58"/>
        <w:ind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9"/>
          <w:szCs w:val="19"/>
        </w:rPr>
      </w:pP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503" w:space="3690"/>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5"/>
        <w:gridCol w:w="1688"/>
        <w:gridCol w:w="1580"/>
        <w:gridCol w:w="770"/>
        <w:gridCol w:w="1582"/>
        <w:gridCol w:w="1685"/>
      </w:tblGrid>
      <w:tr>
        <w:trPr>
          <w:trHeight w:val="94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67"/>
              <w:jc w:val="both"/>
              <w:rPr>
                <w:rFonts w:ascii="宋体" w:hAnsi="宋体" w:cs="宋体" w:eastAsia="宋体" w:hint="default"/>
                <w:sz w:val="21"/>
                <w:szCs w:val="21"/>
              </w:rPr>
            </w:pPr>
            <w:r>
              <w:rPr>
                <w:rFonts w:ascii="宋体" w:hAnsi="宋体" w:cs="宋体" w:eastAsia="宋体" w:hint="default"/>
                <w:sz w:val="21"/>
                <w:szCs w:val="21"/>
              </w:rPr>
              <w:t>非专</w:t>
            </w:r>
            <w:r>
              <w:rPr>
                <w:rFonts w:ascii="宋体" w:hAnsi="宋体" w:cs="宋体" w:eastAsia="宋体" w:hint="default"/>
                <w:spacing w:val="-103"/>
                <w:sz w:val="21"/>
                <w:szCs w:val="21"/>
              </w:rPr>
              <w:t> </w:t>
            </w:r>
            <w:r>
              <w:rPr>
                <w:rFonts w:ascii="宋体" w:hAnsi="宋体" w:cs="宋体" w:eastAsia="宋体" w:hint="default"/>
                <w:sz w:val="21"/>
                <w:szCs w:val="21"/>
              </w:rPr>
              <w:t>利技</w:t>
            </w:r>
            <w:r>
              <w:rPr>
                <w:rFonts w:ascii="宋体" w:hAnsi="宋体" w:cs="宋体" w:eastAsia="宋体" w:hint="default"/>
                <w:spacing w:val="-103"/>
                <w:sz w:val="21"/>
                <w:szCs w:val="21"/>
              </w:rPr>
              <w:t> </w:t>
            </w:r>
            <w:r>
              <w:rPr>
                <w:rFonts w:ascii="宋体" w:hAnsi="宋体" w:cs="宋体" w:eastAsia="宋体" w:hint="default"/>
                <w:sz w:val="21"/>
                <w:szCs w:val="21"/>
              </w:rPr>
              <w:t>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52"/>
              <w:jc w:val="both"/>
              <w:rPr>
                <w:rFonts w:ascii="宋体" w:hAnsi="宋体" w:cs="宋体" w:eastAsia="宋体" w:hint="default"/>
                <w:sz w:val="21"/>
                <w:szCs w:val="21"/>
              </w:rPr>
            </w:pPr>
            <w:r>
              <w:rPr>
                <w:rFonts w:ascii="宋体" w:hAnsi="宋体" w:cs="宋体" w:eastAsia="宋体" w:hint="default"/>
                <w:sz w:val="21"/>
                <w:szCs w:val="21"/>
              </w:rPr>
              <w:t>基础照明节能</w:t>
            </w:r>
            <w:r>
              <w:rPr>
                <w:rFonts w:ascii="宋体" w:hAnsi="宋体" w:cs="宋体" w:eastAsia="宋体" w:hint="default"/>
                <w:w w:val="100"/>
                <w:sz w:val="21"/>
                <w:szCs w:val="21"/>
              </w:rPr>
              <w:t> </w:t>
            </w:r>
            <w:r>
              <w:rPr>
                <w:rFonts w:ascii="宋体" w:hAnsi="宋体" w:cs="宋体" w:eastAsia="宋体" w:hint="default"/>
                <w:sz w:val="21"/>
                <w:szCs w:val="21"/>
              </w:rPr>
              <w:t>改造项目节能</w:t>
            </w:r>
            <w:r>
              <w:rPr>
                <w:rFonts w:ascii="宋体" w:hAnsi="宋体" w:cs="宋体" w:eastAsia="宋体" w:hint="default"/>
                <w:w w:val="100"/>
                <w:sz w:val="21"/>
                <w:szCs w:val="21"/>
              </w:rPr>
              <w:t> </w:t>
            </w:r>
            <w:r>
              <w:rPr>
                <w:rFonts w:ascii="宋体" w:hAnsi="宋体" w:cs="宋体" w:eastAsia="宋体" w:hint="default"/>
                <w:sz w:val="21"/>
                <w:szCs w:val="21"/>
              </w:rPr>
              <w:t>效益分享权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159,227,915.81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33,110,272.79</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212,338,188.60</w:t>
            </w:r>
          </w:p>
        </w:tc>
      </w:tr>
      <w:tr>
        <w:trPr>
          <w:trHeight w:val="34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21,168,397.46</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21,168,397.46</w:t>
            </w: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21,168,397.46</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21,168,397.46</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3" w:firstLine="63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22,787,058.93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4,444.44</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22,791,503.37</w:t>
            </w:r>
          </w:p>
        </w:tc>
      </w:tr>
      <w:tr>
        <w:trPr>
          <w:trHeight w:val="34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4,444.44</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4,444.44</w:t>
            </w:r>
          </w:p>
        </w:tc>
      </w:tr>
      <w:tr>
        <w:trPr>
          <w:trHeight w:val="63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处处置子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22,787,058.93</w:t>
            </w: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22,787,058.93</w:t>
            </w:r>
          </w:p>
        </w:tc>
      </w:tr>
      <w:tr>
        <w:trPr>
          <w:trHeight w:val="34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136,440,856.88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54,274,225.81</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210,715,082.69</w:t>
            </w: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6"/>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7,334,950.11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15,687,187.53</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5,555,555.56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28,577,693.20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3,123,685.56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7,751,521.46</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6,666,666.71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17,541,873.73</w:t>
            </w: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1</w:t>
            </w:r>
            <w:r>
              <w:rPr>
                <w:rFonts w:ascii="宋体" w:hAnsi="宋体" w:cs="宋体" w:eastAsia="宋体" w:hint="default"/>
                <w:spacing w:val="-11"/>
                <w:sz w:val="21"/>
                <w:szCs w:val="21"/>
              </w:rPr>
              <w:t>）计提</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3,123,685.56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7,751,521.46</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6,666,666.71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17,541,873.73</w:t>
            </w: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712,095.59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1,777.78</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713,873.37</w:t>
            </w: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8"/>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1,777.78</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1,777.78</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处置子公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712,095.59</w:t>
            </w: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712,095.59</w:t>
            </w: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6"/>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9,746,540.08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23,436,931.21</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12,222,222.27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45,405,693.56</w:t>
            </w: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6"/>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14,888.89</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14,888.89</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1</w:t>
            </w:r>
            <w:r>
              <w:rPr>
                <w:rFonts w:ascii="宋体" w:hAnsi="宋体" w:cs="宋体" w:eastAsia="宋体" w:hint="default"/>
                <w:spacing w:val="-11"/>
                <w:sz w:val="21"/>
                <w:szCs w:val="21"/>
              </w:rPr>
              <w:t>）计提</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45"/>
        <w:gridCol w:w="1688"/>
        <w:gridCol w:w="1580"/>
        <w:gridCol w:w="770"/>
        <w:gridCol w:w="1582"/>
        <w:gridCol w:w="1685"/>
      </w:tblGrid>
      <w:tr>
        <w:trPr>
          <w:trHeight w:val="63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64"/>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6"/>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14,888.89</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14,888.89</w:t>
            </w: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126,694,316.80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30,822,405.71</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7,777,777.73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165,294,500.24</w:t>
            </w: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151,892,965.70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17,408,196.37</w:t>
            </w:r>
          </w:p>
        </w:tc>
        <w:tc>
          <w:tcPr>
            <w:tcW w:w="7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14,444,444.44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183,745,606.51</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215"/>
        <w:jc w:val="left"/>
        <w:rPr>
          <w:b w:val="0"/>
          <w:bCs w:val="0"/>
        </w:rPr>
      </w:pPr>
      <w:r>
        <w:rPr>
          <w:rFonts w:ascii="宋体" w:hAnsi="宋体" w:cs="宋体" w:eastAsia="宋体" w:hint="default"/>
        </w:rPr>
        <w:t>(2).</w:t>
        <w:tab/>
      </w:r>
      <w:r>
        <w:rPr/>
        <w:t>未办妥产权证书的土地使用权情况：</w:t>
      </w:r>
      <w:r>
        <w:rPr>
          <w:b w:val="0"/>
          <w:bCs w:val="0"/>
        </w:rPr>
      </w:r>
    </w:p>
    <w:p>
      <w:pPr>
        <w:pStyle w:val="BodyText"/>
        <w:spacing w:line="273" w:lineRule="auto" w:before="86"/>
        <w:ind w:right="7474"/>
        <w:jc w:val="left"/>
      </w:pPr>
      <w:r>
        <w:rPr/>
        <w:t>□适用</w:t>
      </w:r>
      <w:r>
        <w:rPr>
          <w:spacing w:val="-1"/>
        </w:rPr>
        <w:t> </w:t>
      </w:r>
      <w:r>
        <w:rPr/>
        <w:t>√不适用</w:t>
      </w:r>
      <w:r>
        <w:rPr>
          <w:w w:val="100"/>
        </w:rPr>
        <w:t> </w:t>
      </w:r>
      <w:r>
        <w:rPr/>
        <w:t>其他说明：</w:t>
      </w:r>
    </w:p>
    <w:p>
      <w:pPr>
        <w:pStyle w:val="BodyText"/>
        <w:spacing w:line="240" w:lineRule="auto" w:before="7"/>
        <w:ind w:right="215"/>
        <w:jc w:val="left"/>
      </w:pPr>
      <w:r>
        <w:rPr/>
        <w:t>√适用</w:t>
      </w:r>
      <w:r>
        <w:rPr>
          <w:spacing w:val="-1"/>
        </w:rPr>
        <w:t> </w:t>
      </w:r>
      <w:r>
        <w:rPr/>
        <w:t>□不适用</w:t>
      </w:r>
    </w:p>
    <w:p>
      <w:pPr>
        <w:pStyle w:val="BodyText"/>
        <w:spacing w:line="247" w:lineRule="auto" w:before="37"/>
        <w:ind w:right="230"/>
        <w:jc w:val="left"/>
        <w:rPr>
          <w:sz w:val="24"/>
          <w:szCs w:val="24"/>
        </w:rPr>
      </w:pPr>
      <w:r>
        <w:rPr/>
        <w:t>本期处置子公司减少为本公司持有的孙公司成都金证同洲科技有限公司股权于</w:t>
      </w:r>
      <w:r>
        <w:rPr>
          <w:spacing w:val="-69"/>
        </w:rPr>
        <w:t> </w:t>
      </w:r>
      <w:r>
        <w:rPr>
          <w:rFonts w:ascii="宋体" w:hAnsi="宋体" w:cs="宋体" w:eastAsia="宋体" w:hint="default"/>
        </w:rPr>
        <w:t>2017</w:t>
      </w:r>
      <w:r>
        <w:rPr>
          <w:rFonts w:ascii="宋体" w:hAnsi="宋体" w:cs="宋体" w:eastAsia="宋体" w:hint="default"/>
          <w:spacing w:val="-69"/>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69"/>
        </w:rPr>
        <w:t> </w:t>
      </w:r>
      <w:r>
        <w:rPr>
          <w:rFonts w:ascii="宋体" w:hAnsi="宋体" w:cs="宋体" w:eastAsia="宋体" w:hint="default"/>
        </w:rPr>
        <w:t>9</w:t>
      </w:r>
      <w:r>
        <w:rPr>
          <w:rFonts w:ascii="宋体" w:hAnsi="宋体" w:cs="宋体" w:eastAsia="宋体" w:hint="default"/>
          <w:spacing w:val="-69"/>
        </w:rPr>
        <w:t> </w:t>
      </w:r>
      <w:r>
        <w:rPr>
          <w:spacing w:val="-3"/>
        </w:rPr>
        <w:t>日全</w:t>
      </w:r>
      <w:r>
        <w:rPr>
          <w:spacing w:val="-3"/>
          <w:w w:val="100"/>
        </w:rPr>
        <w:t> </w:t>
      </w:r>
      <w:r>
        <w:rPr/>
        <w:t>部转让，详见“附注八、合并范围的变更</w:t>
      </w:r>
      <w:r>
        <w:rPr>
          <w:rFonts w:ascii="宋体" w:hAnsi="宋体" w:cs="宋体" w:eastAsia="宋体" w:hint="default"/>
        </w:rPr>
        <w:t>--</w:t>
      </w:r>
      <w:r>
        <w:rPr/>
        <w:t>处置子公司”</w:t>
      </w:r>
      <w:r>
        <w:rPr>
          <w:sz w:val="24"/>
          <w:szCs w:val="24"/>
        </w:rPr>
        <w:t>。</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26</w:t>
      </w:r>
      <w:r>
        <w:rPr/>
        <w:t>、</w:t>
      </w:r>
      <w:r>
        <w:rPr>
          <w:spacing w:val="-100"/>
        </w:rPr>
        <w:t> </w:t>
      </w:r>
      <w:r>
        <w:rPr/>
        <w:t>开发支出</w:t>
      </w:r>
      <w:r>
        <w:rPr>
          <w:b w:val="0"/>
          <w:bCs w:val="0"/>
        </w:rPr>
      </w:r>
    </w:p>
    <w:p>
      <w:pPr>
        <w:pStyle w:val="BodyText"/>
        <w:spacing w:line="240" w:lineRule="auto" w:before="85"/>
        <w:ind w:right="-18"/>
        <w:jc w:val="left"/>
      </w:pPr>
      <w:r>
        <w:rPr/>
        <w:t>□适用</w:t>
      </w:r>
      <w:r>
        <w:rPr>
          <w:spacing w:val="-1"/>
        </w:rPr>
        <w:t> </w:t>
      </w:r>
      <w:r>
        <w:rPr/>
        <w:t>√不适用</w:t>
      </w:r>
    </w:p>
    <w:p>
      <w:pPr>
        <w:pStyle w:val="Heading2"/>
        <w:spacing w:line="240" w:lineRule="auto" w:before="69"/>
        <w:ind w:right="-18"/>
        <w:jc w:val="left"/>
        <w:rPr>
          <w:b w:val="0"/>
          <w:bCs w:val="0"/>
        </w:rPr>
      </w:pPr>
      <w:r>
        <w:rPr>
          <w:rFonts w:ascii="宋体" w:hAnsi="宋体" w:cs="宋体" w:eastAsia="宋体" w:hint="default"/>
        </w:rPr>
        <w:t>27</w:t>
      </w:r>
      <w:r>
        <w:rPr/>
        <w:t>、</w:t>
      </w:r>
      <w:r>
        <w:rPr>
          <w:spacing w:val="-100"/>
        </w:rPr>
        <w:t> </w:t>
      </w:r>
      <w:r>
        <w:rPr/>
        <w:t>商誉</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20"/>
        </w:rPr>
        <w:t> </w:t>
      </w:r>
      <w:r>
        <w:rPr/>
        <w:t>商誉账面原值</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51" w:space="4271"/>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39"/>
        <w:gridCol w:w="1177"/>
        <w:gridCol w:w="1205"/>
        <w:gridCol w:w="1179"/>
        <w:gridCol w:w="1202"/>
        <w:gridCol w:w="1191"/>
        <w:gridCol w:w="1157"/>
      </w:tblGrid>
      <w:tr>
        <w:trPr>
          <w:trHeight w:val="295"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11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9"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商务技术有限公司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289,794,1</w:t>
            </w:r>
          </w:p>
          <w:p>
            <w:pPr>
              <w:pStyle w:val="TableParagraph"/>
              <w:spacing w:line="273" w:lineRule="exact"/>
              <w:ind w:left="538" w:right="0"/>
              <w:jc w:val="left"/>
              <w:rPr>
                <w:rFonts w:ascii="宋体" w:hAnsi="宋体" w:cs="宋体" w:eastAsia="宋体" w:hint="default"/>
                <w:sz w:val="21"/>
                <w:szCs w:val="21"/>
              </w:rPr>
            </w:pPr>
            <w:r>
              <w:rPr>
                <w:rFonts w:ascii="宋体"/>
                <w:sz w:val="21"/>
              </w:rPr>
              <w:t>22.27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289,794,</w:t>
            </w:r>
          </w:p>
          <w:p>
            <w:pPr>
              <w:pStyle w:val="TableParagraph"/>
              <w:spacing w:line="273" w:lineRule="exact"/>
              <w:ind w:left="415" w:right="0"/>
              <w:jc w:val="left"/>
              <w:rPr>
                <w:rFonts w:ascii="宋体" w:hAnsi="宋体" w:cs="宋体" w:eastAsia="宋体" w:hint="default"/>
                <w:sz w:val="21"/>
                <w:szCs w:val="21"/>
              </w:rPr>
            </w:pPr>
            <w:r>
              <w:rPr>
                <w:rFonts w:ascii="宋体"/>
                <w:sz w:val="21"/>
              </w:rPr>
              <w:t>122.27</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1,522,814</w:t>
            </w:r>
          </w:p>
          <w:p>
            <w:pPr>
              <w:pStyle w:val="TableParagraph"/>
              <w:spacing w:line="273" w:lineRule="exact"/>
              <w:ind w:left="749" w:right="0"/>
              <w:jc w:val="left"/>
              <w:rPr>
                <w:rFonts w:ascii="宋体" w:hAnsi="宋体" w:cs="宋体" w:eastAsia="宋体" w:hint="default"/>
                <w:sz w:val="21"/>
                <w:szCs w:val="21"/>
              </w:rPr>
            </w:pPr>
            <w:r>
              <w:rPr>
                <w:rFonts w:ascii="宋体"/>
                <w:sz w:val="21"/>
              </w:rPr>
              <w:t>.35</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1,522,81</w:t>
            </w:r>
          </w:p>
          <w:p>
            <w:pPr>
              <w:pStyle w:val="TableParagraph"/>
              <w:spacing w:line="273" w:lineRule="exact"/>
              <w:ind w:left="626" w:right="0"/>
              <w:jc w:val="left"/>
              <w:rPr>
                <w:rFonts w:ascii="宋体" w:hAnsi="宋体" w:cs="宋体" w:eastAsia="宋体" w:hint="default"/>
                <w:sz w:val="21"/>
                <w:szCs w:val="21"/>
              </w:rPr>
            </w:pPr>
            <w:r>
              <w:rPr>
                <w:rFonts w:ascii="宋体"/>
                <w:sz w:val="21"/>
              </w:rPr>
              <w:t>4.35</w:t>
            </w:r>
          </w:p>
        </w:tc>
      </w:tr>
      <w:tr>
        <w:trPr>
          <w:trHeight w:val="5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息有限公司</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249,214.5</w:t>
            </w:r>
          </w:p>
          <w:p>
            <w:pPr>
              <w:pStyle w:val="TableParagraph"/>
              <w:spacing w:line="275" w:lineRule="exact"/>
              <w:ind w:right="101"/>
              <w:jc w:val="right"/>
              <w:rPr>
                <w:rFonts w:ascii="宋体" w:hAnsi="宋体" w:cs="宋体" w:eastAsia="宋体" w:hint="default"/>
                <w:sz w:val="21"/>
                <w:szCs w:val="21"/>
              </w:rPr>
            </w:pPr>
            <w:r>
              <w:rPr>
                <w:rFonts w:ascii="宋体"/>
                <w:w w:val="100"/>
                <w:sz w:val="21"/>
              </w:rPr>
              <w:t>4</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249,214.</w:t>
            </w:r>
          </w:p>
          <w:p>
            <w:pPr>
              <w:pStyle w:val="TableParagraph"/>
              <w:spacing w:line="275" w:lineRule="exact"/>
              <w:ind w:right="98"/>
              <w:jc w:val="right"/>
              <w:rPr>
                <w:rFonts w:ascii="宋体" w:hAnsi="宋体" w:cs="宋体" w:eastAsia="宋体" w:hint="default"/>
                <w:sz w:val="21"/>
                <w:szCs w:val="21"/>
              </w:rPr>
            </w:pPr>
            <w:r>
              <w:rPr>
                <w:rFonts w:ascii="宋体"/>
                <w:sz w:val="21"/>
              </w:rPr>
              <w:t>54</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291,316,9</w:t>
            </w:r>
          </w:p>
          <w:p>
            <w:pPr>
              <w:pStyle w:val="TableParagraph"/>
              <w:spacing w:line="274" w:lineRule="exact"/>
              <w:ind w:left="538" w:right="0"/>
              <w:jc w:val="left"/>
              <w:rPr>
                <w:rFonts w:ascii="宋体" w:hAnsi="宋体" w:cs="宋体" w:eastAsia="宋体" w:hint="default"/>
                <w:sz w:val="21"/>
                <w:szCs w:val="21"/>
              </w:rPr>
            </w:pPr>
            <w:r>
              <w:rPr>
                <w:rFonts w:ascii="宋体"/>
                <w:sz w:val="21"/>
              </w:rPr>
              <w:t>36.62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249,214.5</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291,566,</w:t>
            </w:r>
          </w:p>
          <w:p>
            <w:pPr>
              <w:pStyle w:val="TableParagraph"/>
              <w:spacing w:line="274" w:lineRule="exact"/>
              <w:ind w:left="415" w:right="0"/>
              <w:jc w:val="left"/>
              <w:rPr>
                <w:rFonts w:ascii="宋体" w:hAnsi="宋体" w:cs="宋体" w:eastAsia="宋体" w:hint="default"/>
                <w:sz w:val="21"/>
                <w:szCs w:val="21"/>
              </w:rPr>
            </w:pPr>
            <w:r>
              <w:rPr>
                <w:rFonts w:ascii="宋体"/>
                <w:sz w:val="21"/>
              </w:rPr>
              <w:t>151.16</w:t>
            </w:r>
          </w:p>
        </w:tc>
      </w:tr>
    </w:tbl>
    <w:p>
      <w:pPr>
        <w:spacing w:line="240" w:lineRule="auto" w:before="5"/>
        <w:rPr>
          <w:rFonts w:ascii="宋体" w:hAnsi="宋体" w:cs="宋体" w:eastAsia="宋体" w:hint="default"/>
          <w:sz w:val="23"/>
          <w:szCs w:val="23"/>
        </w:rPr>
      </w:pPr>
    </w:p>
    <w:p>
      <w:pPr>
        <w:pStyle w:val="Heading2"/>
        <w:spacing w:line="240" w:lineRule="auto"/>
        <w:ind w:right="215"/>
        <w:jc w:val="left"/>
        <w:rPr>
          <w:b w:val="0"/>
          <w:bCs w:val="0"/>
        </w:rPr>
      </w:pPr>
      <w:r>
        <w:rPr>
          <w:rFonts w:ascii="宋体" w:hAnsi="宋体" w:cs="宋体" w:eastAsia="宋体" w:hint="default"/>
        </w:rPr>
        <w:t>(2).</w:t>
      </w:r>
      <w:r>
        <w:rPr>
          <w:rFonts w:ascii="宋体" w:hAnsi="宋体" w:cs="宋体" w:eastAsia="宋体" w:hint="default"/>
          <w:spacing w:val="-20"/>
        </w:rPr>
        <w:t> </w:t>
      </w:r>
      <w:r>
        <w:rPr/>
        <w:t>商誉减值准备</w:t>
      </w:r>
      <w:r>
        <w:rPr>
          <w:b w:val="0"/>
          <w:bCs w:val="0"/>
        </w:rPr>
      </w:r>
    </w:p>
    <w:p>
      <w:pPr>
        <w:pStyle w:val="BodyText"/>
        <w:spacing w:line="273" w:lineRule="auto" w:before="85"/>
        <w:ind w:right="3122"/>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73" w:lineRule="auto" w:before="7"/>
        <w:ind w:right="7474"/>
        <w:jc w:val="left"/>
      </w:pPr>
      <w:r>
        <w:rPr/>
        <w:t>□适用</w:t>
      </w:r>
      <w:r>
        <w:rPr>
          <w:spacing w:val="-1"/>
        </w:rPr>
        <w:t> </w:t>
      </w:r>
      <w:r>
        <w:rPr/>
        <w:t>√不适用</w:t>
      </w:r>
      <w:r>
        <w:rPr>
          <w:w w:val="100"/>
        </w:rPr>
        <w:t> </w:t>
      </w:r>
      <w:r>
        <w:rPr/>
        <w:t>其他说明</w:t>
      </w:r>
    </w:p>
    <w:p>
      <w:pPr>
        <w:pStyle w:val="BodyText"/>
        <w:spacing w:line="240" w:lineRule="auto" w:before="7"/>
        <w:ind w:right="215"/>
        <w:jc w:val="left"/>
      </w:pPr>
      <w:r>
        <w:rPr/>
        <w:t>√适用</w:t>
      </w:r>
      <w:r>
        <w:rPr>
          <w:spacing w:val="-1"/>
        </w:rPr>
        <w:t> </w:t>
      </w:r>
      <w:r>
        <w:rPr/>
        <w:t>□不适用</w:t>
      </w:r>
    </w:p>
    <w:p>
      <w:pPr>
        <w:pStyle w:val="BodyText"/>
        <w:spacing w:line="408" w:lineRule="auto" w:before="114"/>
        <w:ind w:right="215" w:firstLine="479"/>
        <w:jc w:val="left"/>
      </w:pPr>
      <w:r>
        <w:rPr/>
        <w:t>注：北京联龙博通电子商务技术有限公司形成的商誉系本公司</w:t>
      </w:r>
      <w:r>
        <w:rPr>
          <w:spacing w:val="-56"/>
        </w:rPr>
        <w:t> </w:t>
      </w:r>
      <w:r>
        <w:rPr>
          <w:rFonts w:ascii="宋体" w:hAnsi="宋体" w:cs="宋体" w:eastAsia="宋体" w:hint="default"/>
        </w:rPr>
        <w:t>2015</w:t>
      </w:r>
      <w:r>
        <w:rPr>
          <w:rFonts w:ascii="宋体" w:hAnsi="宋体" w:cs="宋体" w:eastAsia="宋体" w:hint="default"/>
          <w:spacing w:val="-56"/>
        </w:rPr>
        <w:t> </w:t>
      </w:r>
      <w:r>
        <w:rPr/>
        <w:t>年度重大资产重组北京</w:t>
      </w:r>
      <w:r>
        <w:rPr>
          <w:w w:val="100"/>
        </w:rPr>
        <w:t> </w:t>
      </w:r>
      <w:r>
        <w:rPr>
          <w:spacing w:val="-2"/>
        </w:rPr>
        <w:t>联龙博通电子商务技术有限公司（简称联龙博通）</w:t>
      </w:r>
      <w:r>
        <w:rPr>
          <w:rFonts w:ascii="宋体" w:hAnsi="宋体" w:cs="宋体" w:eastAsia="宋体" w:hint="default"/>
          <w:spacing w:val="-2"/>
        </w:rPr>
        <w:t>100%</w:t>
      </w:r>
      <w:r>
        <w:rPr>
          <w:spacing w:val="-2"/>
        </w:rPr>
        <w:t>股权，按非同一控制合并核算形成。本公</w:t>
      </w:r>
      <w:r>
        <w:rPr/>
      </w:r>
    </w:p>
    <w:p>
      <w:pPr>
        <w:spacing w:after="0" w:line="408"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215"/>
        <w:jc w:val="left"/>
      </w:pPr>
      <w:r>
        <w:rPr>
          <w:spacing w:val="-2"/>
        </w:rPr>
        <w:t>司利用外部评估专家的工作对该商誉进行了专项减值测试，经测试商誉未发生减值，无需计提减</w:t>
      </w:r>
      <w:r>
        <w:rPr>
          <w:spacing w:val="-25"/>
        </w:rPr>
        <w:t> </w:t>
      </w:r>
      <w:r>
        <w:rPr>
          <w:spacing w:val="-25"/>
        </w:rPr>
      </w:r>
      <w:r>
        <w:rPr/>
        <w:t>值准备。</w:t>
      </w:r>
    </w:p>
    <w:p>
      <w:pPr>
        <w:pStyle w:val="BodyText"/>
        <w:spacing w:line="408" w:lineRule="auto" w:before="46"/>
        <w:ind w:right="240" w:firstLine="419"/>
        <w:jc w:val="both"/>
      </w:pPr>
      <w:r>
        <w:rPr/>
        <w:t>陕西金证科技有限公司形成的商誉系本公司</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月对陕西金证科技有限公司（简称陕</w:t>
      </w:r>
      <w:r>
        <w:rPr>
          <w:w w:val="100"/>
        </w:rPr>
        <w:t> </w:t>
      </w:r>
      <w:r>
        <w:rPr/>
        <w:t>西金证）增资，持股比例达到</w:t>
      </w:r>
      <w:r>
        <w:rPr>
          <w:spacing w:val="-56"/>
        </w:rPr>
        <w:t> </w:t>
      </w:r>
      <w:r>
        <w:rPr>
          <w:rFonts w:ascii="宋体" w:hAnsi="宋体" w:cs="宋体" w:eastAsia="宋体" w:hint="default"/>
        </w:rPr>
        <w:t>52%</w:t>
      </w:r>
      <w:r>
        <w:rPr/>
        <w:t>，按非同一控制合并核算形成，经测试商誉未发生减值，无需</w:t>
      </w:r>
      <w:r>
        <w:rPr>
          <w:w w:val="100"/>
        </w:rPr>
        <w:t> </w:t>
      </w:r>
      <w:r>
        <w:rPr/>
        <w:t>计提减值准备。</w:t>
      </w:r>
    </w:p>
    <w:p>
      <w:pPr>
        <w:pStyle w:val="BodyText"/>
        <w:spacing w:line="408" w:lineRule="auto" w:before="46"/>
        <w:ind w:right="237" w:firstLine="419"/>
        <w:jc w:val="both"/>
      </w:pPr>
      <w:r>
        <w:rPr>
          <w:spacing w:val="-2"/>
        </w:rPr>
        <w:t>深圳市知领互联信息有限公司（简称知领互联信息）形成的商誉系本公司的子公司深圳市睿</w:t>
      </w:r>
      <w:r>
        <w:rPr>
          <w:w w:val="100"/>
        </w:rPr>
        <w:t> </w:t>
      </w:r>
      <w:r>
        <w:rPr/>
        <w:t>服科技有限公司</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月收购原股东股权，持股比例达到</w:t>
      </w:r>
      <w:r>
        <w:rPr>
          <w:spacing w:val="-55"/>
        </w:rPr>
        <w:t> </w:t>
      </w:r>
      <w:r>
        <w:rPr>
          <w:rFonts w:ascii="宋体" w:hAnsi="宋体" w:cs="宋体" w:eastAsia="宋体" w:hint="default"/>
        </w:rPr>
        <w:t>51%</w:t>
      </w:r>
      <w:r>
        <w:rPr/>
        <w:t>，按非同一控制合并，经测试</w:t>
      </w:r>
    </w:p>
    <w:p>
      <w:pPr>
        <w:spacing w:after="0" w:line="408" w:lineRule="auto"/>
        <w:jc w:val="both"/>
        <w:sectPr>
          <w:pgSz w:w="11910" w:h="16840"/>
          <w:pgMar w:header="882" w:footer="1195" w:top="1120" w:bottom="1380" w:left="1580" w:right="1040"/>
        </w:sectPr>
      </w:pPr>
    </w:p>
    <w:p>
      <w:pPr>
        <w:pStyle w:val="BodyText"/>
        <w:spacing w:line="240" w:lineRule="auto" w:before="46"/>
        <w:ind w:right="0"/>
        <w:jc w:val="left"/>
      </w:pPr>
      <w:r>
        <w:rPr>
          <w:spacing w:val="-2"/>
        </w:rPr>
        <w:t>商誉未发生减值，无需计提减值准备。</w:t>
      </w:r>
    </w:p>
    <w:p>
      <w:pPr>
        <w:pStyle w:val="Heading2"/>
        <w:spacing w:line="240" w:lineRule="auto" w:before="148"/>
        <w:ind w:right="0"/>
        <w:jc w:val="left"/>
        <w:rPr>
          <w:b w:val="0"/>
          <w:bCs w:val="0"/>
        </w:rPr>
      </w:pPr>
      <w:r>
        <w:rPr>
          <w:rFonts w:ascii="宋体" w:hAnsi="宋体" w:cs="宋体" w:eastAsia="宋体" w:hint="default"/>
        </w:rPr>
        <w:t>28</w:t>
      </w:r>
      <w:r>
        <w:rPr/>
        <w:t>、</w:t>
      </w:r>
      <w:r>
        <w:rPr>
          <w:spacing w:val="-104"/>
        </w:rPr>
        <w:t> </w:t>
      </w:r>
      <w:r>
        <w:rPr/>
        <w:t>长期待摊费用</w:t>
      </w:r>
      <w:r>
        <w:rPr>
          <w:b w:val="0"/>
          <w:bCs w:val="0"/>
        </w:rPr>
      </w:r>
    </w:p>
    <w:p>
      <w:pPr>
        <w:pStyle w:val="BodyText"/>
        <w:spacing w:line="240" w:lineRule="auto" w:before="85"/>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5"/>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93" w:space="272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71"/>
        <w:gridCol w:w="1477"/>
        <w:gridCol w:w="1476"/>
        <w:gridCol w:w="1476"/>
        <w:gridCol w:w="1049"/>
        <w:gridCol w:w="1500"/>
      </w:tblGrid>
      <w:tr>
        <w:trPr>
          <w:trHeight w:val="636"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0"/>
              <w:jc w:val="left"/>
              <w:rPr>
                <w:rFonts w:ascii="宋体" w:hAnsi="宋体" w:cs="宋体" w:eastAsia="宋体" w:hint="default"/>
                <w:sz w:val="21"/>
                <w:szCs w:val="21"/>
              </w:rPr>
            </w:pPr>
            <w:r>
              <w:rPr>
                <w:rFonts w:ascii="宋体" w:hAnsi="宋体" w:cs="宋体" w:eastAsia="宋体" w:hint="default"/>
                <w:sz w:val="21"/>
                <w:szCs w:val="21"/>
              </w:rPr>
              <w:t>其他减</w:t>
            </w:r>
            <w:r>
              <w:rPr>
                <w:rFonts w:ascii="宋体" w:hAnsi="宋体" w:cs="宋体" w:eastAsia="宋体" w:hint="default"/>
                <w:spacing w:val="-102"/>
                <w:sz w:val="21"/>
                <w:szCs w:val="21"/>
              </w:rPr>
              <w:t> </w:t>
            </w:r>
            <w:r>
              <w:rPr>
                <w:rFonts w:ascii="宋体" w:hAnsi="宋体" w:cs="宋体" w:eastAsia="宋体" w:hint="default"/>
                <w:sz w:val="21"/>
                <w:szCs w:val="21"/>
              </w:rPr>
              <w:t>少金额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2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3,244,010.22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6,788,337.50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3,029,250.36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7,003,097.36</w:t>
            </w:r>
          </w:p>
        </w:tc>
      </w:tr>
      <w:tr>
        <w:trPr>
          <w:trHeight w:val="32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高尔夫会籍费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1,655,249.73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356,800.07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1,298,449.66</w:t>
            </w:r>
          </w:p>
        </w:tc>
      </w:tr>
      <w:tr>
        <w:trPr>
          <w:trHeight w:val="32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腾讯云服务费用</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364,582.26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101,272.90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263,309.36</w:t>
            </w:r>
          </w:p>
        </w:tc>
      </w:tr>
      <w:tr>
        <w:trPr>
          <w:trHeight w:val="32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sz w:val="21"/>
              </w:rPr>
              <w:t>4,899,259.95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7,152,919.76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3,487,323.33</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8,564,856.38</w:t>
            </w:r>
          </w:p>
        </w:tc>
      </w:tr>
    </w:tbl>
    <w:p>
      <w:pPr>
        <w:spacing w:after="0" w:line="26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62" w:lineRule="exact"/>
        <w:ind w:right="-16"/>
        <w:jc w:val="left"/>
      </w:pPr>
      <w:r>
        <w:rPr/>
        <w:t>其他说明：</w:t>
      </w:r>
    </w:p>
    <w:p>
      <w:pPr>
        <w:pStyle w:val="Heading2"/>
        <w:spacing w:line="283" w:lineRule="auto" w:before="69"/>
        <w:ind w:right="-16"/>
        <w:jc w:val="left"/>
        <w:rPr>
          <w:b w:val="0"/>
          <w:bCs w:val="0"/>
        </w:rPr>
      </w:pPr>
      <w:r>
        <w:rPr>
          <w:rFonts w:ascii="宋体" w:hAnsi="宋体" w:cs="宋体" w:eastAsia="宋体" w:hint="default"/>
        </w:rPr>
        <w:t>29</w:t>
      </w:r>
      <w:r>
        <w:rPr/>
        <w:t>、</w:t>
      </w:r>
      <w:r>
        <w:rPr>
          <w:spacing w:val="-101"/>
        </w:rPr>
        <w:t> </w:t>
      </w:r>
      <w:r>
        <w:rPr/>
        <w:t>递延所得税资产</w:t>
      </w:r>
      <w:r>
        <w:rPr>
          <w:rFonts w:ascii="宋体" w:hAnsi="宋体" w:cs="宋体" w:eastAsia="宋体" w:hint="default"/>
        </w:rPr>
        <w:t>/</w:t>
      </w:r>
      <w:r>
        <w:rPr>
          <w:rFonts w:ascii="宋体" w:hAnsi="宋体" w:cs="宋体" w:eastAsia="宋体" w:hint="default"/>
          <w:spacing w:val="-4"/>
        </w:rPr>
        <w:t> </w:t>
      </w:r>
      <w:r>
        <w:rPr/>
        <w:t>递延所得税负债</w:t>
      </w:r>
      <w:r>
        <w:rPr>
          <w:w w:val="99"/>
        </w:rPr>
        <w:t> </w:t>
      </w:r>
      <w:r>
        <w:rPr>
          <w:rFonts w:ascii="宋体" w:hAnsi="宋体" w:cs="宋体" w:eastAsia="宋体" w:hint="default"/>
        </w:rPr>
        <w:t>(1).</w:t>
      </w:r>
      <w:r>
        <w:rPr>
          <w:rFonts w:ascii="宋体" w:hAnsi="宋体" w:cs="宋体" w:eastAsia="宋体" w:hint="default"/>
          <w:spacing w:val="-20"/>
        </w:rPr>
        <w:t> </w:t>
      </w:r>
      <w:r>
        <w:rPr/>
        <w:t>未经抵销的递延所得税资产</w:t>
      </w:r>
      <w:r>
        <w:rPr>
          <w:b w:val="0"/>
          <w:bCs w:val="0"/>
        </w:rPr>
      </w:r>
    </w:p>
    <w:p>
      <w:pPr>
        <w:pStyle w:val="Heading3"/>
        <w:tabs>
          <w:tab w:pos="1177" w:val="left" w:leader="none"/>
        </w:tabs>
        <w:spacing w:line="240" w:lineRule="auto" w:before="14"/>
        <w:ind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337" w:space="218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324"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9" w:right="187"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7" w:right="291"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4" w:right="195"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7" w:right="288"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66,602,287.94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10,118,205.32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 w:right="0"/>
              <w:jc w:val="center"/>
              <w:rPr>
                <w:rFonts w:ascii="宋体" w:hAnsi="宋体" w:cs="宋体" w:eastAsia="宋体" w:hint="default"/>
                <w:sz w:val="21"/>
                <w:szCs w:val="21"/>
              </w:rPr>
            </w:pPr>
            <w:r>
              <w:rPr>
                <w:rFonts w:ascii="宋体"/>
                <w:sz w:val="21"/>
              </w:rPr>
              <w:t>54,760,469.32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8,602,241.21</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13,389,731.07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2,008,459.66</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467,213.17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70,081.98</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6"/>
              <w:jc w:val="left"/>
              <w:rPr>
                <w:rFonts w:ascii="宋体" w:hAnsi="宋体" w:cs="宋体" w:eastAsia="宋体" w:hint="default"/>
                <w:sz w:val="21"/>
                <w:szCs w:val="21"/>
              </w:rPr>
            </w:pPr>
            <w:r>
              <w:rPr>
                <w:rFonts w:ascii="宋体" w:hAnsi="宋体" w:cs="宋体" w:eastAsia="宋体" w:hint="default"/>
                <w:spacing w:val="-2"/>
                <w:sz w:val="21"/>
                <w:szCs w:val="21"/>
              </w:rPr>
              <w:t>预收款项计入应纳税所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得形成的部分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1,751,586.79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262,738.02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center"/>
              <w:rPr>
                <w:rFonts w:ascii="宋体" w:hAnsi="宋体" w:cs="宋体" w:eastAsia="宋体" w:hint="default"/>
                <w:sz w:val="21"/>
                <w:szCs w:val="21"/>
              </w:rPr>
            </w:pPr>
            <w:r>
              <w:rPr>
                <w:rFonts w:ascii="宋体"/>
                <w:sz w:val="21"/>
              </w:rPr>
              <w:t>2,110,630.79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316,594.62</w:t>
            </w:r>
          </w:p>
        </w:tc>
      </w:tr>
      <w:tr>
        <w:trPr>
          <w:trHeight w:val="63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6"/>
              <w:jc w:val="left"/>
              <w:rPr>
                <w:rFonts w:ascii="宋体" w:hAnsi="宋体" w:cs="宋体" w:eastAsia="宋体" w:hint="default"/>
                <w:sz w:val="21"/>
                <w:szCs w:val="21"/>
              </w:rPr>
            </w:pPr>
            <w:r>
              <w:rPr>
                <w:rFonts w:ascii="宋体" w:hAnsi="宋体" w:cs="宋体" w:eastAsia="宋体" w:hint="default"/>
                <w:spacing w:val="-2"/>
                <w:sz w:val="21"/>
                <w:szCs w:val="21"/>
              </w:rPr>
              <w:t>可供出售金融资产减值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准备形成的部分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720,000.00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4" w:right="0"/>
              <w:jc w:val="center"/>
              <w:rPr>
                <w:rFonts w:ascii="宋体" w:hAnsi="宋体" w:cs="宋体" w:eastAsia="宋体" w:hint="default"/>
                <w:sz w:val="21"/>
                <w:szCs w:val="21"/>
              </w:rPr>
            </w:pPr>
            <w:r>
              <w:rPr>
                <w:rFonts w:ascii="宋体"/>
                <w:sz w:val="21"/>
              </w:rPr>
              <w:t>4,800,000.00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720,000.00</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87,010,818.97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13,179,484.98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 w:right="0"/>
              <w:jc w:val="center"/>
              <w:rPr>
                <w:rFonts w:ascii="宋体" w:hAnsi="宋体" w:cs="宋体" w:eastAsia="宋体" w:hint="default"/>
                <w:sz w:val="21"/>
                <w:szCs w:val="21"/>
              </w:rPr>
            </w:pPr>
            <w:r>
              <w:rPr>
                <w:rFonts w:ascii="宋体"/>
                <w:sz w:val="21"/>
              </w:rPr>
              <w:t>61,671,100.11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9,638,835.83</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before="19"/>
        <w:ind w:right="-18"/>
        <w:jc w:val="left"/>
        <w:rPr>
          <w:b w:val="0"/>
          <w:bCs w:val="0"/>
        </w:rPr>
      </w:pPr>
      <w:r>
        <w:rPr>
          <w:rFonts w:ascii="宋体" w:hAnsi="宋体" w:cs="宋体" w:eastAsia="宋体" w:hint="default"/>
        </w:rPr>
        <w:t>(2).</w:t>
      </w:r>
      <w:r>
        <w:rPr>
          <w:rFonts w:ascii="宋体" w:hAnsi="宋体" w:cs="宋体" w:eastAsia="宋体" w:hint="default"/>
          <w:spacing w:val="-20"/>
        </w:rPr>
        <w:t> </w:t>
      </w:r>
      <w:r>
        <w:rPr/>
        <w:t>未经抵销的递延所得税负债</w:t>
      </w:r>
      <w:r>
        <w:rPr>
          <w:b w:val="0"/>
          <w:bCs w:val="0"/>
        </w:rPr>
      </w:r>
    </w:p>
    <w:p>
      <w:pPr>
        <w:pStyle w:val="Heading3"/>
        <w:tabs>
          <w:tab w:pos="1177" w:val="left" w:leader="none"/>
        </w:tabs>
        <w:spacing w:line="240" w:lineRule="auto" w:before="58"/>
        <w:ind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0"/>
        <w:rPr>
          <w:rFonts w:ascii="宋体" w:hAnsi="宋体" w:cs="宋体" w:eastAsia="宋体" w:hint="default"/>
          <w:sz w:val="29"/>
          <w:szCs w:val="29"/>
        </w:rPr>
      </w:pP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697" w:space="2496"/>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1" w:right="0"/>
              <w:jc w:val="left"/>
              <w:rPr>
                <w:rFonts w:ascii="宋体" w:hAnsi="宋体" w:cs="宋体" w:eastAsia="宋体" w:hint="default"/>
                <w:sz w:val="21"/>
                <w:szCs w:val="21"/>
              </w:rPr>
            </w:pPr>
            <w:r>
              <w:rPr>
                <w:rFonts w:ascii="宋体" w:hAnsi="宋体" w:cs="宋体" w:eastAsia="宋体" w:hint="default"/>
                <w:sz w:val="21"/>
                <w:szCs w:val="21"/>
              </w:rPr>
              <w:t>应纳税暂时性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9"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4" w:right="0"/>
              <w:jc w:val="left"/>
              <w:rPr>
                <w:rFonts w:ascii="宋体" w:hAnsi="宋体" w:cs="宋体" w:eastAsia="宋体" w:hint="default"/>
                <w:sz w:val="21"/>
                <w:szCs w:val="21"/>
              </w:rPr>
            </w:pPr>
            <w:r>
              <w:rPr>
                <w:rFonts w:ascii="宋体" w:hAnsi="宋体" w:cs="宋体" w:eastAsia="宋体" w:hint="default"/>
                <w:sz w:val="21"/>
                <w:szCs w:val="21"/>
              </w:rPr>
              <w:t>应纳税暂时性</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7" w:right="0"/>
              <w:jc w:val="left"/>
              <w:rPr>
                <w:rFonts w:ascii="宋体" w:hAnsi="宋体" w:cs="宋体" w:eastAsia="宋体" w:hint="default"/>
                <w:sz w:val="21"/>
                <w:szCs w:val="21"/>
              </w:rPr>
            </w:pPr>
            <w:r>
              <w:rPr>
                <w:rFonts w:ascii="宋体" w:hAnsi="宋体" w:cs="宋体" w:eastAsia="宋体" w:hint="default"/>
                <w:sz w:val="21"/>
                <w:szCs w:val="21"/>
              </w:rPr>
              <w:t>递延所得税</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非同一控制企业合并资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10,072,033.26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1,510,804.99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14,278,818.65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2,141,822.80</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可供出售金融资产公允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491,927.29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61,490.91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11,739.00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1,467.38</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10,563,960.55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1,572,295.90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14,290,557.65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2,143,290.18</w:t>
            </w:r>
          </w:p>
        </w:tc>
      </w:tr>
    </w:tbl>
    <w:p>
      <w:pPr>
        <w:spacing w:after="0" w:line="262" w:lineRule="exact"/>
        <w:jc w:val="right"/>
        <w:rPr>
          <w:rFonts w:ascii="宋体" w:hAnsi="宋体" w:cs="宋体" w:eastAsia="宋体" w:hint="default"/>
          <w:sz w:val="21"/>
          <w:szCs w:val="21"/>
        </w:rPr>
        <w:sectPr>
          <w:pgSz w:w="11910" w:h="16840"/>
          <w:pgMar w:header="882" w:footer="1195" w:top="1120" w:bottom="1380" w:left="1580" w:right="1040"/>
        </w:sectPr>
      </w:pPr>
    </w:p>
    <w:p>
      <w:pPr>
        <w:pStyle w:val="Heading2"/>
        <w:spacing w:line="240" w:lineRule="auto" w:before="19"/>
        <w:ind w:right="-18"/>
        <w:jc w:val="left"/>
        <w:rPr>
          <w:b w:val="0"/>
          <w:bCs w:val="0"/>
        </w:rPr>
      </w:pPr>
      <w:r>
        <w:rPr>
          <w:rFonts w:ascii="宋体" w:hAnsi="宋体" w:cs="宋体" w:eastAsia="宋体" w:hint="default"/>
        </w:rPr>
        <w:t>(3).</w:t>
      </w:r>
      <w:r>
        <w:rPr>
          <w:rFonts w:ascii="宋体" w:hAnsi="宋体" w:cs="宋体" w:eastAsia="宋体" w:hint="default"/>
          <w:spacing w:val="-21"/>
        </w:rPr>
        <w:t> </w:t>
      </w:r>
      <w:r>
        <w:rPr/>
        <w:t>以抵销后净额列示的递延所得税资产或负债：</w:t>
      </w:r>
      <w:r>
        <w:rPr>
          <w:b w:val="0"/>
          <w:bCs w:val="0"/>
        </w:rPr>
      </w:r>
    </w:p>
    <w:p>
      <w:pPr>
        <w:pStyle w:val="Heading3"/>
        <w:tabs>
          <w:tab w:pos="1177" w:val="left" w:leader="none"/>
        </w:tabs>
        <w:spacing w:line="240" w:lineRule="auto" w:before="58"/>
        <w:ind w:right="-18"/>
        <w:jc w:val="left"/>
      </w:pPr>
      <w:r>
        <w:rPr>
          <w:spacing w:val="-1"/>
        </w:rPr>
        <w:t>□适用</w:t>
        <w:tab/>
      </w:r>
      <w:r>
        <w:rPr/>
        <w:t>√不适用</w:t>
      </w:r>
    </w:p>
    <w:p>
      <w:pPr>
        <w:pStyle w:val="Heading2"/>
        <w:spacing w:line="240" w:lineRule="auto" w:before="58"/>
        <w:ind w:right="-18"/>
        <w:jc w:val="left"/>
        <w:rPr>
          <w:b w:val="0"/>
          <w:bCs w:val="0"/>
        </w:rPr>
      </w:pPr>
      <w:r>
        <w:rPr>
          <w:rFonts w:ascii="宋体" w:hAnsi="宋体" w:cs="宋体" w:eastAsia="宋体" w:hint="default"/>
        </w:rPr>
        <w:t>(4).</w:t>
      </w:r>
      <w:r>
        <w:rPr>
          <w:rFonts w:ascii="宋体" w:hAnsi="宋体" w:cs="宋体" w:eastAsia="宋体" w:hint="default"/>
          <w:spacing w:val="-19"/>
        </w:rPr>
        <w:t> </w:t>
      </w:r>
      <w:r>
        <w:rPr/>
        <w:t>未确认递延所得税资产明细</w:t>
      </w:r>
      <w:r>
        <w:rPr>
          <w:b w:val="0"/>
          <w:bCs w:val="0"/>
        </w:rPr>
      </w:r>
    </w:p>
    <w:p>
      <w:pPr>
        <w:pStyle w:val="Heading3"/>
        <w:tabs>
          <w:tab w:pos="1177" w:val="left" w:leader="none"/>
        </w:tabs>
        <w:spacing w:line="240" w:lineRule="auto" w:before="58"/>
        <w:ind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1418" w:val="left" w:leader="none"/>
        </w:tabs>
        <w:spacing w:line="240" w:lineRule="auto" w:before="192"/>
        <w:ind w:right="0"/>
        <w:jc w:val="left"/>
      </w:pPr>
      <w:r>
        <w:rPr/>
        <w:t>单位：元</w:t>
        <w:tab/>
        <w:t>币种：人民币</w:t>
      </w:r>
    </w:p>
    <w:p>
      <w:pPr>
        <w:spacing w:after="0" w:line="240" w:lineRule="auto"/>
        <w:jc w:val="left"/>
        <w:sectPr>
          <w:type w:val="continuous"/>
          <w:pgSz w:w="11910" w:h="16840"/>
          <w:pgMar w:top="1120" w:bottom="1380" w:left="1580" w:right="1040"/>
          <w:cols w:num="2" w:equalWidth="0">
            <w:col w:w="5624" w:space="569"/>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334,532.99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418,760.55</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103,806,690.44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57,587,600.04</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104,141,223.43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58,006,360.59</w:t>
            </w:r>
          </w:p>
        </w:tc>
      </w:tr>
    </w:tbl>
    <w:p>
      <w:pPr>
        <w:spacing w:line="240" w:lineRule="auto" w:before="8"/>
        <w:rPr>
          <w:rFonts w:ascii="宋体" w:hAnsi="宋体" w:cs="宋体" w:eastAsia="宋体" w:hint="default"/>
          <w:sz w:val="6"/>
          <w:szCs w:val="6"/>
        </w:rPr>
      </w:pPr>
    </w:p>
    <w:p>
      <w:pPr>
        <w:pStyle w:val="BodyText"/>
        <w:spacing w:line="355" w:lineRule="auto" w:before="36"/>
        <w:ind w:right="215" w:firstLine="419"/>
        <w:jc w:val="left"/>
      </w:pPr>
      <w:r>
        <w:rPr>
          <w:spacing w:val="-2"/>
        </w:rPr>
        <w:t>由于母子公司业务减少或尚未开展业务，未来能否获得足够的应纳税所得额具有不确定性，</w:t>
      </w:r>
      <w:r>
        <w:rPr>
          <w:w w:val="100"/>
        </w:rPr>
        <w:t> </w:t>
      </w:r>
      <w:r>
        <w:rPr/>
        <w:t>因此没有确认可抵扣暂时性差异和可抵扣亏损相应的递延所得税资产。</w:t>
      </w:r>
    </w:p>
    <w:p>
      <w:pPr>
        <w:spacing w:line="240" w:lineRule="auto" w:before="0"/>
        <w:rPr>
          <w:rFonts w:ascii="宋体" w:hAnsi="宋体" w:cs="宋体" w:eastAsia="宋体" w:hint="default"/>
          <w:sz w:val="20"/>
          <w:szCs w:val="20"/>
        </w:rPr>
      </w:pPr>
    </w:p>
    <w:p>
      <w:pPr>
        <w:pStyle w:val="Heading2"/>
        <w:spacing w:line="240" w:lineRule="auto" w:before="136"/>
        <w:ind w:right="215"/>
        <w:jc w:val="left"/>
        <w:rPr>
          <w:b w:val="0"/>
          <w:bCs w:val="0"/>
        </w:rPr>
      </w:pPr>
      <w:r>
        <w:rPr>
          <w:rFonts w:ascii="宋体" w:hAnsi="宋体" w:cs="宋体" w:eastAsia="宋体" w:hint="default"/>
        </w:rPr>
        <w:t>(5).</w:t>
      </w:r>
      <w:r>
        <w:rPr>
          <w:rFonts w:ascii="宋体" w:hAnsi="宋体" w:cs="宋体" w:eastAsia="宋体" w:hint="default"/>
          <w:spacing w:val="-21"/>
        </w:rPr>
        <w:t> </w:t>
      </w:r>
      <w:r>
        <w:rPr/>
        <w:t>未确认递延所得税资产的可抵扣亏损将于以下年度到期</w:t>
      </w:r>
      <w:r>
        <w:rPr>
          <w:b w:val="0"/>
          <w:bCs w:val="0"/>
        </w:rPr>
      </w:r>
    </w:p>
    <w:p>
      <w:pPr>
        <w:pStyle w:val="Heading3"/>
        <w:tabs>
          <w:tab w:pos="1177" w:val="left" w:leader="none"/>
        </w:tabs>
        <w:spacing w:line="240" w:lineRule="auto" w:before="58"/>
        <w:ind w:right="215"/>
        <w:jc w:val="left"/>
      </w:pPr>
      <w:r>
        <w:rPr>
          <w:spacing w:val="-1"/>
        </w:rPr>
        <w:t>□适用</w:t>
        <w:tab/>
      </w:r>
      <w:r>
        <w:rPr/>
        <w:t>√不适用</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BodyText"/>
        <w:spacing w:line="240" w:lineRule="auto" w:before="36"/>
        <w:ind w:right="-17"/>
        <w:jc w:val="left"/>
      </w:pPr>
      <w:r>
        <w:rPr/>
        <w:t>其他说明：</w:t>
      </w:r>
    </w:p>
    <w:p>
      <w:pPr>
        <w:pStyle w:val="BodyText"/>
        <w:spacing w:line="240" w:lineRule="auto" w:before="37"/>
        <w:ind w:right="-17"/>
        <w:jc w:val="left"/>
      </w:pPr>
      <w:r>
        <w:rPr/>
        <w:t>□适用</w:t>
      </w:r>
      <w:r>
        <w:rPr>
          <w:spacing w:val="-1"/>
        </w:rPr>
        <w:t> </w:t>
      </w:r>
      <w:r>
        <w:rPr/>
        <w:t>√不适用</w:t>
      </w:r>
    </w:p>
    <w:p>
      <w:pPr>
        <w:pStyle w:val="Heading2"/>
        <w:spacing w:line="240" w:lineRule="auto" w:before="69"/>
        <w:ind w:right="-17"/>
        <w:jc w:val="left"/>
        <w:rPr>
          <w:b w:val="0"/>
          <w:bCs w:val="0"/>
        </w:rPr>
      </w:pPr>
      <w:r>
        <w:rPr>
          <w:rFonts w:ascii="宋体" w:hAnsi="宋体" w:cs="宋体" w:eastAsia="宋体" w:hint="default"/>
        </w:rPr>
        <w:t>30</w:t>
      </w:r>
      <w:r>
        <w:rPr/>
        <w:t>、</w:t>
      </w:r>
      <w:r>
        <w:rPr>
          <w:spacing w:val="-103"/>
        </w:rPr>
        <w:t> </w:t>
      </w:r>
      <w:r>
        <w:rPr/>
        <w:t>其他非流动资产</w:t>
      </w:r>
      <w:r>
        <w:rPr>
          <w:b w:val="0"/>
          <w:bCs w:val="0"/>
        </w:rPr>
      </w:r>
    </w:p>
    <w:p>
      <w:pPr>
        <w:pStyle w:val="BodyText"/>
        <w:spacing w:line="240" w:lineRule="auto" w:before="8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09" w:space="4113"/>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资金往来</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10,533,928.88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13,620,228.88</w:t>
            </w:r>
          </w:p>
        </w:tc>
      </w:tr>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10,533,928.88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13,620,228.88</w:t>
            </w:r>
          </w:p>
        </w:tc>
      </w:tr>
    </w:tbl>
    <w:p>
      <w:pPr>
        <w:spacing w:after="0" w:line="265"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62" w:lineRule="exact"/>
        <w:ind w:right="-18"/>
        <w:jc w:val="left"/>
      </w:pPr>
      <w:r>
        <w:rPr/>
        <w:t>其他说明：</w:t>
      </w:r>
    </w:p>
    <w:p>
      <w:pPr>
        <w:pStyle w:val="Heading2"/>
        <w:spacing w:line="240" w:lineRule="auto" w:before="69"/>
        <w:ind w:right="-18"/>
        <w:jc w:val="left"/>
        <w:rPr>
          <w:b w:val="0"/>
          <w:bCs w:val="0"/>
        </w:rPr>
      </w:pPr>
      <w:r>
        <w:rPr>
          <w:rFonts w:ascii="宋体" w:hAnsi="宋体" w:cs="宋体" w:eastAsia="宋体" w:hint="default"/>
        </w:rPr>
        <w:t>31</w:t>
      </w:r>
      <w:r>
        <w:rPr/>
        <w:t>、</w:t>
      </w:r>
      <w:r>
        <w:rPr>
          <w:spacing w:val="-102"/>
        </w:rPr>
        <w:t> </w:t>
      </w:r>
      <w:r>
        <w:rPr/>
        <w:t>短期借款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23"/>
        </w:rPr>
        <w:t> </w:t>
      </w:r>
      <w:r>
        <w:rPr/>
        <w:t>短期借款分类</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94" w:space="4228"/>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322"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431,000,000.00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160,000,000.00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164,331,567.76</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595,331,567.76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1"/>
              <w:jc w:val="right"/>
              <w:rPr>
                <w:rFonts w:ascii="宋体" w:hAnsi="宋体" w:cs="宋体" w:eastAsia="宋体" w:hint="default"/>
                <w:sz w:val="21"/>
                <w:szCs w:val="21"/>
              </w:rPr>
            </w:pPr>
            <w:r>
              <w:rPr>
                <w:rFonts w:ascii="宋体"/>
                <w:spacing w:val="-1"/>
                <w:sz w:val="21"/>
              </w:rPr>
              <w:t>160,000,000.00</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16"/>
        <w:jc w:val="left"/>
      </w:pPr>
      <w:r>
        <w:rPr/>
        <w:t>短期借款分类的说明：</w:t>
      </w:r>
    </w:p>
    <w:p>
      <w:pPr>
        <w:pStyle w:val="Heading2"/>
        <w:spacing w:line="240" w:lineRule="auto" w:before="52"/>
        <w:ind w:right="-16"/>
        <w:jc w:val="left"/>
        <w:rPr>
          <w:b w:val="0"/>
          <w:bCs w:val="0"/>
        </w:rPr>
      </w:pPr>
      <w:r>
        <w:rPr>
          <w:rFonts w:ascii="宋体" w:hAnsi="宋体" w:cs="宋体" w:eastAsia="宋体" w:hint="default"/>
        </w:rPr>
        <w:t>(2).</w:t>
      </w:r>
      <w:r>
        <w:rPr>
          <w:rFonts w:ascii="宋体" w:hAnsi="宋体" w:cs="宋体" w:eastAsia="宋体" w:hint="default"/>
          <w:spacing w:val="23"/>
        </w:rPr>
        <w:t> </w:t>
      </w:r>
      <w:r>
        <w:rPr/>
        <w:t>已逾期未偿还的短期借款情况</w:t>
      </w:r>
      <w:r>
        <w:rPr>
          <w:b w:val="0"/>
          <w:bCs w:val="0"/>
        </w:rPr>
      </w:r>
    </w:p>
    <w:p>
      <w:pPr>
        <w:pStyle w:val="BodyText"/>
        <w:spacing w:line="273" w:lineRule="auto" w:before="85"/>
        <w:ind w:right="-16"/>
        <w:jc w:val="left"/>
      </w:pPr>
      <w:r>
        <w:rPr/>
        <w:t>□适用</w:t>
      </w:r>
      <w:r>
        <w:rPr>
          <w:spacing w:val="-2"/>
        </w:rPr>
        <w:t> </w:t>
      </w:r>
      <w:r>
        <w:rPr/>
        <w:t>√不适用</w:t>
      </w:r>
      <w:r>
        <w:rPr>
          <w:w w:val="100"/>
        </w:rPr>
        <w:t> </w:t>
      </w:r>
      <w:r>
        <w:rPr>
          <w:spacing w:val="-2"/>
        </w:rPr>
        <w:t>其中重要的已逾期未偿还的短期借款情况如下：</w:t>
      </w:r>
    </w:p>
    <w:p>
      <w:pPr>
        <w:pStyle w:val="BodyText"/>
        <w:spacing w:line="273" w:lineRule="auto" w:before="7"/>
        <w:ind w:right="4209"/>
        <w:jc w:val="left"/>
      </w:pPr>
      <w:r>
        <w:rPr/>
        <w:t>□适用</w:t>
      </w:r>
      <w:r>
        <w:rPr>
          <w:spacing w:val="-1"/>
        </w:rPr>
        <w:t> </w:t>
      </w:r>
      <w:r>
        <w:rPr/>
        <w:t>√不适用</w:t>
      </w:r>
      <w:r>
        <w:rPr>
          <w:w w:val="100"/>
        </w:rPr>
        <w:t> </w:t>
      </w:r>
      <w:r>
        <w:rPr/>
        <w:t>其他说明</w:t>
      </w:r>
    </w:p>
    <w:p>
      <w:pPr>
        <w:pStyle w:val="BodyText"/>
        <w:spacing w:line="240" w:lineRule="auto" w:before="7"/>
        <w:ind w:right="-16"/>
        <w:jc w:val="left"/>
      </w:pPr>
      <w:r>
        <w:rPr/>
        <w:t>□适用</w:t>
      </w:r>
      <w:r>
        <w:rPr>
          <w:spacing w:val="-1"/>
        </w:rPr>
        <w:t> </w:t>
      </w:r>
      <w:r>
        <w:rPr/>
        <w:t>√不适用</w:t>
      </w:r>
    </w:p>
    <w:p>
      <w:pPr>
        <w:pStyle w:val="Heading2"/>
        <w:spacing w:line="240" w:lineRule="auto" w:before="70"/>
        <w:ind w:right="-16"/>
        <w:jc w:val="left"/>
        <w:rPr>
          <w:b w:val="0"/>
          <w:bCs w:val="0"/>
        </w:rPr>
      </w:pPr>
      <w:r>
        <w:rPr>
          <w:rFonts w:ascii="宋体" w:hAnsi="宋体" w:cs="宋体" w:eastAsia="宋体" w:hint="default"/>
        </w:rPr>
        <w:t>32</w:t>
      </w:r>
      <w:r>
        <w:rPr/>
        <w:t>、</w:t>
      </w:r>
      <w:r>
        <w:rPr>
          <w:spacing w:val="-105"/>
        </w:rPr>
        <w:t> </w:t>
      </w:r>
      <w:r>
        <w:rPr/>
        <w:t>以公允价值计量且其变动计入当期损益的金融负债</w:t>
      </w:r>
      <w:r>
        <w:rPr>
          <w:b w:val="0"/>
          <w:bCs w:val="0"/>
        </w:rPr>
      </w:r>
    </w:p>
    <w:p>
      <w:pPr>
        <w:pStyle w:val="BodyText"/>
        <w:spacing w:line="240" w:lineRule="auto" w:before="85"/>
        <w:ind w:right="-16"/>
        <w:jc w:val="left"/>
      </w:pPr>
      <w:r>
        <w:rPr/>
        <w:t>□适用</w:t>
      </w:r>
      <w:r>
        <w:rPr>
          <w:spacing w:val="-1"/>
        </w:rPr>
        <w:t> </w:t>
      </w:r>
      <w:r>
        <w:rPr/>
        <w:t>√不适用</w:t>
      </w:r>
    </w:p>
    <w:p>
      <w:pPr>
        <w:pStyle w:val="Heading2"/>
        <w:spacing w:line="240" w:lineRule="auto" w:before="69"/>
        <w:ind w:right="-16"/>
        <w:jc w:val="left"/>
        <w:rPr>
          <w:b w:val="0"/>
          <w:bCs w:val="0"/>
        </w:rPr>
      </w:pPr>
      <w:r>
        <w:rPr>
          <w:rFonts w:ascii="宋体" w:hAnsi="宋体" w:cs="宋体" w:eastAsia="宋体" w:hint="default"/>
        </w:rPr>
        <w:t>33</w:t>
      </w:r>
      <w:r>
        <w:rPr/>
        <w:t>、</w:t>
      </w:r>
      <w:r>
        <w:rPr>
          <w:spacing w:val="-104"/>
        </w:rPr>
        <w:t> </w:t>
      </w:r>
      <w:r>
        <w:rPr/>
        <w:t>衍生金融负债</w:t>
      </w:r>
      <w:r>
        <w:rPr>
          <w:b w:val="0"/>
          <w:bCs w:val="0"/>
        </w:rPr>
      </w:r>
    </w:p>
    <w:p>
      <w:pPr>
        <w:pStyle w:val="BodyText"/>
        <w:spacing w:line="240" w:lineRule="auto" w:before="85"/>
        <w:ind w:right="-16"/>
        <w:jc w:val="left"/>
      </w:pPr>
      <w:r>
        <w:rPr/>
        <w:t>□适用</w:t>
      </w:r>
      <w:r>
        <w:rPr>
          <w:spacing w:val="-1"/>
        </w:rPr>
        <w:t> </w:t>
      </w:r>
      <w:r>
        <w:rPr/>
        <w:t>√不适用</w:t>
      </w:r>
    </w:p>
    <w:p>
      <w:pPr>
        <w:pStyle w:val="Heading2"/>
        <w:spacing w:line="240" w:lineRule="auto" w:before="69"/>
        <w:ind w:right="-16"/>
        <w:jc w:val="left"/>
        <w:rPr>
          <w:b w:val="0"/>
          <w:bCs w:val="0"/>
        </w:rPr>
      </w:pPr>
      <w:r>
        <w:rPr>
          <w:rFonts w:ascii="宋体" w:hAnsi="宋体" w:cs="宋体" w:eastAsia="宋体" w:hint="default"/>
        </w:rPr>
        <w:t>34</w:t>
      </w:r>
      <w:r>
        <w:rPr/>
        <w:t>、</w:t>
      </w:r>
      <w:r>
        <w:rPr>
          <w:spacing w:val="-102"/>
        </w:rPr>
        <w:t> </w:t>
      </w:r>
      <w:r>
        <w:rPr/>
        <w:t>应付票据</w:t>
      </w:r>
      <w:r>
        <w:rPr>
          <w:b w:val="0"/>
          <w:bCs w:val="0"/>
        </w:rPr>
      </w:r>
    </w:p>
    <w:p>
      <w:pPr>
        <w:pStyle w:val="BodyText"/>
        <w:spacing w:line="240" w:lineRule="auto" w:before="85"/>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022" w:space="499"/>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4"/>
              <w:jc w:val="right"/>
              <w:rPr>
                <w:rFonts w:ascii="宋体" w:hAnsi="宋体" w:cs="宋体" w:eastAsia="宋体" w:hint="default"/>
                <w:sz w:val="21"/>
                <w:szCs w:val="21"/>
              </w:rPr>
            </w:pPr>
            <w:r>
              <w:rPr>
                <w:rFonts w:ascii="宋体"/>
                <w:spacing w:val="-1"/>
                <w:sz w:val="21"/>
              </w:rPr>
              <w:t>6,954,670.00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10,642,582.00</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6,954,670.00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10,642,582.00</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before="19"/>
        <w:ind w:right="0"/>
        <w:jc w:val="left"/>
        <w:rPr>
          <w:b w:val="0"/>
          <w:bCs w:val="0"/>
        </w:rPr>
      </w:pPr>
      <w:r>
        <w:rPr>
          <w:rFonts w:ascii="宋体" w:hAnsi="宋体" w:cs="宋体" w:eastAsia="宋体" w:hint="default"/>
        </w:rPr>
        <w:t>35</w:t>
      </w:r>
      <w:r>
        <w:rPr/>
        <w:t>、</w:t>
      </w:r>
      <w:r>
        <w:rPr>
          <w:spacing w:val="-100"/>
        </w:rPr>
        <w:t> </w:t>
      </w:r>
      <w:r>
        <w:rPr/>
        <w:t>应付账款</w:t>
      </w:r>
      <w:r>
        <w:rPr>
          <w:b w:val="0"/>
          <w:bCs w:val="0"/>
        </w:rPr>
      </w:r>
    </w:p>
    <w:p>
      <w:pPr>
        <w:pStyle w:val="Heading2"/>
        <w:tabs>
          <w:tab w:pos="1057" w:val="left" w:leader="none"/>
        </w:tabs>
        <w:spacing w:line="240" w:lineRule="auto" w:before="58"/>
        <w:ind w:right="0"/>
        <w:jc w:val="left"/>
        <w:rPr>
          <w:b w:val="0"/>
          <w:bCs w:val="0"/>
        </w:rPr>
      </w:pPr>
      <w:r>
        <w:rPr>
          <w:rFonts w:ascii="宋体" w:hAnsi="宋体" w:cs="宋体" w:eastAsia="宋体" w:hint="default"/>
        </w:rPr>
        <w:t>(1).</w:t>
        <w:tab/>
      </w:r>
      <w:r>
        <w:rPr>
          <w:w w:val="95"/>
        </w:rPr>
        <w:t>应付账款列示</w:t>
      </w:r>
      <w:r>
        <w:rPr>
          <w:b w:val="0"/>
          <w:bCs w:val="0"/>
        </w:rPr>
      </w:r>
    </w:p>
    <w:p>
      <w:pPr>
        <w:pStyle w:val="BodyText"/>
        <w:spacing w:line="240" w:lineRule="auto" w:before="85"/>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03" w:space="401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364,033,005.66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420,794,650.67</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121,846,813.32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35,937,539.43</w:t>
            </w:r>
          </w:p>
        </w:tc>
      </w:tr>
      <w:tr>
        <w:trPr>
          <w:trHeight w:val="32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76,210,822.69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48,559,639.82</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491,024.00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360,125.72</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562,581,665.67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505,651,955.64</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tabs>
          <w:tab w:pos="1057" w:val="left" w:leader="none"/>
        </w:tabs>
        <w:spacing w:line="240" w:lineRule="auto"/>
        <w:ind w:right="-16"/>
        <w:jc w:val="left"/>
        <w:rPr>
          <w:b w:val="0"/>
          <w:bCs w:val="0"/>
        </w:rPr>
      </w:pPr>
      <w:r>
        <w:rPr>
          <w:rFonts w:ascii="宋体" w:hAnsi="宋体" w:cs="宋体" w:eastAsia="宋体" w:hint="default"/>
        </w:rPr>
        <w:t>(2).</w:t>
        <w:tab/>
      </w:r>
      <w:r>
        <w:rPr/>
        <w:t>账龄超过</w:t>
      </w:r>
      <w:r>
        <w:rPr>
          <w:spacing w:val="-60"/>
        </w:rPr>
        <w:t> </w:t>
      </w:r>
      <w:r>
        <w:rPr>
          <w:rFonts w:ascii="Cambria" w:hAnsi="Cambria" w:cs="Cambria" w:eastAsia="Cambria" w:hint="default"/>
        </w:rPr>
        <w:t>1</w:t>
      </w:r>
      <w:r>
        <w:rPr>
          <w:rFonts w:ascii="Cambria" w:hAnsi="Cambria" w:cs="Cambria" w:eastAsia="Cambria" w:hint="default"/>
          <w:spacing w:val="3"/>
        </w:rPr>
        <w:t> </w:t>
      </w:r>
      <w:r>
        <w:rPr/>
        <w:t>年的重要应付账款</w:t>
      </w:r>
      <w:r>
        <w:rPr>
          <w:b w:val="0"/>
          <w:bCs w:val="0"/>
        </w:rPr>
      </w:r>
    </w:p>
    <w:p>
      <w:pPr>
        <w:pStyle w:val="BodyText"/>
        <w:spacing w:line="240" w:lineRule="auto" w:before="66"/>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212" w:space="1981"/>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3"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江西建工第三建筑有限责任公司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20,066,666.70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尚未结算工程款</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20,066,666.70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right="215"/>
        <w:jc w:val="left"/>
      </w:pPr>
      <w:r>
        <w:rPr/>
        <w:t>其他说明</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BodyText"/>
        <w:spacing w:line="240" w:lineRule="auto" w:before="36"/>
        <w:ind w:right="-18"/>
        <w:jc w:val="left"/>
      </w:pPr>
      <w:r>
        <w:rPr/>
        <w:t>□适用</w:t>
      </w:r>
      <w:r>
        <w:rPr>
          <w:spacing w:val="-1"/>
        </w:rPr>
        <w:t> </w:t>
      </w:r>
      <w:r>
        <w:rPr/>
        <w:t>√不适用</w:t>
      </w:r>
    </w:p>
    <w:p>
      <w:pPr>
        <w:pStyle w:val="Heading2"/>
        <w:spacing w:line="240" w:lineRule="auto" w:before="69"/>
        <w:ind w:right="-18"/>
        <w:jc w:val="left"/>
        <w:rPr>
          <w:b w:val="0"/>
          <w:bCs w:val="0"/>
        </w:rPr>
      </w:pPr>
      <w:r>
        <w:rPr>
          <w:rFonts w:ascii="宋体" w:hAnsi="宋体" w:cs="宋体" w:eastAsia="宋体" w:hint="default"/>
        </w:rPr>
        <w:t>36</w:t>
      </w:r>
      <w:r>
        <w:rPr/>
        <w:t>、</w:t>
      </w:r>
      <w:r>
        <w:rPr>
          <w:spacing w:val="-102"/>
        </w:rPr>
        <w:t> </w:t>
      </w:r>
      <w:r>
        <w:rPr/>
        <w:t>预收款项</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5"/>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10" w:space="401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预收销售款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408,902,006.36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337,540,027.19</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408,902,006.36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337,540,027.19</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2"/>
        </w:rPr>
        <w:t> </w:t>
      </w:r>
      <w:r>
        <w:rPr/>
        <w:t>账龄超过</w:t>
      </w:r>
      <w:r>
        <w:rPr>
          <w:spacing w:val="-60"/>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6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76" w:space="2546"/>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512"/>
        <w:gridCol w:w="2489"/>
        <w:gridCol w:w="3049"/>
      </w:tblGrid>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西藏自治区安全生产监督管理局</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13,391,550.00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32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13,391,550.00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4"/>
        </w:rPr>
        <w:t> </w:t>
      </w:r>
      <w:r>
        <w:rPr/>
        <w:t>期末建造合同形成的已结算未完工项目情况：</w:t>
      </w:r>
      <w:r>
        <w:rPr>
          <w:b w:val="0"/>
          <w:bCs w:val="0"/>
        </w:rPr>
      </w:r>
    </w:p>
    <w:p>
      <w:pPr>
        <w:pStyle w:val="BodyText"/>
        <w:spacing w:line="273" w:lineRule="auto" w:before="85"/>
        <w:ind w:right="3828"/>
        <w:jc w:val="left"/>
      </w:pPr>
      <w:r>
        <w:rPr/>
        <w:t>□适用</w:t>
      </w:r>
      <w:r>
        <w:rPr>
          <w:spacing w:val="-1"/>
        </w:rPr>
        <w:t> </w:t>
      </w:r>
      <w:r>
        <w:rPr/>
        <w:t>√不适用</w:t>
      </w:r>
      <w:r>
        <w:rPr>
          <w:w w:val="100"/>
        </w:rPr>
        <w:t> </w:t>
      </w:r>
      <w:r>
        <w:rPr/>
        <w:t>其他说明</w:t>
      </w:r>
    </w:p>
    <w:p>
      <w:pPr>
        <w:pStyle w:val="BodyText"/>
        <w:spacing w:line="240" w:lineRule="auto" w:before="8"/>
        <w:ind w:right="-18"/>
        <w:jc w:val="left"/>
      </w:pPr>
      <w:r>
        <w:rPr/>
        <w:t>□适用</w:t>
      </w:r>
      <w:r>
        <w:rPr>
          <w:spacing w:val="-1"/>
        </w:rPr>
        <w:t> </w:t>
      </w:r>
      <w:r>
        <w:rPr/>
        <w:t>√不适用</w:t>
      </w:r>
    </w:p>
    <w:p>
      <w:pPr>
        <w:pStyle w:val="Heading2"/>
        <w:spacing w:line="240" w:lineRule="auto" w:before="69"/>
        <w:ind w:right="-18"/>
        <w:jc w:val="left"/>
        <w:rPr>
          <w:b w:val="0"/>
          <w:bCs w:val="0"/>
        </w:rPr>
      </w:pPr>
      <w:r>
        <w:rPr>
          <w:rFonts w:ascii="宋体" w:hAnsi="宋体" w:cs="宋体" w:eastAsia="宋体" w:hint="default"/>
        </w:rPr>
        <w:t>37</w:t>
      </w:r>
      <w:r>
        <w:rPr/>
        <w:t>、</w:t>
      </w:r>
      <w:r>
        <w:rPr>
          <w:spacing w:val="-104"/>
        </w:rPr>
        <w:t> </w:t>
      </w:r>
      <w:r>
        <w:rPr/>
        <w:t>应付职工薪酬</w:t>
      </w:r>
      <w:r>
        <w:rPr>
          <w:b w:val="0"/>
          <w:bCs w:val="0"/>
        </w:rPr>
      </w:r>
    </w:p>
    <w:p>
      <w:pPr>
        <w:pStyle w:val="Heading2"/>
        <w:tabs>
          <w:tab w:pos="1057" w:val="left" w:leader="none"/>
        </w:tabs>
        <w:spacing w:line="240" w:lineRule="auto" w:before="58"/>
        <w:ind w:right="-18"/>
        <w:jc w:val="left"/>
        <w:rPr>
          <w:b w:val="0"/>
          <w:bCs w:val="0"/>
        </w:rPr>
      </w:pPr>
      <w:r>
        <w:rPr>
          <w:rFonts w:ascii="宋体" w:hAnsi="宋体" w:cs="宋体" w:eastAsia="宋体" w:hint="default"/>
        </w:rPr>
        <w:t>(1).</w:t>
        <w:tab/>
      </w:r>
      <w:r>
        <w:rPr/>
        <w:t>应付职工薪酬列示：</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41" w:space="881"/>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93"/>
        <w:gridCol w:w="1702"/>
        <w:gridCol w:w="1702"/>
        <w:gridCol w:w="1700"/>
        <w:gridCol w:w="185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105,892,568.57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736,473,752.17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741,714,470.79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100,651,849.95</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left"/>
              <w:rPr>
                <w:rFonts w:ascii="宋体" w:hAnsi="宋体" w:cs="宋体" w:eastAsia="宋体" w:hint="default"/>
                <w:sz w:val="21"/>
                <w:szCs w:val="21"/>
              </w:rPr>
            </w:pPr>
            <w:r>
              <w:rPr>
                <w:rFonts w:ascii="宋体" w:hAnsi="宋体" w:cs="宋体" w:eastAsia="宋体" w:hint="default"/>
                <w:spacing w:val="-1"/>
                <w:sz w:val="21"/>
                <w:szCs w:val="21"/>
              </w:rPr>
              <w:t>二、离职后福利</w:t>
            </w:r>
            <w:r>
              <w:rPr>
                <w:rFonts w:ascii="宋体" w:hAnsi="宋体" w:cs="宋体" w:eastAsia="宋体" w:hint="default"/>
                <w:spacing w:val="-1"/>
                <w:sz w:val="21"/>
                <w:szCs w:val="21"/>
              </w:rPr>
              <w:t>-</w:t>
            </w:r>
            <w:r>
              <w:rPr>
                <w:rFonts w:ascii="宋体" w:hAnsi="宋体" w:cs="宋体" w:eastAsia="宋体" w:hint="default"/>
                <w:spacing w:val="-1"/>
                <w:sz w:val="21"/>
                <w:szCs w:val="21"/>
              </w:rPr>
              <w:t>设</w:t>
            </w:r>
            <w:r>
              <w:rPr>
                <w:rFonts w:ascii="宋体" w:hAnsi="宋体" w:cs="宋体" w:eastAsia="宋体" w:hint="default"/>
                <w:spacing w:val="-95"/>
                <w:sz w:val="21"/>
                <w:szCs w:val="21"/>
              </w:rPr>
              <w:t> </w:t>
            </w:r>
            <w:r>
              <w:rPr>
                <w:rFonts w:ascii="宋体" w:hAnsi="宋体" w:cs="宋体" w:eastAsia="宋体" w:hint="default"/>
                <w:sz w:val="21"/>
                <w:szCs w:val="21"/>
              </w:rPr>
              <w:t>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293,343.62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42,742,517.40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41,909,087.35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1,126,773.67</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675,669.58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656,669.58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19,000.00</w:t>
            </w:r>
          </w:p>
        </w:tc>
      </w:tr>
      <w:tr>
        <w:trPr>
          <w:trHeight w:val="32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106,185,912.19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779,891,939.15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784,280,227.72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101,797,623.62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tabs>
          <w:tab w:pos="1057" w:val="left" w:leader="none"/>
        </w:tabs>
        <w:spacing w:line="240" w:lineRule="auto"/>
        <w:ind w:right="-20"/>
        <w:jc w:val="left"/>
        <w:rPr>
          <w:b w:val="0"/>
          <w:bCs w:val="0"/>
        </w:rPr>
      </w:pPr>
      <w:r>
        <w:rPr>
          <w:rFonts w:ascii="宋体" w:hAnsi="宋体" w:cs="宋体" w:eastAsia="宋体" w:hint="default"/>
        </w:rPr>
        <w:t>(2).</w:t>
        <w:tab/>
      </w:r>
      <w:r>
        <w:rPr/>
        <w:t>短期薪酬列示：</w:t>
      </w:r>
      <w:r>
        <w:rPr>
          <w:b w:val="0"/>
          <w:bCs w:val="0"/>
        </w:rPr>
      </w:r>
    </w:p>
    <w:p>
      <w:pPr>
        <w:pStyle w:val="BodyText"/>
        <w:spacing w:line="240" w:lineRule="auto" w:before="85"/>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745" w:space="3882"/>
            <w:col w:w="2663"/>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一、工资、奖金、津贴和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92,209,839.74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671,395,805.3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674,471,208.8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89,134,436.33</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center"/>
              <w:rPr>
                <w:rFonts w:ascii="宋体" w:hAnsi="宋体" w:cs="宋体" w:eastAsia="宋体" w:hint="default"/>
                <w:sz w:val="21"/>
                <w:szCs w:val="21"/>
              </w:rPr>
            </w:pPr>
            <w:r>
              <w:rPr>
                <w:rFonts w:ascii="宋体"/>
                <w:sz w:val="21"/>
              </w:rPr>
              <w:t>7,239,396.33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7,239,396.33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213,399.74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 w:right="0"/>
              <w:jc w:val="center"/>
              <w:rPr>
                <w:rFonts w:ascii="宋体" w:hAnsi="宋体" w:cs="宋体" w:eastAsia="宋体" w:hint="default"/>
                <w:sz w:val="21"/>
                <w:szCs w:val="21"/>
              </w:rPr>
            </w:pPr>
            <w:r>
              <w:rPr>
                <w:rFonts w:ascii="宋体"/>
                <w:sz w:val="21"/>
              </w:rPr>
              <w:t>22,854,519.40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22,302,824.60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765,094.54</w:t>
            </w:r>
          </w:p>
        </w:tc>
      </w:tr>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190,513.64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 w:right="0"/>
              <w:jc w:val="center"/>
              <w:rPr>
                <w:rFonts w:ascii="宋体" w:hAnsi="宋体" w:cs="宋体" w:eastAsia="宋体" w:hint="default"/>
                <w:sz w:val="21"/>
                <w:szCs w:val="21"/>
              </w:rPr>
            </w:pPr>
            <w:r>
              <w:rPr>
                <w:rFonts w:ascii="宋体"/>
                <w:sz w:val="21"/>
              </w:rPr>
              <w:t>19,964,820.85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19,474,232.89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681,101.60</w:t>
            </w:r>
          </w:p>
        </w:tc>
      </w:tr>
    </w:tbl>
    <w:p>
      <w:pPr>
        <w:spacing w:after="0" w:line="265"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14"/>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7,628.69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1,220,579.00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1,193,707.09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34,500.60</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14"/>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15,257.41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1,660,685.17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1,626,450.24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49,492.34</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大病保险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8,434.38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8,434.38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-1,829.60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27,920,878.29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27,809,569.26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109,479.43</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五、工会经费和职工教育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13,471,158.69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7,063,152.76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9,891,471.80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10,642,839.65</w:t>
            </w:r>
          </w:p>
        </w:tc>
      </w:tr>
      <w:tr>
        <w:trPr>
          <w:trHeight w:val="6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105,892,568.5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736,473,752.1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741,714,470.7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100,651,849.9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tabs>
          <w:tab w:pos="1057" w:val="left" w:leader="none"/>
        </w:tabs>
        <w:spacing w:line="240" w:lineRule="auto"/>
        <w:ind w:right="0"/>
        <w:jc w:val="left"/>
        <w:rPr>
          <w:b w:val="0"/>
          <w:bCs w:val="0"/>
        </w:rPr>
      </w:pPr>
      <w:r>
        <w:rPr>
          <w:rFonts w:ascii="宋体" w:hAnsi="宋体" w:cs="宋体" w:eastAsia="宋体" w:hint="default"/>
        </w:rPr>
        <w:t>(3).</w:t>
        <w:tab/>
      </w:r>
      <w:r>
        <w:rPr>
          <w:w w:val="95"/>
        </w:rPr>
        <w:t>设定提存计划列示</w:t>
      </w:r>
      <w:r>
        <w:rPr>
          <w:b w:val="0"/>
          <w:bCs w:val="0"/>
        </w:rPr>
      </w:r>
    </w:p>
    <w:p>
      <w:pPr>
        <w:pStyle w:val="BodyText"/>
        <w:spacing w:line="240" w:lineRule="auto" w:before="85"/>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85" w:space="3537"/>
            <w:col w:w="27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281,403.25</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41,212,093.20</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40,408,785.23</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1,084,711.22</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11,940.37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1,530,424.20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1,500,302.12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42,062.45</w:t>
            </w:r>
          </w:p>
        </w:tc>
      </w:tr>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293,343.62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42,742,517.40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41,909,087.35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1,126,773.67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right="-18"/>
        <w:jc w:val="left"/>
      </w:pPr>
      <w:r>
        <w:rPr/>
        <w:t>其他说明：</w:t>
      </w:r>
    </w:p>
    <w:p>
      <w:pPr>
        <w:pStyle w:val="BodyText"/>
        <w:spacing w:line="240" w:lineRule="auto" w:before="37"/>
        <w:ind w:right="-18"/>
        <w:jc w:val="left"/>
      </w:pPr>
      <w:r>
        <w:rPr/>
        <w:t>□适用</w:t>
      </w:r>
      <w:r>
        <w:rPr>
          <w:spacing w:val="-1"/>
        </w:rPr>
        <w:t> </w:t>
      </w:r>
      <w:r>
        <w:rPr/>
        <w:t>√不适用</w:t>
      </w:r>
    </w:p>
    <w:p>
      <w:pPr>
        <w:pStyle w:val="Heading2"/>
        <w:spacing w:line="240" w:lineRule="auto" w:before="69"/>
        <w:ind w:right="-18"/>
        <w:jc w:val="left"/>
        <w:rPr>
          <w:b w:val="0"/>
          <w:bCs w:val="0"/>
        </w:rPr>
      </w:pPr>
      <w:r>
        <w:rPr>
          <w:rFonts w:ascii="宋体" w:hAnsi="宋体" w:cs="宋体" w:eastAsia="宋体" w:hint="default"/>
        </w:rPr>
        <w:t>38</w:t>
      </w:r>
      <w:r>
        <w:rPr/>
        <w:t>、</w:t>
      </w:r>
      <w:r>
        <w:rPr>
          <w:spacing w:val="-102"/>
        </w:rPr>
        <w:t> </w:t>
      </w:r>
      <w:r>
        <w:rPr/>
        <w:t>应交税费</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16,567,968.24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12,525,406.87</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20,697,834.28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33,917,447.08</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7,674,884.09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4,814,763.03</w:t>
            </w:r>
          </w:p>
        </w:tc>
      </w:tr>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1,210,014.00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866,511.82</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518,581.25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371,359.55</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345,671.32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247,564.36</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200,705.27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199,034.53</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15,340.57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22,804.04</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8,672.66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8,718.47</w:t>
            </w:r>
          </w:p>
        </w:tc>
      </w:tr>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123,451.66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1,175.37</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47,363,123.34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52,974,785.12</w:t>
            </w:r>
          </w:p>
        </w:tc>
      </w:tr>
    </w:tbl>
    <w:p>
      <w:pPr>
        <w:pStyle w:val="BodyText"/>
        <w:spacing w:line="262" w:lineRule="exact"/>
        <w:ind w:right="215"/>
        <w:jc w:val="left"/>
      </w:pPr>
      <w:r>
        <w:rPr/>
        <w:t>其他说明：</w:t>
      </w:r>
    </w:p>
    <w:p>
      <w:pPr>
        <w:pStyle w:val="Heading2"/>
        <w:spacing w:line="240" w:lineRule="auto" w:before="69"/>
        <w:ind w:right="215"/>
        <w:jc w:val="left"/>
        <w:rPr>
          <w:b w:val="0"/>
          <w:bCs w:val="0"/>
        </w:rPr>
      </w:pPr>
      <w:r>
        <w:rPr>
          <w:rFonts w:ascii="宋体" w:hAnsi="宋体" w:cs="宋体" w:eastAsia="宋体" w:hint="default"/>
        </w:rPr>
        <w:t>39</w:t>
      </w:r>
      <w:r>
        <w:rPr/>
        <w:t>、</w:t>
      </w:r>
      <w:r>
        <w:rPr>
          <w:spacing w:val="-102"/>
        </w:rPr>
        <w:t> </w:t>
      </w:r>
      <w:r>
        <w:rPr/>
        <w:t>应付利息</w:t>
      </w:r>
      <w:r>
        <w:rPr>
          <w:b w:val="0"/>
          <w:bCs w:val="0"/>
        </w:rPr>
      </w:r>
    </w:p>
    <w:p>
      <w:pPr>
        <w:pStyle w:val="BodyText"/>
        <w:spacing w:line="273" w:lineRule="auto" w:before="85"/>
        <w:ind w:right="4395"/>
        <w:jc w:val="left"/>
      </w:pPr>
      <w:r>
        <w:rPr/>
        <w:t>□适用</w:t>
      </w:r>
      <w:r>
        <w:rPr>
          <w:spacing w:val="-2"/>
        </w:rPr>
        <w:t> </w:t>
      </w:r>
      <w:r>
        <w:rPr/>
        <w:t>√不适用</w:t>
      </w:r>
      <w:r>
        <w:rPr>
          <w:w w:val="100"/>
        </w:rPr>
        <w:t> </w:t>
      </w:r>
      <w:r>
        <w:rPr>
          <w:spacing w:val="-2"/>
        </w:rPr>
        <w:t>重要的已逾期未支付的利息情况：</w:t>
      </w:r>
    </w:p>
    <w:p>
      <w:pPr>
        <w:pStyle w:val="BodyText"/>
        <w:spacing w:line="326" w:lineRule="auto" w:before="7"/>
        <w:ind w:right="7474"/>
        <w:jc w:val="left"/>
      </w:pPr>
      <w:r>
        <w:rPr/>
        <w:t>□适用</w:t>
      </w:r>
      <w:r>
        <w:rPr>
          <w:spacing w:val="-1"/>
        </w:rPr>
        <w:t> </w:t>
      </w:r>
      <w:r>
        <w:rPr/>
        <w:t>√不适用</w:t>
      </w:r>
      <w:r>
        <w:rPr>
          <w:w w:val="100"/>
        </w:rPr>
        <w:t> </w:t>
      </w:r>
      <w:r>
        <w:rPr/>
        <w:t>其他说明：</w:t>
      </w:r>
    </w:p>
    <w:p>
      <w:pPr>
        <w:pStyle w:val="BodyText"/>
        <w:spacing w:line="240" w:lineRule="auto" w:before="21"/>
        <w:ind w:right="21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2"/>
          <w:pgSz w:w="11910" w:h="16840"/>
          <w:pgMar w:footer="1195" w:header="882" w:top="1120" w:bottom="1380" w:left="1580" w:right="1040"/>
        </w:sectPr>
      </w:pPr>
    </w:p>
    <w:p>
      <w:pPr>
        <w:pStyle w:val="Heading2"/>
        <w:spacing w:line="240" w:lineRule="auto"/>
        <w:ind w:right="-18"/>
        <w:jc w:val="left"/>
        <w:rPr>
          <w:b w:val="0"/>
          <w:bCs w:val="0"/>
        </w:rPr>
      </w:pPr>
      <w:r>
        <w:rPr>
          <w:rFonts w:ascii="宋体" w:hAnsi="宋体" w:cs="宋体" w:eastAsia="宋体" w:hint="default"/>
        </w:rPr>
        <w:t>40</w:t>
      </w:r>
      <w:r>
        <w:rPr/>
        <w:t>、</w:t>
      </w:r>
      <w:r>
        <w:rPr>
          <w:spacing w:val="-102"/>
        </w:rPr>
        <w:t> </w:t>
      </w:r>
      <w:r>
        <w:rPr/>
        <w:t>应付股利</w:t>
      </w:r>
      <w:r>
        <w:rPr>
          <w:b w:val="0"/>
          <w:bCs w:val="0"/>
        </w:rPr>
      </w:r>
    </w:p>
    <w:p>
      <w:pPr>
        <w:pStyle w:val="BodyText"/>
        <w:spacing w:line="240" w:lineRule="auto" w:before="85"/>
        <w:ind w:right="-18"/>
        <w:jc w:val="left"/>
      </w:pPr>
      <w:r>
        <w:rPr/>
        <w:t>□适用</w:t>
      </w:r>
      <w:r>
        <w:rPr>
          <w:spacing w:val="-1"/>
        </w:rPr>
        <w:t> </w:t>
      </w:r>
      <w:r>
        <w:rPr/>
        <w:t>√不适用</w:t>
      </w:r>
    </w:p>
    <w:p>
      <w:pPr>
        <w:pStyle w:val="Heading2"/>
        <w:spacing w:line="240" w:lineRule="auto" w:before="69"/>
        <w:ind w:right="-18"/>
        <w:jc w:val="left"/>
        <w:rPr>
          <w:b w:val="0"/>
          <w:bCs w:val="0"/>
        </w:rPr>
      </w:pPr>
      <w:r>
        <w:rPr>
          <w:rFonts w:ascii="宋体" w:hAnsi="宋体" w:cs="宋体" w:eastAsia="宋体" w:hint="default"/>
        </w:rPr>
        <w:t>41</w:t>
      </w:r>
      <w:r>
        <w:rPr/>
        <w:t>、</w:t>
      </w:r>
      <w:r>
        <w:rPr>
          <w:spacing w:val="-103"/>
        </w:rPr>
        <w:t> </w:t>
      </w:r>
      <w:r>
        <w:rPr/>
        <w:t>其他应付款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4" w:space="280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8,967,062.23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59,063,674.94</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21,858,190.59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38,048,732.80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运费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3,540,728.91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2,795,811.03</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预提成本费用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28,411,040.31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24,271,523.82</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833,463.71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2,667,815.98</w:t>
            </w:r>
          </w:p>
        </w:tc>
      </w:tr>
      <w:tr>
        <w:trPr>
          <w:trHeight w:val="63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应付收购子公司—联龙博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通股权转让款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50,815,961.08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148,834,049.30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应付原股东分红款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18,900,000.00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133,326,446.83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275,681,607.87</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9"/>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pStyle w:val="BodyText"/>
        <w:spacing w:line="240" w:lineRule="auto" w:before="6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18" w:space="2303"/>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63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pacing w:val="-2"/>
                <w:sz w:val="21"/>
                <w:szCs w:val="21"/>
              </w:rPr>
              <w:t>深圳前海联礼阳投资有限责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636"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pacing w:val="-2"/>
                <w:sz w:val="21"/>
                <w:szCs w:val="21"/>
              </w:rPr>
              <w:t>眉山市华林恒峰商贸有限公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2,199,393.94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项目管理保证金</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7,199,393.94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r>
    </w:tbl>
    <w:p>
      <w:pPr>
        <w:pStyle w:val="BodyText"/>
        <w:spacing w:line="314" w:lineRule="auto" w:before="11"/>
        <w:ind w:right="228" w:firstLine="419"/>
        <w:jc w:val="both"/>
      </w:pPr>
      <w:r>
        <w:rPr>
          <w:spacing w:val="-2"/>
        </w:rPr>
        <w:t>注：本公司与眉山市华林恒峰商贸有限公司签订《项目管理协议》及《项目管理协议（补充</w:t>
      </w:r>
      <w:r>
        <w:rPr>
          <w:w w:val="100"/>
        </w:rPr>
        <w:t> </w:t>
      </w:r>
      <w:r>
        <w:rPr>
          <w:spacing w:val="-2"/>
        </w:rPr>
        <w:t>协议）》约定：本公司聘请眉山市华林恒峰商贸有限公司组建眉山市“两宋荣光”眉州大道改造</w:t>
      </w:r>
      <w:r>
        <w:rPr>
          <w:spacing w:val="-26"/>
        </w:rPr>
        <w:t> </w:t>
      </w:r>
      <w:r>
        <w:rPr>
          <w:spacing w:val="-26"/>
        </w:rPr>
      </w:r>
      <w:r>
        <w:rPr>
          <w:spacing w:val="-2"/>
        </w:rPr>
        <w:t>工程“两桥一站”项目部对该项目进行管理；为确保项目管理协议的执行，眉山市华林恒峰商贸</w:t>
      </w:r>
      <w:r>
        <w:rPr>
          <w:spacing w:val="-25"/>
        </w:rPr>
        <w:t> </w:t>
      </w:r>
      <w:r>
        <w:rPr>
          <w:spacing w:val="-25"/>
        </w:rPr>
      </w:r>
      <w:r>
        <w:rPr/>
        <w:t>有限公司共应支付本公司</w:t>
      </w:r>
      <w:r>
        <w:rPr>
          <w:spacing w:val="-46"/>
        </w:rPr>
        <w:t> </w:t>
      </w:r>
      <w:r>
        <w:rPr>
          <w:rFonts w:ascii="宋体" w:hAnsi="宋体" w:cs="宋体" w:eastAsia="宋体" w:hint="default"/>
        </w:rPr>
        <w:t>9000</w:t>
      </w:r>
      <w:r>
        <w:rPr>
          <w:rFonts w:ascii="宋体" w:hAnsi="宋体" w:cs="宋体" w:eastAsia="宋体" w:hint="default"/>
          <w:spacing w:val="-46"/>
        </w:rPr>
        <w:t> </w:t>
      </w:r>
      <w:r>
        <w:rPr>
          <w:spacing w:val="-4"/>
        </w:rPr>
        <w:t>万元履约保证金（后补充协议增至</w:t>
      </w:r>
      <w:r>
        <w:rPr>
          <w:spacing w:val="-43"/>
        </w:rPr>
        <w:t> </w:t>
      </w:r>
      <w:r>
        <w:rPr>
          <w:rFonts w:ascii="宋体" w:hAnsi="宋体" w:cs="宋体" w:eastAsia="宋体" w:hint="default"/>
        </w:rPr>
        <w:t>11500</w:t>
      </w:r>
      <w:r>
        <w:rPr>
          <w:rFonts w:ascii="宋体" w:hAnsi="宋体" w:cs="宋体" w:eastAsia="宋体" w:hint="default"/>
          <w:spacing w:val="-46"/>
        </w:rPr>
        <w:t> </w:t>
      </w:r>
      <w:r>
        <w:rPr>
          <w:spacing w:val="-7"/>
        </w:rPr>
        <w:t>万元），如项目出现问题</w:t>
      </w:r>
      <w:r>
        <w:rPr>
          <w:spacing w:val="-101"/>
        </w:rPr>
        <w:t> </w:t>
      </w:r>
      <w:r>
        <w:rPr>
          <w:spacing w:val="-101"/>
        </w:rPr>
      </w:r>
      <w:r>
        <w:rPr>
          <w:spacing w:val="-2"/>
        </w:rPr>
        <w:t>或风险，造成了实际可计量的经济损失，本公司有权直接从履约保证金中扣减相应的金额，余额</w:t>
      </w:r>
      <w:r>
        <w:rPr>
          <w:spacing w:val="-25"/>
        </w:rPr>
        <w:t> </w:t>
      </w:r>
      <w:r>
        <w:rPr>
          <w:spacing w:val="-25"/>
        </w:rPr>
      </w:r>
      <w:r>
        <w:rPr>
          <w:spacing w:val="-3"/>
        </w:rPr>
        <w:t>退还眉山市华林恒峰商贸有限公司，本公司共收到其缴纳的履约保证金合计 </w:t>
      </w:r>
      <w:r>
        <w:rPr>
          <w:rFonts w:ascii="宋体" w:hAnsi="宋体" w:cs="宋体" w:eastAsia="宋体" w:hint="default"/>
        </w:rPr>
        <w:t>9,650.00</w:t>
      </w:r>
      <w:r>
        <w:rPr>
          <w:rFonts w:ascii="宋体" w:hAnsi="宋体" w:cs="宋体" w:eastAsia="宋体" w:hint="default"/>
          <w:spacing w:val="-52"/>
        </w:rPr>
        <w:t> </w:t>
      </w:r>
      <w:r>
        <w:rPr>
          <w:spacing w:val="-11"/>
        </w:rPr>
        <w:t>万元，项目</w:t>
      </w:r>
    </w:p>
    <w:p>
      <w:pPr>
        <w:pStyle w:val="BodyText"/>
        <w:spacing w:line="290" w:lineRule="auto" w:before="20"/>
        <w:ind w:left="638" w:right="2864" w:hanging="420"/>
        <w:jc w:val="left"/>
      </w:pPr>
      <w:r>
        <w:rPr/>
        <w:t>完工后暂退还其保证金</w:t>
      </w:r>
      <w:r>
        <w:rPr>
          <w:spacing w:val="-54"/>
        </w:rPr>
        <w:t> </w:t>
      </w:r>
      <w:r>
        <w:rPr>
          <w:rFonts w:ascii="宋体" w:hAnsi="宋体" w:cs="宋体" w:eastAsia="宋体" w:hint="default"/>
        </w:rPr>
        <w:t>94,300,606.06</w:t>
      </w:r>
      <w:r>
        <w:rPr>
          <w:rFonts w:ascii="宋体" w:hAnsi="宋体" w:cs="宋体" w:eastAsia="宋体" w:hint="default"/>
          <w:spacing w:val="-55"/>
        </w:rPr>
        <w:t> </w:t>
      </w:r>
      <w:r>
        <w:rPr/>
        <w:t>元，剩余</w:t>
      </w:r>
      <w:r>
        <w:rPr>
          <w:spacing w:val="-55"/>
        </w:rPr>
        <w:t> </w:t>
      </w:r>
      <w:r>
        <w:rPr>
          <w:rFonts w:ascii="宋体" w:hAnsi="宋体" w:cs="宋体" w:eastAsia="宋体" w:hint="default"/>
        </w:rPr>
        <w:t>2,199,393.94</w:t>
      </w:r>
      <w:r>
        <w:rPr>
          <w:rFonts w:ascii="宋体" w:hAnsi="宋体" w:cs="宋体" w:eastAsia="宋体" w:hint="default"/>
          <w:spacing w:val="-57"/>
        </w:rPr>
        <w:t> </w:t>
      </w:r>
      <w:r>
        <w:rPr/>
        <w:t>元。</w:t>
      </w:r>
      <w:r>
        <w:rPr>
          <w:w w:val="100"/>
        </w:rPr>
        <w:t> </w:t>
      </w:r>
      <w:r>
        <w:rPr/>
        <w:t>其他说明</w:t>
      </w:r>
    </w:p>
    <w:p>
      <w:pPr>
        <w:pStyle w:val="BodyText"/>
        <w:spacing w:line="268" w:lineRule="exact"/>
        <w:ind w:right="215"/>
        <w:jc w:val="left"/>
      </w:pPr>
      <w:r>
        <w:rPr/>
        <w:t>√适用</w:t>
      </w:r>
      <w:r>
        <w:rPr>
          <w:spacing w:val="-1"/>
        </w:rPr>
        <w:t> </w:t>
      </w:r>
      <w:r>
        <w:rPr/>
        <w:t>□不适用</w:t>
      </w:r>
    </w:p>
    <w:p>
      <w:pPr>
        <w:pStyle w:val="BodyText"/>
        <w:spacing w:line="240" w:lineRule="auto" w:before="61"/>
        <w:ind w:left="698" w:right="123"/>
        <w:jc w:val="left"/>
      </w:pPr>
      <w:r>
        <w:rPr/>
        <w:t>应付收购子公司—联龙博通股权转让款 </w:t>
      </w:r>
      <w:r>
        <w:rPr>
          <w:rFonts w:ascii="宋体" w:hAnsi="宋体" w:cs="宋体" w:eastAsia="宋体" w:hint="default"/>
        </w:rPr>
        <w:t>50,815,961.08</w:t>
      </w:r>
      <w:r>
        <w:rPr>
          <w:rFonts w:ascii="宋体" w:hAnsi="宋体" w:cs="宋体" w:eastAsia="宋体" w:hint="default"/>
          <w:spacing w:val="-83"/>
        </w:rPr>
        <w:t> </w:t>
      </w:r>
      <w:r>
        <w:rPr>
          <w:spacing w:val="-5"/>
        </w:rPr>
        <w:t>元，由两部分构成：按协议约定本公</w:t>
      </w:r>
    </w:p>
    <w:p>
      <w:pPr>
        <w:pStyle w:val="BodyText"/>
        <w:spacing w:line="240" w:lineRule="auto" w:before="85"/>
        <w:ind w:right="215"/>
        <w:jc w:val="left"/>
      </w:pPr>
      <w:r>
        <w:rPr/>
        <w:t>司收购联龙博通</w:t>
      </w:r>
      <w:r>
        <w:rPr>
          <w:spacing w:val="-54"/>
        </w:rPr>
        <w:t> </w:t>
      </w:r>
      <w:r>
        <w:rPr>
          <w:rFonts w:ascii="宋体" w:hAnsi="宋体" w:cs="宋体" w:eastAsia="宋体" w:hint="default"/>
        </w:rPr>
        <w:t>100%</w:t>
      </w:r>
      <w:r>
        <w:rPr/>
        <w:t>股权的基本对价合计</w:t>
      </w:r>
      <w:r>
        <w:rPr>
          <w:spacing w:val="-53"/>
        </w:rPr>
        <w:t> </w:t>
      </w:r>
      <w:r>
        <w:rPr>
          <w:rFonts w:ascii="宋体" w:hAnsi="宋体" w:cs="宋体" w:eastAsia="宋体" w:hint="default"/>
        </w:rPr>
        <w:t>3.6</w:t>
      </w:r>
      <w:r>
        <w:rPr>
          <w:rFonts w:ascii="宋体" w:hAnsi="宋体" w:cs="宋体" w:eastAsia="宋体" w:hint="default"/>
          <w:spacing w:val="-56"/>
        </w:rPr>
        <w:t> </w:t>
      </w:r>
      <w:r>
        <w:rPr/>
        <w:t>亿元，截止</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日本公司已支付基本</w:t>
      </w:r>
    </w:p>
    <w:p>
      <w:pPr>
        <w:pStyle w:val="BodyText"/>
        <w:spacing w:line="240" w:lineRule="auto" w:before="82"/>
        <w:ind w:right="123"/>
        <w:jc w:val="left"/>
        <w:rPr>
          <w:rFonts w:ascii="宋体" w:hAnsi="宋体" w:cs="宋体" w:eastAsia="宋体" w:hint="default"/>
        </w:rPr>
      </w:pPr>
      <w:r>
        <w:rPr>
          <w:w w:val="100"/>
        </w:rPr>
        <w:t>对价</w:t>
      </w:r>
      <w:r>
        <w:rPr>
          <w:spacing w:val="-53"/>
        </w:rPr>
        <w:t> </w:t>
      </w:r>
      <w:r>
        <w:rPr>
          <w:rFonts w:ascii="宋体" w:hAnsi="宋体" w:cs="宋体" w:eastAsia="宋体" w:hint="default"/>
          <w:spacing w:val="-3"/>
          <w:w w:val="100"/>
        </w:rPr>
        <w:t>3</w:t>
      </w:r>
      <w:r>
        <w:rPr>
          <w:rFonts w:ascii="宋体" w:hAnsi="宋体" w:cs="宋体" w:eastAsia="宋体" w:hint="default"/>
          <w:w w:val="100"/>
        </w:rPr>
        <w:t>.24</w:t>
      </w:r>
      <w:r>
        <w:rPr>
          <w:rFonts w:ascii="宋体" w:hAnsi="宋体" w:cs="宋体" w:eastAsia="宋体" w:hint="default"/>
          <w:spacing w:val="-55"/>
        </w:rPr>
        <w:t> </w:t>
      </w:r>
      <w:r>
        <w:rPr>
          <w:w w:val="100"/>
        </w:rPr>
        <w:t>亿元</w:t>
      </w:r>
      <w:r>
        <w:rPr>
          <w:spacing w:val="-87"/>
          <w:w w:val="100"/>
        </w:rPr>
        <w:t>，</w:t>
      </w:r>
      <w:r>
        <w:rPr>
          <w:w w:val="100"/>
        </w:rPr>
        <w:t>尚余</w:t>
      </w:r>
      <w:r>
        <w:rPr>
          <w:spacing w:val="-55"/>
        </w:rPr>
        <w:t> </w:t>
      </w:r>
      <w:r>
        <w:rPr>
          <w:rFonts w:ascii="宋体" w:hAnsi="宋体" w:cs="宋体" w:eastAsia="宋体" w:hint="default"/>
          <w:w w:val="100"/>
        </w:rPr>
        <w:t>36</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万元</w:t>
      </w:r>
      <w:r>
        <w:rPr>
          <w:spacing w:val="-3"/>
          <w:w w:val="100"/>
        </w:rPr>
        <w:t>需</w:t>
      </w:r>
      <w:r>
        <w:rPr>
          <w:w w:val="100"/>
        </w:rPr>
        <w:t>按</w:t>
      </w:r>
      <w:r>
        <w:rPr>
          <w:spacing w:val="-3"/>
          <w:w w:val="100"/>
        </w:rPr>
        <w:t>进</w:t>
      </w:r>
      <w:r>
        <w:rPr>
          <w:w w:val="100"/>
        </w:rPr>
        <w:t>度</w:t>
      </w:r>
      <w:r>
        <w:rPr>
          <w:spacing w:val="-3"/>
          <w:w w:val="100"/>
        </w:rPr>
        <w:t>在</w:t>
      </w:r>
      <w:r>
        <w:rPr>
          <w:w w:val="100"/>
        </w:rPr>
        <w:t>后</w:t>
      </w:r>
      <w:r>
        <w:rPr>
          <w:spacing w:val="-3"/>
          <w:w w:val="100"/>
        </w:rPr>
        <w:t>续</w:t>
      </w:r>
      <w:r>
        <w:rPr>
          <w:w w:val="100"/>
        </w:rPr>
        <w:t>期</w:t>
      </w:r>
      <w:r>
        <w:rPr>
          <w:spacing w:val="-3"/>
          <w:w w:val="100"/>
        </w:rPr>
        <w:t>间</w:t>
      </w:r>
      <w:r>
        <w:rPr>
          <w:w w:val="100"/>
        </w:rPr>
        <w:t>支付</w:t>
      </w:r>
      <w:r>
        <w:rPr>
          <w:spacing w:val="-87"/>
          <w:w w:val="100"/>
        </w:rPr>
        <w:t>；</w:t>
      </w:r>
      <w:r>
        <w:rPr>
          <w:w w:val="100"/>
        </w:rPr>
        <w:t>按</w:t>
      </w:r>
      <w:r>
        <w:rPr>
          <w:spacing w:val="-3"/>
          <w:w w:val="100"/>
        </w:rPr>
        <w:t>收</w:t>
      </w:r>
      <w:r>
        <w:rPr>
          <w:w w:val="100"/>
        </w:rPr>
        <w:t>购</w:t>
      </w:r>
      <w:r>
        <w:rPr>
          <w:spacing w:val="-3"/>
          <w:w w:val="100"/>
        </w:rPr>
        <w:t>协</w:t>
      </w:r>
      <w:r>
        <w:rPr>
          <w:w w:val="100"/>
        </w:rPr>
        <w:t>议</w:t>
      </w:r>
      <w:r>
        <w:rPr>
          <w:spacing w:val="-3"/>
          <w:w w:val="100"/>
        </w:rPr>
        <w:t>约</w:t>
      </w:r>
      <w:r>
        <w:rPr>
          <w:w w:val="100"/>
        </w:rPr>
        <w:t>定</w:t>
      </w:r>
      <w:r>
        <w:rPr>
          <w:spacing w:val="-85"/>
          <w:w w:val="100"/>
        </w:rPr>
        <w:t>，</w:t>
      </w:r>
      <w:r>
        <w:rPr>
          <w:spacing w:val="-3"/>
          <w:w w:val="100"/>
        </w:rPr>
        <w:t>当</w:t>
      </w:r>
      <w:r>
        <w:rPr>
          <w:w w:val="100"/>
        </w:rPr>
        <w:t>联龙</w:t>
      </w:r>
      <w:r>
        <w:rPr>
          <w:spacing w:val="-3"/>
          <w:w w:val="100"/>
        </w:rPr>
        <w:t>博</w:t>
      </w:r>
      <w:r>
        <w:rPr>
          <w:w w:val="100"/>
        </w:rPr>
        <w:t>通</w:t>
      </w:r>
      <w:r>
        <w:rPr>
          <w:spacing w:val="-3"/>
          <w:w w:val="100"/>
        </w:rPr>
        <w:t>截</w:t>
      </w:r>
      <w:r>
        <w:rPr>
          <w:w w:val="100"/>
        </w:rPr>
        <w:t>至</w:t>
      </w:r>
      <w:r>
        <w:rPr>
          <w:spacing w:val="-52"/>
        </w:rPr>
        <w:t> </w:t>
      </w:r>
      <w:r>
        <w:rPr>
          <w:rFonts w:ascii="宋体" w:hAnsi="宋体" w:cs="宋体" w:eastAsia="宋体" w:hint="default"/>
          <w:spacing w:val="-3"/>
          <w:w w:val="100"/>
        </w:rPr>
        <w:t>2</w:t>
      </w:r>
      <w:r>
        <w:rPr>
          <w:rFonts w:ascii="宋体" w:hAnsi="宋体" w:cs="宋体" w:eastAsia="宋体" w:hint="default"/>
          <w:w w:val="100"/>
        </w:rPr>
        <w:t>017</w:t>
      </w:r>
    </w:p>
    <w:p>
      <w:pPr>
        <w:pStyle w:val="BodyText"/>
        <w:spacing w:line="240" w:lineRule="auto" w:before="85"/>
        <w:ind w:right="123"/>
        <w:jc w:val="left"/>
      </w:pPr>
      <w:r>
        <w:rPr>
          <w:w w:val="100"/>
        </w:rPr>
        <w:t>年期</w:t>
      </w:r>
      <w:r>
        <w:rPr>
          <w:spacing w:val="-3"/>
          <w:w w:val="100"/>
        </w:rPr>
        <w:t>末</w:t>
      </w:r>
      <w:r>
        <w:rPr>
          <w:w w:val="100"/>
        </w:rPr>
        <w:t>累</w:t>
      </w:r>
      <w:r>
        <w:rPr>
          <w:spacing w:val="-3"/>
          <w:w w:val="100"/>
        </w:rPr>
        <w:t>计</w:t>
      </w:r>
      <w:r>
        <w:rPr>
          <w:w w:val="100"/>
        </w:rPr>
        <w:t>实</w:t>
      </w:r>
      <w:r>
        <w:rPr>
          <w:spacing w:val="-3"/>
          <w:w w:val="100"/>
        </w:rPr>
        <w:t>际</w:t>
      </w:r>
      <w:r>
        <w:rPr>
          <w:w w:val="100"/>
        </w:rPr>
        <w:t>盈</w:t>
      </w:r>
      <w:r>
        <w:rPr>
          <w:spacing w:val="-3"/>
          <w:w w:val="100"/>
        </w:rPr>
        <w:t>利</w:t>
      </w:r>
      <w:r>
        <w:rPr>
          <w:w w:val="100"/>
        </w:rPr>
        <w:t>数</w:t>
      </w:r>
      <w:r>
        <w:rPr>
          <w:spacing w:val="-3"/>
          <w:w w:val="100"/>
        </w:rPr>
        <w:t>超</w:t>
      </w:r>
      <w:r>
        <w:rPr>
          <w:w w:val="100"/>
        </w:rPr>
        <w:t>过</w:t>
      </w:r>
      <w:r>
        <w:rPr>
          <w:spacing w:val="-3"/>
          <w:w w:val="100"/>
        </w:rPr>
        <w:t>截</w:t>
      </w:r>
      <w:r>
        <w:rPr>
          <w:w w:val="100"/>
        </w:rPr>
        <w:t>至</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期</w:t>
      </w:r>
      <w:r>
        <w:rPr>
          <w:spacing w:val="-3"/>
          <w:w w:val="100"/>
        </w:rPr>
        <w:t>末</w:t>
      </w:r>
      <w:r>
        <w:rPr>
          <w:w w:val="100"/>
        </w:rPr>
        <w:t>累</w:t>
      </w:r>
      <w:r>
        <w:rPr>
          <w:spacing w:val="-3"/>
          <w:w w:val="100"/>
        </w:rPr>
        <w:t>计基</w:t>
      </w:r>
      <w:r>
        <w:rPr>
          <w:w w:val="100"/>
        </w:rPr>
        <w:t>本对</w:t>
      </w:r>
      <w:r>
        <w:rPr>
          <w:spacing w:val="-3"/>
          <w:w w:val="100"/>
        </w:rPr>
        <w:t>价</w:t>
      </w:r>
      <w:r>
        <w:rPr>
          <w:w w:val="100"/>
        </w:rPr>
        <w:t>承</w:t>
      </w:r>
      <w:r>
        <w:rPr>
          <w:spacing w:val="-3"/>
          <w:w w:val="100"/>
        </w:rPr>
        <w:t>诺</w:t>
      </w:r>
      <w:r>
        <w:rPr>
          <w:w w:val="100"/>
        </w:rPr>
        <w:t>盈</w:t>
      </w:r>
      <w:r>
        <w:rPr>
          <w:spacing w:val="-3"/>
          <w:w w:val="100"/>
        </w:rPr>
        <w:t>利</w:t>
      </w:r>
      <w:r>
        <w:rPr>
          <w:w w:val="100"/>
        </w:rPr>
        <w:t>数</w:t>
      </w:r>
      <w:r>
        <w:rPr>
          <w:spacing w:val="-3"/>
          <w:w w:val="100"/>
        </w:rPr>
        <w:t>时</w:t>
      </w:r>
      <w:r>
        <w:rPr>
          <w:spacing w:val="-94"/>
          <w:w w:val="100"/>
        </w:rPr>
        <w:t>，</w:t>
      </w:r>
      <w:r>
        <w:rPr>
          <w:w w:val="100"/>
        </w:rPr>
        <w:t>需</w:t>
      </w:r>
      <w:r>
        <w:rPr>
          <w:spacing w:val="-3"/>
          <w:w w:val="100"/>
        </w:rPr>
        <w:t>要</w:t>
      </w:r>
      <w:r>
        <w:rPr>
          <w:w w:val="100"/>
        </w:rPr>
        <w:t>计算</w:t>
      </w:r>
      <w:r>
        <w:rPr>
          <w:spacing w:val="-3"/>
          <w:w w:val="100"/>
        </w:rPr>
        <w:t>第</w:t>
      </w:r>
      <w:r>
        <w:rPr>
          <w:w w:val="100"/>
        </w:rPr>
        <w:t>二</w:t>
      </w:r>
      <w:r>
        <w:rPr>
          <w:spacing w:val="-3"/>
          <w:w w:val="100"/>
        </w:rPr>
        <w:t>期</w:t>
      </w:r>
      <w:r>
        <w:rPr>
          <w:w w:val="100"/>
        </w:rPr>
        <w:t>浮</w:t>
      </w:r>
      <w:r>
        <w:rPr>
          <w:spacing w:val="-3"/>
          <w:w w:val="100"/>
        </w:rPr>
        <w:t>动</w:t>
      </w:r>
      <w:r>
        <w:rPr>
          <w:w w:val="100"/>
        </w:rPr>
        <w:t>对</w:t>
      </w:r>
    </w:p>
    <w:p>
      <w:pPr>
        <w:pStyle w:val="BodyText"/>
        <w:spacing w:line="240" w:lineRule="auto" w:before="83"/>
        <w:ind w:right="215"/>
        <w:jc w:val="left"/>
      </w:pPr>
      <w:r>
        <w:rPr/>
        <w:t>价，按照协议以截止</w:t>
      </w:r>
      <w:r>
        <w:rPr>
          <w:spacing w:val="-55"/>
        </w:rPr>
        <w:t> </w:t>
      </w:r>
      <w:r>
        <w:rPr>
          <w:rFonts w:ascii="宋体" w:hAnsi="宋体" w:cs="宋体" w:eastAsia="宋体" w:hint="default"/>
        </w:rPr>
        <w:t>2017</w:t>
      </w:r>
      <w:r>
        <w:rPr>
          <w:rFonts w:ascii="宋体" w:hAnsi="宋体" w:cs="宋体" w:eastAsia="宋体" w:hint="default"/>
          <w:spacing w:val="-57"/>
        </w:rPr>
        <w:t> </w:t>
      </w:r>
      <w:r>
        <w:rPr/>
        <w:t>年底累计实际盈利数计算需支付第二期浮动对价</w:t>
      </w:r>
      <w:r>
        <w:rPr>
          <w:spacing w:val="-55"/>
        </w:rPr>
        <w:t> </w:t>
      </w:r>
      <w:r>
        <w:rPr>
          <w:rFonts w:ascii="宋体" w:hAnsi="宋体" w:cs="宋体" w:eastAsia="宋体" w:hint="default"/>
        </w:rPr>
        <w:t>14,815,961.08</w:t>
      </w:r>
      <w:r>
        <w:rPr>
          <w:rFonts w:ascii="宋体" w:hAnsi="宋体" w:cs="宋体" w:eastAsia="宋体" w:hint="default"/>
          <w:spacing w:val="-55"/>
        </w:rPr>
        <w:t> </w:t>
      </w:r>
      <w:r>
        <w:rPr>
          <w:spacing w:val="-3"/>
        </w:rPr>
        <w:t>元。</w:t>
      </w:r>
      <w:r>
        <w:rPr/>
      </w:r>
    </w:p>
    <w:p>
      <w:pPr>
        <w:spacing w:after="0" w:line="240" w:lineRule="auto"/>
        <w:jc w:val="left"/>
        <w:sectPr>
          <w:type w:val="continuous"/>
          <w:pgSz w:w="11910" w:h="16840"/>
          <w:pgMar w:top="1120" w:bottom="1380" w:left="1580" w:right="1040"/>
        </w:sectPr>
      </w:pPr>
    </w:p>
    <w:p>
      <w:pPr>
        <w:spacing w:line="240" w:lineRule="auto" w:before="8"/>
        <w:rPr>
          <w:rFonts w:ascii="宋体" w:hAnsi="宋体" w:cs="宋体" w:eastAsia="宋体" w:hint="default"/>
          <w:sz w:val="28"/>
          <w:szCs w:val="28"/>
        </w:rPr>
      </w:pPr>
    </w:p>
    <w:p>
      <w:pPr>
        <w:pStyle w:val="BodyText"/>
        <w:spacing w:line="314" w:lineRule="auto" w:before="36"/>
        <w:ind w:left="138" w:right="147" w:firstLine="419"/>
        <w:jc w:val="both"/>
      </w:pPr>
      <w:r>
        <w:rPr/>
        <w:t>应付原股东分红款</w:t>
      </w:r>
      <w:r>
        <w:rPr>
          <w:spacing w:val="-70"/>
        </w:rPr>
        <w:t> </w:t>
      </w:r>
      <w:r>
        <w:rPr>
          <w:rFonts w:ascii="宋体" w:hAnsi="宋体" w:cs="宋体" w:eastAsia="宋体" w:hint="default"/>
        </w:rPr>
        <w:t>1890</w:t>
      </w:r>
      <w:r>
        <w:rPr>
          <w:rFonts w:ascii="宋体" w:hAnsi="宋体" w:cs="宋体" w:eastAsia="宋体" w:hint="default"/>
          <w:spacing w:val="-68"/>
        </w:rPr>
        <w:t> </w:t>
      </w:r>
      <w:r>
        <w:rPr/>
        <w:t>万元系根据</w:t>
      </w:r>
      <w:r>
        <w:rPr>
          <w:spacing w:val="-71"/>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10</w:t>
      </w:r>
      <w:r>
        <w:rPr>
          <w:rFonts w:ascii="宋体" w:hAnsi="宋体" w:cs="宋体" w:eastAsia="宋体" w:hint="default"/>
          <w:spacing w:val="-68"/>
        </w:rPr>
        <w:t> </w:t>
      </w:r>
      <w:r>
        <w:rPr/>
        <w:t>月本公司重大资产购买报告书及本公司与联龙</w:t>
      </w:r>
      <w:r>
        <w:rPr>
          <w:w w:val="100"/>
        </w:rPr>
        <w:t> </w:t>
      </w:r>
      <w:r>
        <w:rPr>
          <w:spacing w:val="-2"/>
        </w:rPr>
        <w:t>博通公司原全体股东签署的《附生效条件的股权转让协议》：本公司拟以现金方式向刘琦、师敏</w:t>
      </w:r>
      <w:r>
        <w:rPr>
          <w:spacing w:val="-27"/>
        </w:rPr>
        <w:t> </w:t>
      </w:r>
      <w:r>
        <w:rPr>
          <w:spacing w:val="-27"/>
        </w:rPr>
      </w:r>
      <w:r>
        <w:rPr/>
        <w:t>龙等</w:t>
      </w:r>
      <w:r>
        <w:rPr>
          <w:spacing w:val="-55"/>
        </w:rPr>
        <w:t> </w:t>
      </w:r>
      <w:r>
        <w:rPr>
          <w:rFonts w:ascii="宋体" w:hAnsi="宋体" w:cs="宋体" w:eastAsia="宋体" w:hint="default"/>
        </w:rPr>
        <w:t>15</w:t>
      </w:r>
      <w:r>
        <w:rPr>
          <w:rFonts w:ascii="宋体" w:hAnsi="宋体" w:cs="宋体" w:eastAsia="宋体" w:hint="default"/>
          <w:spacing w:val="-55"/>
        </w:rPr>
        <w:t> </w:t>
      </w:r>
      <w:r>
        <w:rPr/>
        <w:t>名交易对方购买其合计持有的联龙博通公司</w:t>
      </w:r>
      <w:r>
        <w:rPr>
          <w:spacing w:val="-57"/>
        </w:rPr>
        <w:t> </w:t>
      </w:r>
      <w:r>
        <w:rPr>
          <w:rFonts w:ascii="宋体" w:hAnsi="宋体" w:cs="宋体" w:eastAsia="宋体" w:hint="default"/>
        </w:rPr>
        <w:t>100%</w:t>
      </w:r>
      <w:r>
        <w:rPr/>
        <w:t>的股权，联龙博通公司收购基准日之前</w:t>
      </w:r>
      <w:r>
        <w:rPr>
          <w:w w:val="100"/>
        </w:rPr>
        <w:t> </w:t>
      </w:r>
      <w:r>
        <w:rPr/>
        <w:t>累计未分配利润</w:t>
      </w:r>
      <w:r>
        <w:rPr>
          <w:spacing w:val="-43"/>
        </w:rPr>
        <w:t> </w:t>
      </w:r>
      <w:r>
        <w:rPr>
          <w:rFonts w:ascii="宋体" w:hAnsi="宋体" w:cs="宋体" w:eastAsia="宋体" w:hint="default"/>
        </w:rPr>
        <w:t>5,800</w:t>
      </w:r>
      <w:r>
        <w:rPr>
          <w:rFonts w:ascii="宋体" w:hAnsi="宋体" w:cs="宋体" w:eastAsia="宋体" w:hint="default"/>
          <w:spacing w:val="-41"/>
        </w:rPr>
        <w:t> </w:t>
      </w:r>
      <w:r>
        <w:rPr>
          <w:spacing w:val="-4"/>
        </w:rPr>
        <w:t>万元由联龙博通公司原股东刘琦、师敏龙等</w:t>
      </w:r>
      <w:r>
        <w:rPr>
          <w:spacing w:val="-43"/>
        </w:rPr>
        <w:t> </w:t>
      </w:r>
      <w:r>
        <w:rPr>
          <w:rFonts w:ascii="宋体" w:hAnsi="宋体" w:cs="宋体" w:eastAsia="宋体" w:hint="default"/>
        </w:rPr>
        <w:t>15</w:t>
      </w:r>
      <w:r>
        <w:rPr>
          <w:rFonts w:ascii="宋体" w:hAnsi="宋体" w:cs="宋体" w:eastAsia="宋体" w:hint="default"/>
          <w:spacing w:val="-45"/>
        </w:rPr>
        <w:t> </w:t>
      </w:r>
      <w:r>
        <w:rPr>
          <w:spacing w:val="-6"/>
        </w:rPr>
        <w:t>人享有，以上归属于原股东</w:t>
      </w:r>
      <w:r>
        <w:rPr>
          <w:spacing w:val="-101"/>
        </w:rPr>
        <w:t> </w:t>
      </w:r>
      <w:r>
        <w:rPr>
          <w:spacing w:val="-101"/>
        </w:rPr>
      </w:r>
      <w:r>
        <w:rPr>
          <w:spacing w:val="-6"/>
          <w:w w:val="100"/>
        </w:rPr>
        <w:t>的累计未分配利润鉴于分红金额较大，拟分批发放，具体分红款的发放时间视公司现金情况而定，</w:t>
      </w:r>
      <w:r>
        <w:rPr>
          <w:w w:val="100"/>
        </w:rPr>
        <w:t> </w:t>
      </w:r>
      <w:r>
        <w:rPr/>
        <w:t>截止</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日联龙博通公司尚未支付原股东刘琦、师敏龙等</w:t>
      </w:r>
      <w:r>
        <w:rPr>
          <w:spacing w:val="-54"/>
        </w:rPr>
        <w:t> </w:t>
      </w:r>
      <w:r>
        <w:rPr>
          <w:rFonts w:ascii="宋体" w:hAnsi="宋体" w:cs="宋体" w:eastAsia="宋体" w:hint="default"/>
        </w:rPr>
        <w:t>15</w:t>
      </w:r>
      <w:r>
        <w:rPr>
          <w:rFonts w:ascii="宋体" w:hAnsi="宋体" w:cs="宋体" w:eastAsia="宋体" w:hint="default"/>
          <w:spacing w:val="-54"/>
        </w:rPr>
        <w:t> </w:t>
      </w:r>
      <w:r>
        <w:rPr/>
        <w:t>人收购基准日之前累计</w:t>
      </w:r>
    </w:p>
    <w:p>
      <w:pPr>
        <w:pStyle w:val="BodyText"/>
        <w:spacing w:line="240" w:lineRule="auto" w:before="17"/>
        <w:ind w:left="138" w:right="158"/>
        <w:jc w:val="left"/>
      </w:pPr>
      <w:r>
        <w:rPr/>
        <w:t>未分配利润余额为</w:t>
      </w:r>
      <w:r>
        <w:rPr>
          <w:spacing w:val="-53"/>
        </w:rPr>
        <w:t> </w:t>
      </w:r>
      <w:r>
        <w:rPr>
          <w:rFonts w:ascii="宋体" w:hAnsi="宋体" w:cs="宋体" w:eastAsia="宋体" w:hint="default"/>
        </w:rPr>
        <w:t>1890</w:t>
      </w:r>
      <w:r>
        <w:rPr>
          <w:rFonts w:ascii="宋体" w:hAnsi="宋体" w:cs="宋体" w:eastAsia="宋体" w:hint="default"/>
          <w:spacing w:val="-55"/>
        </w:rPr>
        <w:t> </w:t>
      </w:r>
      <w:r>
        <w:rPr/>
        <w:t>万元。</w:t>
      </w:r>
    </w:p>
    <w:p>
      <w:pPr>
        <w:pStyle w:val="Heading2"/>
        <w:spacing w:line="240" w:lineRule="auto" w:before="93"/>
        <w:ind w:left="138" w:right="158"/>
        <w:jc w:val="left"/>
        <w:rPr>
          <w:b w:val="0"/>
          <w:bCs w:val="0"/>
        </w:rPr>
      </w:pPr>
      <w:r>
        <w:rPr>
          <w:rFonts w:ascii="宋体" w:hAnsi="宋体" w:cs="宋体" w:eastAsia="宋体" w:hint="default"/>
        </w:rPr>
        <w:t>42</w:t>
      </w:r>
      <w:r>
        <w:rPr/>
        <w:t>、</w:t>
      </w:r>
      <w:r>
        <w:rPr>
          <w:spacing w:val="-104"/>
        </w:rPr>
        <w:t> </w:t>
      </w:r>
      <w:r>
        <w:rPr/>
        <w:t>持有待售负债</w:t>
      </w:r>
      <w:r>
        <w:rPr>
          <w:b w:val="0"/>
          <w:bCs w:val="0"/>
        </w:rPr>
      </w:r>
    </w:p>
    <w:p>
      <w:pPr>
        <w:pStyle w:val="BodyText"/>
        <w:spacing w:line="240" w:lineRule="auto" w:before="85"/>
        <w:ind w:left="138" w:right="158"/>
        <w:jc w:val="left"/>
      </w:pPr>
      <w:r>
        <w:rPr/>
        <w:t>□适用</w:t>
      </w:r>
      <w:r>
        <w:rPr>
          <w:spacing w:val="-1"/>
        </w:rPr>
        <w:t> </w:t>
      </w:r>
      <w:r>
        <w:rPr/>
        <w:t>√不适用</w:t>
      </w:r>
    </w:p>
    <w:p>
      <w:pPr>
        <w:pStyle w:val="Heading2"/>
        <w:spacing w:line="240" w:lineRule="auto" w:before="70"/>
        <w:ind w:left="138" w:right="158"/>
        <w:jc w:val="left"/>
        <w:rPr>
          <w:b w:val="0"/>
          <w:bCs w:val="0"/>
        </w:rPr>
      </w:pPr>
      <w:r>
        <w:rPr>
          <w:rFonts w:ascii="宋体" w:hAnsi="宋体" w:cs="宋体" w:eastAsia="宋体" w:hint="default"/>
        </w:rPr>
        <w:t>43</w:t>
      </w:r>
      <w:r>
        <w:rPr/>
        <w:t>、</w:t>
      </w:r>
      <w:r>
        <w:rPr>
          <w:spacing w:val="-102"/>
        </w:rPr>
        <w:t> </w:t>
      </w:r>
      <w:r>
        <w:rPr>
          <w:rFonts w:ascii="宋体" w:hAnsi="宋体" w:cs="宋体" w:eastAsia="宋体" w:hint="default"/>
        </w:rPr>
        <w:t>1</w:t>
      </w:r>
      <w:r>
        <w:rPr>
          <w:rFonts w:ascii="宋体" w:hAnsi="宋体" w:cs="宋体" w:eastAsia="宋体" w:hint="default"/>
          <w:spacing w:val="-64"/>
        </w:rPr>
        <w:t> </w:t>
      </w:r>
      <w:r>
        <w:rPr/>
        <w:t>年内到期的非流动负债</w:t>
      </w:r>
      <w:r>
        <w:rPr>
          <w:b w:val="0"/>
          <w:bCs w:val="0"/>
        </w:rPr>
      </w:r>
    </w:p>
    <w:p>
      <w:pPr>
        <w:spacing w:line="302" w:lineRule="auto" w:before="85"/>
        <w:ind w:left="138" w:right="70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44</w:t>
      </w:r>
      <w:r>
        <w:rPr>
          <w:rFonts w:ascii="宋体" w:hAnsi="宋体" w:cs="宋体" w:eastAsia="宋体" w:hint="default"/>
          <w:b/>
          <w:bCs/>
          <w:sz w:val="24"/>
          <w:szCs w:val="24"/>
        </w:rPr>
        <w:t>、</w:t>
      </w:r>
      <w:r>
        <w:rPr>
          <w:rFonts w:ascii="宋体" w:hAnsi="宋体" w:cs="宋体" w:eastAsia="宋体" w:hint="default"/>
          <w:b/>
          <w:bCs/>
          <w:spacing w:val="-103"/>
          <w:sz w:val="24"/>
          <w:szCs w:val="24"/>
        </w:rPr>
        <w:t> </w:t>
      </w:r>
      <w:r>
        <w:rPr>
          <w:rFonts w:ascii="宋体" w:hAnsi="宋体" w:cs="宋体" w:eastAsia="宋体" w:hint="default"/>
          <w:b/>
          <w:bCs/>
          <w:sz w:val="24"/>
          <w:szCs w:val="24"/>
        </w:rPr>
        <w:t>其他流动负债</w:t>
      </w:r>
      <w:r>
        <w:rPr>
          <w:rFonts w:ascii="宋体" w:hAnsi="宋体" w:cs="宋体" w:eastAsia="宋体" w:hint="default"/>
          <w:b/>
          <w:bCs/>
          <w:w w:val="99"/>
          <w:sz w:val="24"/>
          <w:szCs w:val="24"/>
        </w:rPr>
        <w:t> </w:t>
      </w:r>
      <w:r>
        <w:rPr>
          <w:rFonts w:ascii="宋体" w:hAnsi="宋体" w:cs="宋体" w:eastAsia="宋体" w:hint="default"/>
          <w:sz w:val="21"/>
          <w:szCs w:val="21"/>
        </w:rPr>
        <w:t>其他流动负债情况</w:t>
      </w:r>
    </w:p>
    <w:p>
      <w:pPr>
        <w:pStyle w:val="BodyText"/>
        <w:tabs>
          <w:tab w:pos="980" w:val="left" w:leader="none"/>
        </w:tabs>
        <w:spacing w:line="257" w:lineRule="exact"/>
        <w:ind w:left="138" w:right="158"/>
        <w:jc w:val="left"/>
      </w:pPr>
      <w:r>
        <w:rPr>
          <w:spacing w:val="-1"/>
        </w:rPr>
        <w:t>□适用</w:t>
        <w:tab/>
      </w:r>
      <w:r>
        <w:rPr>
          <w:spacing w:val="-2"/>
        </w:rPr>
        <w:t>√不适用</w:t>
      </w:r>
    </w:p>
    <w:p>
      <w:pPr>
        <w:pStyle w:val="BodyText"/>
        <w:spacing w:line="240" w:lineRule="auto" w:before="37"/>
        <w:ind w:left="138" w:right="158"/>
        <w:jc w:val="left"/>
      </w:pPr>
      <w:r>
        <w:rPr/>
        <w:t>短期应付债券的增减变动：</w:t>
      </w:r>
    </w:p>
    <w:p>
      <w:pPr>
        <w:pStyle w:val="BodyText"/>
        <w:spacing w:line="324" w:lineRule="auto" w:before="37"/>
        <w:ind w:left="138" w:right="7394"/>
        <w:jc w:val="left"/>
      </w:pPr>
      <w:r>
        <w:rPr/>
        <w:t>□适用</w:t>
      </w:r>
      <w:r>
        <w:rPr>
          <w:spacing w:val="-1"/>
        </w:rPr>
        <w:t> </w:t>
      </w:r>
      <w:r>
        <w:rPr/>
        <w:t>√不适用</w:t>
      </w:r>
      <w:r>
        <w:rPr>
          <w:w w:val="100"/>
        </w:rPr>
        <w:t> </w:t>
      </w:r>
      <w:r>
        <w:rPr/>
        <w:t>其他说明：</w:t>
      </w:r>
    </w:p>
    <w:p>
      <w:pPr>
        <w:pStyle w:val="BodyText"/>
        <w:spacing w:line="240" w:lineRule="auto" w:before="23"/>
        <w:ind w:left="138" w:right="158"/>
        <w:jc w:val="left"/>
      </w:pPr>
      <w:r>
        <w:rPr/>
        <w:t>□适用</w:t>
      </w:r>
      <w:r>
        <w:rPr>
          <w:spacing w:val="-1"/>
        </w:rPr>
        <w:t> </w:t>
      </w:r>
      <w:r>
        <w:rPr/>
        <w:t>√不适用</w:t>
      </w:r>
    </w:p>
    <w:p>
      <w:pPr>
        <w:pStyle w:val="Heading2"/>
        <w:spacing w:line="240" w:lineRule="auto" w:before="69"/>
        <w:ind w:left="138" w:right="158"/>
        <w:jc w:val="left"/>
        <w:rPr>
          <w:b w:val="0"/>
          <w:bCs w:val="0"/>
        </w:rPr>
      </w:pPr>
      <w:r>
        <w:rPr>
          <w:rFonts w:ascii="宋体" w:hAnsi="宋体" w:cs="宋体" w:eastAsia="宋体" w:hint="default"/>
        </w:rPr>
        <w:t>45</w:t>
      </w:r>
      <w:r>
        <w:rPr/>
        <w:t>、</w:t>
      </w:r>
      <w:r>
        <w:rPr>
          <w:spacing w:val="-102"/>
        </w:rPr>
        <w:t> </w:t>
      </w:r>
      <w:r>
        <w:rPr/>
        <w:t>长期借款</w:t>
      </w:r>
      <w:r>
        <w:rPr>
          <w:b w:val="0"/>
          <w:bCs w:val="0"/>
        </w:rPr>
      </w:r>
    </w:p>
    <w:p>
      <w:pPr>
        <w:pStyle w:val="Heading2"/>
        <w:spacing w:line="240" w:lineRule="auto" w:before="58"/>
        <w:ind w:left="138" w:right="158"/>
        <w:jc w:val="left"/>
        <w:rPr>
          <w:b w:val="0"/>
          <w:bCs w:val="0"/>
        </w:rPr>
      </w:pPr>
      <w:r>
        <w:rPr>
          <w:rFonts w:ascii="宋体" w:hAnsi="宋体" w:cs="宋体" w:eastAsia="宋体" w:hint="default"/>
        </w:rPr>
        <w:t>(1).</w:t>
      </w:r>
      <w:r>
        <w:rPr>
          <w:rFonts w:ascii="宋体" w:hAnsi="宋体" w:cs="宋体" w:eastAsia="宋体" w:hint="default"/>
          <w:spacing w:val="23"/>
        </w:rPr>
        <w:t> </w:t>
      </w:r>
      <w:r>
        <w:rPr/>
        <w:t>长期借款分类</w:t>
      </w:r>
      <w:r>
        <w:rPr>
          <w:b w:val="0"/>
          <w:bCs w:val="0"/>
        </w:rPr>
      </w:r>
    </w:p>
    <w:p>
      <w:pPr>
        <w:pStyle w:val="BodyText"/>
        <w:spacing w:line="240" w:lineRule="auto" w:before="85"/>
        <w:ind w:left="138" w:right="158"/>
        <w:jc w:val="left"/>
      </w:pPr>
      <w:r>
        <w:rPr/>
        <w:t>√适用</w:t>
      </w:r>
      <w:r>
        <w:rPr>
          <w:spacing w:val="-1"/>
        </w:rPr>
        <w:t> </w:t>
      </w:r>
      <w:r>
        <w:rPr/>
        <w:t>□不适用</w:t>
      </w:r>
    </w:p>
    <w:p>
      <w:pPr>
        <w:pStyle w:val="BodyText"/>
        <w:tabs>
          <w:tab w:pos="1051" w:val="left" w:leader="none"/>
        </w:tabs>
        <w:spacing w:line="240" w:lineRule="auto" w:before="3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001"/>
        <w:gridCol w:w="2998"/>
        <w:gridCol w:w="2897"/>
      </w:tblGrid>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47,898,000.00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47,898,000.00</w:t>
            </w:r>
          </w:p>
        </w:tc>
        <w:tc>
          <w:tcPr>
            <w:tcW w:w="289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3"/>
          <w:pgSz w:w="11910" w:h="16840"/>
          <w:pgMar w:footer="1195" w:header="882" w:top="1120" w:bottom="1380" w:left="1660" w:right="1120"/>
          <w:pgNumType w:start="131"/>
        </w:sectPr>
      </w:pPr>
    </w:p>
    <w:p>
      <w:pPr>
        <w:pStyle w:val="BodyText"/>
        <w:spacing w:line="290" w:lineRule="auto" w:before="26"/>
        <w:ind w:left="138" w:right="0"/>
        <w:jc w:val="left"/>
      </w:pPr>
      <w:r>
        <w:rPr/>
        <w:t>长期借款分类的说明：</w:t>
      </w:r>
      <w:r>
        <w:rPr>
          <w:w w:val="100"/>
        </w:rPr>
        <w:t> </w:t>
      </w:r>
      <w:r>
        <w:rPr>
          <w:spacing w:val="-2"/>
        </w:rPr>
        <w:t>其他说明，包括利率区间：</w:t>
      </w:r>
    </w:p>
    <w:p>
      <w:pPr>
        <w:pStyle w:val="BodyText"/>
        <w:spacing w:line="227" w:lineRule="exact"/>
        <w:ind w:left="138" w:right="0"/>
        <w:jc w:val="left"/>
      </w:pPr>
      <w:r>
        <w:rPr/>
        <w:t>□适用</w:t>
      </w:r>
      <w:r>
        <w:rPr>
          <w:spacing w:val="-1"/>
        </w:rPr>
        <w:t> </w:t>
      </w:r>
      <w:r>
        <w:rPr/>
        <w:t>√不适用</w:t>
      </w:r>
    </w:p>
    <w:p>
      <w:pPr>
        <w:pStyle w:val="Heading2"/>
        <w:spacing w:line="283" w:lineRule="auto" w:before="50"/>
        <w:ind w:left="138" w:right="866"/>
        <w:jc w:val="left"/>
        <w:rPr>
          <w:b w:val="0"/>
          <w:bCs w:val="0"/>
        </w:rPr>
      </w:pPr>
      <w:r>
        <w:rPr>
          <w:rFonts w:ascii="宋体" w:hAnsi="宋体" w:cs="宋体" w:eastAsia="宋体" w:hint="default"/>
        </w:rPr>
        <w:t>46</w:t>
      </w:r>
      <w:r>
        <w:rPr/>
        <w:t>、</w:t>
      </w:r>
      <w:r>
        <w:rPr>
          <w:spacing w:val="-101"/>
        </w:rPr>
        <w:t> </w:t>
      </w:r>
      <w:r>
        <w:rPr/>
        <w:t>应付债券</w:t>
      </w:r>
      <w:r>
        <w:rPr>
          <w:w w:val="99"/>
        </w:rPr>
        <w:t> </w:t>
      </w:r>
      <w:r>
        <w:rPr>
          <w:rFonts w:ascii="宋体" w:hAnsi="宋体" w:cs="宋体" w:eastAsia="宋体" w:hint="default"/>
        </w:rPr>
        <w:t>(1).</w:t>
      </w:r>
      <w:r>
        <w:rPr>
          <w:rFonts w:ascii="宋体" w:hAnsi="宋体" w:cs="宋体" w:eastAsia="宋体" w:hint="default"/>
          <w:spacing w:val="68"/>
        </w:rPr>
        <w:t> </w:t>
      </w:r>
      <w:r>
        <w:rPr/>
        <w:t>应付债券</w:t>
      </w:r>
      <w:r>
        <w:rPr>
          <w:b w:val="0"/>
          <w:bCs w:val="0"/>
        </w:rPr>
      </w:r>
    </w:p>
    <w:p>
      <w:pPr>
        <w:pStyle w:val="BodyText"/>
        <w:spacing w:line="240" w:lineRule="auto" w:before="42"/>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661" w:space="3860"/>
            <w:col w:w="260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001"/>
        <w:gridCol w:w="3022"/>
        <w:gridCol w:w="2873"/>
      </w:tblGrid>
      <w:tr>
        <w:trPr>
          <w:trHeight w:val="32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53"/>
              <w:jc w:val="right"/>
              <w:rPr>
                <w:rFonts w:ascii="宋体" w:hAnsi="宋体" w:cs="宋体" w:eastAsia="宋体" w:hint="default"/>
                <w:sz w:val="24"/>
                <w:szCs w:val="24"/>
              </w:rPr>
            </w:pPr>
            <w:r>
              <w:rPr>
                <w:rFonts w:ascii="宋体" w:hAnsi="宋体" w:cs="宋体" w:eastAsia="宋体" w:hint="default"/>
                <w:sz w:val="24"/>
                <w:szCs w:val="24"/>
              </w:rPr>
              <w:t>项目</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38"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其他应付债券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345,367,117.34</w:t>
            </w: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3"/>
              <w:jc w:val="right"/>
              <w:rPr>
                <w:rFonts w:ascii="宋体" w:hAnsi="宋体" w:cs="宋体" w:eastAsia="宋体" w:hint="default"/>
                <w:sz w:val="24"/>
                <w:szCs w:val="24"/>
              </w:rPr>
            </w:pPr>
            <w:r>
              <w:rPr>
                <w:rFonts w:ascii="宋体" w:hAnsi="宋体" w:cs="宋体" w:eastAsia="宋体" w:hint="default"/>
                <w:sz w:val="24"/>
                <w:szCs w:val="24"/>
              </w:rPr>
              <w:t>合计</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345,367,117.34</w:t>
            </w:r>
          </w:p>
        </w:tc>
        <w:tc>
          <w:tcPr>
            <w:tcW w:w="28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5"/>
        <w:rPr>
          <w:rFonts w:ascii="宋体" w:hAnsi="宋体" w:cs="宋体" w:eastAsia="宋体" w:hint="default"/>
          <w:sz w:val="25"/>
          <w:szCs w:val="25"/>
        </w:rPr>
      </w:pPr>
    </w:p>
    <w:p>
      <w:pPr>
        <w:pStyle w:val="Heading2"/>
        <w:spacing w:line="312" w:lineRule="exact" w:before="56"/>
        <w:ind w:left="558" w:right="158" w:hanging="420"/>
        <w:jc w:val="left"/>
        <w:rPr>
          <w:b w:val="0"/>
          <w:bCs w:val="0"/>
        </w:rPr>
      </w:pPr>
      <w:r>
        <w:rPr>
          <w:rFonts w:ascii="宋体" w:hAnsi="宋体" w:cs="宋体" w:eastAsia="宋体" w:hint="default"/>
          <w:spacing w:val="1"/>
          <w:w w:val="99"/>
        </w:rPr>
        <w:t>(2).</w:t>
      </w:r>
      <w:r>
        <w:rPr>
          <w:rFonts w:ascii="宋体" w:hAnsi="宋体" w:cs="宋体" w:eastAsia="宋体" w:hint="default"/>
          <w:spacing w:val="80"/>
          <w:w w:val="99"/>
        </w:rPr>
        <w:t> </w:t>
      </w:r>
      <w:r>
        <w:rPr>
          <w:spacing w:val="-1"/>
          <w:w w:val="99"/>
        </w:rPr>
        <w:t>应付债券的增减变动：（不包括划分为金融负债的优先股、永续债等其他金融</w:t>
      </w:r>
      <w:r>
        <w:rPr>
          <w:w w:val="99"/>
        </w:rPr>
        <w:t> </w:t>
      </w:r>
      <w:r>
        <w:rPr/>
        <w:t>工具）</w:t>
      </w:r>
      <w:r>
        <w:rPr>
          <w:b w:val="0"/>
          <w:bCs w:val="0"/>
        </w:rPr>
      </w:r>
    </w:p>
    <w:p>
      <w:pPr>
        <w:pStyle w:val="Heading3"/>
        <w:tabs>
          <w:tab w:pos="1097" w:val="left" w:leader="none"/>
        </w:tabs>
        <w:spacing w:line="240" w:lineRule="auto" w:before="29"/>
        <w:ind w:left="138" w:right="158"/>
        <w:jc w:val="left"/>
      </w:pPr>
      <w:r>
        <w:rPr/>
        <w:t>√适用</w:t>
        <w:tab/>
        <w:t>□不适用</w:t>
      </w:r>
    </w:p>
    <w:p>
      <w:pPr>
        <w:pStyle w:val="Heading3"/>
        <w:tabs>
          <w:tab w:pos="1200" w:val="left" w:leader="none"/>
        </w:tabs>
        <w:spacing w:line="312" w:lineRule="exact"/>
        <w:ind w:left="0" w:right="1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96"/>
        <w:gridCol w:w="422"/>
        <w:gridCol w:w="711"/>
        <w:gridCol w:w="422"/>
        <w:gridCol w:w="1416"/>
        <w:gridCol w:w="286"/>
        <w:gridCol w:w="1133"/>
        <w:gridCol w:w="283"/>
        <w:gridCol w:w="710"/>
        <w:gridCol w:w="992"/>
        <w:gridCol w:w="386"/>
        <w:gridCol w:w="538"/>
      </w:tblGrid>
      <w:tr>
        <w:trPr>
          <w:trHeight w:val="21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11" w:right="612"/>
              <w:jc w:val="center"/>
              <w:rPr>
                <w:rFonts w:ascii="宋体" w:hAnsi="宋体" w:cs="宋体" w:eastAsia="宋体" w:hint="default"/>
                <w:sz w:val="18"/>
                <w:szCs w:val="18"/>
              </w:rPr>
            </w:pPr>
            <w:r>
              <w:rPr>
                <w:rFonts w:ascii="宋体" w:hAnsi="宋体" w:cs="宋体" w:eastAsia="宋体" w:hint="default"/>
                <w:sz w:val="18"/>
                <w:szCs w:val="18"/>
              </w:rPr>
              <w:t>债券 名称</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面值</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68" w:right="170"/>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520" w:right="523"/>
              <w:jc w:val="center"/>
              <w:rPr>
                <w:rFonts w:ascii="宋体" w:hAnsi="宋体" w:cs="宋体" w:eastAsia="宋体" w:hint="default"/>
                <w:sz w:val="18"/>
                <w:szCs w:val="18"/>
              </w:rPr>
            </w:pPr>
            <w:r>
              <w:rPr>
                <w:rFonts w:ascii="宋体" w:hAnsi="宋体" w:cs="宋体" w:eastAsia="宋体" w:hint="default"/>
                <w:sz w:val="18"/>
                <w:szCs w:val="18"/>
              </w:rPr>
              <w:t>发行 金额</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5" w:right="48"/>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379" w:right="383"/>
              <w:jc w:val="center"/>
              <w:rPr>
                <w:rFonts w:ascii="宋体" w:hAnsi="宋体" w:cs="宋体" w:eastAsia="宋体" w:hint="default"/>
                <w:sz w:val="18"/>
                <w:szCs w:val="18"/>
              </w:rPr>
            </w:pPr>
            <w:r>
              <w:rPr>
                <w:rFonts w:ascii="宋体" w:hAnsi="宋体" w:cs="宋体" w:eastAsia="宋体" w:hint="default"/>
                <w:sz w:val="18"/>
                <w:szCs w:val="18"/>
              </w:rPr>
              <w:t>本期 发行</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47" w:right="43"/>
              <w:jc w:val="both"/>
              <w:rPr>
                <w:rFonts w:ascii="宋体" w:hAnsi="宋体" w:cs="宋体" w:eastAsia="宋体" w:hint="default"/>
                <w:sz w:val="18"/>
                <w:szCs w:val="18"/>
              </w:rPr>
            </w:pPr>
            <w:r>
              <w:rPr>
                <w:rFonts w:ascii="宋体" w:hAnsi="宋体" w:cs="宋体" w:eastAsia="宋体" w:hint="default"/>
                <w:sz w:val="18"/>
                <w:szCs w:val="18"/>
              </w:rPr>
              <w:t>按 面 值 计 提 利 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利息调 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本 期 偿 还</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81" w:right="84"/>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57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4"/>
              <w:jc w:val="left"/>
              <w:rPr>
                <w:rFonts w:ascii="宋体" w:hAnsi="宋体" w:cs="宋体" w:eastAsia="宋体" w:hint="default"/>
                <w:sz w:val="18"/>
                <w:szCs w:val="18"/>
              </w:rPr>
            </w:pPr>
            <w:r>
              <w:rPr>
                <w:rFonts w:ascii="宋体" w:hAnsi="宋体" w:cs="宋体" w:eastAsia="宋体" w:hint="default"/>
                <w:sz w:val="18"/>
                <w:szCs w:val="18"/>
              </w:rPr>
              <w:t>深圳市金证科技股 份有限公司</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 公开发行公司债券</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（面向合格投资者</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（第一期）</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p>
            <w:pPr>
              <w:pStyle w:val="TableParagraph"/>
              <w:spacing w:line="240" w:lineRule="auto" w:before="76"/>
              <w:ind w:left="182" w:right="0"/>
              <w:jc w:val="center"/>
              <w:rPr>
                <w:rFonts w:ascii="宋体" w:hAnsi="宋体" w:cs="宋体" w:eastAsia="宋体" w:hint="default"/>
                <w:sz w:val="18"/>
                <w:szCs w:val="18"/>
              </w:rPr>
            </w:pPr>
            <w:r>
              <w:rPr>
                <w:rFonts w:ascii="宋体"/>
                <w:sz w:val="18"/>
              </w:rPr>
              <w:t>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宋体"/>
                <w:sz w:val="18"/>
              </w:rPr>
              <w:t>2017-11</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-13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7"/>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350,000,000.00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350,000,000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center"/>
              <w:rPr>
                <w:rFonts w:ascii="宋体" w:hAnsi="宋体" w:cs="宋体" w:eastAsia="宋体" w:hint="default"/>
                <w:sz w:val="18"/>
                <w:szCs w:val="18"/>
              </w:rPr>
            </w:pPr>
            <w:r>
              <w:rPr>
                <w:rFonts w:ascii="宋体"/>
                <w:sz w:val="18"/>
              </w:rPr>
              <w:t>4,632,8</w:t>
            </w:r>
          </w:p>
          <w:p>
            <w:pPr>
              <w:pStyle w:val="TableParagraph"/>
              <w:spacing w:line="240" w:lineRule="auto" w:before="76"/>
              <w:ind w:left="197" w:right="0"/>
              <w:jc w:val="center"/>
              <w:rPr>
                <w:rFonts w:ascii="宋体" w:hAnsi="宋体" w:cs="宋体" w:eastAsia="宋体" w:hint="default"/>
                <w:sz w:val="18"/>
                <w:szCs w:val="18"/>
              </w:rPr>
            </w:pPr>
            <w:r>
              <w:rPr>
                <w:rFonts w:ascii="宋体"/>
                <w:sz w:val="18"/>
              </w:rPr>
              <w:t>82.66</w:t>
            </w:r>
          </w:p>
        </w:tc>
        <w:tc>
          <w:tcPr>
            <w:tcW w:w="99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 w:right="0"/>
              <w:jc w:val="left"/>
              <w:rPr>
                <w:rFonts w:ascii="宋体" w:hAnsi="宋体" w:cs="宋体" w:eastAsia="宋体" w:hint="default"/>
                <w:sz w:val="18"/>
                <w:szCs w:val="18"/>
              </w:rPr>
            </w:pPr>
            <w:r>
              <w:rPr>
                <w:rFonts w:ascii="宋体"/>
                <w:sz w:val="18"/>
              </w:rPr>
              <w:t>345,3</w:t>
            </w:r>
          </w:p>
          <w:p>
            <w:pPr>
              <w:pStyle w:val="TableParagraph"/>
              <w:spacing w:line="240" w:lineRule="auto" w:before="76"/>
              <w:ind w:left="50" w:right="0"/>
              <w:jc w:val="left"/>
              <w:rPr>
                <w:rFonts w:ascii="宋体" w:hAnsi="宋体" w:cs="宋体" w:eastAsia="宋体" w:hint="default"/>
                <w:sz w:val="18"/>
                <w:szCs w:val="18"/>
              </w:rPr>
            </w:pPr>
            <w:r>
              <w:rPr>
                <w:rFonts w:ascii="宋体"/>
                <w:sz w:val="18"/>
              </w:rPr>
              <w:t>67,11</w:t>
            </w:r>
          </w:p>
          <w:p>
            <w:pPr>
              <w:pStyle w:val="TableParagraph"/>
              <w:spacing w:line="240" w:lineRule="auto" w:before="76"/>
              <w:ind w:left="141" w:right="0"/>
              <w:jc w:val="left"/>
              <w:rPr>
                <w:rFonts w:ascii="宋体" w:hAnsi="宋体" w:cs="宋体" w:eastAsia="宋体" w:hint="default"/>
                <w:sz w:val="18"/>
                <w:szCs w:val="18"/>
              </w:rPr>
            </w:pPr>
            <w:r>
              <w:rPr>
                <w:rFonts w:ascii="宋体"/>
                <w:sz w:val="18"/>
              </w:rPr>
              <w:t>7.34</w:t>
            </w:r>
          </w:p>
        </w:tc>
      </w:tr>
      <w:tr>
        <w:trPr>
          <w:trHeight w:val="94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350,000,000.00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350,000,000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center"/>
              <w:rPr>
                <w:rFonts w:ascii="宋体" w:hAnsi="宋体" w:cs="宋体" w:eastAsia="宋体" w:hint="default"/>
                <w:sz w:val="18"/>
                <w:szCs w:val="18"/>
              </w:rPr>
            </w:pPr>
            <w:r>
              <w:rPr>
                <w:rFonts w:ascii="宋体"/>
                <w:sz w:val="18"/>
              </w:rPr>
              <w:t>4,632,8</w:t>
            </w:r>
          </w:p>
          <w:p>
            <w:pPr>
              <w:pStyle w:val="TableParagraph"/>
              <w:spacing w:line="240" w:lineRule="auto" w:before="76"/>
              <w:ind w:left="197" w:right="0"/>
              <w:jc w:val="center"/>
              <w:rPr>
                <w:rFonts w:ascii="宋体" w:hAnsi="宋体" w:cs="宋体" w:eastAsia="宋体" w:hint="default"/>
                <w:sz w:val="18"/>
                <w:szCs w:val="18"/>
              </w:rPr>
            </w:pPr>
            <w:r>
              <w:rPr>
                <w:rFonts w:ascii="宋体"/>
                <w:sz w:val="18"/>
              </w:rPr>
              <w:t>82.66</w:t>
            </w:r>
          </w:p>
        </w:tc>
        <w:tc>
          <w:tcPr>
            <w:tcW w:w="99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 w:right="0"/>
              <w:jc w:val="left"/>
              <w:rPr>
                <w:rFonts w:ascii="宋体" w:hAnsi="宋体" w:cs="宋体" w:eastAsia="宋体" w:hint="default"/>
                <w:sz w:val="18"/>
                <w:szCs w:val="18"/>
              </w:rPr>
            </w:pPr>
            <w:r>
              <w:rPr>
                <w:rFonts w:ascii="宋体"/>
                <w:sz w:val="18"/>
              </w:rPr>
              <w:t>345,3</w:t>
            </w:r>
          </w:p>
          <w:p>
            <w:pPr>
              <w:pStyle w:val="TableParagraph"/>
              <w:spacing w:line="240" w:lineRule="auto" w:before="76"/>
              <w:ind w:left="50" w:right="0"/>
              <w:jc w:val="left"/>
              <w:rPr>
                <w:rFonts w:ascii="宋体" w:hAnsi="宋体" w:cs="宋体" w:eastAsia="宋体" w:hint="default"/>
                <w:sz w:val="18"/>
                <w:szCs w:val="18"/>
              </w:rPr>
            </w:pPr>
            <w:r>
              <w:rPr>
                <w:rFonts w:ascii="宋体"/>
                <w:sz w:val="18"/>
              </w:rPr>
              <w:t>67,11</w:t>
            </w:r>
          </w:p>
          <w:p>
            <w:pPr>
              <w:pStyle w:val="TableParagraph"/>
              <w:spacing w:line="240" w:lineRule="auto" w:before="76"/>
              <w:ind w:left="141" w:right="0"/>
              <w:jc w:val="left"/>
              <w:rPr>
                <w:rFonts w:ascii="宋体" w:hAnsi="宋体" w:cs="宋体" w:eastAsia="宋体" w:hint="default"/>
                <w:sz w:val="18"/>
                <w:szCs w:val="18"/>
              </w:rPr>
            </w:pPr>
            <w:r>
              <w:rPr>
                <w:rFonts w:ascii="宋体"/>
                <w:sz w:val="18"/>
              </w:rPr>
              <w:t>7.34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138" w:right="158"/>
        <w:jc w:val="left"/>
        <w:rPr>
          <w:b w:val="0"/>
          <w:bCs w:val="0"/>
        </w:rPr>
      </w:pPr>
      <w:r>
        <w:rPr>
          <w:rFonts w:ascii="宋体" w:hAnsi="宋体" w:cs="宋体" w:eastAsia="宋体" w:hint="default"/>
        </w:rPr>
        <w:t>(3).</w:t>
      </w:r>
      <w:r>
        <w:rPr>
          <w:rFonts w:ascii="宋体" w:hAnsi="宋体" w:cs="宋体" w:eastAsia="宋体" w:hint="default"/>
          <w:spacing w:val="64"/>
        </w:rPr>
        <w:t> </w:t>
      </w:r>
      <w:r>
        <w:rPr/>
        <w:t>可转换公司债券的转股条件、转股时间说明：</w:t>
      </w:r>
      <w:r>
        <w:rPr>
          <w:b w:val="0"/>
          <w:bCs w:val="0"/>
        </w:rPr>
      </w:r>
    </w:p>
    <w:p>
      <w:pPr>
        <w:pStyle w:val="BodyText"/>
        <w:tabs>
          <w:tab w:pos="980" w:val="left" w:leader="none"/>
        </w:tabs>
        <w:spacing w:line="240" w:lineRule="auto" w:before="85"/>
        <w:ind w:left="138" w:right="158"/>
        <w:jc w:val="left"/>
      </w:pPr>
      <w:r>
        <w:rPr>
          <w:spacing w:val="-1"/>
        </w:rPr>
        <w:t>□适用</w:t>
        <w:tab/>
      </w:r>
      <w:r>
        <w:rPr>
          <w:spacing w:val="-2"/>
        </w:rPr>
        <w:t>√不适用</w:t>
      </w:r>
    </w:p>
    <w:p>
      <w:pPr>
        <w:pStyle w:val="Heading2"/>
        <w:spacing w:line="240" w:lineRule="auto" w:before="69"/>
        <w:ind w:left="138" w:right="158"/>
        <w:jc w:val="left"/>
        <w:rPr>
          <w:b w:val="0"/>
          <w:bCs w:val="0"/>
        </w:rPr>
      </w:pPr>
      <w:r>
        <w:rPr>
          <w:rFonts w:ascii="宋体" w:hAnsi="宋体" w:cs="宋体" w:eastAsia="宋体" w:hint="default"/>
        </w:rPr>
        <w:t>(4).</w:t>
      </w:r>
      <w:r>
        <w:rPr>
          <w:rFonts w:ascii="宋体" w:hAnsi="宋体" w:cs="宋体" w:eastAsia="宋体" w:hint="default"/>
          <w:spacing w:val="64"/>
        </w:rPr>
        <w:t> </w:t>
      </w:r>
      <w:r>
        <w:rPr/>
        <w:t>划分为金融负债的其他金融工具说明：</w:t>
      </w:r>
      <w:r>
        <w:rPr>
          <w:b w:val="0"/>
          <w:bCs w:val="0"/>
        </w:rPr>
      </w:r>
    </w:p>
    <w:p>
      <w:pPr>
        <w:pStyle w:val="BodyText"/>
        <w:spacing w:line="240" w:lineRule="auto" w:before="85"/>
        <w:ind w:left="138" w:right="158"/>
        <w:jc w:val="left"/>
      </w:pPr>
      <w:r>
        <w:rPr/>
        <w:t>期末发行在外的优先股、永续债等其他金融工具基本情况</w:t>
      </w:r>
    </w:p>
    <w:p>
      <w:pPr>
        <w:pStyle w:val="BodyText"/>
        <w:spacing w:line="273" w:lineRule="auto" w:before="37"/>
        <w:ind w:left="138" w:right="3691"/>
        <w:jc w:val="left"/>
      </w:pPr>
      <w:r>
        <w:rPr/>
        <w:t>□适用</w:t>
      </w:r>
      <w:r>
        <w:rPr>
          <w:spacing w:val="-2"/>
        </w:rPr>
        <w:t> </w:t>
      </w:r>
      <w:r>
        <w:rPr/>
        <w:t>√不适用</w:t>
      </w:r>
      <w:r>
        <w:rPr>
          <w:w w:val="100"/>
        </w:rPr>
        <w:t> </w:t>
      </w:r>
      <w:r>
        <w:rPr>
          <w:spacing w:val="-2"/>
        </w:rPr>
        <w:t>期末发行在外的优先股、永续债等金融工具变动情况表</w:t>
      </w:r>
    </w:p>
    <w:p>
      <w:pPr>
        <w:pStyle w:val="BodyText"/>
        <w:spacing w:line="324" w:lineRule="auto" w:before="7"/>
        <w:ind w:left="138" w:right="3691"/>
        <w:jc w:val="left"/>
      </w:pPr>
      <w:r>
        <w:rPr/>
        <w:t>□适用</w:t>
      </w:r>
      <w:r>
        <w:rPr>
          <w:spacing w:val="-2"/>
        </w:rPr>
        <w:t> </w:t>
      </w:r>
      <w:r>
        <w:rPr/>
        <w:t>√不适用</w:t>
      </w:r>
      <w:r>
        <w:rPr>
          <w:w w:val="100"/>
        </w:rPr>
        <w:t> </w:t>
      </w:r>
      <w:r>
        <w:rPr>
          <w:spacing w:val="-2"/>
        </w:rPr>
        <w:t>其他金融工具划分为金融负债的依据说明</w:t>
      </w:r>
    </w:p>
    <w:p>
      <w:pPr>
        <w:pStyle w:val="BodyText"/>
        <w:spacing w:line="326" w:lineRule="auto" w:before="23"/>
        <w:ind w:left="138" w:right="7394"/>
        <w:jc w:val="left"/>
      </w:pPr>
      <w:r>
        <w:rPr/>
        <w:t>□适用</w:t>
      </w:r>
      <w:r>
        <w:rPr>
          <w:spacing w:val="-1"/>
        </w:rPr>
        <w:t> </w:t>
      </w:r>
      <w:r>
        <w:rPr/>
        <w:t>√不适用</w:t>
      </w:r>
      <w:r>
        <w:rPr>
          <w:w w:val="100"/>
        </w:rPr>
        <w:t> </w:t>
      </w:r>
      <w:r>
        <w:rPr/>
        <w:t>其他说明：</w:t>
      </w:r>
    </w:p>
    <w:p>
      <w:pPr>
        <w:pStyle w:val="BodyText"/>
        <w:spacing w:line="240" w:lineRule="auto" w:before="21"/>
        <w:ind w:left="138" w:right="158"/>
        <w:jc w:val="left"/>
      </w:pPr>
      <w:r>
        <w:rPr/>
        <w:t>□适用</w:t>
      </w:r>
      <w:r>
        <w:rPr>
          <w:spacing w:val="8"/>
        </w:rPr>
        <w:t> </w:t>
      </w:r>
      <w:r>
        <w:rPr>
          <w:spacing w:val="-3"/>
        </w:rPr>
        <w:t>√不适用</w:t>
      </w:r>
      <w:r>
        <w:rPr/>
      </w:r>
    </w:p>
    <w:p>
      <w:pPr>
        <w:pStyle w:val="Heading2"/>
        <w:spacing w:line="240" w:lineRule="auto" w:before="69"/>
        <w:ind w:left="138" w:right="158"/>
        <w:jc w:val="left"/>
        <w:rPr>
          <w:b w:val="0"/>
          <w:bCs w:val="0"/>
        </w:rPr>
      </w:pPr>
      <w:r>
        <w:rPr>
          <w:rFonts w:ascii="宋体" w:hAnsi="宋体" w:cs="宋体" w:eastAsia="宋体" w:hint="default"/>
        </w:rPr>
        <w:t>47</w:t>
      </w:r>
      <w:r>
        <w:rPr/>
        <w:t>、</w:t>
      </w:r>
      <w:r>
        <w:rPr>
          <w:spacing w:val="-103"/>
        </w:rPr>
        <w:t> </w:t>
      </w:r>
      <w:r>
        <w:rPr/>
        <w:t>长期应付款</w:t>
      </w:r>
      <w:r>
        <w:rPr>
          <w:b w:val="0"/>
          <w:bCs w:val="0"/>
        </w:rPr>
      </w:r>
    </w:p>
    <w:p>
      <w:pPr>
        <w:pStyle w:val="Heading2"/>
        <w:spacing w:line="240" w:lineRule="auto" w:before="58"/>
        <w:ind w:left="138" w:right="158"/>
        <w:jc w:val="left"/>
        <w:rPr>
          <w:b w:val="0"/>
          <w:bCs w:val="0"/>
        </w:rPr>
      </w:pPr>
      <w:r>
        <w:rPr>
          <w:rFonts w:ascii="宋体" w:hAnsi="宋体" w:cs="宋体" w:eastAsia="宋体" w:hint="default"/>
        </w:rPr>
        <w:t>(1)</w:t>
      </w:r>
      <w:r>
        <w:rPr>
          <w:rFonts w:ascii="宋体" w:hAnsi="宋体" w:cs="宋体" w:eastAsia="宋体" w:hint="default"/>
          <w:spacing w:val="-63"/>
        </w:rPr>
        <w:t> </w:t>
      </w:r>
      <w:r>
        <w:rPr/>
        <w:t>按款项性质列示长期应付款：</w:t>
      </w:r>
      <w:r>
        <w:rPr>
          <w:b w:val="0"/>
          <w:bCs w:val="0"/>
        </w:rPr>
      </w:r>
    </w:p>
    <w:p>
      <w:pPr>
        <w:pStyle w:val="BodyText"/>
        <w:spacing w:line="240" w:lineRule="auto" w:before="25"/>
        <w:ind w:left="138" w:right="158"/>
        <w:jc w:val="left"/>
      </w:pPr>
      <w:r>
        <w:rPr/>
        <w:t>□适用</w:t>
      </w:r>
      <w:r>
        <w:rPr>
          <w:spacing w:val="-1"/>
        </w:rPr>
        <w:t> </w:t>
      </w:r>
      <w:r>
        <w:rPr/>
        <w:t>√不适用</w:t>
      </w:r>
    </w:p>
    <w:p>
      <w:pPr>
        <w:pStyle w:val="Heading2"/>
        <w:spacing w:line="240" w:lineRule="auto" w:before="69"/>
        <w:ind w:left="138" w:right="158"/>
        <w:jc w:val="left"/>
        <w:rPr>
          <w:b w:val="0"/>
          <w:bCs w:val="0"/>
        </w:rPr>
      </w:pPr>
      <w:r>
        <w:rPr>
          <w:rFonts w:ascii="宋体" w:hAnsi="宋体" w:cs="宋体" w:eastAsia="宋体" w:hint="default"/>
        </w:rPr>
        <w:t>48</w:t>
      </w:r>
      <w:r>
        <w:rPr/>
        <w:t>、</w:t>
      </w:r>
      <w:r>
        <w:rPr>
          <w:spacing w:val="-104"/>
        </w:rPr>
        <w:t> </w:t>
      </w:r>
      <w:r>
        <w:rPr/>
        <w:t>长期应付职工薪酬</w:t>
      </w:r>
      <w:r>
        <w:rPr>
          <w:b w:val="0"/>
          <w:bCs w:val="0"/>
        </w:rPr>
      </w:r>
    </w:p>
    <w:p>
      <w:pPr>
        <w:pStyle w:val="BodyText"/>
        <w:spacing w:line="240" w:lineRule="auto" w:before="85"/>
        <w:ind w:left="138" w:right="158"/>
        <w:jc w:val="left"/>
      </w:pPr>
      <w:r>
        <w:rPr/>
        <w:t>□适用</w:t>
      </w:r>
      <w:r>
        <w:rPr>
          <w:spacing w:val="-1"/>
        </w:rPr>
        <w:t> </w:t>
      </w:r>
      <w:r>
        <w:rPr/>
        <w:t>√不适用</w:t>
      </w:r>
    </w:p>
    <w:p>
      <w:pPr>
        <w:pStyle w:val="Heading2"/>
        <w:spacing w:line="240" w:lineRule="auto" w:before="69"/>
        <w:ind w:left="138" w:right="158"/>
        <w:jc w:val="left"/>
        <w:rPr>
          <w:b w:val="0"/>
          <w:bCs w:val="0"/>
        </w:rPr>
      </w:pPr>
      <w:r>
        <w:rPr>
          <w:rFonts w:ascii="宋体" w:hAnsi="宋体" w:cs="宋体" w:eastAsia="宋体" w:hint="default"/>
        </w:rPr>
        <w:t>49</w:t>
      </w:r>
      <w:r>
        <w:rPr/>
        <w:t>、</w:t>
      </w:r>
      <w:r>
        <w:rPr>
          <w:spacing w:val="-103"/>
        </w:rPr>
        <w:t> </w:t>
      </w:r>
      <w:r>
        <w:rPr/>
        <w:t>专项应付款</w:t>
      </w:r>
      <w:r>
        <w:rPr>
          <w:b w:val="0"/>
          <w:bCs w:val="0"/>
        </w:rPr>
      </w:r>
    </w:p>
    <w:p>
      <w:pPr>
        <w:pStyle w:val="BodyText"/>
        <w:spacing w:line="240" w:lineRule="auto" w:before="85"/>
        <w:ind w:left="138" w:right="158"/>
        <w:jc w:val="left"/>
      </w:pPr>
      <w:r>
        <w:rPr/>
        <w:t>□适用</w:t>
      </w:r>
      <w:r>
        <w:rPr>
          <w:spacing w:val="-1"/>
        </w:rPr>
        <w:t> </w:t>
      </w:r>
      <w:r>
        <w:rPr/>
        <w:t>√不适用</w:t>
      </w:r>
    </w:p>
    <w:p>
      <w:pPr>
        <w:pStyle w:val="Heading2"/>
        <w:spacing w:line="240" w:lineRule="auto" w:before="69"/>
        <w:ind w:left="138" w:right="158"/>
        <w:jc w:val="left"/>
        <w:rPr>
          <w:b w:val="0"/>
          <w:bCs w:val="0"/>
        </w:rPr>
      </w:pPr>
      <w:r>
        <w:rPr>
          <w:rFonts w:ascii="宋体" w:hAnsi="宋体" w:cs="宋体" w:eastAsia="宋体" w:hint="default"/>
        </w:rPr>
        <w:t>50</w:t>
      </w:r>
      <w:r>
        <w:rPr/>
        <w:t>、</w:t>
      </w:r>
      <w:r>
        <w:rPr>
          <w:spacing w:val="-102"/>
        </w:rPr>
        <w:t> </w:t>
      </w:r>
      <w:r>
        <w:rPr/>
        <w:t>预计负债</w:t>
      </w:r>
      <w:r>
        <w:rPr>
          <w:b w:val="0"/>
          <w:bCs w:val="0"/>
        </w:rPr>
      </w:r>
    </w:p>
    <w:p>
      <w:pPr>
        <w:pStyle w:val="BodyText"/>
        <w:spacing w:line="240" w:lineRule="auto" w:before="85"/>
        <w:ind w:left="138" w:right="158"/>
        <w:jc w:val="left"/>
      </w:pPr>
      <w:r>
        <w:rPr/>
        <w:t>□适用</w:t>
      </w:r>
      <w:r>
        <w:rPr>
          <w:spacing w:val="-1"/>
        </w:rPr>
        <w:t> </w:t>
      </w:r>
      <w:r>
        <w:rPr/>
        <w:t>√不适用</w:t>
      </w:r>
    </w:p>
    <w:p>
      <w:pPr>
        <w:spacing w:after="0" w:line="240" w:lineRule="auto"/>
        <w:jc w:val="left"/>
        <w:sectPr>
          <w:pgSz w:w="11910" w:h="16840"/>
          <w:pgMar w:header="882" w:footer="1195" w:top="1120" w:bottom="1380" w:left="1660" w:right="11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spacing w:line="283" w:lineRule="auto" w:before="26"/>
        <w:ind w:left="138" w:right="434" w:firstLine="0"/>
        <w:jc w:val="left"/>
        <w:rPr>
          <w:rFonts w:ascii="宋体" w:hAnsi="宋体" w:cs="宋体" w:eastAsia="宋体" w:hint="default"/>
          <w:sz w:val="24"/>
          <w:szCs w:val="24"/>
        </w:rPr>
      </w:pPr>
      <w:r>
        <w:rPr>
          <w:rFonts w:ascii="宋体" w:hAnsi="宋体" w:cs="宋体" w:eastAsia="宋体" w:hint="default"/>
          <w:b/>
          <w:bCs/>
          <w:sz w:val="24"/>
          <w:szCs w:val="24"/>
        </w:rPr>
        <w:t>51</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递延收益</w:t>
      </w:r>
      <w:r>
        <w:rPr>
          <w:rFonts w:ascii="宋体" w:hAnsi="宋体" w:cs="宋体" w:eastAsia="宋体" w:hint="default"/>
          <w:b/>
          <w:bCs/>
          <w:w w:val="99"/>
          <w:sz w:val="24"/>
          <w:szCs w:val="24"/>
        </w:rPr>
        <w:t> </w:t>
      </w:r>
      <w:r>
        <w:rPr>
          <w:rFonts w:ascii="宋体" w:hAnsi="宋体" w:cs="宋体" w:eastAsia="宋体" w:hint="default"/>
          <w:sz w:val="24"/>
          <w:szCs w:val="24"/>
        </w:rPr>
        <w:t>递延收益情况</w:t>
      </w:r>
    </w:p>
    <w:p>
      <w:pPr>
        <w:pStyle w:val="Heading3"/>
        <w:tabs>
          <w:tab w:pos="1097" w:val="left" w:leader="none"/>
        </w:tabs>
        <w:spacing w:line="269" w:lineRule="exact"/>
        <w:ind w:left="13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0"/>
          <w:szCs w:val="30"/>
        </w:rPr>
      </w:pPr>
    </w:p>
    <w:p>
      <w:pPr>
        <w:pStyle w:val="Heading3"/>
        <w:tabs>
          <w:tab w:pos="1338"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2059" w:space="4134"/>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1"/>
              <w:jc w:val="left"/>
              <w:rPr>
                <w:rFonts w:ascii="宋体" w:hAnsi="宋体" w:cs="宋体" w:eastAsia="宋体" w:hint="default"/>
                <w:sz w:val="21"/>
                <w:szCs w:val="21"/>
              </w:rPr>
            </w:pPr>
            <w:r>
              <w:rPr>
                <w:rFonts w:ascii="宋体" w:hAnsi="宋体" w:cs="宋体" w:eastAsia="宋体" w:hint="default"/>
                <w:sz w:val="21"/>
                <w:szCs w:val="21"/>
              </w:rPr>
              <w:t>与资产相关政</w:t>
            </w:r>
            <w:r>
              <w:rPr>
                <w:rFonts w:ascii="宋体" w:hAnsi="宋体" w:cs="宋体" w:eastAsia="宋体" w:hint="default"/>
                <w:w w:val="100"/>
                <w:sz w:val="21"/>
                <w:szCs w:val="21"/>
              </w:rPr>
              <w:t> </w:t>
            </w:r>
            <w:r>
              <w:rPr>
                <w:rFonts w:ascii="宋体" w:hAnsi="宋体" w:cs="宋体" w:eastAsia="宋体" w:hint="default"/>
                <w:sz w:val="21"/>
                <w:szCs w:val="21"/>
              </w:rPr>
              <w:t>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9,338,148.46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6" w:right="0"/>
              <w:jc w:val="center"/>
              <w:rPr>
                <w:rFonts w:ascii="宋体" w:hAnsi="宋体" w:cs="宋体" w:eastAsia="宋体" w:hint="default"/>
                <w:sz w:val="21"/>
                <w:szCs w:val="21"/>
              </w:rPr>
            </w:pPr>
            <w:r>
              <w:rPr>
                <w:rFonts w:ascii="宋体"/>
                <w:sz w:val="21"/>
              </w:rPr>
              <w:t>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9" w:right="0"/>
              <w:jc w:val="center"/>
              <w:rPr>
                <w:rFonts w:ascii="宋体" w:hAnsi="宋体" w:cs="宋体" w:eastAsia="宋体" w:hint="default"/>
                <w:sz w:val="21"/>
                <w:szCs w:val="21"/>
              </w:rPr>
            </w:pPr>
            <w:r>
              <w:rPr>
                <w:rFonts w:ascii="宋体"/>
                <w:sz w:val="21"/>
              </w:rPr>
              <w:t>3,251,284.35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11,086,864.11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政府补助款</w:t>
            </w:r>
          </w:p>
        </w:tc>
      </w:tr>
      <w:tr>
        <w:trPr>
          <w:trHeight w:val="63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1"/>
              <w:jc w:val="left"/>
              <w:rPr>
                <w:rFonts w:ascii="宋体" w:hAnsi="宋体" w:cs="宋体" w:eastAsia="宋体" w:hint="default"/>
                <w:sz w:val="21"/>
                <w:szCs w:val="21"/>
              </w:rPr>
            </w:pPr>
            <w:r>
              <w:rPr>
                <w:rFonts w:ascii="宋体" w:hAnsi="宋体" w:cs="宋体" w:eastAsia="宋体" w:hint="default"/>
                <w:sz w:val="21"/>
                <w:szCs w:val="21"/>
              </w:rPr>
              <w:t>与收益相关政</w:t>
            </w:r>
            <w:r>
              <w:rPr>
                <w:rFonts w:ascii="宋体" w:hAnsi="宋体" w:cs="宋体" w:eastAsia="宋体" w:hint="default"/>
                <w:w w:val="100"/>
                <w:sz w:val="21"/>
                <w:szCs w:val="21"/>
              </w:rPr>
              <w:t> </w:t>
            </w:r>
            <w:r>
              <w:rPr>
                <w:rFonts w:ascii="宋体" w:hAnsi="宋体" w:cs="宋体" w:eastAsia="宋体" w:hint="default"/>
                <w:sz w:val="21"/>
                <w:szCs w:val="21"/>
              </w:rPr>
              <w:t>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1"/>
                <w:szCs w:val="21"/>
              </w:rPr>
            </w:pPr>
            <w:r>
              <w:rPr>
                <w:rFonts w:ascii="宋体"/>
                <w:spacing w:val="-1"/>
                <w:sz w:val="21"/>
              </w:rPr>
              <w:t>6,285,602.62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36" w:right="0"/>
              <w:jc w:val="center"/>
              <w:rPr>
                <w:rFonts w:ascii="宋体" w:hAnsi="宋体" w:cs="宋体" w:eastAsia="宋体" w:hint="default"/>
                <w:sz w:val="21"/>
                <w:szCs w:val="21"/>
              </w:rPr>
            </w:pPr>
            <w:r>
              <w:rPr>
                <w:rFonts w:ascii="宋体"/>
                <w:sz w:val="21"/>
              </w:rPr>
              <w:t>3,969,000.00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9" w:right="0"/>
              <w:jc w:val="center"/>
              <w:rPr>
                <w:rFonts w:ascii="宋体" w:hAnsi="宋体" w:cs="宋体" w:eastAsia="宋体" w:hint="default"/>
                <w:sz w:val="21"/>
                <w:szCs w:val="21"/>
              </w:rPr>
            </w:pPr>
            <w:r>
              <w:rPr>
                <w:rFonts w:ascii="宋体"/>
                <w:sz w:val="21"/>
              </w:rPr>
              <w:t>5,635,037.15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1"/>
                <w:szCs w:val="21"/>
              </w:rPr>
            </w:pPr>
            <w:r>
              <w:rPr>
                <w:rFonts w:ascii="宋体"/>
                <w:spacing w:val="-1"/>
                <w:sz w:val="21"/>
              </w:rPr>
              <w:t>4,619,565.47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政府补助款</w:t>
            </w:r>
          </w:p>
        </w:tc>
      </w:tr>
      <w:tr>
        <w:trPr>
          <w:trHeight w:val="32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15,623,751.08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6" w:right="0"/>
              <w:jc w:val="center"/>
              <w:rPr>
                <w:rFonts w:ascii="宋体" w:hAnsi="宋体" w:cs="宋体" w:eastAsia="宋体" w:hint="default"/>
                <w:sz w:val="21"/>
                <w:szCs w:val="21"/>
              </w:rPr>
            </w:pPr>
            <w:r>
              <w:rPr>
                <w:rFonts w:ascii="宋体"/>
                <w:sz w:val="21"/>
              </w:rPr>
              <w:t>8,969,000.00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9" w:right="0"/>
              <w:jc w:val="center"/>
              <w:rPr>
                <w:rFonts w:ascii="宋体" w:hAnsi="宋体" w:cs="宋体" w:eastAsia="宋体" w:hint="default"/>
                <w:sz w:val="21"/>
                <w:szCs w:val="21"/>
              </w:rPr>
            </w:pPr>
            <w:r>
              <w:rPr>
                <w:rFonts w:ascii="宋体"/>
                <w:sz w:val="21"/>
              </w:rPr>
              <w:t>8,886,321.50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15,706,429.58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660" w:right="1120"/>
        </w:sectPr>
      </w:pPr>
    </w:p>
    <w:p>
      <w:pPr>
        <w:pStyle w:val="Heading3"/>
        <w:spacing w:line="240" w:lineRule="auto" w:before="26"/>
        <w:ind w:left="138" w:right="-20"/>
        <w:jc w:val="left"/>
      </w:pPr>
      <w:r>
        <w:rPr/>
        <w:t>涉及政府补助的项目：</w:t>
      </w:r>
    </w:p>
    <w:p>
      <w:pPr>
        <w:pStyle w:val="Heading3"/>
        <w:tabs>
          <w:tab w:pos="1097" w:val="left" w:leader="none"/>
        </w:tabs>
        <w:spacing w:line="240" w:lineRule="auto" w:before="58"/>
        <w:ind w:left="138" w:right="-2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34"/>
          <w:szCs w:val="34"/>
        </w:rPr>
      </w:pPr>
    </w:p>
    <w:p>
      <w:pPr>
        <w:pStyle w:val="Heading3"/>
        <w:tabs>
          <w:tab w:pos="1338"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2539" w:space="3654"/>
            <w:col w:w="2937"/>
          </w:cols>
        </w:sectPr>
      </w:pPr>
    </w:p>
    <w:p>
      <w:pPr>
        <w:spacing w:line="240" w:lineRule="auto" w:before="7"/>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166"/>
        <w:gridCol w:w="1513"/>
        <w:gridCol w:w="1320"/>
        <w:gridCol w:w="711"/>
        <w:gridCol w:w="1418"/>
        <w:gridCol w:w="446"/>
        <w:gridCol w:w="1426"/>
        <w:gridCol w:w="895"/>
      </w:tblGrid>
      <w:tr>
        <w:trPr>
          <w:trHeight w:val="125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46" w:right="19"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 w:right="29"/>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83" w:right="72" w:hanging="212"/>
              <w:jc w:val="left"/>
              <w:rPr>
                <w:rFonts w:ascii="宋体" w:hAnsi="宋体" w:cs="宋体" w:eastAsia="宋体" w:hint="default"/>
                <w:sz w:val="21"/>
                <w:szCs w:val="21"/>
              </w:rPr>
            </w:pPr>
            <w:r>
              <w:rPr>
                <w:rFonts w:ascii="宋体" w:hAnsi="宋体" w:cs="宋体" w:eastAsia="宋体" w:hint="default"/>
                <w:sz w:val="21"/>
                <w:szCs w:val="21"/>
              </w:rPr>
              <w:t>本期计入当期</w:t>
            </w:r>
            <w:r>
              <w:rPr>
                <w:rFonts w:ascii="宋体" w:hAnsi="宋体" w:cs="宋体" w:eastAsia="宋体" w:hint="default"/>
                <w:w w:val="100"/>
                <w:sz w:val="21"/>
                <w:szCs w:val="21"/>
              </w:rPr>
              <w:t> </w:t>
            </w:r>
            <w:r>
              <w:rPr>
                <w:rFonts w:ascii="宋体" w:hAnsi="宋体" w:cs="宋体" w:eastAsia="宋体" w:hint="default"/>
                <w:sz w:val="21"/>
                <w:szCs w:val="21"/>
              </w:rPr>
              <w:t>损益金额</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13"/>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4" w:right="72" w:hanging="3"/>
              <w:jc w:val="center"/>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w w:val="100"/>
                <w:sz w:val="21"/>
                <w:szCs w:val="21"/>
              </w:rPr>
              <w:t> </w:t>
            </w: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25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left"/>
              <w:rPr>
                <w:rFonts w:ascii="宋体" w:hAnsi="宋体" w:cs="宋体" w:eastAsia="宋体" w:hint="default"/>
                <w:sz w:val="21"/>
                <w:szCs w:val="21"/>
              </w:rPr>
            </w:pPr>
            <w:r>
              <w:rPr>
                <w:rFonts w:ascii="宋体" w:hAnsi="宋体" w:cs="宋体" w:eastAsia="宋体" w:hint="default"/>
                <w:sz w:val="21"/>
                <w:szCs w:val="21"/>
              </w:rPr>
              <w:t>建设资助资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金（技术中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心财政补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3,000,000.00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3,000,000.00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25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both"/>
              <w:rPr>
                <w:rFonts w:ascii="宋体" w:hAnsi="宋体" w:cs="宋体" w:eastAsia="宋体" w:hint="default"/>
                <w:sz w:val="21"/>
                <w:szCs w:val="21"/>
              </w:rPr>
            </w:pPr>
            <w:r>
              <w:rPr>
                <w:rFonts w:ascii="宋体" w:hAnsi="宋体" w:cs="宋体" w:eastAsia="宋体" w:hint="default"/>
                <w:sz w:val="21"/>
                <w:szCs w:val="21"/>
              </w:rPr>
              <w:t>金融信息系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统灾难恢复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专业化服务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2,206,247.13</w:t>
            </w:r>
          </w:p>
        </w:tc>
        <w:tc>
          <w:tcPr>
            <w:tcW w:w="13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987,369.22</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1,218,877.91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26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both"/>
              <w:rPr>
                <w:rFonts w:ascii="宋体" w:hAnsi="宋体" w:cs="宋体" w:eastAsia="宋体" w:hint="default"/>
                <w:sz w:val="21"/>
                <w:szCs w:val="21"/>
              </w:rPr>
            </w:pPr>
            <w:r>
              <w:rPr>
                <w:rFonts w:ascii="宋体" w:hAnsi="宋体" w:cs="宋体" w:eastAsia="宋体" w:hint="default"/>
                <w:sz w:val="21"/>
                <w:szCs w:val="21"/>
              </w:rPr>
              <w:t>基于企业</w:t>
            </w:r>
            <w:r>
              <w:rPr>
                <w:rFonts w:ascii="宋体" w:hAnsi="宋体" w:cs="宋体" w:eastAsia="宋体" w:hint="default"/>
                <w:spacing w:val="-51"/>
                <w:sz w:val="21"/>
                <w:szCs w:val="21"/>
              </w:rPr>
              <w:t> </w:t>
            </w:r>
            <w:r>
              <w:rPr>
                <w:rFonts w:ascii="宋体" w:hAnsi="宋体" w:cs="宋体" w:eastAsia="宋体" w:hint="default"/>
                <w:spacing w:val="-3"/>
                <w:sz w:val="21"/>
                <w:szCs w:val="21"/>
              </w:rPr>
              <w:t>QQ</w:t>
            </w:r>
            <w:r>
              <w:rPr>
                <w:rFonts w:ascii="宋体" w:hAnsi="宋体" w:cs="宋体" w:eastAsia="宋体" w:hint="default"/>
                <w:spacing w:val="-3"/>
                <w:w w:val="100"/>
                <w:sz w:val="21"/>
                <w:szCs w:val="21"/>
              </w:rPr>
              <w:t> </w:t>
            </w:r>
            <w:r>
              <w:rPr>
                <w:rFonts w:ascii="宋体" w:hAnsi="宋体" w:cs="宋体" w:eastAsia="宋体" w:hint="default"/>
                <w:sz w:val="21"/>
                <w:szCs w:val="21"/>
              </w:rPr>
              <w:t>的证券交易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服务平台企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业化项目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2,602,573.86</w:t>
            </w:r>
          </w:p>
        </w:tc>
        <w:tc>
          <w:tcPr>
            <w:tcW w:w="13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1,560,907.11</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1,041,666.75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25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both"/>
              <w:rPr>
                <w:rFonts w:ascii="宋体" w:hAnsi="宋体" w:cs="宋体" w:eastAsia="宋体" w:hint="default"/>
                <w:sz w:val="21"/>
                <w:szCs w:val="21"/>
              </w:rPr>
            </w:pPr>
            <w:r>
              <w:rPr>
                <w:rFonts w:ascii="宋体" w:hAnsi="宋体" w:cs="宋体" w:eastAsia="宋体" w:hint="default"/>
                <w:sz w:val="21"/>
                <w:szCs w:val="21"/>
              </w:rPr>
              <w:t>基于大数据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的基层慢病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健康管理应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1,014,827.47</w:t>
            </w:r>
          </w:p>
        </w:tc>
        <w:tc>
          <w:tcPr>
            <w:tcW w:w="13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516,702.46</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498,125.01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25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both"/>
              <w:rPr>
                <w:rFonts w:ascii="宋体" w:hAnsi="宋体" w:cs="宋体" w:eastAsia="宋体" w:hint="default"/>
                <w:sz w:val="21"/>
                <w:szCs w:val="21"/>
              </w:rPr>
            </w:pPr>
            <w:r>
              <w:rPr>
                <w:rFonts w:ascii="宋体" w:hAnsi="宋体" w:cs="宋体" w:eastAsia="宋体" w:hint="default"/>
                <w:sz w:val="21"/>
                <w:szCs w:val="21"/>
              </w:rPr>
              <w:t>互联网金融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证券交易结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算处理技术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工程实验室</w:t>
            </w:r>
          </w:p>
        </w:tc>
        <w:tc>
          <w:tcPr>
            <w:tcW w:w="15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5,000,000.00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5,000,000.00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63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left"/>
              <w:rPr>
                <w:rFonts w:ascii="宋体" w:hAnsi="宋体" w:cs="宋体" w:eastAsia="宋体" w:hint="default"/>
                <w:sz w:val="21"/>
                <w:szCs w:val="21"/>
              </w:rPr>
            </w:pPr>
            <w:r>
              <w:rPr>
                <w:rFonts w:ascii="宋体" w:hAnsi="宋体" w:cs="宋体" w:eastAsia="宋体" w:hint="default"/>
                <w:sz w:val="21"/>
                <w:szCs w:val="21"/>
              </w:rPr>
              <w:t>科技研发资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金资助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1,100,000.00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1,100,000.00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32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
              <w:jc w:val="center"/>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pacing w:val="-52"/>
                <w:sz w:val="21"/>
                <w:szCs w:val="21"/>
              </w:rPr>
              <w:t> </w:t>
            </w:r>
            <w:r>
              <w:rPr>
                <w:rFonts w:ascii="宋体" w:hAnsi="宋体" w:cs="宋体" w:eastAsia="宋体" w:hint="default"/>
                <w:sz w:val="21"/>
                <w:szCs w:val="21"/>
              </w:rPr>
              <w:t>863</w:t>
            </w:r>
            <w:r>
              <w:rPr>
                <w:rFonts w:ascii="宋体" w:hAnsi="宋体" w:cs="宋体" w:eastAsia="宋体" w:hint="default"/>
                <w:spacing w:val="-52"/>
                <w:sz w:val="21"/>
                <w:szCs w:val="21"/>
              </w:rPr>
              <w:t> </w:t>
            </w:r>
            <w:r>
              <w:rPr>
                <w:rFonts w:ascii="宋体" w:hAnsi="宋体" w:cs="宋体" w:eastAsia="宋体" w:hint="default"/>
                <w:sz w:val="21"/>
                <w:szCs w:val="21"/>
              </w:rPr>
              <w:t>项</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514,500.00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186,305.56</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328,194.44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w:t>
            </w:r>
          </w:p>
        </w:tc>
      </w:tr>
    </w:tbl>
    <w:p>
      <w:pPr>
        <w:spacing w:after="0" w:line="262"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166"/>
        <w:gridCol w:w="1513"/>
        <w:gridCol w:w="1320"/>
        <w:gridCol w:w="711"/>
        <w:gridCol w:w="1418"/>
        <w:gridCol w:w="446"/>
        <w:gridCol w:w="1426"/>
        <w:gridCol w:w="895"/>
      </w:tblGrid>
      <w:tr>
        <w:trPr>
          <w:trHeight w:val="157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both"/>
              <w:rPr>
                <w:rFonts w:ascii="宋体" w:hAnsi="宋体" w:cs="宋体" w:eastAsia="宋体" w:hint="default"/>
                <w:sz w:val="21"/>
                <w:szCs w:val="21"/>
              </w:rPr>
            </w:pPr>
            <w:r>
              <w:rPr>
                <w:rFonts w:ascii="宋体" w:hAnsi="宋体" w:cs="宋体" w:eastAsia="宋体" w:hint="default"/>
                <w:sz w:val="21"/>
                <w:szCs w:val="21"/>
              </w:rPr>
              <w:t>目（区域医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疗和公共卫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生的数据处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理分析及应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w:t>
            </w:r>
          </w:p>
        </w:tc>
        <w:tc>
          <w:tcPr>
            <w:tcW w:w="15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37"/>
              <w:jc w:val="right"/>
              <w:rPr>
                <w:rFonts w:ascii="宋体" w:hAnsi="宋体" w:cs="宋体" w:eastAsia="宋体" w:hint="default"/>
                <w:sz w:val="21"/>
                <w:szCs w:val="21"/>
              </w:rPr>
            </w:pPr>
            <w:r>
              <w:rPr>
                <w:rFonts w:ascii="宋体" w:hAnsi="宋体" w:cs="宋体" w:eastAsia="宋体" w:hint="default"/>
                <w:sz w:val="21"/>
                <w:szCs w:val="21"/>
              </w:rPr>
              <w:t>相关</w:t>
            </w:r>
          </w:p>
        </w:tc>
      </w:tr>
      <w:tr>
        <w:trPr>
          <w:trHeight w:val="188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both"/>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pacing w:val="-52"/>
                <w:sz w:val="21"/>
                <w:szCs w:val="21"/>
              </w:rPr>
              <w:t> </w:t>
            </w:r>
            <w:r>
              <w:rPr>
                <w:rFonts w:ascii="宋体" w:hAnsi="宋体" w:cs="宋体" w:eastAsia="宋体" w:hint="default"/>
                <w:sz w:val="21"/>
                <w:szCs w:val="21"/>
              </w:rPr>
              <w:t>863</w:t>
            </w:r>
            <w:r>
              <w:rPr>
                <w:rFonts w:ascii="宋体" w:hAnsi="宋体" w:cs="宋体" w:eastAsia="宋体" w:hint="default"/>
                <w:spacing w:val="-52"/>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目（区域医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疗和公共卫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生的数据处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理分析及应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456,464.42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469,000.00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618,148.88</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307,315.54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63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left"/>
              <w:rPr>
                <w:rFonts w:ascii="宋体" w:hAnsi="宋体" w:cs="宋体" w:eastAsia="宋体" w:hint="default"/>
                <w:sz w:val="21"/>
                <w:szCs w:val="21"/>
              </w:rPr>
            </w:pPr>
            <w:r>
              <w:rPr>
                <w:rFonts w:ascii="宋体" w:hAnsi="宋体" w:cs="宋体" w:eastAsia="宋体" w:hint="default"/>
                <w:sz w:val="21"/>
                <w:szCs w:val="21"/>
              </w:rPr>
              <w:t>智慧停车系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统研发项目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1,663,435.72</w:t>
            </w:r>
          </w:p>
        </w:tc>
        <w:tc>
          <w:tcPr>
            <w:tcW w:w="13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514,950.10</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1,148,485.62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25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both"/>
              <w:rPr>
                <w:rFonts w:ascii="宋体" w:hAnsi="宋体" w:cs="宋体" w:eastAsia="宋体" w:hint="default"/>
                <w:sz w:val="21"/>
                <w:szCs w:val="21"/>
              </w:rPr>
            </w:pPr>
            <w:r>
              <w:rPr>
                <w:rFonts w:ascii="宋体" w:hAnsi="宋体" w:cs="宋体" w:eastAsia="宋体" w:hint="default"/>
                <w:sz w:val="21"/>
                <w:szCs w:val="21"/>
              </w:rPr>
              <w:t>城市管理指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挥监督云平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台（贷款贴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3,065,702.48</w:t>
            </w:r>
          </w:p>
        </w:tc>
        <w:tc>
          <w:tcPr>
            <w:tcW w:w="13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1,856,424.19</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1,209,278.29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63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left"/>
              <w:rPr>
                <w:rFonts w:ascii="宋体" w:hAnsi="宋体" w:cs="宋体" w:eastAsia="宋体" w:hint="default"/>
                <w:sz w:val="21"/>
                <w:szCs w:val="21"/>
              </w:rPr>
            </w:pPr>
            <w:r>
              <w:rPr>
                <w:rFonts w:ascii="宋体" w:hAnsi="宋体" w:cs="宋体" w:eastAsia="宋体" w:hint="default"/>
                <w:sz w:val="21"/>
                <w:szCs w:val="21"/>
              </w:rPr>
              <w:t>企业研发投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入补助</w:t>
            </w:r>
          </w:p>
        </w:tc>
        <w:tc>
          <w:tcPr>
            <w:tcW w:w="15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2,000,000.00</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63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科学技术奖</w:t>
            </w:r>
          </w:p>
        </w:tc>
        <w:tc>
          <w:tcPr>
            <w:tcW w:w="15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500,000.00</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57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both"/>
              <w:rPr>
                <w:rFonts w:ascii="宋体" w:hAnsi="宋体" w:cs="宋体" w:eastAsia="宋体" w:hint="default"/>
                <w:sz w:val="21"/>
                <w:szCs w:val="21"/>
              </w:rPr>
            </w:pPr>
            <w:r>
              <w:rPr>
                <w:rFonts w:ascii="宋体" w:hAnsi="宋体" w:cs="宋体" w:eastAsia="宋体" w:hint="default"/>
                <w:sz w:val="21"/>
                <w:szCs w:val="21"/>
              </w:rPr>
              <w:t>基于可见光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通信的定位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技术在室内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停车场的应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用示范</w:t>
            </w:r>
          </w:p>
        </w:tc>
        <w:tc>
          <w:tcPr>
            <w:tcW w:w="15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145,513.98</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854,486.02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7"/>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32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15,623,751.08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8,969,000.00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8,886,321.50</w:t>
            </w:r>
          </w:p>
        </w:tc>
        <w:tc>
          <w:tcPr>
            <w:tcW w:w="4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15,706,429.58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89"/>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BodyText"/>
        <w:spacing w:line="240" w:lineRule="auto" w:before="36"/>
        <w:ind w:right="-17"/>
        <w:jc w:val="left"/>
      </w:pPr>
      <w:r>
        <w:rPr/>
        <w:t>其他说明：</w:t>
      </w:r>
    </w:p>
    <w:p>
      <w:pPr>
        <w:pStyle w:val="BodyText"/>
        <w:spacing w:line="240" w:lineRule="auto" w:before="97"/>
        <w:ind w:right="-17"/>
        <w:jc w:val="left"/>
      </w:pPr>
      <w:r>
        <w:rPr/>
        <w:t>□适用</w:t>
      </w:r>
      <w:r>
        <w:rPr>
          <w:spacing w:val="-1"/>
        </w:rPr>
        <w:t> </w:t>
      </w:r>
      <w:r>
        <w:rPr/>
        <w:t>√不适用</w:t>
      </w:r>
    </w:p>
    <w:p>
      <w:pPr>
        <w:pStyle w:val="Heading2"/>
        <w:spacing w:line="240" w:lineRule="auto" w:before="69"/>
        <w:ind w:right="-17"/>
        <w:jc w:val="left"/>
        <w:rPr>
          <w:b w:val="0"/>
          <w:bCs w:val="0"/>
        </w:rPr>
      </w:pPr>
      <w:r>
        <w:rPr>
          <w:rFonts w:ascii="宋体" w:hAnsi="宋体" w:cs="宋体" w:eastAsia="宋体" w:hint="default"/>
        </w:rPr>
        <w:t>52</w:t>
      </w:r>
      <w:r>
        <w:rPr/>
        <w:t>、</w:t>
      </w:r>
      <w:r>
        <w:rPr>
          <w:spacing w:val="-103"/>
        </w:rPr>
        <w:t> </w:t>
      </w:r>
      <w:r>
        <w:rPr/>
        <w:t>其他非流动负债</w:t>
      </w:r>
      <w:r>
        <w:rPr>
          <w:b w:val="0"/>
          <w:bCs w:val="0"/>
        </w:rPr>
      </w:r>
    </w:p>
    <w:p>
      <w:pPr>
        <w:pStyle w:val="BodyText"/>
        <w:spacing w:line="240" w:lineRule="auto" w:before="85"/>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09" w:space="4113"/>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确认的</w:t>
            </w:r>
            <w:r>
              <w:rPr>
                <w:rFonts w:ascii="宋体" w:hAnsi="宋体" w:cs="宋体" w:eastAsia="宋体" w:hint="default"/>
                <w:spacing w:val="-53"/>
                <w:sz w:val="21"/>
                <w:szCs w:val="21"/>
              </w:rPr>
              <w:t> </w:t>
            </w:r>
            <w:r>
              <w:rPr>
                <w:rFonts w:ascii="宋体" w:hAnsi="宋体" w:cs="宋体" w:eastAsia="宋体" w:hint="default"/>
                <w:sz w:val="21"/>
                <w:szCs w:val="21"/>
              </w:rPr>
              <w:t>BT</w:t>
            </w:r>
            <w:r>
              <w:rPr>
                <w:rFonts w:ascii="宋体" w:hAnsi="宋体" w:cs="宋体" w:eastAsia="宋体" w:hint="default"/>
                <w:spacing w:val="-55"/>
                <w:sz w:val="21"/>
                <w:szCs w:val="21"/>
              </w:rPr>
              <w:t> </w:t>
            </w:r>
            <w:r>
              <w:rPr>
                <w:rFonts w:ascii="宋体" w:hAnsi="宋体" w:cs="宋体" w:eastAsia="宋体" w:hint="default"/>
                <w:sz w:val="21"/>
                <w:szCs w:val="21"/>
              </w:rPr>
              <w:t>项目管理费</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3"/>
              <w:jc w:val="right"/>
              <w:rPr>
                <w:rFonts w:ascii="宋体" w:hAnsi="宋体" w:cs="宋体" w:eastAsia="宋体" w:hint="default"/>
                <w:sz w:val="21"/>
                <w:szCs w:val="21"/>
              </w:rPr>
            </w:pPr>
            <w:r>
              <w:rPr>
                <w:rFonts w:ascii="宋体"/>
                <w:spacing w:val="-1"/>
                <w:sz w:val="21"/>
              </w:rPr>
              <w:t>613,210.41</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613,210.41</w:t>
            </w:r>
          </w:p>
        </w:tc>
      </w:tr>
      <w:tr>
        <w:trPr>
          <w:trHeight w:val="324"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613,210.41</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613,210.41</w:t>
            </w:r>
          </w:p>
        </w:tc>
      </w:tr>
    </w:tbl>
    <w:p>
      <w:pPr>
        <w:spacing w:line="240" w:lineRule="auto" w:before="10"/>
        <w:rPr>
          <w:rFonts w:ascii="宋体" w:hAnsi="宋体" w:cs="宋体" w:eastAsia="宋体" w:hint="default"/>
          <w:sz w:val="24"/>
          <w:szCs w:val="24"/>
        </w:rPr>
      </w:pPr>
    </w:p>
    <w:p>
      <w:pPr>
        <w:pStyle w:val="BodyText"/>
        <w:spacing w:line="240" w:lineRule="auto" w:before="36"/>
        <w:ind w:right="215"/>
        <w:jc w:val="left"/>
      </w:pPr>
      <w:r>
        <w:rPr/>
        <w:t>其他说明：</w:t>
      </w:r>
    </w:p>
    <w:p>
      <w:pPr>
        <w:spacing w:after="0" w:line="240" w:lineRule="auto"/>
        <w:jc w:val="left"/>
        <w:sectPr>
          <w:type w:val="continuous"/>
          <w:pgSz w:w="11910" w:h="16840"/>
          <w:pgMar w:top="1120" w:bottom="1380" w:left="1580" w:right="1040"/>
        </w:sectPr>
      </w:pPr>
    </w:p>
    <w:p>
      <w:pPr>
        <w:spacing w:line="240" w:lineRule="auto" w:before="8"/>
        <w:rPr>
          <w:rFonts w:ascii="宋体" w:hAnsi="宋体" w:cs="宋体" w:eastAsia="宋体" w:hint="default"/>
          <w:sz w:val="28"/>
          <w:szCs w:val="28"/>
        </w:rPr>
      </w:pPr>
    </w:p>
    <w:p>
      <w:pPr>
        <w:pStyle w:val="BodyText"/>
        <w:spacing w:line="314" w:lineRule="auto" w:before="36"/>
        <w:ind w:right="237" w:firstLine="419"/>
        <w:jc w:val="both"/>
      </w:pP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日本公司与眉山市华林恒峰商贸有限公司签订《项目管理协议》约定：本公</w:t>
      </w:r>
      <w:r>
        <w:rPr>
          <w:w w:val="100"/>
        </w:rPr>
        <w:t> </w:t>
      </w:r>
      <w:r>
        <w:rPr>
          <w:spacing w:val="-2"/>
        </w:rPr>
        <w:t>司聘请眉山市华林恒峰商贸有限公司组建眉山市“两宋荣光”眉州大道改造工程“两桥一站”项</w:t>
      </w:r>
      <w:r>
        <w:rPr>
          <w:spacing w:val="-25"/>
        </w:rPr>
        <w:t> </w:t>
      </w:r>
      <w:r>
        <w:rPr>
          <w:spacing w:val="-25"/>
        </w:rPr>
      </w:r>
      <w:r>
        <w:rPr>
          <w:spacing w:val="-2"/>
        </w:rPr>
        <w:t>目部对该项目进行管理；另合同双方约定在项目交工验收完成后，眉山市华林恒峰商贸有限公司</w:t>
      </w:r>
      <w:r>
        <w:rPr>
          <w:spacing w:val="-25"/>
        </w:rPr>
        <w:t> </w:t>
      </w:r>
      <w:r>
        <w:rPr>
          <w:spacing w:val="-25"/>
        </w:rPr>
      </w:r>
      <w:r>
        <w:rPr/>
        <w:t>向本公司按项目总投资额的</w:t>
      </w:r>
      <w:r>
        <w:rPr>
          <w:spacing w:val="-54"/>
        </w:rPr>
        <w:t> </w:t>
      </w:r>
      <w:r>
        <w:rPr>
          <w:rFonts w:ascii="宋体" w:hAnsi="宋体" w:cs="宋体" w:eastAsia="宋体" w:hint="default"/>
        </w:rPr>
        <w:t>5%</w:t>
      </w:r>
      <w:r>
        <w:rPr/>
        <w:t>收取项目管理费。截止</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日本公司按照该项目审计</w:t>
      </w:r>
    </w:p>
    <w:p>
      <w:pPr>
        <w:pStyle w:val="BodyText"/>
        <w:spacing w:line="240" w:lineRule="auto" w:before="17"/>
        <w:ind w:right="215"/>
        <w:jc w:val="left"/>
      </w:pPr>
      <w:r>
        <w:rPr/>
        <w:t>结算款确认了建设期项目管理费合计</w:t>
      </w:r>
      <w:r>
        <w:rPr>
          <w:spacing w:val="-58"/>
        </w:rPr>
        <w:t> </w:t>
      </w:r>
      <w:r>
        <w:rPr>
          <w:rFonts w:ascii="宋体" w:hAnsi="宋体" w:cs="宋体" w:eastAsia="宋体" w:hint="default"/>
        </w:rPr>
        <w:t>20,613,210.41</w:t>
      </w:r>
      <w:r>
        <w:rPr>
          <w:rFonts w:ascii="宋体" w:hAnsi="宋体" w:cs="宋体" w:eastAsia="宋体" w:hint="default"/>
          <w:spacing w:val="-58"/>
        </w:rPr>
        <w:t> </w:t>
      </w:r>
      <w:r>
        <w:rPr/>
        <w:t>元，已支付眉山市华林恒丰商贸有限公司</w:t>
      </w:r>
    </w:p>
    <w:p>
      <w:pPr>
        <w:pStyle w:val="BodyText"/>
        <w:spacing w:line="240" w:lineRule="auto" w:before="85"/>
        <w:ind w:right="215"/>
        <w:jc w:val="left"/>
      </w:pPr>
      <w:r>
        <w:rPr>
          <w:rFonts w:ascii="宋体" w:hAnsi="宋体" w:cs="宋体" w:eastAsia="宋体" w:hint="default"/>
        </w:rPr>
        <w:t>20,000,000.00</w:t>
      </w:r>
      <w:r>
        <w:rPr>
          <w:rFonts w:ascii="宋体" w:hAnsi="宋体" w:cs="宋体" w:eastAsia="宋体" w:hint="default"/>
          <w:spacing w:val="-51"/>
        </w:rPr>
        <w:t> </w:t>
      </w:r>
      <w:r>
        <w:rPr/>
        <w:t>元。</w:t>
      </w:r>
    </w:p>
    <w:p>
      <w:pPr>
        <w:pStyle w:val="Heading2"/>
        <w:spacing w:line="240" w:lineRule="auto" w:before="91"/>
        <w:ind w:right="215"/>
        <w:jc w:val="left"/>
        <w:rPr>
          <w:b w:val="0"/>
          <w:bCs w:val="0"/>
        </w:rPr>
      </w:pPr>
      <w:r>
        <w:rPr>
          <w:rFonts w:ascii="宋体" w:hAnsi="宋体" w:cs="宋体" w:eastAsia="宋体" w:hint="default"/>
        </w:rPr>
        <w:t>53</w:t>
      </w:r>
      <w:r>
        <w:rPr/>
        <w:t>、</w:t>
      </w:r>
      <w:r>
        <w:rPr>
          <w:spacing w:val="-100"/>
        </w:rPr>
        <w:t> </w:t>
      </w:r>
      <w:r>
        <w:rPr/>
        <w:t>股本</w:t>
      </w:r>
      <w:r>
        <w:rPr>
          <w:b w:val="0"/>
          <w:bCs w:val="0"/>
        </w:rPr>
      </w:r>
    </w:p>
    <w:p>
      <w:pPr>
        <w:pStyle w:val="BodyText"/>
        <w:spacing w:line="240" w:lineRule="auto" w:before="85"/>
        <w:ind w:right="215"/>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66"/>
        <w:gridCol w:w="1688"/>
        <w:gridCol w:w="1582"/>
        <w:gridCol w:w="634"/>
        <w:gridCol w:w="852"/>
        <w:gridCol w:w="566"/>
        <w:gridCol w:w="1280"/>
        <w:gridCol w:w="1282"/>
      </w:tblGrid>
      <w:tr>
        <w:trPr>
          <w:trHeight w:val="325" w:hRule="exact"/>
        </w:trPr>
        <w:tc>
          <w:tcPr>
            <w:tcW w:w="1166" w:type="dxa"/>
            <w:vMerge w:val="restart"/>
            <w:tcBorders>
              <w:top w:val="single" w:sz="4" w:space="0" w:color="000000"/>
              <w:left w:val="single" w:sz="4" w:space="0" w:color="000000"/>
              <w:right w:val="single" w:sz="4" w:space="0" w:color="000000"/>
            </w:tcBorders>
          </w:tcPr>
          <w:p>
            <w:pP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1166"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571"/>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7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82" w:type="dxa"/>
            <w:vMerge/>
            <w:tcBorders>
              <w:left w:val="single" w:sz="4" w:space="0" w:color="000000"/>
              <w:bottom w:val="single" w:sz="4" w:space="0" w:color="000000"/>
              <w:right w:val="single" w:sz="4" w:space="0" w:color="000000"/>
            </w:tcBorders>
          </w:tcPr>
          <w:p>
            <w:pPr/>
          </w:p>
        </w:tc>
      </w:tr>
      <w:tr>
        <w:trPr>
          <w:trHeight w:val="63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835,009,500.00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18,200,984.00</w:t>
            </w:r>
          </w:p>
        </w:tc>
        <w:tc>
          <w:tcPr>
            <w:tcW w:w="6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18,200,984</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sz w:val="21"/>
              </w:rPr>
              <w:t>853,210,48</w:t>
            </w:r>
          </w:p>
          <w:p>
            <w:pPr>
              <w:pStyle w:val="TableParagraph"/>
              <w:spacing w:line="240" w:lineRule="auto" w:before="37"/>
              <w:ind w:left="751" w:right="0"/>
              <w:jc w:val="left"/>
              <w:rPr>
                <w:rFonts w:ascii="宋体" w:hAnsi="宋体" w:cs="宋体" w:eastAsia="宋体" w:hint="default"/>
                <w:sz w:val="21"/>
                <w:szCs w:val="21"/>
              </w:rPr>
            </w:pPr>
            <w:r>
              <w:rPr>
                <w:rFonts w:ascii="宋体"/>
                <w:sz w:val="21"/>
              </w:rPr>
              <w:t>4.00</w:t>
            </w:r>
          </w:p>
        </w:tc>
      </w:tr>
    </w:tbl>
    <w:p>
      <w:pPr>
        <w:pStyle w:val="BodyText"/>
        <w:spacing w:line="240" w:lineRule="auto" w:before="47"/>
        <w:ind w:right="215"/>
        <w:jc w:val="left"/>
      </w:pPr>
      <w:r>
        <w:rPr/>
        <w:t>其他说明：</w:t>
      </w:r>
    </w:p>
    <w:p>
      <w:pPr>
        <w:pStyle w:val="BodyText"/>
        <w:spacing w:line="314" w:lineRule="auto" w:before="121"/>
        <w:ind w:right="228" w:firstLine="419"/>
        <w:jc w:val="both"/>
      </w:pPr>
      <w:r>
        <w:rPr/>
        <w:t>根据本公司</w:t>
      </w:r>
      <w:r>
        <w:rPr>
          <w:spacing w:val="-56"/>
        </w:rPr>
        <w:t> </w:t>
      </w:r>
      <w:r>
        <w:rPr>
          <w:rFonts w:ascii="宋体" w:hAnsi="宋体" w:cs="宋体" w:eastAsia="宋体" w:hint="default"/>
        </w:rPr>
        <w:t>2017</w:t>
      </w:r>
      <w:r>
        <w:rPr>
          <w:rFonts w:ascii="宋体" w:hAnsi="宋体" w:cs="宋体" w:eastAsia="宋体" w:hint="default"/>
          <w:spacing w:val="-56"/>
        </w:rPr>
        <w:t> </w:t>
      </w:r>
      <w:r>
        <w:rPr/>
        <w:t>年第二次临时股东大会并经金证股份第六届董事会</w:t>
      </w:r>
      <w:r>
        <w:rPr>
          <w:spacing w:val="-56"/>
        </w:rPr>
        <w:t> </w:t>
      </w:r>
      <w:r>
        <w:rPr>
          <w:rFonts w:ascii="宋体" w:hAnsi="宋体" w:cs="宋体" w:eastAsia="宋体" w:hint="default"/>
        </w:rPr>
        <w:t>2017</w:t>
      </w:r>
      <w:r>
        <w:rPr>
          <w:rFonts w:ascii="宋体" w:hAnsi="宋体" w:cs="宋体" w:eastAsia="宋体" w:hint="default"/>
          <w:spacing w:val="-55"/>
        </w:rPr>
        <w:t> </w:t>
      </w:r>
      <w:r>
        <w:rPr/>
        <w:t>年第七次会议审计</w:t>
      </w:r>
      <w:r>
        <w:rPr>
          <w:w w:val="100"/>
        </w:rPr>
        <w:t> </w:t>
      </w:r>
      <w:r>
        <w:rPr>
          <w:spacing w:val="-2"/>
        </w:rPr>
        <w:t>通过和修改后章程的规定，并经中国证监会出具了《关于核准深圳市金证科技股份有限公司非公</w:t>
      </w:r>
      <w:r>
        <w:rPr>
          <w:spacing w:val="-25"/>
        </w:rPr>
        <w:t> </w:t>
      </w:r>
      <w:r>
        <w:rPr>
          <w:spacing w:val="-25"/>
        </w:rPr>
      </w:r>
      <w:r>
        <w:rPr>
          <w:spacing w:val="-4"/>
        </w:rPr>
        <w:t>开发行股票的批复》（证监许可【</w:t>
      </w:r>
      <w:r>
        <w:rPr>
          <w:rFonts w:ascii="宋体" w:hAnsi="宋体" w:cs="宋体" w:eastAsia="宋体" w:hint="default"/>
          <w:spacing w:val="-4"/>
        </w:rPr>
        <w:t>2017</w:t>
      </w:r>
      <w:r>
        <w:rPr>
          <w:spacing w:val="-4"/>
        </w:rPr>
        <w:t>】</w:t>
      </w:r>
      <w:r>
        <w:rPr>
          <w:rFonts w:ascii="宋体" w:hAnsi="宋体" w:cs="宋体" w:eastAsia="宋体" w:hint="default"/>
          <w:spacing w:val="-4"/>
        </w:rPr>
        <w:t>1505</w:t>
      </w:r>
      <w:r>
        <w:rPr>
          <w:rFonts w:ascii="宋体" w:hAnsi="宋体" w:cs="宋体" w:eastAsia="宋体" w:hint="default"/>
          <w:spacing w:val="15"/>
        </w:rPr>
        <w:t> </w:t>
      </w:r>
      <w:r>
        <w:rPr>
          <w:spacing w:val="-4"/>
        </w:rPr>
        <w:t>号），核准公司非公开发行不超过</w:t>
      </w:r>
      <w:r>
        <w:rPr>
          <w:spacing w:val="18"/>
        </w:rPr>
        <w:t> </w:t>
      </w:r>
      <w:r>
        <w:rPr>
          <w:rFonts w:ascii="宋体" w:hAnsi="宋体" w:cs="宋体" w:eastAsia="宋体" w:hint="default"/>
        </w:rPr>
        <w:t>60,000,000</w:t>
      </w:r>
      <w:r>
        <w:rPr>
          <w:rFonts w:ascii="宋体" w:hAnsi="宋体" w:cs="宋体" w:eastAsia="宋体" w:hint="default"/>
          <w:spacing w:val="17"/>
        </w:rPr>
        <w:t> </w:t>
      </w:r>
      <w:r>
        <w:rPr/>
        <w:t>股</w:t>
      </w:r>
      <w:r>
        <w:rPr>
          <w:spacing w:val="-102"/>
        </w:rPr>
        <w:t> </w:t>
      </w:r>
      <w:r>
        <w:rPr/>
        <w:t>新股。本次发行实际发行数量为 </w:t>
      </w:r>
      <w:r>
        <w:rPr>
          <w:rFonts w:ascii="宋体" w:hAnsi="宋体" w:cs="宋体" w:eastAsia="宋体" w:hint="default"/>
        </w:rPr>
        <w:t>18,200,984 </w:t>
      </w:r>
      <w:r>
        <w:rPr/>
        <w:t>股，发行价格为 </w:t>
      </w:r>
      <w:r>
        <w:rPr>
          <w:rFonts w:ascii="宋体" w:hAnsi="宋体" w:cs="宋体" w:eastAsia="宋体" w:hint="default"/>
        </w:rPr>
        <w:t>14.23</w:t>
      </w:r>
      <w:r>
        <w:rPr>
          <w:rFonts w:ascii="宋体" w:hAnsi="宋体" w:cs="宋体" w:eastAsia="宋体" w:hint="default"/>
          <w:spacing w:val="-2"/>
        </w:rPr>
        <w:t> </w:t>
      </w:r>
      <w:r>
        <w:rPr/>
        <w:t>元</w:t>
      </w:r>
      <w:r>
        <w:rPr>
          <w:rFonts w:ascii="宋体" w:hAnsi="宋体" w:cs="宋体" w:eastAsia="宋体" w:hint="default"/>
        </w:rPr>
        <w:t>/</w:t>
      </w:r>
      <w:r>
        <w:rPr/>
        <w:t>股，经大华出具的大华</w:t>
      </w:r>
    </w:p>
    <w:p>
      <w:pPr>
        <w:pStyle w:val="BodyText"/>
        <w:spacing w:line="240" w:lineRule="auto" w:before="18"/>
        <w:ind w:right="123"/>
        <w:jc w:val="left"/>
      </w:pPr>
      <w:r>
        <w:rPr>
          <w:w w:val="100"/>
        </w:rPr>
        <w:t>验</w:t>
      </w:r>
      <w:r>
        <w:rPr>
          <w:spacing w:val="-1"/>
          <w:w w:val="100"/>
        </w:rPr>
        <w:t>字</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960</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w w:val="100"/>
        </w:rPr>
        <w:t>号</w:t>
      </w:r>
      <w:r>
        <w:rPr>
          <w:spacing w:val="-3"/>
          <w:w w:val="100"/>
        </w:rPr>
        <w:t>验资</w:t>
      </w:r>
      <w:r>
        <w:rPr>
          <w:w w:val="100"/>
        </w:rPr>
        <w:t>报告</w:t>
      </w:r>
      <w:r>
        <w:rPr>
          <w:spacing w:val="-3"/>
          <w:w w:val="100"/>
        </w:rPr>
        <w:t>验</w:t>
      </w:r>
      <w:r>
        <w:rPr>
          <w:w w:val="100"/>
        </w:rPr>
        <w:t>证</w:t>
      </w:r>
      <w:r>
        <w:rPr>
          <w:spacing w:val="-108"/>
          <w:w w:val="100"/>
        </w:rPr>
        <w:t>，</w:t>
      </w:r>
      <w:r>
        <w:rPr>
          <w:w w:val="100"/>
        </w:rPr>
        <w:t>该</w:t>
      </w:r>
      <w:r>
        <w:rPr>
          <w:spacing w:val="-3"/>
          <w:w w:val="100"/>
        </w:rPr>
        <w:t>部</w:t>
      </w:r>
      <w:r>
        <w:rPr>
          <w:w w:val="100"/>
        </w:rPr>
        <w:t>分</w:t>
      </w:r>
      <w:r>
        <w:rPr>
          <w:spacing w:val="-3"/>
          <w:w w:val="100"/>
        </w:rPr>
        <w:t>新</w:t>
      </w:r>
      <w:r>
        <w:rPr>
          <w:w w:val="100"/>
        </w:rPr>
        <w:t>增</w:t>
      </w:r>
      <w:r>
        <w:rPr>
          <w:spacing w:val="-3"/>
          <w:w w:val="100"/>
        </w:rPr>
        <w:t>股本</w:t>
      </w:r>
      <w:r>
        <w:rPr>
          <w:w w:val="100"/>
        </w:rPr>
        <w:t>于</w:t>
      </w:r>
      <w:r>
        <w:rPr>
          <w:spacing w:val="-57"/>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5"/>
        </w:rPr>
        <w:t> </w:t>
      </w:r>
      <w:r>
        <w:rPr>
          <w:w w:val="100"/>
        </w:rPr>
        <w:t>年</w:t>
      </w:r>
      <w:r>
        <w:rPr>
          <w:spacing w:val="-5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月</w:t>
      </w:r>
      <w:r>
        <w:rPr>
          <w:spacing w:val="-57"/>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5"/>
        </w:rPr>
        <w:t> </w:t>
      </w:r>
      <w:r>
        <w:rPr>
          <w:spacing w:val="-3"/>
          <w:w w:val="100"/>
        </w:rPr>
        <w:t>日</w:t>
      </w:r>
      <w:r>
        <w:rPr>
          <w:w w:val="100"/>
        </w:rPr>
        <w:t>办</w:t>
      </w:r>
      <w:r>
        <w:rPr>
          <w:spacing w:val="-3"/>
          <w:w w:val="100"/>
        </w:rPr>
        <w:t>理完</w:t>
      </w:r>
      <w:r>
        <w:rPr>
          <w:w w:val="100"/>
        </w:rPr>
        <w:t>成证</w:t>
      </w:r>
      <w:r>
        <w:rPr>
          <w:spacing w:val="-3"/>
          <w:w w:val="100"/>
        </w:rPr>
        <w:t>券</w:t>
      </w:r>
      <w:r>
        <w:rPr>
          <w:w w:val="100"/>
        </w:rPr>
        <w:t>变</w:t>
      </w:r>
      <w:r>
        <w:rPr>
          <w:spacing w:val="-3"/>
          <w:w w:val="100"/>
        </w:rPr>
        <w:t>更</w:t>
      </w:r>
      <w:r>
        <w:rPr>
          <w:w w:val="100"/>
        </w:rPr>
        <w:t>登</w:t>
      </w:r>
      <w:r>
        <w:rPr>
          <w:spacing w:val="-3"/>
          <w:w w:val="100"/>
        </w:rPr>
        <w:t>记</w:t>
      </w:r>
      <w:r>
        <w:rPr>
          <w:w w:val="100"/>
        </w:rPr>
        <w:t>。</w:t>
      </w:r>
    </w:p>
    <w:p>
      <w:pPr>
        <w:pStyle w:val="Heading2"/>
        <w:spacing w:line="240" w:lineRule="auto" w:before="77"/>
        <w:ind w:right="215"/>
        <w:jc w:val="left"/>
        <w:rPr>
          <w:b w:val="0"/>
          <w:bCs w:val="0"/>
        </w:rPr>
      </w:pPr>
      <w:r>
        <w:rPr>
          <w:rFonts w:ascii="宋体" w:hAnsi="宋体" w:cs="宋体" w:eastAsia="宋体" w:hint="default"/>
        </w:rPr>
        <w:t>54</w:t>
      </w:r>
      <w:r>
        <w:rPr/>
        <w:t>、</w:t>
      </w:r>
      <w:r>
        <w:rPr>
          <w:spacing w:val="-104"/>
        </w:rPr>
        <w:t> </w:t>
      </w:r>
      <w:r>
        <w:rPr/>
        <w:t>其他权益工具</w:t>
      </w:r>
      <w:r>
        <w:rPr>
          <w:b w:val="0"/>
          <w:bCs w:val="0"/>
        </w:rPr>
      </w:r>
    </w:p>
    <w:p>
      <w:pPr>
        <w:pStyle w:val="Heading2"/>
        <w:spacing w:line="240" w:lineRule="auto" w:before="58"/>
        <w:ind w:right="215"/>
        <w:jc w:val="left"/>
        <w:rPr>
          <w:b w:val="0"/>
          <w:bCs w:val="0"/>
        </w:rPr>
      </w:pPr>
      <w:r>
        <w:rPr>
          <w:rFonts w:ascii="宋体" w:hAnsi="宋体" w:cs="宋体" w:eastAsia="宋体" w:hint="default"/>
        </w:rPr>
        <w:t>(1)</w:t>
      </w:r>
      <w:r>
        <w:rPr>
          <w:rFonts w:ascii="宋体" w:hAnsi="宋体" w:cs="宋体" w:eastAsia="宋体" w:hint="default"/>
          <w:spacing w:val="-64"/>
        </w:rPr>
        <w:t> </w:t>
      </w:r>
      <w:r>
        <w:rPr/>
        <w:t>期末发行在外的优先股、永续债等其他金融工具基本情况</w:t>
      </w:r>
      <w:r>
        <w:rPr>
          <w:b w:val="0"/>
          <w:bCs w:val="0"/>
        </w:rPr>
      </w:r>
    </w:p>
    <w:p>
      <w:pPr>
        <w:pStyle w:val="BodyText"/>
        <w:spacing w:line="240" w:lineRule="auto" w:before="85"/>
        <w:ind w:right="215"/>
        <w:jc w:val="left"/>
      </w:pPr>
      <w:r>
        <w:rPr/>
        <w:t>□适用</w:t>
      </w:r>
      <w:r>
        <w:rPr>
          <w:spacing w:val="-1"/>
        </w:rPr>
        <w:t> </w:t>
      </w:r>
      <w:r>
        <w:rPr/>
        <w:t>√不适用</w:t>
      </w:r>
    </w:p>
    <w:p>
      <w:pPr>
        <w:pStyle w:val="Heading2"/>
        <w:spacing w:line="240" w:lineRule="auto" w:before="69"/>
        <w:ind w:right="215"/>
        <w:jc w:val="left"/>
        <w:rPr>
          <w:b w:val="0"/>
          <w:bCs w:val="0"/>
        </w:rPr>
      </w:pPr>
      <w:r>
        <w:rPr>
          <w:rFonts w:ascii="宋体" w:hAnsi="宋体" w:cs="宋体" w:eastAsia="宋体" w:hint="default"/>
        </w:rPr>
        <w:t>(2)</w:t>
      </w:r>
      <w:r>
        <w:rPr>
          <w:rFonts w:ascii="宋体" w:hAnsi="宋体" w:cs="宋体" w:eastAsia="宋体" w:hint="default"/>
          <w:spacing w:val="-63"/>
        </w:rPr>
        <w:t> </w:t>
      </w:r>
      <w:r>
        <w:rPr/>
        <w:t>期末发行在外的优先股、永续债等金融工具变动情况表</w:t>
      </w:r>
      <w:r>
        <w:rPr>
          <w:b w:val="0"/>
          <w:bCs w:val="0"/>
        </w:rPr>
      </w:r>
    </w:p>
    <w:p>
      <w:pPr>
        <w:pStyle w:val="BodyText"/>
        <w:spacing w:line="273" w:lineRule="auto" w:before="85"/>
        <w:ind w:right="878"/>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73" w:lineRule="auto" w:before="7"/>
        <w:ind w:right="7474"/>
        <w:jc w:val="left"/>
        <w:rPr>
          <w:rFonts w:ascii="宋体" w:hAnsi="宋体" w:cs="宋体" w:eastAsia="宋体" w:hint="default"/>
        </w:rPr>
      </w:pPr>
      <w:r>
        <w:rPr/>
        <w:t>□适用</w:t>
      </w:r>
      <w:r>
        <w:rPr>
          <w:spacing w:val="-1"/>
        </w:rPr>
        <w:t> </w:t>
      </w:r>
      <w:r>
        <w:rPr/>
        <w:t>√不适用</w:t>
      </w:r>
      <w:r>
        <w:rPr>
          <w:w w:val="100"/>
        </w:rPr>
        <w:t> </w:t>
      </w:r>
      <w:r>
        <w:rPr/>
        <w:t>其他说明</w:t>
      </w:r>
      <w:r>
        <w:rPr>
          <w:rFonts w:ascii="宋体" w:hAnsi="宋体" w:cs="宋体" w:eastAsia="宋体" w:hint="default"/>
        </w:rPr>
        <w:t>:</w:t>
      </w:r>
    </w:p>
    <w:p>
      <w:pPr>
        <w:pStyle w:val="BodyText"/>
        <w:spacing w:line="240" w:lineRule="auto" w:before="8"/>
        <w:ind w:right="215"/>
        <w:jc w:val="left"/>
      </w:pPr>
      <w:r>
        <w:rPr/>
        <w:t>□适用</w:t>
      </w:r>
      <w:r>
        <w:rPr>
          <w:spacing w:val="-1"/>
        </w:rPr>
        <w:t> </w:t>
      </w:r>
      <w:r>
        <w:rPr/>
        <w:t>√不适用</w:t>
      </w:r>
    </w:p>
    <w:p>
      <w:pPr>
        <w:pStyle w:val="Heading2"/>
        <w:spacing w:line="240" w:lineRule="auto" w:before="69"/>
        <w:ind w:right="215"/>
        <w:jc w:val="left"/>
        <w:rPr>
          <w:b w:val="0"/>
          <w:bCs w:val="0"/>
        </w:rPr>
      </w:pPr>
      <w:r>
        <w:rPr>
          <w:rFonts w:ascii="宋体" w:hAnsi="宋体" w:cs="宋体" w:eastAsia="宋体" w:hint="default"/>
        </w:rPr>
        <w:t>55</w:t>
      </w:r>
      <w:r>
        <w:rPr/>
        <w:t>、</w:t>
      </w:r>
      <w:r>
        <w:rPr>
          <w:spacing w:val="-102"/>
        </w:rPr>
        <w:t> </w:t>
      </w:r>
      <w:r>
        <w:rPr/>
        <w:t>资本公积</w:t>
      </w:r>
      <w:r>
        <w:rPr>
          <w:b w:val="0"/>
          <w:bCs w:val="0"/>
        </w:rPr>
      </w:r>
    </w:p>
    <w:p>
      <w:pPr>
        <w:pStyle w:val="BodyText"/>
        <w:spacing w:line="240" w:lineRule="auto" w:before="85"/>
        <w:ind w:right="215"/>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9,462,137.97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335,975,283.62</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345,437,421.59</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532,191.39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2,701,122.46</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3,233,313.85</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9,994,329.36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338,676,406.08</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348,670,735.44</w:t>
            </w:r>
          </w:p>
        </w:tc>
      </w:tr>
    </w:tbl>
    <w:p>
      <w:pPr>
        <w:spacing w:line="240" w:lineRule="auto" w:before="2"/>
        <w:rPr>
          <w:rFonts w:ascii="宋体" w:hAnsi="宋体" w:cs="宋体" w:eastAsia="宋体" w:hint="default"/>
          <w:sz w:val="20"/>
          <w:szCs w:val="20"/>
        </w:rPr>
      </w:pPr>
    </w:p>
    <w:p>
      <w:pPr>
        <w:pStyle w:val="BodyText"/>
        <w:spacing w:line="240" w:lineRule="auto" w:before="36"/>
        <w:ind w:right="215"/>
        <w:jc w:val="left"/>
      </w:pPr>
      <w:r>
        <w:rPr/>
        <w:t>其他说明，包括本期增减变动情况、变动原因说明：</w:t>
      </w:r>
    </w:p>
    <w:p>
      <w:pPr>
        <w:spacing w:after="0" w:line="240" w:lineRule="auto"/>
        <w:jc w:val="left"/>
        <w:sectPr>
          <w:pgSz w:w="11910" w:h="16840"/>
          <w:pgMar w:header="882" w:footer="1195" w:top="1120" w:bottom="1380" w:left="1580" w:right="1040"/>
        </w:sectPr>
      </w:pPr>
    </w:p>
    <w:p>
      <w:pPr>
        <w:spacing w:line="240" w:lineRule="auto" w:before="8"/>
        <w:rPr>
          <w:rFonts w:ascii="宋体" w:hAnsi="宋体" w:cs="宋体" w:eastAsia="宋体" w:hint="default"/>
          <w:sz w:val="28"/>
          <w:szCs w:val="28"/>
        </w:rPr>
      </w:pPr>
    </w:p>
    <w:p>
      <w:pPr>
        <w:pStyle w:val="BodyText"/>
        <w:spacing w:line="314" w:lineRule="auto" w:before="36"/>
        <w:ind w:left="138" w:right="210" w:firstLine="419"/>
        <w:jc w:val="both"/>
        <w:rPr>
          <w:rFonts w:ascii="宋体" w:hAnsi="宋体" w:cs="宋体" w:eastAsia="宋体" w:hint="default"/>
        </w:rPr>
      </w:pPr>
      <w:r>
        <w:rPr/>
        <w:t>根据本公司</w:t>
      </w:r>
      <w:r>
        <w:rPr>
          <w:spacing w:val="-56"/>
        </w:rPr>
        <w:t> </w:t>
      </w:r>
      <w:r>
        <w:rPr>
          <w:rFonts w:ascii="宋体" w:hAnsi="宋体" w:cs="宋体" w:eastAsia="宋体" w:hint="default"/>
        </w:rPr>
        <w:t>2017</w:t>
      </w:r>
      <w:r>
        <w:rPr>
          <w:rFonts w:ascii="宋体" w:hAnsi="宋体" w:cs="宋体" w:eastAsia="宋体" w:hint="default"/>
          <w:spacing w:val="-56"/>
        </w:rPr>
        <w:t> </w:t>
      </w:r>
      <w:r>
        <w:rPr/>
        <w:t>年第二次临时股东大会并经金证股份第六届董事会</w:t>
      </w:r>
      <w:r>
        <w:rPr>
          <w:spacing w:val="-56"/>
        </w:rPr>
        <w:t> </w:t>
      </w:r>
      <w:r>
        <w:rPr>
          <w:rFonts w:ascii="宋体" w:hAnsi="宋体" w:cs="宋体" w:eastAsia="宋体" w:hint="default"/>
        </w:rPr>
        <w:t>2017</w:t>
      </w:r>
      <w:r>
        <w:rPr>
          <w:rFonts w:ascii="宋体" w:hAnsi="宋体" w:cs="宋体" w:eastAsia="宋体" w:hint="default"/>
          <w:spacing w:val="-55"/>
        </w:rPr>
        <w:t> </w:t>
      </w:r>
      <w:r>
        <w:rPr/>
        <w:t>年第七次会议审计</w:t>
      </w:r>
      <w:r>
        <w:rPr>
          <w:w w:val="100"/>
        </w:rPr>
        <w:t> </w:t>
      </w:r>
      <w:r>
        <w:rPr>
          <w:spacing w:val="-2"/>
        </w:rPr>
        <w:t>通过和修改后章程的规定，并经中国证监会出具了《关于核准深圳市金证科技股份有限公司非公</w:t>
      </w:r>
      <w:r>
        <w:rPr>
          <w:spacing w:val="-25"/>
        </w:rPr>
        <w:t> </w:t>
      </w:r>
      <w:r>
        <w:rPr>
          <w:spacing w:val="-25"/>
        </w:rPr>
      </w:r>
      <w:r>
        <w:rPr>
          <w:spacing w:val="-19"/>
          <w:w w:val="100"/>
        </w:rPr>
        <w:t>开发行股票的批复》（证监许可【</w:t>
      </w:r>
      <w:r>
        <w:rPr>
          <w:rFonts w:ascii="宋体" w:hAnsi="宋体" w:cs="宋体" w:eastAsia="宋体" w:hint="default"/>
          <w:spacing w:val="-19"/>
          <w:w w:val="100"/>
        </w:rPr>
        <w:t>2017</w:t>
      </w:r>
      <w:r>
        <w:rPr>
          <w:spacing w:val="-19"/>
          <w:w w:val="100"/>
        </w:rPr>
        <w:t>】</w:t>
      </w:r>
      <w:r>
        <w:rPr>
          <w:rFonts w:ascii="宋体" w:hAnsi="宋体" w:cs="宋体" w:eastAsia="宋体" w:hint="default"/>
          <w:spacing w:val="-19"/>
          <w:w w:val="100"/>
        </w:rPr>
        <w:t>1505</w:t>
      </w:r>
      <w:r>
        <w:rPr>
          <w:rFonts w:ascii="宋体" w:hAnsi="宋体" w:cs="宋体" w:eastAsia="宋体" w:hint="default"/>
          <w:w w:val="100"/>
        </w:rPr>
        <w:t> </w:t>
      </w:r>
      <w:r>
        <w:rPr>
          <w:spacing w:val="-14"/>
          <w:w w:val="100"/>
        </w:rPr>
        <w:t>号），本公司共计募集货币资金人民币</w:t>
      </w:r>
      <w:r>
        <w:rPr>
          <w:spacing w:val="24"/>
          <w:w w:val="100"/>
        </w:rPr>
        <w:t> </w:t>
      </w:r>
      <w:r>
        <w:rPr>
          <w:rFonts w:ascii="宋体" w:hAnsi="宋体" w:cs="宋体" w:eastAsia="宋体" w:hint="default"/>
          <w:spacing w:val="-1"/>
          <w:w w:val="100"/>
        </w:rPr>
        <w:t>259,000,002.32</w:t>
      </w:r>
    </w:p>
    <w:p>
      <w:pPr>
        <w:pStyle w:val="BodyText"/>
        <w:spacing w:line="240" w:lineRule="auto" w:before="20"/>
        <w:ind w:left="138" w:right="101"/>
        <w:jc w:val="left"/>
      </w:pPr>
      <w:r>
        <w:rPr/>
        <w:t>元，扣除发行费用（不含税）人民币 </w:t>
      </w:r>
      <w:r>
        <w:rPr>
          <w:rFonts w:ascii="宋体" w:hAnsi="宋体" w:cs="宋体" w:eastAsia="宋体" w:hint="default"/>
        </w:rPr>
        <w:t>25,433,962.26</w:t>
      </w:r>
      <w:r>
        <w:rPr>
          <w:rFonts w:ascii="宋体" w:hAnsi="宋体" w:cs="宋体" w:eastAsia="宋体" w:hint="default"/>
          <w:spacing w:val="-6"/>
        </w:rPr>
        <w:t> </w:t>
      </w:r>
      <w:r>
        <w:rPr/>
        <w:t>元，本公司实际募集资金净额为人民币</w:t>
      </w:r>
    </w:p>
    <w:p>
      <w:pPr>
        <w:pStyle w:val="BodyText"/>
        <w:spacing w:line="240" w:lineRule="auto" w:before="82"/>
        <w:ind w:left="138" w:right="0"/>
        <w:jc w:val="left"/>
      </w:pPr>
      <w:r>
        <w:rPr>
          <w:rFonts w:ascii="宋体" w:hAnsi="宋体" w:cs="宋体" w:eastAsia="宋体" w:hint="default"/>
        </w:rPr>
        <w:t>233,566,040.06 </w:t>
      </w:r>
      <w:r>
        <w:rPr/>
        <w:t>元</w:t>
      </w:r>
      <w:r>
        <w:rPr>
          <w:rFonts w:ascii="宋体" w:hAnsi="宋体" w:cs="宋体" w:eastAsia="宋体" w:hint="default"/>
        </w:rPr>
        <w:t>,</w:t>
      </w:r>
      <w:r>
        <w:rPr/>
        <w:t>其中计入“股本”人民币 </w:t>
      </w:r>
      <w:r>
        <w:rPr>
          <w:rFonts w:ascii="宋体" w:hAnsi="宋体" w:cs="宋体" w:eastAsia="宋体" w:hint="default"/>
        </w:rPr>
        <w:t>18,200,984.00</w:t>
      </w:r>
      <w:r>
        <w:rPr>
          <w:rFonts w:ascii="宋体" w:hAnsi="宋体" w:cs="宋体" w:eastAsia="宋体" w:hint="default"/>
          <w:spacing w:val="1"/>
        </w:rPr>
        <w:t> </w:t>
      </w:r>
      <w:r>
        <w:rPr/>
        <w:t>元，计入“资本公积－股本溢价”</w:t>
      </w:r>
    </w:p>
    <w:p>
      <w:pPr>
        <w:pStyle w:val="BodyText"/>
        <w:spacing w:line="240" w:lineRule="auto" w:before="85"/>
        <w:ind w:left="138" w:right="101"/>
        <w:jc w:val="left"/>
      </w:pPr>
      <w:r>
        <w:rPr/>
        <w:t>人民币 </w:t>
      </w:r>
      <w:r>
        <w:rPr>
          <w:rFonts w:ascii="宋体" w:hAnsi="宋体" w:cs="宋体" w:eastAsia="宋体" w:hint="default"/>
        </w:rPr>
        <w:t>215,365,056.06</w:t>
      </w:r>
      <w:r>
        <w:rPr>
          <w:rFonts w:ascii="宋体" w:hAnsi="宋体" w:cs="宋体" w:eastAsia="宋体" w:hint="default"/>
          <w:spacing w:val="-53"/>
        </w:rPr>
        <w:t> </w:t>
      </w:r>
      <w:r>
        <w:rPr/>
        <w:t>元。</w:t>
      </w:r>
    </w:p>
    <w:p>
      <w:pPr>
        <w:pStyle w:val="Heading2"/>
        <w:spacing w:line="240" w:lineRule="auto" w:before="91"/>
        <w:ind w:left="138" w:right="101"/>
        <w:jc w:val="left"/>
        <w:rPr>
          <w:b w:val="0"/>
          <w:bCs w:val="0"/>
        </w:rPr>
      </w:pPr>
      <w:r>
        <w:rPr>
          <w:rFonts w:ascii="宋体" w:hAnsi="宋体" w:cs="宋体" w:eastAsia="宋体" w:hint="default"/>
        </w:rPr>
        <w:t>56</w:t>
      </w:r>
      <w:r>
        <w:rPr/>
        <w:t>、</w:t>
      </w:r>
      <w:r>
        <w:rPr>
          <w:spacing w:val="-103"/>
        </w:rPr>
        <w:t> </w:t>
      </w:r>
      <w:r>
        <w:rPr/>
        <w:t>库存股</w:t>
      </w:r>
      <w:r>
        <w:rPr>
          <w:b w:val="0"/>
          <w:bCs w:val="0"/>
        </w:rPr>
      </w:r>
    </w:p>
    <w:p>
      <w:pPr>
        <w:pStyle w:val="BodyText"/>
        <w:spacing w:line="240" w:lineRule="auto" w:before="85"/>
        <w:ind w:left="138" w:right="101"/>
        <w:jc w:val="left"/>
      </w:pPr>
      <w:r>
        <w:rPr/>
        <w:t>□适用</w:t>
      </w:r>
      <w:r>
        <w:rPr>
          <w:spacing w:val="-1"/>
        </w:rPr>
        <w:t> </w:t>
      </w:r>
      <w:r>
        <w:rPr/>
        <w:t>√不适用</w:t>
      </w:r>
    </w:p>
    <w:p>
      <w:pPr>
        <w:pStyle w:val="Heading2"/>
        <w:spacing w:line="240" w:lineRule="auto" w:before="69"/>
        <w:ind w:left="138" w:right="101"/>
        <w:jc w:val="left"/>
        <w:rPr>
          <w:b w:val="0"/>
          <w:bCs w:val="0"/>
        </w:rPr>
      </w:pPr>
      <w:r>
        <w:rPr>
          <w:rFonts w:ascii="宋体" w:hAnsi="宋体" w:cs="宋体" w:eastAsia="宋体" w:hint="default"/>
        </w:rPr>
        <w:t>57</w:t>
      </w:r>
      <w:r>
        <w:rPr/>
        <w:t>、</w:t>
      </w:r>
      <w:r>
        <w:rPr>
          <w:spacing w:val="-104"/>
        </w:rPr>
        <w:t> </w:t>
      </w:r>
      <w:r>
        <w:rPr/>
        <w:t>其他综合收益</w:t>
      </w:r>
      <w:r>
        <w:rPr>
          <w:b w:val="0"/>
          <w:bCs w:val="0"/>
        </w:rPr>
      </w:r>
    </w:p>
    <w:p>
      <w:pPr>
        <w:pStyle w:val="BodyText"/>
        <w:spacing w:line="240" w:lineRule="auto" w:before="86"/>
        <w:ind w:left="138" w:right="101"/>
        <w:jc w:val="left"/>
      </w:pPr>
      <w:r>
        <w:rPr/>
        <w:t>√适用</w:t>
      </w:r>
      <w:r>
        <w:rPr>
          <w:spacing w:val="-1"/>
        </w:rPr>
        <w:t> </w:t>
      </w:r>
      <w:r>
        <w:rPr/>
        <w:t>□不适用</w:t>
      </w:r>
    </w:p>
    <w:p>
      <w:pPr>
        <w:pStyle w:val="BodyText"/>
        <w:tabs>
          <w:tab w:pos="1051" w:val="left" w:leader="none"/>
        </w:tabs>
        <w:spacing w:line="240" w:lineRule="auto" w:before="37"/>
        <w:ind w:left="0" w:right="21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297"/>
        <w:gridCol w:w="994"/>
        <w:gridCol w:w="996"/>
        <w:gridCol w:w="1131"/>
        <w:gridCol w:w="708"/>
        <w:gridCol w:w="850"/>
        <w:gridCol w:w="999"/>
        <w:gridCol w:w="902"/>
      </w:tblGrid>
      <w:tr>
        <w:trPr>
          <w:trHeight w:val="324" w:hRule="exact"/>
        </w:trPr>
        <w:tc>
          <w:tcPr>
            <w:tcW w:w="22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73" w:lineRule="auto"/>
              <w:ind w:left="280" w:right="27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6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9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73" w:lineRule="auto"/>
              <w:ind w:left="235" w:right="23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570" w:hRule="exact"/>
        </w:trPr>
        <w:tc>
          <w:tcPr>
            <w:tcW w:w="229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7" w:right="173"/>
              <w:jc w:val="both"/>
              <w:rPr>
                <w:rFonts w:ascii="宋体" w:hAnsi="宋体" w:cs="宋体" w:eastAsia="宋体" w:hint="default"/>
                <w:sz w:val="21"/>
                <w:szCs w:val="21"/>
              </w:rPr>
            </w:pPr>
            <w:r>
              <w:rPr>
                <w:rFonts w:ascii="宋体" w:hAnsi="宋体" w:cs="宋体" w:eastAsia="宋体" w:hint="default"/>
                <w:sz w:val="21"/>
                <w:szCs w:val="21"/>
              </w:rPr>
              <w:t>本期所</w:t>
            </w:r>
            <w:r>
              <w:rPr>
                <w:rFonts w:ascii="宋体" w:hAnsi="宋体" w:cs="宋体" w:eastAsia="宋体" w:hint="default"/>
                <w:spacing w:val="-102"/>
                <w:sz w:val="21"/>
                <w:szCs w:val="21"/>
              </w:rPr>
              <w:t> </w:t>
            </w:r>
            <w:r>
              <w:rPr>
                <w:rFonts w:ascii="宋体" w:hAnsi="宋体" w:cs="宋体" w:eastAsia="宋体" w:hint="default"/>
                <w:sz w:val="21"/>
                <w:szCs w:val="21"/>
              </w:rPr>
              <w:t>得税前</w:t>
            </w:r>
            <w:r>
              <w:rPr>
                <w:rFonts w:ascii="宋体" w:hAnsi="宋体" w:cs="宋体" w:eastAsia="宋体" w:hint="default"/>
                <w:spacing w:val="-102"/>
                <w:sz w:val="21"/>
                <w:szCs w:val="21"/>
              </w:rPr>
              <w:t> </w:t>
            </w:r>
            <w:r>
              <w:rPr>
                <w:rFonts w:ascii="宋体" w:hAnsi="宋体" w:cs="宋体" w:eastAsia="宋体" w:hint="default"/>
                <w:sz w:val="21"/>
                <w:szCs w:val="21"/>
              </w:rPr>
              <w:t>发生额</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center"/>
              <w:rPr>
                <w:rFonts w:ascii="宋体" w:hAnsi="宋体" w:cs="宋体" w:eastAsia="宋体" w:hint="default"/>
                <w:sz w:val="21"/>
                <w:szCs w:val="21"/>
              </w:rPr>
            </w:pPr>
            <w:r>
              <w:rPr>
                <w:rFonts w:ascii="宋体" w:hAnsi="宋体" w:cs="宋体" w:eastAsia="宋体" w:hint="default"/>
                <w:sz w:val="21"/>
                <w:szCs w:val="21"/>
              </w:rPr>
              <w:t>减：前期</w:t>
            </w:r>
            <w:r>
              <w:rPr>
                <w:rFonts w:ascii="宋体" w:hAnsi="宋体" w:cs="宋体" w:eastAsia="宋体" w:hint="default"/>
                <w:w w:val="100"/>
                <w:sz w:val="21"/>
                <w:szCs w:val="21"/>
              </w:rPr>
              <w:t> </w:t>
            </w:r>
            <w:r>
              <w:rPr>
                <w:rFonts w:ascii="宋体" w:hAnsi="宋体" w:cs="宋体" w:eastAsia="宋体" w:hint="default"/>
                <w:sz w:val="21"/>
                <w:szCs w:val="21"/>
              </w:rPr>
              <w:t>计入其他</w:t>
            </w:r>
            <w:r>
              <w:rPr>
                <w:rFonts w:ascii="宋体" w:hAnsi="宋体" w:cs="宋体" w:eastAsia="宋体" w:hint="default"/>
                <w:w w:val="100"/>
                <w:sz w:val="21"/>
                <w:szCs w:val="21"/>
              </w:rPr>
              <w:t> </w:t>
            </w: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当期转入</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4"/>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所得</w:t>
            </w:r>
            <w:r>
              <w:rPr>
                <w:rFonts w:ascii="宋体" w:hAnsi="宋体" w:cs="宋体" w:eastAsia="宋体" w:hint="default"/>
                <w:spacing w:val="-103"/>
                <w:sz w:val="21"/>
                <w:szCs w:val="21"/>
              </w:rPr>
              <w:t> </w:t>
            </w:r>
            <w:r>
              <w:rPr>
                <w:rFonts w:ascii="宋体" w:hAnsi="宋体" w:cs="宋体" w:eastAsia="宋体" w:hint="default"/>
                <w:sz w:val="21"/>
                <w:szCs w:val="21"/>
              </w:rPr>
              <w:t>税费</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属于母</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8" w:right="175"/>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902" w:type="dxa"/>
            <w:vMerge/>
            <w:tcBorders>
              <w:left w:val="single" w:sz="4" w:space="0" w:color="000000"/>
              <w:bottom w:val="single" w:sz="4" w:space="0" w:color="000000"/>
              <w:right w:val="single" w:sz="4" w:space="0" w:color="000000"/>
            </w:tcBorders>
          </w:tcPr>
          <w:p>
            <w:pPr/>
          </w:p>
        </w:tc>
      </w:tr>
      <w:tr>
        <w:trPr>
          <w:trHeight w:val="63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一、以后不能重分类进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损益的其他综合收益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其中：重新计算设定受</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益计划净负债和净资</w:t>
            </w:r>
            <w:r>
              <w:rPr>
                <w:rFonts w:ascii="宋体" w:hAnsi="宋体" w:cs="宋体" w:eastAsia="宋体" w:hint="default"/>
                <w:w w:val="100"/>
                <w:sz w:val="21"/>
                <w:szCs w:val="21"/>
              </w:rPr>
              <w:t> </w:t>
            </w:r>
            <w:r>
              <w:rPr>
                <w:rFonts w:ascii="宋体" w:hAnsi="宋体" w:cs="宋体" w:eastAsia="宋体" w:hint="default"/>
                <w:sz w:val="21"/>
                <w:szCs w:val="21"/>
              </w:rPr>
              <w:t>产的变动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8" w:firstLine="211"/>
              <w:jc w:val="both"/>
              <w:rPr>
                <w:rFonts w:ascii="宋体" w:hAnsi="宋体" w:cs="宋体" w:eastAsia="宋体" w:hint="default"/>
                <w:sz w:val="21"/>
                <w:szCs w:val="21"/>
              </w:rPr>
            </w:pPr>
            <w:r>
              <w:rPr>
                <w:rFonts w:ascii="宋体" w:hAnsi="宋体" w:cs="宋体" w:eastAsia="宋体" w:hint="default"/>
                <w:sz w:val="21"/>
                <w:szCs w:val="21"/>
              </w:rPr>
              <w:t>权益法下在被投资</w:t>
            </w:r>
            <w:r>
              <w:rPr>
                <w:rFonts w:ascii="宋体" w:hAnsi="宋体" w:cs="宋体" w:eastAsia="宋体" w:hint="default"/>
                <w:w w:val="100"/>
                <w:sz w:val="21"/>
                <w:szCs w:val="21"/>
              </w:rPr>
              <w:t> </w:t>
            </w:r>
            <w:r>
              <w:rPr>
                <w:rFonts w:ascii="宋体" w:hAnsi="宋体" w:cs="宋体" w:eastAsia="宋体" w:hint="default"/>
                <w:sz w:val="21"/>
                <w:szCs w:val="21"/>
              </w:rPr>
              <w:t>单位不能重分类进损</w:t>
            </w:r>
            <w:r>
              <w:rPr>
                <w:rFonts w:ascii="宋体" w:hAnsi="宋体" w:cs="宋体" w:eastAsia="宋体" w:hint="default"/>
                <w:w w:val="100"/>
                <w:sz w:val="21"/>
                <w:szCs w:val="21"/>
              </w:rPr>
              <w:t> </w:t>
            </w:r>
            <w:r>
              <w:rPr>
                <w:rFonts w:ascii="宋体" w:hAnsi="宋体" w:cs="宋体" w:eastAsia="宋体" w:hint="default"/>
                <w:sz w:val="21"/>
                <w:szCs w:val="21"/>
              </w:rPr>
              <w:t>益的其他综合收益中</w:t>
            </w:r>
            <w:r>
              <w:rPr>
                <w:rFonts w:ascii="宋体" w:hAnsi="宋体" w:cs="宋体" w:eastAsia="宋体" w:hint="default"/>
                <w:w w:val="100"/>
                <w:sz w:val="21"/>
                <w:szCs w:val="21"/>
              </w:rPr>
              <w:t> </w:t>
            </w:r>
            <w:r>
              <w:rPr>
                <w:rFonts w:ascii="宋体" w:hAnsi="宋体" w:cs="宋体" w:eastAsia="宋体" w:hint="default"/>
                <w:sz w:val="21"/>
                <w:szCs w:val="21"/>
              </w:rPr>
              <w:t>享有的份额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二、以后将重分类进损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益的其他综合收益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6,676.5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480,188</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.29</w:t>
            </w: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w:t>
            </w:r>
          </w:p>
          <w:p>
            <w:pPr>
              <w:pStyle w:val="TableParagraph"/>
              <w:spacing w:line="240" w:lineRule="auto" w:before="37"/>
              <w:ind w:right="98"/>
              <w:jc w:val="right"/>
              <w:rPr>
                <w:rFonts w:ascii="宋体" w:hAnsi="宋体" w:cs="宋体" w:eastAsia="宋体" w:hint="default"/>
                <w:sz w:val="21"/>
                <w:szCs w:val="21"/>
              </w:rPr>
            </w:pPr>
            <w:r>
              <w:rPr>
                <w:rFonts w:ascii="宋体"/>
                <w:sz w:val="21"/>
              </w:rPr>
              <w:t>23.5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227,44</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1.96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192,722</w:t>
            </w:r>
          </w:p>
          <w:p>
            <w:pPr>
              <w:pStyle w:val="TableParagraph"/>
              <w:spacing w:line="240" w:lineRule="auto" w:before="37"/>
              <w:ind w:left="571" w:right="0"/>
              <w:jc w:val="left"/>
              <w:rPr>
                <w:rFonts w:ascii="宋体" w:hAnsi="宋体" w:cs="宋体" w:eastAsia="宋体" w:hint="default"/>
                <w:sz w:val="21"/>
                <w:szCs w:val="21"/>
              </w:rPr>
            </w:pPr>
            <w:r>
              <w:rPr>
                <w:rFonts w:ascii="宋体"/>
                <w:sz w:val="21"/>
              </w:rPr>
              <w:t>.80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sz w:val="21"/>
              </w:rPr>
              <w:t>234,11</w:t>
            </w:r>
          </w:p>
          <w:p>
            <w:pPr>
              <w:pStyle w:val="TableParagraph"/>
              <w:spacing w:line="240" w:lineRule="auto" w:before="37"/>
              <w:ind w:left="369" w:right="0"/>
              <w:jc w:val="left"/>
              <w:rPr>
                <w:rFonts w:ascii="宋体" w:hAnsi="宋体" w:cs="宋体" w:eastAsia="宋体" w:hint="default"/>
                <w:sz w:val="21"/>
                <w:szCs w:val="21"/>
              </w:rPr>
            </w:pPr>
            <w:r>
              <w:rPr>
                <w:rFonts w:ascii="宋体"/>
                <w:sz w:val="21"/>
              </w:rPr>
              <w:t>8.51</w:t>
            </w:r>
          </w:p>
        </w:tc>
      </w:tr>
      <w:tr>
        <w:trPr>
          <w:trHeight w:val="126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其中：权益法下在被投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资单位以后将重分类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w:t>
            </w:r>
            <w:r>
              <w:rPr>
                <w:rFonts w:ascii="宋体" w:hAnsi="宋体" w:cs="宋体" w:eastAsia="宋体" w:hint="default"/>
                <w:w w:val="100"/>
                <w:sz w:val="21"/>
                <w:szCs w:val="21"/>
              </w:rPr>
              <w:t> </w:t>
            </w:r>
            <w:r>
              <w:rPr>
                <w:rFonts w:ascii="宋体" w:hAnsi="宋体" w:cs="宋体" w:eastAsia="宋体" w:hint="default"/>
                <w:sz w:val="21"/>
                <w:szCs w:val="21"/>
              </w:rPr>
              <w:t>益中享有的份额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8" w:firstLine="211"/>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公允价值变动损益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6,676.5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480,188</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.29</w:t>
            </w: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w:t>
            </w:r>
          </w:p>
          <w:p>
            <w:pPr>
              <w:pStyle w:val="TableParagraph"/>
              <w:spacing w:line="240" w:lineRule="auto" w:before="37"/>
              <w:ind w:right="98"/>
              <w:jc w:val="right"/>
              <w:rPr>
                <w:rFonts w:ascii="宋体" w:hAnsi="宋体" w:cs="宋体" w:eastAsia="宋体" w:hint="default"/>
                <w:sz w:val="21"/>
                <w:szCs w:val="21"/>
              </w:rPr>
            </w:pPr>
            <w:r>
              <w:rPr>
                <w:rFonts w:ascii="宋体"/>
                <w:sz w:val="21"/>
              </w:rPr>
              <w:t>23.5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227,44</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1.96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192,722</w:t>
            </w:r>
          </w:p>
          <w:p>
            <w:pPr>
              <w:pStyle w:val="TableParagraph"/>
              <w:spacing w:line="240" w:lineRule="auto" w:before="37"/>
              <w:ind w:left="571" w:right="0"/>
              <w:jc w:val="left"/>
              <w:rPr>
                <w:rFonts w:ascii="宋体" w:hAnsi="宋体" w:cs="宋体" w:eastAsia="宋体" w:hint="default"/>
                <w:sz w:val="21"/>
                <w:szCs w:val="21"/>
              </w:rPr>
            </w:pPr>
            <w:r>
              <w:rPr>
                <w:rFonts w:ascii="宋体"/>
                <w:sz w:val="21"/>
              </w:rPr>
              <w:t>.80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sz w:val="21"/>
              </w:rPr>
              <w:t>234,11</w:t>
            </w:r>
          </w:p>
          <w:p>
            <w:pPr>
              <w:pStyle w:val="TableParagraph"/>
              <w:spacing w:line="240" w:lineRule="auto" w:before="37"/>
              <w:ind w:left="369" w:right="0"/>
              <w:jc w:val="left"/>
              <w:rPr>
                <w:rFonts w:ascii="宋体" w:hAnsi="宋体" w:cs="宋体" w:eastAsia="宋体" w:hint="default"/>
                <w:sz w:val="21"/>
                <w:szCs w:val="21"/>
              </w:rPr>
            </w:pPr>
            <w:r>
              <w:rPr>
                <w:rFonts w:ascii="宋体"/>
                <w:sz w:val="21"/>
              </w:rPr>
              <w:t>8.51</w:t>
            </w:r>
          </w:p>
        </w:tc>
      </w:tr>
      <w:tr>
        <w:trPr>
          <w:trHeight w:val="94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8" w:firstLine="211"/>
              <w:jc w:val="both"/>
              <w:rPr>
                <w:rFonts w:ascii="宋体" w:hAnsi="宋体" w:cs="宋体" w:eastAsia="宋体" w:hint="default"/>
                <w:sz w:val="21"/>
                <w:szCs w:val="21"/>
              </w:rPr>
            </w:pPr>
            <w:r>
              <w:rPr>
                <w:rFonts w:ascii="宋体" w:hAnsi="宋体" w:cs="宋体" w:eastAsia="宋体" w:hint="default"/>
                <w:sz w:val="21"/>
                <w:szCs w:val="21"/>
              </w:rPr>
              <w:t>持有至到期投资重</w:t>
            </w:r>
            <w:r>
              <w:rPr>
                <w:rFonts w:ascii="宋体" w:hAnsi="宋体" w:cs="宋体" w:eastAsia="宋体" w:hint="default"/>
                <w:w w:val="100"/>
                <w:sz w:val="21"/>
                <w:szCs w:val="21"/>
              </w:rPr>
              <w:t> </w:t>
            </w:r>
            <w:r>
              <w:rPr>
                <w:rFonts w:ascii="宋体" w:hAnsi="宋体" w:cs="宋体" w:eastAsia="宋体" w:hint="default"/>
                <w:sz w:val="21"/>
                <w:szCs w:val="21"/>
              </w:rPr>
              <w:t>分类为可供出售金融</w:t>
            </w:r>
            <w:r>
              <w:rPr>
                <w:rFonts w:ascii="宋体" w:hAnsi="宋体" w:cs="宋体" w:eastAsia="宋体" w:hint="default"/>
                <w:w w:val="100"/>
                <w:sz w:val="21"/>
                <w:szCs w:val="21"/>
              </w:rPr>
              <w:t> </w:t>
            </w:r>
            <w:r>
              <w:rPr>
                <w:rFonts w:ascii="宋体" w:hAnsi="宋体" w:cs="宋体" w:eastAsia="宋体" w:hint="default"/>
                <w:sz w:val="21"/>
                <w:szCs w:val="21"/>
              </w:rPr>
              <w:t>资产损益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8" w:firstLine="211"/>
              <w:jc w:val="left"/>
              <w:rPr>
                <w:rFonts w:ascii="宋体" w:hAnsi="宋体" w:cs="宋体" w:eastAsia="宋体" w:hint="default"/>
                <w:sz w:val="21"/>
                <w:szCs w:val="21"/>
              </w:rPr>
            </w:pPr>
            <w:r>
              <w:rPr>
                <w:rFonts w:ascii="宋体" w:hAnsi="宋体" w:cs="宋体" w:eastAsia="宋体" w:hint="default"/>
                <w:sz w:val="21"/>
                <w:szCs w:val="21"/>
              </w:rPr>
              <w:t>现金流量套期损益</w:t>
            </w:r>
            <w:r>
              <w:rPr>
                <w:rFonts w:ascii="宋体" w:hAnsi="宋体" w:cs="宋体" w:eastAsia="宋体" w:hint="default"/>
                <w:w w:val="100"/>
                <w:sz w:val="21"/>
                <w:szCs w:val="21"/>
              </w:rPr>
              <w:t> </w:t>
            </w:r>
            <w:r>
              <w:rPr>
                <w:rFonts w:ascii="宋体" w:hAnsi="宋体" w:cs="宋体" w:eastAsia="宋体" w:hint="default"/>
                <w:sz w:val="21"/>
                <w:szCs w:val="21"/>
              </w:rPr>
              <w:t>的有效部分</w:t>
            </w:r>
          </w:p>
        </w:tc>
        <w:tc>
          <w:tcPr>
            <w:tcW w:w="99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w:t>
            </w:r>
          </w:p>
        </w:tc>
        <w:tc>
          <w:tcPr>
            <w:tcW w:w="99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297"/>
        <w:gridCol w:w="994"/>
        <w:gridCol w:w="996"/>
        <w:gridCol w:w="1131"/>
        <w:gridCol w:w="708"/>
        <w:gridCol w:w="850"/>
        <w:gridCol w:w="999"/>
        <w:gridCol w:w="902"/>
      </w:tblGrid>
      <w:tr>
        <w:trPr>
          <w:trHeight w:val="32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6,676.5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480,188</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.29</w:t>
            </w:r>
          </w:p>
        </w:tc>
        <w:tc>
          <w:tcPr>
            <w:tcW w:w="11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w:t>
            </w:r>
          </w:p>
          <w:p>
            <w:pPr>
              <w:pStyle w:val="TableParagraph"/>
              <w:spacing w:line="240" w:lineRule="auto" w:before="37"/>
              <w:ind w:right="98"/>
              <w:jc w:val="right"/>
              <w:rPr>
                <w:rFonts w:ascii="宋体" w:hAnsi="宋体" w:cs="宋体" w:eastAsia="宋体" w:hint="default"/>
                <w:sz w:val="21"/>
                <w:szCs w:val="21"/>
              </w:rPr>
            </w:pPr>
            <w:r>
              <w:rPr>
                <w:rFonts w:ascii="宋体"/>
                <w:sz w:val="21"/>
              </w:rPr>
              <w:t>23.5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227,44</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1.96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192,722</w:t>
            </w:r>
          </w:p>
          <w:p>
            <w:pPr>
              <w:pStyle w:val="TableParagraph"/>
              <w:spacing w:line="240" w:lineRule="auto" w:before="37"/>
              <w:ind w:left="571" w:right="0"/>
              <w:jc w:val="left"/>
              <w:rPr>
                <w:rFonts w:ascii="宋体" w:hAnsi="宋体" w:cs="宋体" w:eastAsia="宋体" w:hint="default"/>
                <w:sz w:val="21"/>
                <w:szCs w:val="21"/>
              </w:rPr>
            </w:pPr>
            <w:r>
              <w:rPr>
                <w:rFonts w:ascii="宋体"/>
                <w:sz w:val="21"/>
              </w:rPr>
              <w:t>.80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sz w:val="21"/>
              </w:rPr>
              <w:t>234,11</w:t>
            </w:r>
          </w:p>
          <w:p>
            <w:pPr>
              <w:pStyle w:val="TableParagraph"/>
              <w:spacing w:line="240" w:lineRule="auto" w:before="37"/>
              <w:ind w:left="369" w:right="0"/>
              <w:jc w:val="left"/>
              <w:rPr>
                <w:rFonts w:ascii="宋体" w:hAnsi="宋体" w:cs="宋体" w:eastAsia="宋体" w:hint="default"/>
                <w:sz w:val="21"/>
                <w:szCs w:val="21"/>
              </w:rPr>
            </w:pPr>
            <w:r>
              <w:rPr>
                <w:rFonts w:ascii="宋体"/>
                <w:sz w:val="21"/>
              </w:rPr>
              <w:t>8.51</w:t>
            </w:r>
          </w:p>
        </w:tc>
      </w:tr>
    </w:tbl>
    <w:p>
      <w:pPr>
        <w:spacing w:line="240" w:lineRule="auto" w:before="9"/>
        <w:rPr>
          <w:rFonts w:ascii="宋体" w:hAnsi="宋体" w:cs="宋体" w:eastAsia="宋体" w:hint="default"/>
          <w:sz w:val="24"/>
          <w:szCs w:val="24"/>
        </w:rPr>
      </w:pPr>
    </w:p>
    <w:p>
      <w:pPr>
        <w:pStyle w:val="BodyText"/>
        <w:spacing w:line="240" w:lineRule="auto" w:before="36"/>
        <w:ind w:left="138" w:right="0"/>
        <w:jc w:val="left"/>
      </w:pPr>
      <w:r>
        <w:rPr/>
        <w:t>其他说明，包括对现金流量套期损益的有效部分转为被套期项目初始确认金额调整：</w:t>
      </w:r>
    </w:p>
    <w:p>
      <w:pPr>
        <w:pStyle w:val="Heading2"/>
        <w:spacing w:line="240" w:lineRule="auto" w:before="69"/>
        <w:ind w:left="138" w:right="0"/>
        <w:jc w:val="left"/>
        <w:rPr>
          <w:b w:val="0"/>
          <w:bCs w:val="0"/>
        </w:rPr>
      </w:pPr>
      <w:r>
        <w:rPr>
          <w:rFonts w:ascii="宋体" w:hAnsi="宋体" w:cs="宋体" w:eastAsia="宋体" w:hint="default"/>
        </w:rPr>
        <w:t>58</w:t>
      </w:r>
      <w:r>
        <w:rPr/>
        <w:t>、</w:t>
      </w:r>
      <w:r>
        <w:rPr>
          <w:spacing w:val="-102"/>
        </w:rPr>
        <w:t> </w:t>
      </w:r>
      <w:r>
        <w:rPr/>
        <w:t>专项储备</w:t>
      </w:r>
      <w:r>
        <w:rPr>
          <w:b w:val="0"/>
          <w:bCs w:val="0"/>
        </w:rPr>
      </w:r>
    </w:p>
    <w:p>
      <w:pPr>
        <w:pStyle w:val="BodyText"/>
        <w:spacing w:line="240" w:lineRule="auto" w:before="85"/>
        <w:ind w:left="138" w:right="0"/>
        <w:jc w:val="left"/>
      </w:pPr>
      <w:r>
        <w:rPr/>
        <w:t>□适用</w:t>
      </w:r>
      <w:r>
        <w:rPr>
          <w:spacing w:val="-1"/>
        </w:rPr>
        <w:t> </w:t>
      </w:r>
      <w:r>
        <w:rPr/>
        <w:t>√不适用</w:t>
      </w:r>
    </w:p>
    <w:p>
      <w:pPr>
        <w:pStyle w:val="Heading2"/>
        <w:spacing w:line="240" w:lineRule="auto" w:before="69"/>
        <w:ind w:left="138" w:right="0"/>
        <w:jc w:val="left"/>
        <w:rPr>
          <w:b w:val="0"/>
          <w:bCs w:val="0"/>
        </w:rPr>
      </w:pPr>
      <w:r>
        <w:rPr>
          <w:rFonts w:ascii="宋体" w:hAnsi="宋体" w:cs="宋体" w:eastAsia="宋体" w:hint="default"/>
        </w:rPr>
        <w:t>59</w:t>
      </w:r>
      <w:r>
        <w:rPr/>
        <w:t>、</w:t>
      </w:r>
      <w:r>
        <w:rPr>
          <w:spacing w:val="-102"/>
        </w:rPr>
        <w:t> </w:t>
      </w:r>
      <w:r>
        <w:rPr/>
        <w:t>盈余公积</w:t>
      </w:r>
      <w:r>
        <w:rPr>
          <w:b w:val="0"/>
          <w:bCs w:val="0"/>
        </w:rPr>
      </w:r>
    </w:p>
    <w:p>
      <w:pPr>
        <w:pStyle w:val="BodyText"/>
        <w:spacing w:line="240" w:lineRule="auto" w:before="86"/>
        <w:ind w:left="138" w:right="0"/>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114,210,750.63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7,527,240.90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121,737,991.53</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114,210,750.63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7,527,240.90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121,737,991.53</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660" w:right="1040"/>
        </w:sectPr>
      </w:pPr>
    </w:p>
    <w:p>
      <w:pPr>
        <w:pStyle w:val="Heading2"/>
        <w:spacing w:line="240" w:lineRule="auto"/>
        <w:ind w:left="138" w:right="-17"/>
        <w:jc w:val="left"/>
        <w:rPr>
          <w:b w:val="0"/>
          <w:bCs w:val="0"/>
        </w:rPr>
      </w:pPr>
      <w:r>
        <w:rPr>
          <w:rFonts w:ascii="宋体" w:hAnsi="宋体" w:cs="宋体" w:eastAsia="宋体" w:hint="default"/>
        </w:rPr>
        <w:t>60</w:t>
      </w:r>
      <w:r>
        <w:rPr/>
        <w:t>、</w:t>
      </w:r>
      <w:r>
        <w:rPr>
          <w:spacing w:val="-103"/>
        </w:rPr>
        <w:t> </w:t>
      </w:r>
      <w:r>
        <w:rPr/>
        <w:t>未分配利润</w:t>
      </w:r>
      <w:r>
        <w:rPr>
          <w:b w:val="0"/>
          <w:bCs w:val="0"/>
        </w:rPr>
      </w:r>
    </w:p>
    <w:p>
      <w:pPr>
        <w:pStyle w:val="BodyText"/>
        <w:spacing w:line="240" w:lineRule="auto" w:before="85"/>
        <w:ind w:left="1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40"/>
          <w:cols w:num="2" w:equalWidth="0">
            <w:col w:w="1847" w:space="4675"/>
            <w:col w:w="268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285"/>
        <w:gridCol w:w="1923"/>
        <w:gridCol w:w="2689"/>
      </w:tblGrid>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上期</w:t>
            </w: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调整前上期末未分配利润</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3"/>
              <w:jc w:val="right"/>
              <w:rPr>
                <w:rFonts w:ascii="宋体" w:hAnsi="宋体" w:cs="宋体" w:eastAsia="宋体" w:hint="default"/>
                <w:sz w:val="24"/>
                <w:szCs w:val="24"/>
              </w:rPr>
            </w:pPr>
            <w:r>
              <w:rPr>
                <w:rFonts w:ascii="宋体"/>
                <w:sz w:val="24"/>
              </w:rPr>
              <w:t>510,703,792.19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342,350,862.09</w:t>
            </w:r>
          </w:p>
        </w:tc>
      </w:tr>
      <w:tr>
        <w:trPr>
          <w:trHeight w:val="634"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调整期初未分配利润合计数（调增</w:t>
            </w:r>
            <w:r>
              <w:rPr>
                <w:rFonts w:ascii="宋体" w:hAnsi="宋体" w:cs="宋体" w:eastAsia="宋体" w:hint="default"/>
                <w:sz w:val="24"/>
                <w:szCs w:val="24"/>
              </w:rPr>
              <w:t>+</w:t>
            </w:r>
            <w:r>
              <w:rPr>
                <w:rFonts w:ascii="宋体" w:hAnsi="宋体" w:cs="宋体" w:eastAsia="宋体" w:hint="default"/>
                <w:sz w:val="24"/>
                <w:szCs w:val="24"/>
              </w:rPr>
              <w:t>，调</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减－）</w:t>
            </w:r>
          </w:p>
        </w:tc>
        <w:tc>
          <w:tcPr>
            <w:tcW w:w="1923"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调整后期初未分配利润</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3"/>
              <w:jc w:val="right"/>
              <w:rPr>
                <w:rFonts w:ascii="宋体" w:hAnsi="宋体" w:cs="宋体" w:eastAsia="宋体" w:hint="default"/>
                <w:sz w:val="24"/>
                <w:szCs w:val="24"/>
              </w:rPr>
            </w:pPr>
            <w:r>
              <w:rPr>
                <w:rFonts w:ascii="宋体"/>
                <w:sz w:val="24"/>
              </w:rPr>
              <w:t>510,703,792.19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1"/>
              <w:jc w:val="right"/>
              <w:rPr>
                <w:rFonts w:ascii="宋体" w:hAnsi="宋体" w:cs="宋体" w:eastAsia="宋体" w:hint="default"/>
                <w:sz w:val="24"/>
                <w:szCs w:val="24"/>
              </w:rPr>
            </w:pPr>
            <w:r>
              <w:rPr>
                <w:rFonts w:ascii="宋体"/>
                <w:sz w:val="24"/>
              </w:rPr>
              <w:t>342,350,862.09</w:t>
            </w: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加：本期归属于母公司所有者的净利润</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3"/>
              <w:jc w:val="right"/>
              <w:rPr>
                <w:rFonts w:ascii="宋体" w:hAnsi="宋体" w:cs="宋体" w:eastAsia="宋体" w:hint="default"/>
                <w:sz w:val="24"/>
                <w:szCs w:val="24"/>
              </w:rPr>
            </w:pPr>
            <w:r>
              <w:rPr>
                <w:rFonts w:ascii="宋体"/>
                <w:sz w:val="24"/>
              </w:rPr>
              <w:t>132,000,143.37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
              <w:jc w:val="right"/>
              <w:rPr>
                <w:rFonts w:ascii="宋体" w:hAnsi="宋体" w:cs="宋体" w:eastAsia="宋体" w:hint="default"/>
                <w:sz w:val="24"/>
                <w:szCs w:val="24"/>
              </w:rPr>
            </w:pPr>
            <w:r>
              <w:rPr>
                <w:rFonts w:ascii="宋体"/>
                <w:sz w:val="24"/>
              </w:rPr>
              <w:t>235,078,925.34</w:t>
            </w: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7,527,240.90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
              <w:jc w:val="right"/>
              <w:rPr>
                <w:rFonts w:ascii="宋体" w:hAnsi="宋体" w:cs="宋体" w:eastAsia="宋体" w:hint="default"/>
                <w:sz w:val="24"/>
                <w:szCs w:val="24"/>
              </w:rPr>
            </w:pPr>
            <w:r>
              <w:rPr>
                <w:rFonts w:ascii="宋体"/>
                <w:sz w:val="24"/>
              </w:rPr>
              <w:t>19,130,453.59</w:t>
            </w: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1923"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提取一般风险准备</w:t>
            </w:r>
          </w:p>
        </w:tc>
        <w:tc>
          <w:tcPr>
            <w:tcW w:w="1923"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70,975,812.61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
              <w:jc w:val="right"/>
              <w:rPr>
                <w:rFonts w:ascii="宋体" w:hAnsi="宋体" w:cs="宋体" w:eastAsia="宋体" w:hint="default"/>
                <w:sz w:val="24"/>
                <w:szCs w:val="24"/>
              </w:rPr>
            </w:pPr>
            <w:r>
              <w:rPr>
                <w:rFonts w:ascii="宋体"/>
                <w:sz w:val="24"/>
              </w:rPr>
              <w:t>47,595,541.65</w:t>
            </w:r>
          </w:p>
        </w:tc>
      </w:tr>
      <w:tr>
        <w:trPr>
          <w:trHeight w:val="324"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46" w:right="0"/>
              <w:jc w:val="left"/>
              <w:rPr>
                <w:rFonts w:ascii="宋体" w:hAnsi="宋体" w:cs="宋体" w:eastAsia="宋体" w:hint="default"/>
                <w:sz w:val="24"/>
                <w:szCs w:val="24"/>
              </w:rPr>
            </w:pPr>
            <w:r>
              <w:rPr>
                <w:rFonts w:ascii="宋体" w:hAnsi="宋体" w:cs="宋体" w:eastAsia="宋体" w:hint="default"/>
                <w:sz w:val="24"/>
                <w:szCs w:val="24"/>
              </w:rPr>
              <w:t>转作股本的普通股股利</w:t>
            </w:r>
          </w:p>
        </w:tc>
        <w:tc>
          <w:tcPr>
            <w:tcW w:w="1923"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期末未分配利润</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564,200,882.05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
              <w:jc w:val="right"/>
              <w:rPr>
                <w:rFonts w:ascii="宋体" w:hAnsi="宋体" w:cs="宋体" w:eastAsia="宋体" w:hint="default"/>
                <w:sz w:val="24"/>
                <w:szCs w:val="24"/>
              </w:rPr>
            </w:pPr>
            <w:r>
              <w:rPr>
                <w:rFonts w:ascii="宋体"/>
                <w:sz w:val="24"/>
              </w:rPr>
              <w:t>510,703,792.19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660" w:right="1040"/>
        </w:sectPr>
      </w:pPr>
    </w:p>
    <w:p>
      <w:pPr>
        <w:pStyle w:val="Heading2"/>
        <w:spacing w:line="240" w:lineRule="auto"/>
        <w:ind w:left="138" w:right="-17"/>
        <w:jc w:val="left"/>
        <w:rPr>
          <w:b w:val="0"/>
          <w:bCs w:val="0"/>
        </w:rPr>
      </w:pPr>
      <w:r>
        <w:rPr>
          <w:rFonts w:ascii="宋体" w:hAnsi="宋体" w:cs="宋体" w:eastAsia="宋体" w:hint="default"/>
        </w:rPr>
        <w:t>61</w:t>
      </w:r>
      <w:r>
        <w:rPr/>
        <w:t>、</w:t>
      </w:r>
      <w:r>
        <w:rPr>
          <w:spacing w:val="-103"/>
        </w:rPr>
        <w:t> </w:t>
      </w:r>
      <w:r>
        <w:rPr/>
        <w:t>营业收入和营业成本</w:t>
      </w:r>
      <w:r>
        <w:rPr>
          <w:b w:val="0"/>
          <w:bCs w:val="0"/>
        </w:rPr>
      </w:r>
    </w:p>
    <w:p>
      <w:pPr>
        <w:pStyle w:val="Heading3"/>
        <w:tabs>
          <w:tab w:pos="1097" w:val="left" w:leader="none"/>
        </w:tabs>
        <w:spacing w:line="240" w:lineRule="auto" w:before="58"/>
        <w:ind w:left="138" w:right="-17"/>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Heading3"/>
        <w:tabs>
          <w:tab w:pos="1338"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040"/>
          <w:cols w:num="2" w:equalWidth="0">
            <w:col w:w="2812" w:space="3381"/>
            <w:col w:w="3017"/>
          </w:cols>
        </w:sectPr>
      </w:pPr>
    </w:p>
    <w:p>
      <w:pPr>
        <w:spacing w:line="240" w:lineRule="auto" w:before="12"/>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32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4,192,146,260.81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3,106,526,265.36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3,630,663,237.03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2,717,352,945.00</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35,599,704.47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16,109,190.00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34,943,354.19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14,088,410.92</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4,227,745,965.28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3,122,635,455.36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3,665,606,591.22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2,731,441,355.92</w:t>
            </w:r>
          </w:p>
        </w:tc>
      </w:tr>
    </w:tbl>
    <w:p>
      <w:pPr>
        <w:spacing w:after="0" w:line="263" w:lineRule="exact"/>
        <w:jc w:val="right"/>
        <w:rPr>
          <w:rFonts w:ascii="宋体" w:hAnsi="宋体" w:cs="宋体" w:eastAsia="宋体" w:hint="default"/>
          <w:sz w:val="21"/>
          <w:szCs w:val="21"/>
        </w:rPr>
        <w:sectPr>
          <w:type w:val="continuous"/>
          <w:pgSz w:w="11910" w:h="16840"/>
          <w:pgMar w:top="1120" w:bottom="1380" w:left="1660" w:right="1040"/>
        </w:sectPr>
      </w:pPr>
    </w:p>
    <w:p>
      <w:pPr>
        <w:spacing w:line="240" w:lineRule="auto" w:before="10"/>
        <w:rPr>
          <w:rFonts w:ascii="宋体" w:hAnsi="宋体" w:cs="宋体" w:eastAsia="宋体" w:hint="default"/>
          <w:sz w:val="26"/>
          <w:szCs w:val="26"/>
        </w:rPr>
      </w:pPr>
    </w:p>
    <w:p>
      <w:pPr>
        <w:pStyle w:val="BodyText"/>
        <w:spacing w:line="240" w:lineRule="auto" w:before="36"/>
        <w:ind w:left="238" w:right="0"/>
        <w:jc w:val="left"/>
      </w:pPr>
      <w:r>
        <w:rPr/>
        <w:t>主营业务按产品划分</w:t>
      </w:r>
    </w:p>
    <w:p>
      <w:pPr>
        <w:spacing w:line="240" w:lineRule="auto" w:before="10"/>
        <w:rPr>
          <w:rFonts w:ascii="宋体" w:hAnsi="宋体" w:cs="宋体" w:eastAsia="宋体" w:hint="default"/>
          <w:sz w:val="3"/>
          <w:szCs w:val="3"/>
        </w:rPr>
      </w:pPr>
    </w:p>
    <w:p>
      <w:pPr>
        <w:spacing w:line="480" w:lineRule="exact"/>
        <w:ind w:left="115"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53.95pt;height:24.05pt;mso-position-horizontal-relative:char;mso-position-vertical-relative:line" coordorigin="0,0" coordsize="9079,481">
            <v:group style="position:absolute;left:14;top:14;width:1805;height:2" coordorigin="14,14" coordsize="1805,2">
              <v:shape style="position:absolute;left:14;top:14;width:1805;height:2" coordorigin="14,14" coordsize="1805,0" path="m14,14l1819,14e" filled="false" stroked="true" strokeweight="1.44pt" strokecolor="#000000">
                <v:path arrowok="t"/>
              </v:shape>
              <v:shape style="position:absolute;left:1819;top:29;width:10;height:2" type="#_x0000_t75" stroked="false">
                <v:imagedata r:id="rId94" o:title=""/>
              </v:shape>
            </v:group>
            <v:group style="position:absolute;left:1819;top:14;width:29;height:2" coordorigin="1819,14" coordsize="29,2">
              <v:shape style="position:absolute;left:1819;top:14;width:29;height:2" coordorigin="1819,14" coordsize="29,0" path="m1819,14l1848,14e" filled="false" stroked="true" strokeweight="1.44pt" strokecolor="#000000">
                <v:path arrowok="t"/>
              </v:shape>
            </v:group>
            <v:group style="position:absolute;left:1848;top:14;width:3592;height:2" coordorigin="1848,14" coordsize="3592,2">
              <v:shape style="position:absolute;left:1848;top:14;width:3592;height:2" coordorigin="1848,14" coordsize="3592,0" path="m1848,14l5439,14e" filled="false" stroked="true" strokeweight="1.44pt" strokecolor="#000000">
                <v:path arrowok="t"/>
              </v:shape>
              <v:shape style="position:absolute;left:5439;top:29;width:10;height:2" type="#_x0000_t75" stroked="false">
                <v:imagedata r:id="rId94" o:title=""/>
              </v:shape>
            </v:group>
            <v:group style="position:absolute;left:5439;top:14;width:29;height:2" coordorigin="5439,14" coordsize="29,2">
              <v:shape style="position:absolute;left:5439;top:14;width:29;height:2" coordorigin="5439,14" coordsize="29,0" path="m5439,14l5468,14e" filled="false" stroked="true" strokeweight="1.44pt" strokecolor="#000000">
                <v:path arrowok="t"/>
              </v:shape>
            </v:group>
            <v:group style="position:absolute;left:5468;top:14;width:3596;height:2" coordorigin="5468,14" coordsize="3596,2">
              <v:shape style="position:absolute;left:5468;top:14;width:3596;height:2" coordorigin="5468,14" coordsize="3596,0" path="m5468,14l9064,14e" filled="false" stroked="true" strokeweight="1.44pt" strokecolor="#000000">
                <v:path arrowok="t"/>
              </v:shape>
            </v:group>
            <v:group style="position:absolute;left:1819;top:31;width:10;height:20" coordorigin="1819,31" coordsize="10,20">
              <v:shape style="position:absolute;left:1819;top:31;width:10;height:20" coordorigin="1819,31" coordsize="10,20" path="m1819,50l1829,50,1829,31,1819,31,1819,50xe" filled="true" fillcolor="#000000" stroked="false">
                <v:path arrowok="t"/>
                <v:fill type="solid"/>
              </v:shape>
            </v:group>
            <v:group style="position:absolute;left:5439;top:31;width:10;height:20" coordorigin="5439,31" coordsize="10,20">
              <v:shape style="position:absolute;left:5439;top:31;width:10;height:20" coordorigin="5439,31" coordsize="10,20" path="m5439,50l5449,50,5449,31,5439,31,5439,50xe" filled="true" fillcolor="#000000" stroked="false">
                <v:path arrowok="t"/>
                <v:fill type="solid"/>
              </v:shape>
            </v:group>
            <v:group style="position:absolute;left:5439;top:50;width:10;height:20" coordorigin="5439,50" coordsize="10,20">
              <v:shape style="position:absolute;left:5439;top:50;width:10;height:20" coordorigin="5439,50" coordsize="10,20" path="m5439,70l5449,70,5449,50,5439,50,5439,70xe" filled="true" fillcolor="#000000" stroked="false">
                <v:path arrowok="t"/>
                <v:fill type="solid"/>
              </v:shape>
            </v:group>
            <v:group style="position:absolute;left:5439;top:70;width:10;height:20" coordorigin="5439,70" coordsize="10,20">
              <v:shape style="position:absolute;left:5439;top:70;width:10;height:20" coordorigin="5439,70" coordsize="10,20" path="m5439,89l5449,89,5449,70,5439,70,5439,89xe" filled="true" fillcolor="#000000" stroked="false">
                <v:path arrowok="t"/>
                <v:fill type="solid"/>
              </v:shape>
            </v:group>
            <v:group style="position:absolute;left:5439;top:89;width:10;height:20" coordorigin="5439,89" coordsize="10,20">
              <v:shape style="position:absolute;left:5439;top:89;width:10;height:20" coordorigin="5439,89" coordsize="10,20" path="m5439,108l5449,108,5449,89,5439,89,5439,108xe" filled="true" fillcolor="#000000" stroked="false">
                <v:path arrowok="t"/>
                <v:fill type="solid"/>
              </v:shape>
            </v:group>
            <v:group style="position:absolute;left:5439;top:108;width:10;height:20" coordorigin="5439,108" coordsize="10,20">
              <v:shape style="position:absolute;left:5439;top:108;width:10;height:20" coordorigin="5439,108" coordsize="10,20" path="m5439,127l5449,127,5449,108,5439,108,5439,127xe" filled="true" fillcolor="#000000" stroked="false">
                <v:path arrowok="t"/>
                <v:fill type="solid"/>
              </v:shape>
            </v:group>
            <v:group style="position:absolute;left:5439;top:127;width:10;height:20" coordorigin="5439,127" coordsize="10,20">
              <v:shape style="position:absolute;left:5439;top:127;width:10;height:20" coordorigin="5439,127" coordsize="10,20" path="m5439,146l5449,146,5449,127,5439,127,5439,146xe" filled="true" fillcolor="#000000" stroked="false">
                <v:path arrowok="t"/>
                <v:fill type="solid"/>
              </v:shape>
            </v:group>
            <v:group style="position:absolute;left:5439;top:146;width:10;height:20" coordorigin="5439,146" coordsize="10,20">
              <v:shape style="position:absolute;left:5439;top:146;width:10;height:20" coordorigin="5439,146" coordsize="10,20" path="m5439,166l5449,166,5449,146,5439,146,5439,166xe" filled="true" fillcolor="#000000" stroked="false">
                <v:path arrowok="t"/>
                <v:fill type="solid"/>
              </v:shape>
            </v:group>
            <v:group style="position:absolute;left:5439;top:166;width:10;height:20" coordorigin="5439,166" coordsize="10,20">
              <v:shape style="position:absolute;left:5439;top:166;width:10;height:20" coordorigin="5439,166" coordsize="10,20" path="m5439,185l5449,185,5449,166,5439,166,5439,185xe" filled="true" fillcolor="#000000" stroked="false">
                <v:path arrowok="t"/>
                <v:fill type="solid"/>
              </v:shape>
            </v:group>
            <v:group style="position:absolute;left:5439;top:185;width:10;height:20" coordorigin="5439,185" coordsize="10,20">
              <v:shape style="position:absolute;left:5439;top:185;width:10;height:20" coordorigin="5439,185" coordsize="10,20" path="m5439,204l5449,204,5449,185,5439,185,5439,204xe" filled="true" fillcolor="#000000" stroked="false">
                <v:path arrowok="t"/>
                <v:fill type="solid"/>
              </v:shape>
            </v:group>
            <v:group style="position:absolute;left:5439;top:204;width:10;height:20" coordorigin="5439,204" coordsize="10,20">
              <v:shape style="position:absolute;left:5439;top:204;width:10;height:20" coordorigin="5439,204" coordsize="10,20" path="m5439,223l5449,223,5449,204,5439,204,5439,223xe" filled="true" fillcolor="#000000" stroked="false">
                <v:path arrowok="t"/>
                <v:fill type="solid"/>
              </v:shape>
            </v:group>
            <v:group style="position:absolute;left:5439;top:223;width:10;height:20" coordorigin="5439,223" coordsize="10,20">
              <v:shape style="position:absolute;left:5439;top:223;width:10;height:20" coordorigin="5439,223" coordsize="10,20" path="m5439,242l5449,242,5449,223,5439,223,5439,242xe" filled="true" fillcolor="#000000" stroked="false">
                <v:path arrowok="t"/>
                <v:fill type="solid"/>
              </v:shape>
            </v:group>
            <v:group style="position:absolute;left:5439;top:242;width:10;height:20" coordorigin="5439,242" coordsize="10,20">
              <v:shape style="position:absolute;left:5439;top:242;width:10;height:20" coordorigin="5439,242" coordsize="10,20" path="m5439,262l5449,262,5449,242,5439,242,5439,262xe" filled="true" fillcolor="#000000" stroked="false">
                <v:path arrowok="t"/>
                <v:fill type="solid"/>
              </v:shape>
            </v:group>
            <v:group style="position:absolute;left:5439;top:262;width:10;height:20" coordorigin="5439,262" coordsize="10,20">
              <v:shape style="position:absolute;left:5439;top:262;width:10;height:20" coordorigin="5439,262" coordsize="10,20" path="m5439,281l5449,281,5449,262,5439,262,5439,281xe" filled="true" fillcolor="#000000" stroked="false">
                <v:path arrowok="t"/>
                <v:fill type="solid"/>
              </v:shape>
              <v:shape style="position:absolute;left:1814;top:281;width:3644;height:101" type="#_x0000_t75" stroked="false">
                <v:imagedata r:id="rId95" o:title=""/>
              </v:shape>
              <v:shape style="position:absolute;left:5435;top:372;width:1815;height:10" type="#_x0000_t75" stroked="false">
                <v:imagedata r:id="rId96" o:title=""/>
              </v:shape>
              <v:shape style="position:absolute;left:7245;top:372;width:1819;height:10" type="#_x0000_t75" stroked="false">
                <v:imagedata r:id="rId97" o:title=""/>
              </v:shape>
              <v:shape style="position:absolute;left:708;top:270;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group>
          </v:group>
        </w:pict>
      </w:r>
      <w:r>
        <w:rPr>
          <w:rFonts w:ascii="宋体" w:hAnsi="宋体" w:cs="宋体" w:eastAsia="宋体" w:hint="default"/>
          <w:position w:val="-9"/>
          <w:sz w:val="20"/>
          <w:szCs w:val="20"/>
        </w:rPr>
      </w:r>
    </w:p>
    <w:p>
      <w:pPr>
        <w:spacing w:line="240" w:lineRule="auto" w:before="4"/>
        <w:rPr>
          <w:rFonts w:ascii="宋体" w:hAnsi="宋体" w:cs="宋体" w:eastAsia="宋体" w:hint="default"/>
          <w:sz w:val="18"/>
          <w:szCs w:val="18"/>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52.5pt;height:.5pt;mso-position-horizontal-relative:char;mso-position-vertical-relative:line" coordorigin="0,0" coordsize="9050,10">
            <v:shape style="position:absolute;left:0;top:0;width:1805;height:10" type="#_x0000_t75" stroked="false">
              <v:imagedata r:id="rId98" o:title=""/>
            </v:shape>
            <v:shape style="position:absolute;left:1800;top:0;width:3625;height:10" type="#_x0000_t75" stroked="false">
              <v:imagedata r:id="rId99" o:title=""/>
            </v:shape>
            <v:shape style="position:absolute;left:5420;top:0;width:1815;height:10" type="#_x0000_t75" stroked="false">
              <v:imagedata r:id="rId80" o:title=""/>
            </v:shape>
            <v:shape style="position:absolute;left:7230;top:0;width:1819;height:10" type="#_x0000_t75" stroked="false">
              <v:imagedata r:id="rId100" o:title=""/>
            </v:shape>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60" w:right="1040"/>
        </w:sectPr>
      </w:pPr>
    </w:p>
    <w:p>
      <w:pPr>
        <w:pStyle w:val="BodyText"/>
        <w:spacing w:line="231" w:lineRule="exact"/>
        <w:ind w:left="238" w:right="306"/>
        <w:jc w:val="left"/>
      </w:pPr>
      <w:r>
        <w:rPr/>
        <w:pict>
          <v:shape style="position:absolute;margin-left:174.740005pt;margin-top:-36.279961pt;width:362.25pt;height:179.1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0"/>
                    <w:gridCol w:w="1810"/>
                    <w:gridCol w:w="1810"/>
                    <w:gridCol w:w="1809"/>
                  </w:tblGrid>
                  <w:tr>
                    <w:trPr>
                      <w:trHeight w:val="1223" w:hRule="exact"/>
                    </w:trPr>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6"/>
                          <w:jc w:val="righ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75"/>
                          <w:ind w:left="689" w:right="0"/>
                          <w:jc w:val="left"/>
                          <w:rPr>
                            <w:rFonts w:ascii="宋体" w:hAnsi="宋体" w:cs="宋体" w:eastAsia="宋体" w:hint="default"/>
                            <w:sz w:val="21"/>
                            <w:szCs w:val="21"/>
                          </w:rPr>
                        </w:pPr>
                        <w:r>
                          <w:rPr>
                            <w:rFonts w:ascii="宋体" w:hAnsi="宋体" w:cs="宋体" w:eastAsia="宋体" w:hint="default"/>
                            <w:sz w:val="21"/>
                            <w:szCs w:val="21"/>
                          </w:rPr>
                          <w:t>收入</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111,826,313.32</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9" w:right="0"/>
                          <w:jc w:val="left"/>
                          <w:rPr>
                            <w:rFonts w:ascii="宋体" w:hAnsi="宋体" w:cs="宋体" w:eastAsia="宋体" w:hint="default"/>
                            <w:sz w:val="21"/>
                            <w:szCs w:val="21"/>
                          </w:rPr>
                        </w:pPr>
                        <w:r>
                          <w:rPr>
                            <w:rFonts w:ascii="宋体" w:hAnsi="宋体" w:cs="宋体" w:eastAsia="宋体" w:hint="default"/>
                            <w:sz w:val="21"/>
                            <w:szCs w:val="21"/>
                          </w:rPr>
                          <w:t>发生额</w:t>
                        </w:r>
                      </w:p>
                      <w:p>
                        <w:pPr>
                          <w:pStyle w:val="TableParagraph"/>
                          <w:spacing w:line="240" w:lineRule="auto" w:before="75"/>
                          <w:ind w:left="688" w:right="0"/>
                          <w:jc w:val="left"/>
                          <w:rPr>
                            <w:rFonts w:ascii="宋体" w:hAnsi="宋体" w:cs="宋体" w:eastAsia="宋体" w:hint="default"/>
                            <w:sz w:val="21"/>
                            <w:szCs w:val="21"/>
                          </w:rPr>
                        </w:pPr>
                        <w:r>
                          <w:rPr>
                            <w:rFonts w:ascii="宋体" w:hAnsi="宋体" w:cs="宋体" w:eastAsia="宋体" w:hint="default"/>
                            <w:sz w:val="21"/>
                            <w:szCs w:val="21"/>
                          </w:rPr>
                          <w:t>成本</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91" w:right="0"/>
                          <w:jc w:val="left"/>
                          <w:rPr>
                            <w:rFonts w:ascii="Arial Narrow" w:hAnsi="Arial Narrow" w:cs="Arial Narrow" w:eastAsia="Arial Narrow" w:hint="default"/>
                            <w:sz w:val="21"/>
                            <w:szCs w:val="21"/>
                          </w:rPr>
                        </w:pPr>
                        <w:r>
                          <w:rPr>
                            <w:rFonts w:ascii="Arial Narrow"/>
                            <w:sz w:val="21"/>
                          </w:rPr>
                          <w:t>5,513,264.74</w:t>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sz w:val="21"/>
                            <w:szCs w:val="21"/>
                          </w:rPr>
                          <w:t>上期</w:t>
                        </w:r>
                      </w:p>
                      <w:p>
                        <w:pPr>
                          <w:pStyle w:val="TableParagraph"/>
                          <w:spacing w:line="240" w:lineRule="auto" w:before="75"/>
                          <w:ind w:left="688" w:right="0"/>
                          <w:jc w:val="left"/>
                          <w:rPr>
                            <w:rFonts w:ascii="宋体" w:hAnsi="宋体" w:cs="宋体" w:eastAsia="宋体" w:hint="default"/>
                            <w:sz w:val="21"/>
                            <w:szCs w:val="21"/>
                          </w:rPr>
                        </w:pPr>
                        <w:r>
                          <w:rPr>
                            <w:rFonts w:ascii="宋体" w:hAnsi="宋体" w:cs="宋体" w:eastAsia="宋体" w:hint="default"/>
                            <w:sz w:val="21"/>
                            <w:szCs w:val="21"/>
                          </w:rPr>
                          <w:t>收入</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95" w:right="0"/>
                          <w:jc w:val="left"/>
                          <w:rPr>
                            <w:rFonts w:ascii="Arial Narrow" w:hAnsi="Arial Narrow" w:cs="Arial Narrow" w:eastAsia="Arial Narrow" w:hint="default"/>
                            <w:sz w:val="21"/>
                            <w:szCs w:val="21"/>
                          </w:rPr>
                        </w:pPr>
                        <w:r>
                          <w:rPr>
                            <w:rFonts w:ascii="Arial Narrow"/>
                            <w:sz w:val="21"/>
                          </w:rPr>
                          <w:t>36,673,997.38</w:t>
                        </w:r>
                      </w:p>
                    </w:tc>
                    <w:tc>
                      <w:tcPr>
                        <w:tcW w:w="1809"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left="-109" w:right="0"/>
                          <w:jc w:val="left"/>
                          <w:rPr>
                            <w:rFonts w:ascii="宋体" w:hAnsi="宋体" w:cs="宋体" w:eastAsia="宋体" w:hint="default"/>
                            <w:sz w:val="21"/>
                            <w:szCs w:val="21"/>
                          </w:rPr>
                        </w:pPr>
                        <w:r>
                          <w:rPr>
                            <w:rFonts w:ascii="宋体" w:hAnsi="宋体" w:cs="宋体" w:eastAsia="宋体" w:hint="default"/>
                            <w:sz w:val="21"/>
                            <w:szCs w:val="21"/>
                          </w:rPr>
                          <w:t>发生额</w:t>
                        </w:r>
                      </w:p>
                      <w:p>
                        <w:pPr>
                          <w:pStyle w:val="TableParagraph"/>
                          <w:spacing w:line="240" w:lineRule="auto" w:before="75"/>
                          <w:ind w:right="2"/>
                          <w:jc w:val="center"/>
                          <w:rPr>
                            <w:rFonts w:ascii="宋体" w:hAnsi="宋体" w:cs="宋体" w:eastAsia="宋体" w:hint="default"/>
                            <w:sz w:val="21"/>
                            <w:szCs w:val="21"/>
                          </w:rPr>
                        </w:pPr>
                        <w:r>
                          <w:rPr>
                            <w:rFonts w:ascii="宋体" w:hAnsi="宋体" w:cs="宋体" w:eastAsia="宋体" w:hint="default"/>
                            <w:sz w:val="21"/>
                            <w:szCs w:val="21"/>
                          </w:rPr>
                          <w:t>成本</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35" w:right="0"/>
                          <w:jc w:val="left"/>
                          <w:rPr>
                            <w:rFonts w:ascii="Arial Narrow" w:hAnsi="Arial Narrow" w:cs="Arial Narrow" w:eastAsia="Arial Narrow" w:hint="default"/>
                            <w:sz w:val="21"/>
                            <w:szCs w:val="21"/>
                          </w:rPr>
                        </w:pPr>
                        <w:r>
                          <w:rPr>
                            <w:rFonts w:ascii="Arial Narrow"/>
                            <w:sz w:val="21"/>
                          </w:rPr>
                          <w:t>283,032.32</w:t>
                        </w:r>
                      </w:p>
                    </w:tc>
                  </w:tr>
                  <w:tr>
                    <w:trPr>
                      <w:trHeight w:val="401" w:hRule="exact"/>
                    </w:trPr>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99"/>
                          <w:jc w:val="right"/>
                          <w:rPr>
                            <w:rFonts w:ascii="Arial Narrow" w:hAnsi="Arial Narrow" w:cs="Arial Narrow" w:eastAsia="Arial Narrow" w:hint="default"/>
                            <w:sz w:val="21"/>
                            <w:szCs w:val="21"/>
                          </w:rPr>
                        </w:pPr>
                        <w:r>
                          <w:rPr>
                            <w:rFonts w:ascii="Arial Narrow"/>
                            <w:spacing w:val="-1"/>
                            <w:sz w:val="21"/>
                          </w:rPr>
                          <w:t>222,945,436.23</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99"/>
                          <w:jc w:val="right"/>
                          <w:rPr>
                            <w:rFonts w:ascii="Arial Narrow" w:hAnsi="Arial Narrow" w:cs="Arial Narrow" w:eastAsia="Arial Narrow" w:hint="default"/>
                            <w:sz w:val="21"/>
                            <w:szCs w:val="21"/>
                          </w:rPr>
                        </w:pPr>
                        <w:r>
                          <w:rPr>
                            <w:rFonts w:ascii="Arial Narrow"/>
                            <w:spacing w:val="-1"/>
                            <w:sz w:val="21"/>
                          </w:rPr>
                          <w:t>196,479,436.68</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99"/>
                          <w:jc w:val="right"/>
                          <w:rPr>
                            <w:rFonts w:ascii="Arial Narrow" w:hAnsi="Arial Narrow" w:cs="Arial Narrow" w:eastAsia="Arial Narrow" w:hint="default"/>
                            <w:sz w:val="21"/>
                            <w:szCs w:val="21"/>
                          </w:rPr>
                        </w:pPr>
                        <w:r>
                          <w:rPr>
                            <w:rFonts w:ascii="Arial Narrow"/>
                            <w:spacing w:val="-1"/>
                            <w:sz w:val="21"/>
                          </w:rPr>
                          <w:t>240,644,586.76</w:t>
                        </w:r>
                        <w:r>
                          <w:rPr>
                            <w:rFonts w:ascii="Arial Narrow"/>
                            <w:sz w:val="21"/>
                          </w:rPr>
                        </w:r>
                      </w:p>
                    </w:tc>
                    <w:tc>
                      <w:tcPr>
                        <w:tcW w:w="1809"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3"/>
                          <w:jc w:val="right"/>
                          <w:rPr>
                            <w:rFonts w:ascii="Arial Narrow" w:hAnsi="Arial Narrow" w:cs="Arial Narrow" w:eastAsia="Arial Narrow" w:hint="default"/>
                            <w:sz w:val="21"/>
                            <w:szCs w:val="21"/>
                          </w:rPr>
                        </w:pPr>
                        <w:r>
                          <w:rPr>
                            <w:rFonts w:ascii="Arial Narrow"/>
                            <w:spacing w:val="-1"/>
                            <w:sz w:val="21"/>
                          </w:rPr>
                          <w:t>214,447,520.92</w:t>
                        </w:r>
                        <w:r>
                          <w:rPr>
                            <w:rFonts w:ascii="Arial Narrow"/>
                            <w:sz w:val="21"/>
                          </w:rPr>
                        </w:r>
                      </w:p>
                    </w:tc>
                  </w:tr>
                  <w:tr>
                    <w:trPr>
                      <w:trHeight w:val="280" w:hRule="exact"/>
                    </w:trPr>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9"/>
                          <w:jc w:val="right"/>
                          <w:rPr>
                            <w:rFonts w:ascii="Arial Narrow" w:hAnsi="Arial Narrow" w:cs="Arial Narrow" w:eastAsia="Arial Narrow" w:hint="default"/>
                            <w:sz w:val="21"/>
                            <w:szCs w:val="21"/>
                          </w:rPr>
                        </w:pPr>
                        <w:r>
                          <w:rPr>
                            <w:rFonts w:ascii="Arial Narrow"/>
                            <w:spacing w:val="-1"/>
                            <w:sz w:val="21"/>
                          </w:rPr>
                          <w:t>582,743,911.04</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9"/>
                          <w:jc w:val="right"/>
                          <w:rPr>
                            <w:rFonts w:ascii="Arial Narrow" w:hAnsi="Arial Narrow" w:cs="Arial Narrow" w:eastAsia="Arial Narrow" w:hint="default"/>
                            <w:sz w:val="21"/>
                            <w:szCs w:val="21"/>
                          </w:rPr>
                        </w:pPr>
                        <w:r>
                          <w:rPr>
                            <w:rFonts w:ascii="Arial Narrow"/>
                            <w:spacing w:val="-1"/>
                            <w:sz w:val="21"/>
                          </w:rPr>
                          <w:t>101,781,283.42</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9"/>
                          <w:jc w:val="right"/>
                          <w:rPr>
                            <w:rFonts w:ascii="Arial Narrow" w:hAnsi="Arial Narrow" w:cs="Arial Narrow" w:eastAsia="Arial Narrow" w:hint="default"/>
                            <w:sz w:val="21"/>
                            <w:szCs w:val="21"/>
                          </w:rPr>
                        </w:pPr>
                        <w:r>
                          <w:rPr>
                            <w:rFonts w:ascii="Arial Narrow"/>
                            <w:spacing w:val="-1"/>
                            <w:sz w:val="21"/>
                          </w:rPr>
                          <w:t>595,775,886.48</w:t>
                        </w:r>
                        <w:r>
                          <w:rPr>
                            <w:rFonts w:ascii="Arial Narrow"/>
                            <w:sz w:val="21"/>
                          </w:rPr>
                        </w:r>
                      </w:p>
                    </w:tc>
                    <w:tc>
                      <w:tcPr>
                        <w:tcW w:w="1809"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144,516,438.60</w:t>
                        </w:r>
                        <w:r>
                          <w:rPr>
                            <w:rFonts w:ascii="Arial Narrow"/>
                            <w:sz w:val="21"/>
                          </w:rPr>
                        </w:r>
                      </w:p>
                    </w:tc>
                  </w:tr>
                  <w:tr>
                    <w:trPr>
                      <w:trHeight w:val="67" w:hRule="exact"/>
                    </w:trPr>
                    <w:tc>
                      <w:tcPr>
                        <w:tcW w:w="1810" w:type="dxa"/>
                        <w:tcBorders>
                          <w:top w:val="nil" w:sz="6" w:space="0" w:color="auto"/>
                          <w:left w:val="nil" w:sz="6" w:space="0" w:color="auto"/>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
                    </w:tc>
                    <w:tc>
                      <w:tcPr>
                        <w:tcW w:w="1809" w:type="dxa"/>
                        <w:tcBorders>
                          <w:top w:val="nil" w:sz="6" w:space="0" w:color="auto"/>
                          <w:left w:val="single" w:sz="4" w:space="0" w:color="000000"/>
                          <w:bottom w:val="nil" w:sz="6" w:space="0" w:color="auto"/>
                          <w:right w:val="nil" w:sz="6" w:space="0" w:color="auto"/>
                        </w:tcBorders>
                      </w:tcPr>
                      <w:p>
                        <w:pPr/>
                      </w:p>
                    </w:tc>
                  </w:tr>
                  <w:tr>
                    <w:trPr>
                      <w:trHeight w:val="507" w:hRule="exact"/>
                    </w:trPr>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99"/>
                          <w:jc w:val="right"/>
                          <w:rPr>
                            <w:rFonts w:ascii="Arial Narrow" w:hAnsi="Arial Narrow" w:cs="Arial Narrow" w:eastAsia="Arial Narrow" w:hint="default"/>
                            <w:sz w:val="21"/>
                            <w:szCs w:val="21"/>
                          </w:rPr>
                        </w:pPr>
                        <w:r>
                          <w:rPr>
                            <w:rFonts w:ascii="Arial Narrow"/>
                            <w:spacing w:val="-1"/>
                            <w:sz w:val="21"/>
                          </w:rPr>
                          <w:t>443,686,415.57</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99"/>
                          <w:jc w:val="right"/>
                          <w:rPr>
                            <w:rFonts w:ascii="Arial Narrow" w:hAnsi="Arial Narrow" w:cs="Arial Narrow" w:eastAsia="Arial Narrow" w:hint="default"/>
                            <w:sz w:val="21"/>
                            <w:szCs w:val="21"/>
                          </w:rPr>
                        </w:pPr>
                        <w:r>
                          <w:rPr>
                            <w:rFonts w:ascii="Arial Narrow"/>
                            <w:spacing w:val="-1"/>
                            <w:sz w:val="21"/>
                          </w:rPr>
                          <w:t>189,808,660.33</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99"/>
                          <w:jc w:val="right"/>
                          <w:rPr>
                            <w:rFonts w:ascii="Arial Narrow" w:hAnsi="Arial Narrow" w:cs="Arial Narrow" w:eastAsia="Arial Narrow" w:hint="default"/>
                            <w:sz w:val="21"/>
                            <w:szCs w:val="21"/>
                          </w:rPr>
                        </w:pPr>
                        <w:r>
                          <w:rPr>
                            <w:rFonts w:ascii="Arial Narrow"/>
                            <w:spacing w:val="-1"/>
                            <w:sz w:val="21"/>
                          </w:rPr>
                          <w:t>395,720,378.41</w:t>
                        </w:r>
                        <w:r>
                          <w:rPr>
                            <w:rFonts w:ascii="Arial Narrow"/>
                            <w:sz w:val="21"/>
                          </w:rPr>
                        </w:r>
                      </w:p>
                    </w:tc>
                    <w:tc>
                      <w:tcPr>
                        <w:tcW w:w="1809"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103"/>
                          <w:jc w:val="right"/>
                          <w:rPr>
                            <w:rFonts w:ascii="Arial Narrow" w:hAnsi="Arial Narrow" w:cs="Arial Narrow" w:eastAsia="Arial Narrow" w:hint="default"/>
                            <w:sz w:val="21"/>
                            <w:szCs w:val="21"/>
                          </w:rPr>
                        </w:pPr>
                        <w:r>
                          <w:rPr>
                            <w:rFonts w:ascii="Arial Narrow"/>
                            <w:spacing w:val="-1"/>
                            <w:sz w:val="21"/>
                          </w:rPr>
                          <w:t>175,544,282.51</w:t>
                        </w:r>
                        <w:r>
                          <w:rPr>
                            <w:rFonts w:ascii="Arial Narrow"/>
                            <w:sz w:val="21"/>
                          </w:rPr>
                        </w:r>
                      </w:p>
                    </w:tc>
                  </w:tr>
                  <w:tr>
                    <w:trPr>
                      <w:trHeight w:val="331" w:hRule="exact"/>
                    </w:trPr>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99"/>
                          <w:jc w:val="right"/>
                          <w:rPr>
                            <w:rFonts w:ascii="Arial Narrow" w:hAnsi="Arial Narrow" w:cs="Arial Narrow" w:eastAsia="Arial Narrow" w:hint="default"/>
                            <w:sz w:val="21"/>
                            <w:szCs w:val="21"/>
                          </w:rPr>
                        </w:pPr>
                        <w:r>
                          <w:rPr>
                            <w:rFonts w:ascii="Arial Narrow"/>
                            <w:spacing w:val="-1"/>
                            <w:sz w:val="21"/>
                          </w:rPr>
                          <w:t>137,993,823.68</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99"/>
                          <w:jc w:val="right"/>
                          <w:rPr>
                            <w:rFonts w:ascii="Arial Narrow" w:hAnsi="Arial Narrow" w:cs="Arial Narrow" w:eastAsia="Arial Narrow" w:hint="default"/>
                            <w:sz w:val="21"/>
                            <w:szCs w:val="21"/>
                          </w:rPr>
                        </w:pPr>
                        <w:r>
                          <w:rPr>
                            <w:rFonts w:ascii="Arial Narrow"/>
                            <w:spacing w:val="-1"/>
                            <w:sz w:val="21"/>
                          </w:rPr>
                          <w:t>114,323,913.75</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99"/>
                          <w:jc w:val="right"/>
                          <w:rPr>
                            <w:rFonts w:ascii="Arial Narrow" w:hAnsi="Arial Narrow" w:cs="Arial Narrow" w:eastAsia="Arial Narrow" w:hint="default"/>
                            <w:sz w:val="21"/>
                            <w:szCs w:val="21"/>
                          </w:rPr>
                        </w:pPr>
                        <w:r>
                          <w:rPr>
                            <w:rFonts w:ascii="Arial Narrow"/>
                            <w:spacing w:val="-1"/>
                            <w:sz w:val="21"/>
                          </w:rPr>
                          <w:t>139,909,940.79</w:t>
                        </w:r>
                        <w:r>
                          <w:rPr>
                            <w:rFonts w:ascii="Arial Narrow"/>
                            <w:sz w:val="21"/>
                          </w:rPr>
                        </w:r>
                      </w:p>
                    </w:tc>
                    <w:tc>
                      <w:tcPr>
                        <w:tcW w:w="1809"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03"/>
                          <w:jc w:val="right"/>
                          <w:rPr>
                            <w:rFonts w:ascii="Arial Narrow" w:hAnsi="Arial Narrow" w:cs="Arial Narrow" w:eastAsia="Arial Narrow" w:hint="default"/>
                            <w:sz w:val="21"/>
                            <w:szCs w:val="21"/>
                          </w:rPr>
                        </w:pPr>
                        <w:r>
                          <w:rPr>
                            <w:rFonts w:ascii="Arial Narrow"/>
                            <w:spacing w:val="-1"/>
                            <w:sz w:val="21"/>
                          </w:rPr>
                          <w:t>114,137,335.48</w:t>
                        </w:r>
                        <w:r>
                          <w:rPr>
                            <w:rFonts w:ascii="Arial Narrow"/>
                            <w:sz w:val="21"/>
                          </w:rPr>
                        </w:r>
                      </w:p>
                    </w:tc>
                  </w:tr>
                  <w:tr>
                    <w:trPr>
                      <w:trHeight w:val="67" w:hRule="exact"/>
                    </w:trPr>
                    <w:tc>
                      <w:tcPr>
                        <w:tcW w:w="1810" w:type="dxa"/>
                        <w:tcBorders>
                          <w:top w:val="nil" w:sz="6" w:space="0" w:color="auto"/>
                          <w:left w:val="nil" w:sz="6" w:space="0" w:color="auto"/>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
                    </w:tc>
                    <w:tc>
                      <w:tcPr>
                        <w:tcW w:w="180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2,692,950,360.97</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2,498,619,706.44</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spacing w:val="-1"/>
                            <w:sz w:val="21"/>
                          </w:rPr>
                          <w:t>2,221,938,447.21</w:t>
                        </w:r>
                        <w:r>
                          <w:rPr>
                            <w:rFonts w:ascii="Arial Narrow"/>
                            <w:sz w:val="21"/>
                          </w:rPr>
                        </w:r>
                      </w:p>
                    </w:tc>
                    <w:tc>
                      <w:tcPr>
                        <w:tcW w:w="1809"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2,068,424,335.17</w:t>
                        </w:r>
                        <w:r>
                          <w:rPr>
                            <w:rFonts w:ascii="Arial Narrow"/>
                            <w:sz w:val="21"/>
                          </w:rPr>
                        </w:r>
                      </w:p>
                    </w:tc>
                  </w:tr>
                  <w:tr>
                    <w:trPr>
                      <w:trHeight w:val="67" w:hRule="exact"/>
                    </w:trPr>
                    <w:tc>
                      <w:tcPr>
                        <w:tcW w:w="1810" w:type="dxa"/>
                        <w:tcBorders>
                          <w:top w:val="nil" w:sz="6" w:space="0" w:color="auto"/>
                          <w:left w:val="nil" w:sz="6" w:space="0" w:color="auto"/>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
                    </w:tc>
                    <w:tc>
                      <w:tcPr>
                        <w:tcW w:w="1809" w:type="dxa"/>
                        <w:tcBorders>
                          <w:top w:val="nil" w:sz="6" w:space="0" w:color="auto"/>
                          <w:left w:val="single" w:sz="4" w:space="0" w:color="000000"/>
                          <w:bottom w:val="nil" w:sz="6" w:space="0" w:color="auto"/>
                          <w:right w:val="nil" w:sz="6" w:space="0" w:color="auto"/>
                        </w:tcBorders>
                      </w:tcPr>
                      <w:p>
                        <w:pPr/>
                      </w:p>
                    </w:tc>
                  </w:tr>
                  <w:tr>
                    <w:trPr>
                      <w:trHeight w:val="355" w:hRule="exact"/>
                    </w:trPr>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4,192,146,260.81</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3,106,526,265.36</w:t>
                        </w:r>
                        <w:r>
                          <w:rPr>
                            <w:rFonts w:ascii="Arial Narrow"/>
                            <w:sz w:val="21"/>
                          </w:rPr>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spacing w:val="-1"/>
                            <w:sz w:val="21"/>
                          </w:rPr>
                          <w:t>3,630,663,237.03</w:t>
                        </w:r>
                        <w:r>
                          <w:rPr>
                            <w:rFonts w:ascii="Arial Narrow"/>
                            <w:sz w:val="21"/>
                          </w:rPr>
                        </w:r>
                      </w:p>
                    </w:tc>
                    <w:tc>
                      <w:tcPr>
                        <w:tcW w:w="1809"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2,717,352,945.00</w:t>
                        </w:r>
                        <w:r>
                          <w:rPr>
                            <w:rFonts w:ascii="Arial Narrow"/>
                            <w:sz w:val="21"/>
                          </w:rPr>
                        </w:r>
                      </w:p>
                    </w:tc>
                  </w:tr>
                </w:tbl>
                <w:p>
                  <w:pPr/>
                </w:p>
              </w:txbxContent>
            </v:textbox>
            <w10:wrap type="none"/>
          </v:shape>
        </w:pict>
      </w:r>
      <w:r>
        <w:rPr/>
        <w:t>自制软件销售收</w:t>
      </w:r>
    </w:p>
    <w:p>
      <w:pPr>
        <w:pStyle w:val="BodyText"/>
        <w:spacing w:line="290" w:lineRule="auto"/>
        <w:ind w:left="238" w:right="646"/>
        <w:jc w:val="left"/>
      </w:pPr>
      <w:r>
        <w:rPr/>
        <w:pict>
          <v:group style="position:absolute;margin-left:84.503998pt;margin-top:15.383697pt;width:452.5pt;height:.5pt;mso-position-horizontal-relative:page;mso-position-vertical-relative:paragraph;z-index:-940480" coordorigin="1690,308" coordsize="9050,10">
            <v:shape style="position:absolute;left:1690;top:308;width:1805;height:10" type="#_x0000_t75" stroked="false">
              <v:imagedata r:id="rId98" o:title=""/>
            </v:shape>
            <v:shape style="position:absolute;left:3490;top:308;width:3625;height:10" type="#_x0000_t75" stroked="false">
              <v:imagedata r:id="rId99" o:title=""/>
            </v:shape>
            <v:shape style="position:absolute;left:7110;top:308;width:1815;height:10" type="#_x0000_t75" stroked="false">
              <v:imagedata r:id="rId101" o:title=""/>
            </v:shape>
            <v:shape style="position:absolute;left:8920;top:308;width:1819;height:10" type="#_x0000_t75" stroked="false">
              <v:imagedata r:id="rId100" o:title=""/>
            </v:shape>
            <w10:wrap type="none"/>
          </v:group>
        </w:pict>
      </w:r>
      <w:r>
        <w:rPr/>
        <w:pict>
          <v:group style="position:absolute;margin-left:84.503998pt;margin-top:32.783695pt;width:452.5pt;height:.5pt;mso-position-horizontal-relative:page;mso-position-vertical-relative:paragraph;z-index:-940456" coordorigin="1690,656" coordsize="9050,10">
            <v:shape style="position:absolute;left:1690;top:656;width:1805;height:10" type="#_x0000_t75" stroked="false">
              <v:imagedata r:id="rId98" o:title=""/>
            </v:shape>
            <v:shape style="position:absolute;left:3490;top:656;width:3625;height:10" type="#_x0000_t75" stroked="false">
              <v:imagedata r:id="rId102" o:title=""/>
            </v:shape>
            <v:shape style="position:absolute;left:7110;top:656;width:1815;height:10" type="#_x0000_t75" stroked="false">
              <v:imagedata r:id="rId96" o:title=""/>
            </v:shape>
            <v:shape style="position:absolute;left:8920;top:656;width:1819;height:10" type="#_x0000_t75" stroked="false">
              <v:imagedata r:id="rId97" o:title=""/>
            </v:shape>
            <w10:wrap type="none"/>
          </v:group>
        </w:pict>
      </w:r>
      <w:r>
        <w:rPr/>
        <w:pict>
          <v:group style="position:absolute;margin-left:84.503998pt;margin-top:45.743656pt;width:452.5pt;height:5.05pt;mso-position-horizontal-relative:page;mso-position-vertical-relative:paragraph;z-index:-940432" coordorigin="1690,915" coordsize="9050,101">
            <v:shape style="position:absolute;left:1690;top:915;width:1824;height:101" type="#_x0000_t75" stroked="false">
              <v:imagedata r:id="rId103" o:title=""/>
            </v:shape>
            <v:shape style="position:absolute;left:3490;top:1006;width:3625;height:10" type="#_x0000_t75" stroked="false">
              <v:imagedata r:id="rId99" o:title=""/>
            </v:shape>
            <v:shape style="position:absolute;left:7110;top:1006;width:1815;height:10" type="#_x0000_t75" stroked="false">
              <v:imagedata r:id="rId80" o:title=""/>
            </v:shape>
            <v:shape style="position:absolute;left:8920;top:1006;width:1819;height:10" type="#_x0000_t75" stroked="false">
              <v:imagedata r:id="rId100" o:title=""/>
            </v:shape>
            <w10:wrap type="none"/>
          </v:group>
        </w:pict>
      </w:r>
      <w:r>
        <w:rPr/>
        <w:t>入</w:t>
      </w:r>
      <w:r>
        <w:rPr>
          <w:w w:val="100"/>
        </w:rPr>
        <w:t> </w:t>
      </w:r>
      <w:r>
        <w:rPr>
          <w:spacing w:val="-1"/>
        </w:rPr>
        <w:t>系统集成收入</w:t>
      </w:r>
      <w:r>
        <w:rPr>
          <w:spacing w:val="-98"/>
        </w:rPr>
        <w:t> </w:t>
      </w:r>
      <w:r>
        <w:rPr>
          <w:spacing w:val="-98"/>
        </w:rPr>
      </w:r>
      <w:r>
        <w:rPr>
          <w:spacing w:val="-1"/>
        </w:rPr>
        <w:t>软件开发收入</w:t>
      </w:r>
    </w:p>
    <w:p>
      <w:pPr>
        <w:pStyle w:val="BodyText"/>
        <w:spacing w:line="256" w:lineRule="auto"/>
        <w:ind w:left="238" w:right="306"/>
        <w:jc w:val="left"/>
      </w:pPr>
      <w:r>
        <w:rPr/>
        <w:pict>
          <v:group style="position:absolute;margin-left:84.503998pt;margin-top:28.94368pt;width:452.5pt;height:.5pt;mso-position-horizontal-relative:page;mso-position-vertical-relative:paragraph;z-index:-940408" coordorigin="1690,579" coordsize="9050,10">
            <v:shape style="position:absolute;left:1690;top:579;width:1805;height:10" type="#_x0000_t75" stroked="false">
              <v:imagedata r:id="rId98" o:title=""/>
            </v:shape>
            <v:shape style="position:absolute;left:3490;top:579;width:3625;height:10" type="#_x0000_t75" stroked="false">
              <v:imagedata r:id="rId99" o:title=""/>
            </v:shape>
            <v:shape style="position:absolute;left:7110;top:579;width:1815;height:10" type="#_x0000_t75" stroked="false">
              <v:imagedata r:id="rId101" o:title=""/>
            </v:shape>
            <v:shape style="position:absolute;left:8920;top:579;width:1819;height:10" type="#_x0000_t75" stroked="false">
              <v:imagedata r:id="rId100" o:title=""/>
            </v:shape>
            <w10:wrap type="none"/>
          </v:group>
        </w:pict>
      </w:r>
      <w:r>
        <w:rPr/>
        <w:pict>
          <v:group style="position:absolute;margin-left:84.503998pt;margin-top:41.903641pt;width:452.5pt;height:5.05pt;mso-position-horizontal-relative:page;mso-position-vertical-relative:paragraph;z-index:-940384" coordorigin="1690,838" coordsize="9050,101">
            <v:shape style="position:absolute;left:1690;top:838;width:1824;height:101" type="#_x0000_t75" stroked="false">
              <v:imagedata r:id="rId103" o:title=""/>
            </v:shape>
            <v:shape style="position:absolute;left:3490;top:929;width:3625;height:10" type="#_x0000_t75" stroked="false">
              <v:imagedata r:id="rId99" o:title=""/>
            </v:shape>
            <v:shape style="position:absolute;left:7110;top:929;width:1815;height:10" type="#_x0000_t75" stroked="false">
              <v:imagedata r:id="rId101" o:title=""/>
            </v:shape>
            <v:shape style="position:absolute;left:8920;top:929;width:1819;height:10" type="#_x0000_t75" stroked="false">
              <v:imagedata r:id="rId100" o:title=""/>
            </v:shape>
            <w10:wrap type="none"/>
          </v:group>
        </w:pict>
      </w:r>
      <w:r>
        <w:rPr>
          <w:spacing w:val="-12"/>
          <w:w w:val="100"/>
        </w:rPr>
        <w:t>系统维护、技术服</w:t>
      </w:r>
      <w:r>
        <w:rPr>
          <w:w w:val="100"/>
        </w:rPr>
        <w:t> </w:t>
      </w:r>
      <w:r>
        <w:rPr/>
        <w:t>务收入</w:t>
      </w:r>
      <w:r>
        <w:rPr>
          <w:spacing w:val="-102"/>
        </w:rPr>
        <w:t> </w:t>
      </w:r>
      <w:r>
        <w:rPr/>
        <w:t>建安工程收入</w:t>
      </w:r>
    </w:p>
    <w:p>
      <w:pPr>
        <w:pStyle w:val="BodyText"/>
        <w:spacing w:line="240" w:lineRule="auto" w:before="59"/>
        <w:ind w:left="238" w:right="306"/>
        <w:jc w:val="left"/>
      </w:pPr>
      <w:r>
        <w:rPr/>
        <w:pict>
          <v:group style="position:absolute;margin-left:84.503998pt;margin-top:15.453628pt;width:452.5pt;height:5.05pt;mso-position-horizontal-relative:page;mso-position-vertical-relative:paragraph;z-index:-940360" coordorigin="1690,309" coordsize="9050,101">
            <v:shape style="position:absolute;left:1690;top:309;width:1824;height:101" type="#_x0000_t75" stroked="false">
              <v:imagedata r:id="rId104" o:title=""/>
            </v:shape>
            <v:shape style="position:absolute;left:3490;top:400;width:3625;height:10" type="#_x0000_t75" stroked="false">
              <v:imagedata r:id="rId99" o:title=""/>
            </v:shape>
            <v:shape style="position:absolute;left:7110;top:400;width:1815;height:10" type="#_x0000_t75" stroked="false">
              <v:imagedata r:id="rId80" o:title=""/>
            </v:shape>
            <v:shape style="position:absolute;left:8920;top:400;width:1819;height:10" type="#_x0000_t75" stroked="false">
              <v:imagedata r:id="rId100" o:title=""/>
            </v:shape>
            <w10:wrap type="none"/>
          </v:group>
        </w:pict>
      </w:r>
      <w:r>
        <w:rPr/>
        <w:t>商品销售收入</w:t>
      </w:r>
    </w:p>
    <w:p>
      <w:pPr>
        <w:pStyle w:val="BodyText"/>
        <w:spacing w:line="240" w:lineRule="auto" w:before="75"/>
        <w:ind w:left="806" w:right="892"/>
        <w:jc w:val="center"/>
      </w:pPr>
      <w:r>
        <w:rPr/>
        <w:pict>
          <v:group style="position:absolute;margin-left:83.064003pt;margin-top:20.093719pt;width:454.65pt;height:2.2pt;mso-position-horizontal-relative:page;mso-position-vertical-relative:paragraph;z-index:2968" coordorigin="1661,402" coordsize="9093,44">
            <v:group style="position:absolute;left:1676;top:431;width:1820;height:2" coordorigin="1676,431" coordsize="1820,2">
              <v:shape style="position:absolute;left:1676;top:431;width:1820;height:2" coordorigin="1676,431" coordsize="1820,0" path="m1676,431l3495,431e" filled="false" stroked="true" strokeweight="1.44pt" strokecolor="#000000">
                <v:path arrowok="t"/>
              </v:shape>
            </v:group>
            <v:group style="position:absolute;left:3495;top:409;width:10;height:2" coordorigin="3495,409" coordsize="10,2">
              <v:shape style="position:absolute;left:3495;top:409;width:10;height:2" coordorigin="3495,409" coordsize="10,0" path="m3495,409l3504,409e" filled="false" stroked="true" strokeweight=".71997pt" strokecolor="#000000">
                <v:path arrowok="t"/>
              </v:shape>
            </v:group>
            <v:group style="position:absolute;left:3495;top:431;width:29;height:2" coordorigin="3495,431" coordsize="29,2">
              <v:shape style="position:absolute;left:3495;top:431;width:29;height:2" coordorigin="3495,431" coordsize="29,0" path="m3495,431l3524,431e" filled="false" stroked="true" strokeweight="1.44pt" strokecolor="#000000">
                <v:path arrowok="t"/>
              </v:shape>
            </v:group>
            <v:group style="position:absolute;left:3524;top:431;width:1782;height:2" coordorigin="3524,431" coordsize="1782,2">
              <v:shape style="position:absolute;left:3524;top:431;width:1782;height:2" coordorigin="3524,431" coordsize="1782,0" path="m3524,431l5305,431e" filled="false" stroked="true" strokeweight="1.44pt" strokecolor="#000000">
                <v:path arrowok="t"/>
              </v:shape>
            </v:group>
            <v:group style="position:absolute;left:5305;top:409;width:10;height:2" coordorigin="5305,409" coordsize="10,2">
              <v:shape style="position:absolute;left:5305;top:409;width:10;height:2" coordorigin="5305,409" coordsize="10,0" path="m5305,409l5315,409e" filled="false" stroked="true" strokeweight=".71997pt" strokecolor="#000000">
                <v:path arrowok="t"/>
              </v:shape>
            </v:group>
            <v:group style="position:absolute;left:5305;top:431;width:29;height:2" coordorigin="5305,431" coordsize="29,2">
              <v:shape style="position:absolute;left:5305;top:431;width:29;height:2" coordorigin="5305,431" coordsize="29,0" path="m5305,431l5334,431e" filled="false" stroked="true" strokeweight="1.44pt" strokecolor="#000000">
                <v:path arrowok="t"/>
              </v:shape>
            </v:group>
            <v:group style="position:absolute;left:5334;top:431;width:1782;height:2" coordorigin="5334,431" coordsize="1782,2">
              <v:shape style="position:absolute;left:5334;top:431;width:1782;height:2" coordorigin="5334,431" coordsize="1782,0" path="m5334,431l7115,431e" filled="false" stroked="true" strokeweight="1.44pt" strokecolor="#000000">
                <v:path arrowok="t"/>
              </v:shape>
            </v:group>
            <v:group style="position:absolute;left:7115;top:409;width:10;height:2" coordorigin="7115,409" coordsize="10,2">
              <v:shape style="position:absolute;left:7115;top:409;width:10;height:2" coordorigin="7115,409" coordsize="10,0" path="m7115,409l7125,409e" filled="false" stroked="true" strokeweight=".71997pt" strokecolor="#000000">
                <v:path arrowok="t"/>
              </v:shape>
            </v:group>
            <v:group style="position:absolute;left:7115;top:431;width:29;height:2" coordorigin="7115,431" coordsize="29,2">
              <v:shape style="position:absolute;left:7115;top:431;width:29;height:2" coordorigin="7115,431" coordsize="29,0" path="m7115,431l7144,431e" filled="false" stroked="true" strokeweight="1.44pt" strokecolor="#000000">
                <v:path arrowok="t"/>
              </v:shape>
            </v:group>
            <v:group style="position:absolute;left:7144;top:431;width:1782;height:2" coordorigin="7144,431" coordsize="1782,2">
              <v:shape style="position:absolute;left:7144;top:431;width:1782;height:2" coordorigin="7144,431" coordsize="1782,0" path="m7144,431l8925,431e" filled="false" stroked="true" strokeweight="1.44pt" strokecolor="#000000">
                <v:path arrowok="t"/>
              </v:shape>
            </v:group>
            <v:group style="position:absolute;left:8925;top:409;width:10;height:2" coordorigin="8925,409" coordsize="10,2">
              <v:shape style="position:absolute;left:8925;top:409;width:10;height:2" coordorigin="8925,409" coordsize="10,0" path="m8925,409l8935,409e" filled="false" stroked="true" strokeweight=".71997pt" strokecolor="#000000">
                <v:path arrowok="t"/>
              </v:shape>
            </v:group>
            <v:group style="position:absolute;left:8925;top:431;width:29;height:2" coordorigin="8925,431" coordsize="29,2">
              <v:shape style="position:absolute;left:8925;top:431;width:29;height:2" coordorigin="8925,431" coordsize="29,0" path="m8925,431l8954,431e" filled="false" stroked="true" strokeweight="1.44pt" strokecolor="#000000">
                <v:path arrowok="t"/>
              </v:shape>
            </v:group>
            <v:group style="position:absolute;left:8954;top:431;width:1786;height:2" coordorigin="8954,431" coordsize="1786,2">
              <v:shape style="position:absolute;left:8954;top:431;width:1786;height:2" coordorigin="8954,431" coordsize="1786,0" path="m8954,431l10740,431e" filled="false" stroked="true" strokeweight="1.44pt" strokecolor="#000000">
                <v:path arrowok="t"/>
              </v:shape>
            </v:group>
            <w10:wrap type="none"/>
          </v:group>
        </w:pict>
      </w:r>
      <w:r>
        <w:rPr/>
        <w:t>合计</w:t>
      </w:r>
    </w:p>
    <w:p>
      <w:pPr>
        <w:pStyle w:val="Heading2"/>
        <w:spacing w:line="240" w:lineRule="auto" w:before="115"/>
        <w:ind w:left="238" w:right="-19"/>
        <w:jc w:val="left"/>
        <w:rPr>
          <w:b w:val="0"/>
          <w:bCs w:val="0"/>
        </w:rPr>
      </w:pPr>
      <w:r>
        <w:rPr>
          <w:rFonts w:ascii="宋体" w:hAnsi="宋体" w:cs="宋体" w:eastAsia="宋体" w:hint="default"/>
        </w:rPr>
        <w:t>62</w:t>
      </w:r>
      <w:r>
        <w:rPr/>
        <w:t>、</w:t>
      </w:r>
      <w:r>
        <w:rPr>
          <w:spacing w:val="-103"/>
        </w:rPr>
        <w:t> </w:t>
      </w:r>
      <w:r>
        <w:rPr/>
        <w:t>税金及附加</w:t>
      </w:r>
      <w:r>
        <w:rPr>
          <w:b w:val="0"/>
          <w:bCs w:val="0"/>
        </w:rPr>
      </w:r>
    </w:p>
    <w:p>
      <w:pPr>
        <w:pStyle w:val="Heading3"/>
        <w:tabs>
          <w:tab w:pos="1197" w:val="left" w:leader="none"/>
        </w:tabs>
        <w:spacing w:line="240" w:lineRule="auto" w:before="58"/>
        <w:ind w:left="238"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pStyle w:val="Heading3"/>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040"/>
          <w:cols w:num="2" w:equalWidth="0">
            <w:col w:w="2159" w:space="4034"/>
            <w:col w:w="3117"/>
          </w:cols>
        </w:sectPr>
      </w:pPr>
    </w:p>
    <w:p>
      <w:pPr>
        <w:spacing w:line="240" w:lineRule="auto" w:before="12"/>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859"/>
        <w:gridCol w:w="3017"/>
        <w:gridCol w:w="3020"/>
      </w:tblGrid>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3,067,326.49</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6,718,399.80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5,056,841.83</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2,880,939.18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2,167,172.55</w:t>
            </w:r>
          </w:p>
        </w:tc>
      </w:tr>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1,917,268.96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1,382,612.36</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801,150.34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597,103.55</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365,859.98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267,937.22</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18,100.00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4,133.33</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1,086,131.99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496,829.60</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63,035.01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102,321.33</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13,850,885.26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13,142,278.26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60" w:right="1040"/>
        </w:sectPr>
      </w:pPr>
    </w:p>
    <w:p>
      <w:pPr>
        <w:pStyle w:val="Heading2"/>
        <w:spacing w:line="240" w:lineRule="auto"/>
        <w:ind w:left="238" w:right="-18"/>
        <w:jc w:val="left"/>
        <w:rPr>
          <w:b w:val="0"/>
          <w:bCs w:val="0"/>
        </w:rPr>
      </w:pPr>
      <w:r>
        <w:rPr>
          <w:rFonts w:ascii="宋体" w:hAnsi="宋体" w:cs="宋体" w:eastAsia="宋体" w:hint="default"/>
        </w:rPr>
        <w:t>63</w:t>
      </w:r>
      <w:r>
        <w:rPr/>
        <w:t>、</w:t>
      </w:r>
      <w:r>
        <w:rPr>
          <w:spacing w:val="-102"/>
        </w:rPr>
        <w:t> </w:t>
      </w:r>
      <w:r>
        <w:rPr/>
        <w:t>销售费用</w:t>
      </w:r>
      <w:r>
        <w:rPr>
          <w:b w:val="0"/>
          <w:bCs w:val="0"/>
        </w:rPr>
      </w:r>
    </w:p>
    <w:p>
      <w:pPr>
        <w:pStyle w:val="BodyText"/>
        <w:spacing w:line="240" w:lineRule="auto" w:before="85"/>
        <w:ind w:left="2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Heading3"/>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040"/>
          <w:cols w:num="2" w:equalWidth="0">
            <w:col w:w="1815" w:space="4378"/>
            <w:col w:w="3117"/>
          </w:cols>
        </w:sectPr>
      </w:pPr>
    </w:p>
    <w:p>
      <w:pPr>
        <w:spacing w:line="240" w:lineRule="auto" w:before="12"/>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71,096,882.59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49,668,528.31</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21,841,945.96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15,917,398.46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22,609,242.34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18,662,524.30</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882,781.65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928,361.68</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11,039,631.96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16,978,398.66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13,525,418.94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10,451,669.88</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5,516,038.70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5,350,300.86</w:t>
            </w:r>
          </w:p>
        </w:tc>
      </w:tr>
    </w:tbl>
    <w:p>
      <w:pPr>
        <w:spacing w:after="0" w:line="262" w:lineRule="exact"/>
        <w:jc w:val="righ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1,318,982.78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1,272,344.35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404,945.66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607,941.06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3,325,698.78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2,659,822.75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151,561,569.36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122,497,290.31</w:t>
            </w:r>
          </w:p>
        </w:tc>
      </w:tr>
    </w:tbl>
    <w:p>
      <w:pPr>
        <w:spacing w:after="0" w:line="262"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auto" w:before="47"/>
        <w:ind w:right="-18"/>
        <w:jc w:val="left"/>
      </w:pPr>
      <w:r>
        <w:rPr/>
        <w:t>其他说明：</w:t>
      </w:r>
    </w:p>
    <w:p>
      <w:pPr>
        <w:pStyle w:val="Heading2"/>
        <w:spacing w:line="240" w:lineRule="auto" w:before="69"/>
        <w:ind w:right="-18"/>
        <w:jc w:val="left"/>
        <w:rPr>
          <w:b w:val="0"/>
          <w:bCs w:val="0"/>
        </w:rPr>
      </w:pPr>
      <w:r>
        <w:rPr>
          <w:rFonts w:ascii="宋体" w:hAnsi="宋体" w:cs="宋体" w:eastAsia="宋体" w:hint="default"/>
        </w:rPr>
        <w:t>64</w:t>
      </w:r>
      <w:r>
        <w:rPr/>
        <w:t>、</w:t>
      </w:r>
      <w:r>
        <w:rPr>
          <w:spacing w:val="-102"/>
        </w:rPr>
        <w:t> </w:t>
      </w:r>
      <w:r>
        <w:rPr/>
        <w:t>管理费用</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543,358,942.92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437,818,547.76</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41,794,012.00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33,078,831.89</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29,573,690.00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26,557,153.80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22,904,949.80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21,642,729.25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研发用材料费用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16,141.51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61,182.28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26,054,531.51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21,705,393.93</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21,023,929.13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15,640,974.15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1,565,032.98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1,892,020.56</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2,210,541.92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1,537,974.76</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975,879.33</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3,003,333.33</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14,345,580.80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11,366,998.79</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705,850,685.90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572,277,686.50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right="-18"/>
        <w:jc w:val="left"/>
      </w:pPr>
      <w:r>
        <w:rPr/>
        <w:t>其他说明：</w:t>
      </w:r>
    </w:p>
    <w:p>
      <w:pPr>
        <w:pStyle w:val="Heading2"/>
        <w:spacing w:line="240" w:lineRule="auto" w:before="69"/>
        <w:ind w:right="-18"/>
        <w:jc w:val="left"/>
        <w:rPr>
          <w:b w:val="0"/>
          <w:bCs w:val="0"/>
        </w:rPr>
      </w:pPr>
      <w:r>
        <w:rPr>
          <w:rFonts w:ascii="宋体" w:hAnsi="宋体" w:cs="宋体" w:eastAsia="宋体" w:hint="default"/>
        </w:rPr>
        <w:t>65</w:t>
      </w:r>
      <w:r>
        <w:rPr/>
        <w:t>、</w:t>
      </w:r>
      <w:r>
        <w:rPr>
          <w:spacing w:val="-102"/>
        </w:rPr>
        <w:t> </w:t>
      </w:r>
      <w:r>
        <w:rPr/>
        <w:t>财务费用</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25,833,843.75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21,815,292.89</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17,565,461.31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-84,147,324.99</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1,542.95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-23,279.56</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-35,006,074.00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-37,394,860.00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175,759.88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93,010.76</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551,116.97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505,535.31</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9,121,650.86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-99,151,625.59</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62" w:lineRule="exact"/>
        <w:ind w:right="-17"/>
        <w:jc w:val="left"/>
      </w:pPr>
      <w:r>
        <w:rPr/>
        <w:t>其他说明：</w:t>
      </w:r>
    </w:p>
    <w:p>
      <w:pPr>
        <w:pStyle w:val="Heading2"/>
        <w:spacing w:line="240" w:lineRule="auto" w:before="69"/>
        <w:ind w:right="-17"/>
        <w:jc w:val="left"/>
        <w:rPr>
          <w:b w:val="0"/>
          <w:bCs w:val="0"/>
        </w:rPr>
      </w:pPr>
      <w:r>
        <w:rPr>
          <w:rFonts w:ascii="宋体" w:hAnsi="宋体" w:cs="宋体" w:eastAsia="宋体" w:hint="default"/>
        </w:rPr>
        <w:t>66</w:t>
      </w:r>
      <w:r>
        <w:rPr/>
        <w:t>、</w:t>
      </w:r>
      <w:r>
        <w:rPr>
          <w:spacing w:val="-104"/>
        </w:rPr>
        <w:t> </w:t>
      </w:r>
      <w:r>
        <w:rPr/>
        <w:t>资产减值损失</w:t>
      </w:r>
      <w:r>
        <w:rPr>
          <w:b w:val="0"/>
          <w:bCs w:val="0"/>
        </w:rPr>
      </w:r>
    </w:p>
    <w:p>
      <w:pPr>
        <w:pStyle w:val="BodyText"/>
        <w:spacing w:line="240" w:lineRule="auto" w:before="85"/>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67" w:space="435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4" w:right="0"/>
              <w:jc w:val="left"/>
              <w:rPr>
                <w:rFonts w:ascii="宋体" w:hAnsi="宋体" w:cs="宋体" w:eastAsia="宋体" w:hint="default"/>
                <w:sz w:val="21"/>
                <w:szCs w:val="21"/>
              </w:rPr>
            </w:pPr>
            <w:r>
              <w:rPr>
                <w:rFonts w:ascii="宋体"/>
                <w:sz w:val="21"/>
              </w:rPr>
              <w:t>12,971,182.50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10,184,163.11</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437,162.28</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22,099.43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95,290.96</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12,993,281.93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10,716,616.35</w:t>
            </w:r>
          </w:p>
        </w:tc>
      </w:tr>
    </w:tbl>
    <w:p>
      <w:pPr>
        <w:spacing w:after="0" w:line="262" w:lineRule="exact"/>
        <w:jc w:val="right"/>
        <w:rPr>
          <w:rFonts w:ascii="宋体" w:hAnsi="宋体" w:cs="宋体" w:eastAsia="宋体" w:hint="default"/>
          <w:sz w:val="21"/>
          <w:szCs w:val="21"/>
        </w:rPr>
        <w:sectPr>
          <w:footerReference w:type="default" r:id="rId105"/>
          <w:pgSz w:w="11910" w:h="16840"/>
          <w:pgMar w:footer="1195" w:header="882" w:top="1120" w:bottom="1380" w:left="1580" w:right="1040"/>
        </w:sectPr>
      </w:pPr>
    </w:p>
    <w:p>
      <w:pPr>
        <w:pStyle w:val="BodyText"/>
        <w:spacing w:line="240" w:lineRule="auto" w:before="47"/>
        <w:ind w:right="-17"/>
        <w:jc w:val="left"/>
      </w:pPr>
      <w:r>
        <w:rPr/>
        <w:t>其他说明：</w:t>
      </w:r>
    </w:p>
    <w:p>
      <w:pPr>
        <w:pStyle w:val="Heading2"/>
        <w:spacing w:line="240" w:lineRule="auto" w:before="69"/>
        <w:ind w:right="-17"/>
        <w:jc w:val="left"/>
        <w:rPr>
          <w:b w:val="0"/>
          <w:bCs w:val="0"/>
        </w:rPr>
      </w:pPr>
      <w:r>
        <w:rPr>
          <w:rFonts w:ascii="宋体" w:hAnsi="宋体" w:cs="宋体" w:eastAsia="宋体" w:hint="default"/>
        </w:rPr>
        <w:t>67</w:t>
      </w:r>
      <w:r>
        <w:rPr/>
        <w:t>、</w:t>
      </w:r>
      <w:r>
        <w:rPr>
          <w:spacing w:val="-104"/>
        </w:rPr>
        <w:t> </w:t>
      </w:r>
      <w:r>
        <w:rPr/>
        <w:t>公允价值变动收益</w:t>
      </w:r>
      <w:r>
        <w:rPr>
          <w:b w:val="0"/>
          <w:bCs w:val="0"/>
        </w:rPr>
      </w:r>
    </w:p>
    <w:p>
      <w:pPr>
        <w:pStyle w:val="BodyText"/>
        <w:spacing w:line="240" w:lineRule="auto" w:before="85"/>
        <w:ind w:right="-17"/>
        <w:jc w:val="left"/>
      </w:pPr>
      <w:r>
        <w:rPr/>
        <w:t>□适用</w:t>
      </w:r>
      <w:r>
        <w:rPr>
          <w:spacing w:val="-1"/>
        </w:rPr>
        <w:t> </w:t>
      </w:r>
      <w:r>
        <w:rPr/>
        <w:t>√不适用</w:t>
      </w:r>
    </w:p>
    <w:p>
      <w:pPr>
        <w:pStyle w:val="Heading2"/>
        <w:spacing w:line="240" w:lineRule="auto" w:before="69"/>
        <w:ind w:right="-17"/>
        <w:jc w:val="left"/>
        <w:rPr>
          <w:b w:val="0"/>
          <w:bCs w:val="0"/>
        </w:rPr>
      </w:pPr>
      <w:r>
        <w:rPr>
          <w:rFonts w:ascii="宋体" w:hAnsi="宋体" w:cs="宋体" w:eastAsia="宋体" w:hint="default"/>
        </w:rPr>
        <w:t>68</w:t>
      </w:r>
      <w:r>
        <w:rPr/>
        <w:t>、</w:t>
      </w:r>
      <w:r>
        <w:rPr>
          <w:spacing w:val="-102"/>
        </w:rPr>
        <w:t> </w:t>
      </w:r>
      <w:r>
        <w:rPr/>
        <w:t>投资收益</w:t>
      </w:r>
      <w:r>
        <w:rPr>
          <w:b w:val="0"/>
          <w:bCs w:val="0"/>
        </w:rPr>
      </w:r>
    </w:p>
    <w:p>
      <w:pPr>
        <w:pStyle w:val="BodyText"/>
        <w:spacing w:line="240" w:lineRule="auto" w:before="85"/>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9"/>
          <w:szCs w:val="19"/>
        </w:rPr>
      </w:pP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649" w:space="354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-6,756,648.83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-5,278,289.00</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1,054,574.90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58,161.04</w:t>
            </w:r>
          </w:p>
        </w:tc>
      </w:tr>
      <w:tr>
        <w:trPr>
          <w:trHeight w:val="9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305,527.26</w:t>
            </w:r>
          </w:p>
        </w:tc>
      </w:tr>
      <w:tr>
        <w:trPr>
          <w:trHeight w:val="94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可供出售金融资产等取得的投资收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21.52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1,204,978.64</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短期理财产品的投资收益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585,816.04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39,480.57</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可供出售金融资产在持有期间的投</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297,625.05</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-5,116,236.37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-3,372,516.44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215"/>
        <w:jc w:val="left"/>
      </w:pPr>
      <w:r>
        <w:rPr/>
        <w:t>其他说明：</w:t>
      </w:r>
    </w:p>
    <w:p>
      <w:pPr>
        <w:pStyle w:val="Heading3"/>
        <w:spacing w:line="240" w:lineRule="auto" w:before="62"/>
        <w:ind w:right="215"/>
        <w:jc w:val="left"/>
      </w:pPr>
      <w:r>
        <w:rPr/>
        <w:t>其他收益</w:t>
      </w:r>
    </w:p>
    <w:p>
      <w:pPr>
        <w:pStyle w:val="Heading4"/>
        <w:tabs>
          <w:tab w:pos="755" w:val="left" w:leader="none"/>
        </w:tabs>
        <w:spacing w:line="240" w:lineRule="auto" w:before="4"/>
        <w:ind w:right="215"/>
        <w:jc w:val="left"/>
        <w:rPr>
          <w:b w:val="0"/>
          <w:bCs w:val="0"/>
        </w:rPr>
      </w:pPr>
      <w:r>
        <w:rPr/>
        <w:pict>
          <v:shape style="position:absolute;margin-left:239.690002pt;margin-top:23.743679pt;width:.48pt;height:.12pt;mso-position-horizontal-relative:page;mso-position-vertical-relative:paragraph;z-index:-940288" type="#_x0000_t75" stroked="false">
            <v:imagedata r:id="rId94" o:title=""/>
          </v:shape>
        </w:pict>
      </w:r>
      <w:r>
        <w:rPr/>
        <w:pict>
          <v:shape style="position:absolute;margin-left:381.309998pt;margin-top:23.743679pt;width:.47998pt;height:.12pt;mso-position-horizontal-relative:page;mso-position-vertical-relative:paragraph;z-index:-940264" type="#_x0000_t75" stroked="false">
            <v:imagedata r:id="rId94" o:title=""/>
          </v:shape>
        </w:pict>
      </w:r>
      <w:r>
        <w:rPr/>
        <w:pict>
          <v:group style="position:absolute;margin-left:98.543999pt;margin-top:40.783699pt;width:424.55pt;height:.5pt;mso-position-horizontal-relative:page;mso-position-vertical-relative:paragraph;z-index:-940240" coordorigin="1971,816" coordsize="8491,10">
            <v:shape style="position:absolute;left:1971;top:816;width:2823;height:10" type="#_x0000_t75" stroked="false">
              <v:imagedata r:id="rId106" o:title=""/>
            </v:shape>
            <v:shape style="position:absolute;left:4789;top:816;width:2837;height:10" type="#_x0000_t75" stroked="false">
              <v:imagedata r:id="rId107" o:title=""/>
            </v:shape>
            <v:shape style="position:absolute;left:7621;top:816;width:2840;height:10" type="#_x0000_t75" stroked="false">
              <v:imagedata r:id="rId108" o:title=""/>
            </v:shape>
            <w10:wrap type="none"/>
          </v:group>
        </w:pict>
      </w:r>
      <w:r>
        <w:rPr/>
        <w:pict>
          <v:group style="position:absolute;margin-left:98.543999pt;margin-top:53.74366pt;width:424.55pt;height:5.05pt;mso-position-horizontal-relative:page;mso-position-vertical-relative:paragraph;z-index:-940216" coordorigin="1971,1075" coordsize="8491,101">
            <v:shape style="position:absolute;left:1971;top:1075;width:2842;height:101" type="#_x0000_t75" stroked="false">
              <v:imagedata r:id="rId109" o:title=""/>
            </v:shape>
            <v:shape style="position:absolute;left:4789;top:1166;width:2837;height:10" type="#_x0000_t75" stroked="false">
              <v:imagedata r:id="rId110" o:title=""/>
            </v:shape>
            <v:shape style="position:absolute;left:7621;top:1166;width:2840;height:10" type="#_x0000_t75" stroked="false">
              <v:imagedata r:id="rId111" o:title=""/>
            </v:shape>
            <w10:wrap type="none"/>
          </v:group>
        </w:pict>
      </w:r>
      <w:r>
        <w:rPr>
          <w:rFonts w:ascii="Times New Roman" w:hAnsi="Times New Roman" w:cs="Times New Roman" w:eastAsia="Times New Roman" w:hint="default"/>
        </w:rPr>
        <w:t>1</w:t>
      </w:r>
      <w:r>
        <w:rPr/>
        <w:t>．</w:t>
        <w:tab/>
        <w:t>其他收益明细情况</w:t>
      </w:r>
      <w:r>
        <w:rPr>
          <w:b w:val="0"/>
          <w:bCs w:val="0"/>
        </w:rPr>
      </w:r>
    </w:p>
    <w:p>
      <w:pPr>
        <w:spacing w:line="240" w:lineRule="auto" w:before="7"/>
        <w:rPr>
          <w:rFonts w:ascii="宋体" w:hAnsi="宋体" w:cs="宋体" w:eastAsia="宋体" w:hint="default"/>
          <w:b/>
          <w:bCs/>
          <w:sz w:val="11"/>
          <w:szCs w:val="11"/>
        </w:rPr>
      </w:pPr>
    </w:p>
    <w:tbl>
      <w:tblPr>
        <w:tblW w:w="0" w:type="auto"/>
        <w:jc w:val="left"/>
        <w:tblInd w:w="376" w:type="dxa"/>
        <w:tblLayout w:type="fixed"/>
        <w:tblCellMar>
          <w:top w:w="0" w:type="dxa"/>
          <w:left w:w="0" w:type="dxa"/>
          <w:bottom w:w="0" w:type="dxa"/>
          <w:right w:w="0" w:type="dxa"/>
        </w:tblCellMar>
        <w:tblLook w:val="01E0"/>
      </w:tblPr>
      <w:tblGrid>
        <w:gridCol w:w="2842"/>
        <w:gridCol w:w="2832"/>
        <w:gridCol w:w="2830"/>
      </w:tblGrid>
      <w:tr>
        <w:trPr>
          <w:trHeight w:val="361" w:hRule="exact"/>
        </w:trPr>
        <w:tc>
          <w:tcPr>
            <w:tcW w:w="2842"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1196"/>
              <w:jc w:val="right"/>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0" w:type="dxa"/>
            <w:tcBorders>
              <w:top w:val="single" w:sz="12" w:space="0" w:color="000000"/>
              <w:left w:val="single" w:sz="4" w:space="0" w:color="000000"/>
              <w:bottom w:val="nil" w:sz="6" w:space="0" w:color="auto"/>
              <w:right w:val="nil" w:sz="6" w:space="0" w:color="auto"/>
            </w:tcBorders>
          </w:tcPr>
          <w:p>
            <w:pPr>
              <w:pStyle w:val="TableParagraph"/>
              <w:spacing w:line="240" w:lineRule="auto" w:before="2"/>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54"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19"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spacing w:val="-1"/>
                <w:sz w:val="21"/>
              </w:rPr>
              <w:t>23,081,357.23</w:t>
            </w:r>
          </w:p>
        </w:tc>
        <w:tc>
          <w:tcPr>
            <w:tcW w:w="2830"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05"/>
              <w:jc w:val="right"/>
              <w:rPr>
                <w:rFonts w:ascii="宋体" w:hAnsi="宋体" w:cs="宋体" w:eastAsia="宋体" w:hint="default"/>
                <w:sz w:val="21"/>
                <w:szCs w:val="21"/>
              </w:rPr>
            </w:pPr>
            <w:r>
              <w:rPr>
                <w:rFonts w:ascii="宋体"/>
                <w:sz w:val="21"/>
              </w:rPr>
              <w:t>---</w:t>
            </w:r>
          </w:p>
        </w:tc>
      </w:tr>
      <w:tr>
        <w:trPr>
          <w:trHeight w:val="451"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19"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2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18,266,585.50</w:t>
            </w:r>
          </w:p>
        </w:tc>
        <w:tc>
          <w:tcPr>
            <w:tcW w:w="2830"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z w:val="21"/>
              </w:rPr>
              <w:t>---</w:t>
            </w:r>
          </w:p>
        </w:tc>
      </w:tr>
      <w:tr>
        <w:trPr>
          <w:trHeight w:val="355" w:hRule="exact"/>
        </w:trPr>
        <w:tc>
          <w:tcPr>
            <w:tcW w:w="2842" w:type="dxa"/>
            <w:tcBorders>
              <w:top w:val="nil" w:sz="6" w:space="0" w:color="auto"/>
              <w:left w:val="nil" w:sz="6" w:space="0" w:color="auto"/>
              <w:bottom w:val="single" w:sz="12" w:space="0" w:color="000000"/>
              <w:right w:val="single" w:sz="4" w:space="0" w:color="000000"/>
            </w:tcBorders>
          </w:tcPr>
          <w:p>
            <w:pPr>
              <w:pStyle w:val="TableParagraph"/>
              <w:spacing w:line="274" w:lineRule="exact"/>
              <w:ind w:right="1196"/>
              <w:jc w:val="right"/>
              <w:rPr>
                <w:rFonts w:ascii="宋体" w:hAnsi="宋体" w:cs="宋体" w:eastAsia="宋体" w:hint="default"/>
                <w:sz w:val="21"/>
                <w:szCs w:val="21"/>
              </w:rPr>
            </w:pPr>
            <w:r>
              <w:rPr>
                <w:rFonts w:ascii="宋体" w:hAnsi="宋体" w:cs="宋体" w:eastAsia="宋体" w:hint="default"/>
                <w:sz w:val="21"/>
                <w:szCs w:val="21"/>
              </w:rPr>
              <w:t>合计</w:t>
            </w:r>
          </w:p>
        </w:tc>
        <w:tc>
          <w:tcPr>
            <w:tcW w:w="2832"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41,347,942.73</w:t>
            </w:r>
          </w:p>
        </w:tc>
        <w:tc>
          <w:tcPr>
            <w:tcW w:w="2830" w:type="dxa"/>
            <w:tcBorders>
              <w:top w:val="nil" w:sz="6" w:space="0" w:color="auto"/>
              <w:left w:val="single" w:sz="4" w:space="0" w:color="000000"/>
              <w:bottom w:val="single" w:sz="12" w:space="0" w:color="000000"/>
              <w:right w:val="nil" w:sz="6" w:space="0" w:color="auto"/>
            </w:tcBorders>
          </w:tcPr>
          <w:p>
            <w:pPr>
              <w:pStyle w:val="TableParagraph"/>
              <w:spacing w:line="274" w:lineRule="exact"/>
              <w:ind w:right="105"/>
              <w:jc w:val="right"/>
              <w:rPr>
                <w:rFonts w:ascii="宋体" w:hAnsi="宋体" w:cs="宋体" w:eastAsia="宋体" w:hint="default"/>
                <w:sz w:val="21"/>
                <w:szCs w:val="21"/>
              </w:rPr>
            </w:pPr>
            <w:r>
              <w:rPr>
                <w:rFonts w:ascii="宋体"/>
                <w:sz w:val="21"/>
              </w:rPr>
              <w:t>---</w:t>
            </w:r>
          </w:p>
        </w:tc>
      </w:tr>
    </w:tbl>
    <w:p>
      <w:pPr>
        <w:pStyle w:val="Heading4"/>
        <w:spacing w:line="240" w:lineRule="auto" w:before="122"/>
        <w:ind w:left="640" w:right="215"/>
        <w:jc w:val="left"/>
        <w:rPr>
          <w:b w:val="0"/>
          <w:bCs w:val="0"/>
        </w:rPr>
      </w:pPr>
      <w:r>
        <w:rPr/>
        <w:pict>
          <v:group style="position:absolute;margin-left:98.543999pt;margin-top:-23.536345pt;width:424.55pt;height:5.05pt;mso-position-horizontal-relative:page;mso-position-vertical-relative:paragraph;z-index:-940192" coordorigin="1971,-471" coordsize="8491,101">
            <v:shape style="position:absolute;left:1971;top:-471;width:2842;height:101" type="#_x0000_t75" stroked="false">
              <v:imagedata r:id="rId112" o:title=""/>
            </v:shape>
            <v:shape style="position:absolute;left:4789;top:-380;width:2837;height:10" type="#_x0000_t75" stroked="false">
              <v:imagedata r:id="rId107" o:title=""/>
            </v:shape>
            <v:shape style="position:absolute;left:7621;top:-380;width:2840;height:10" type="#_x0000_t75" stroked="false">
              <v:imagedata r:id="rId108" o:title=""/>
            </v:shape>
            <w10:wrap type="none"/>
          </v:group>
        </w:pict>
      </w:r>
      <w:r>
        <w:rPr/>
        <w:pict>
          <v:shape style="position:absolute;margin-left:351.910004pt;margin-top:29.763674pt;width:.48001pt;height:.12pt;mso-position-horizontal-relative:page;mso-position-vertical-relative:paragraph;z-index:-940168" type="#_x0000_t75" stroked="false">
            <v:imagedata r:id="rId94" o:title=""/>
          </v:shape>
        </w:pict>
      </w:r>
      <w:r>
        <w:rPr/>
        <w:pict>
          <v:shape style="position:absolute;margin-left:415.75pt;margin-top:29.763674pt;width:.47998pt;height:.12pt;mso-position-horizontal-relative:page;mso-position-vertical-relative:paragraph;z-index:-940144" type="#_x0000_t75" stroked="false">
            <v:imagedata r:id="rId94" o:title=""/>
          </v:shape>
        </w:pict>
      </w:r>
      <w:r>
        <w:rPr/>
        <w:pict>
          <v:shape style="position:absolute;margin-left:457.179993pt;margin-top:29.763674pt;width:.48001pt;height:.12pt;mso-position-horizontal-relative:page;mso-position-vertical-relative:paragraph;z-index:-940120" type="#_x0000_t75" stroked="false">
            <v:imagedata r:id="rId94" o:title=""/>
          </v:shape>
        </w:pict>
      </w:r>
      <w:r>
        <w:rPr>
          <w:rFonts w:ascii="Times New Roman" w:hAnsi="Times New Roman" w:cs="Times New Roman" w:eastAsia="Times New Roman" w:hint="default"/>
        </w:rPr>
        <w:t>2</w:t>
      </w:r>
      <w:r>
        <w:rPr/>
        <w:t>．</w:t>
      </w:r>
      <w:r>
        <w:rPr>
          <w:spacing w:val="-4"/>
        </w:rPr>
        <w:t> </w:t>
      </w:r>
      <w:r>
        <w:rPr/>
        <w:t>计入其他收益的政府补助</w:t>
      </w:r>
      <w:r>
        <w:rPr>
          <w:b w:val="0"/>
          <w:bCs w:val="0"/>
        </w:rPr>
      </w:r>
    </w:p>
    <w:p>
      <w:pPr>
        <w:spacing w:line="240" w:lineRule="auto" w:before="10"/>
        <w:rPr>
          <w:rFonts w:ascii="宋体" w:hAnsi="宋体" w:cs="宋体" w:eastAsia="宋体" w:hint="default"/>
          <w:b/>
          <w:bCs/>
          <w:sz w:val="11"/>
          <w:szCs w:val="11"/>
        </w:rPr>
      </w:pPr>
    </w:p>
    <w:tbl>
      <w:tblPr>
        <w:tblW w:w="0" w:type="auto"/>
        <w:jc w:val="left"/>
        <w:tblInd w:w="342" w:type="dxa"/>
        <w:tblLayout w:type="fixed"/>
        <w:tblCellMar>
          <w:top w:w="0" w:type="dxa"/>
          <w:left w:w="0" w:type="dxa"/>
          <w:bottom w:w="0" w:type="dxa"/>
          <w:right w:w="0" w:type="dxa"/>
        </w:tblCellMar>
        <w:tblLook w:val="01E0"/>
      </w:tblPr>
      <w:tblGrid>
        <w:gridCol w:w="5120"/>
        <w:gridCol w:w="1277"/>
        <w:gridCol w:w="829"/>
        <w:gridCol w:w="1344"/>
      </w:tblGrid>
      <w:tr>
        <w:trPr>
          <w:trHeight w:val="370" w:hRule="exact"/>
        </w:trPr>
        <w:tc>
          <w:tcPr>
            <w:tcW w:w="512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82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2"/>
              <w:ind w:left="139" w:right="0"/>
              <w:jc w:val="left"/>
              <w:rPr>
                <w:rFonts w:ascii="宋体" w:hAnsi="宋体" w:cs="宋体" w:eastAsia="宋体" w:hint="default"/>
                <w:sz w:val="18"/>
                <w:szCs w:val="18"/>
              </w:rPr>
            </w:pPr>
            <w:r>
              <w:rPr>
                <w:rFonts w:ascii="宋体" w:hAnsi="宋体" w:cs="宋体" w:eastAsia="宋体" w:hint="default"/>
                <w:sz w:val="18"/>
                <w:szCs w:val="18"/>
              </w:rPr>
              <w:t>上期发</w:t>
            </w:r>
          </w:p>
        </w:tc>
        <w:tc>
          <w:tcPr>
            <w:tcW w:w="134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Narrow" w:hAnsi="Arial Narrow" w:cs="Arial Narrow" w:eastAsia="Arial Narrow" w:hint="default"/>
                <w:sz w:val="18"/>
                <w:szCs w:val="18"/>
              </w:rPr>
              <w:t>/</w:t>
            </w:r>
            <w:r>
              <w:rPr>
                <w:rFonts w:ascii="宋体" w:hAnsi="宋体" w:cs="宋体" w:eastAsia="宋体" w:hint="default"/>
                <w:sz w:val="18"/>
                <w:szCs w:val="18"/>
              </w:rPr>
              <w:t>与</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342" w:type="dxa"/>
        <w:tblLayout w:type="fixed"/>
        <w:tblCellMar>
          <w:top w:w="0" w:type="dxa"/>
          <w:left w:w="0" w:type="dxa"/>
          <w:bottom w:w="0" w:type="dxa"/>
          <w:right w:w="0" w:type="dxa"/>
        </w:tblCellMar>
        <w:tblLook w:val="01E0"/>
      </w:tblPr>
      <w:tblGrid>
        <w:gridCol w:w="5120"/>
        <w:gridCol w:w="1277"/>
        <w:gridCol w:w="829"/>
        <w:gridCol w:w="1344"/>
      </w:tblGrid>
      <w:tr>
        <w:trPr>
          <w:trHeight w:val="363" w:hRule="exact"/>
        </w:trPr>
        <w:tc>
          <w:tcPr>
            <w:tcW w:w="5120"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tc>
        <w:tc>
          <w:tcPr>
            <w:tcW w:w="829" w:type="dxa"/>
            <w:tcBorders>
              <w:top w:val="single" w:sz="12" w:space="0" w:color="000000"/>
              <w:left w:val="single" w:sz="4" w:space="0" w:color="000000"/>
              <w:bottom w:val="nil" w:sz="6" w:space="0" w:color="auto"/>
              <w:right w:val="single" w:sz="4" w:space="0" w:color="000000"/>
            </w:tcBorders>
          </w:tcPr>
          <w:p>
            <w:pPr>
              <w:pStyle w:val="TableParagraph"/>
              <w:spacing w:line="208" w:lineRule="exact"/>
              <w:ind w:left="228" w:right="0"/>
              <w:jc w:val="left"/>
              <w:rPr>
                <w:rFonts w:ascii="宋体" w:hAnsi="宋体" w:cs="宋体" w:eastAsia="宋体" w:hint="default"/>
                <w:sz w:val="18"/>
                <w:szCs w:val="18"/>
              </w:rPr>
            </w:pPr>
            <w:r>
              <w:rPr>
                <w:rFonts w:ascii="宋体" w:hAnsi="宋体" w:cs="宋体" w:eastAsia="宋体" w:hint="default"/>
                <w:sz w:val="18"/>
                <w:szCs w:val="18"/>
              </w:rPr>
              <w:t>生额</w:t>
            </w:r>
          </w:p>
        </w:tc>
        <w:tc>
          <w:tcPr>
            <w:tcW w:w="1344" w:type="dxa"/>
            <w:tcBorders>
              <w:top w:val="single" w:sz="12" w:space="0" w:color="000000"/>
              <w:left w:val="single" w:sz="4" w:space="0" w:color="000000"/>
              <w:bottom w:val="nil" w:sz="6" w:space="0" w:color="auto"/>
              <w:right w:val="nil" w:sz="6" w:space="0" w:color="auto"/>
            </w:tcBorders>
          </w:tcPr>
          <w:p>
            <w:pPr>
              <w:pStyle w:val="TableParagraph"/>
              <w:spacing w:line="208" w:lineRule="exact"/>
              <w:ind w:right="311"/>
              <w:jc w:val="righ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72"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18,266,585.50</w:t>
            </w:r>
          </w:p>
        </w:tc>
        <w:tc>
          <w:tcPr>
            <w:tcW w:w="829"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深圳财政委</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年企业研发资助补贴</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8,757,000.00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497"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递延收益递延</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Arial Narrow" w:hAnsi="Arial Narrow" w:cs="Arial Narrow" w:eastAsia="Arial Narrow" w:hint="default"/>
                <w:sz w:val="18"/>
                <w:szCs w:val="18"/>
              </w:rPr>
            </w:pPr>
            <w:r>
              <w:rPr>
                <w:rFonts w:ascii="Arial Narrow"/>
                <w:spacing w:val="-1"/>
                <w:sz w:val="18"/>
              </w:rPr>
              <w:t>7,029,897.31</w:t>
            </w:r>
          </w:p>
        </w:tc>
        <w:tc>
          <w:tcPr>
            <w:tcW w:w="829"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62"/>
                <w:sz w:val="18"/>
                <w:szCs w:val="18"/>
              </w:rPr>
              <w:t> </w:t>
            </w:r>
            <w:r>
              <w:rPr>
                <w:rFonts w:ascii="宋体" w:hAnsi="宋体" w:cs="宋体" w:eastAsia="宋体" w:hint="default"/>
                <w:sz w:val="18"/>
                <w:szCs w:val="18"/>
              </w:rPr>
              <w:t>收</w:t>
            </w:r>
            <w:r>
              <w:rPr>
                <w:rFonts w:ascii="宋体" w:hAnsi="宋体" w:cs="宋体" w:eastAsia="宋体" w:hint="default"/>
                <w:spacing w:val="-62"/>
                <w:sz w:val="18"/>
                <w:szCs w:val="18"/>
              </w:rPr>
              <w:t> </w:t>
            </w:r>
            <w:r>
              <w:rPr>
                <w:rFonts w:ascii="宋体" w:hAnsi="宋体" w:cs="宋体" w:eastAsia="宋体" w:hint="default"/>
                <w:sz w:val="18"/>
                <w:szCs w:val="18"/>
              </w:rPr>
              <w:t>益</w:t>
            </w:r>
            <w:r>
              <w:rPr>
                <w:rFonts w:ascii="宋体" w:hAnsi="宋体" w:cs="宋体" w:eastAsia="宋体" w:hint="default"/>
                <w:spacing w:val="-64"/>
                <w:sz w:val="18"/>
                <w:szCs w:val="18"/>
              </w:rPr>
              <w:t> </w:t>
            </w:r>
            <w:r>
              <w:rPr>
                <w:rFonts w:ascii="宋体" w:hAnsi="宋体" w:cs="宋体" w:eastAsia="宋体" w:hint="default"/>
                <w:sz w:val="18"/>
                <w:szCs w:val="18"/>
              </w:rPr>
              <w:t>相</w:t>
            </w:r>
            <w:r>
              <w:rPr>
                <w:rFonts w:ascii="宋体" w:hAnsi="宋体" w:cs="宋体" w:eastAsia="宋体" w:hint="default"/>
                <w:spacing w:val="-64"/>
                <w:sz w:val="18"/>
                <w:szCs w:val="18"/>
              </w:rPr>
              <w:t> </w:t>
            </w:r>
            <w:r>
              <w:rPr>
                <w:rFonts w:ascii="宋体" w:hAnsi="宋体" w:cs="宋体" w:eastAsia="宋体" w:hint="default"/>
                <w:sz w:val="18"/>
                <w:szCs w:val="18"/>
              </w:rPr>
              <w:t>关</w:t>
            </w:r>
            <w:r>
              <w:rPr>
                <w:rFonts w:ascii="宋体" w:hAnsi="宋体" w:cs="宋体" w:eastAsia="宋体" w:hint="default"/>
                <w:spacing w:val="-63"/>
                <w:sz w:val="18"/>
                <w:szCs w:val="18"/>
              </w:rPr>
              <w:t> </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9"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２０１７年第二批省级工业和信息化产业转型升级专项</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Narrow" w:hAnsi="Arial Narrow" w:cs="Arial Narrow" w:eastAsia="Arial Narrow" w:hint="default"/>
                <w:sz w:val="18"/>
                <w:szCs w:val="18"/>
              </w:rPr>
            </w:pPr>
            <w:r>
              <w:rPr>
                <w:rFonts w:ascii="Arial Narrow"/>
                <w:spacing w:val="-1"/>
                <w:sz w:val="18"/>
              </w:rPr>
              <w:t>1,800,000.00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深圳市南山区财政局人才安居住房补助</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1,740,000.00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1,527,900.00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541,582.57</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雨花区成长型软件企业项目资金</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300,000.00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3"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年成长型优秀企业</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300,000.00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年度软件企业产学研、服务机构、研发投入奖励</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200,000.00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年度软件产业重点、百强软件企业奖励专项</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200,000.00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年度软件产业规模企业奖励专项</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100,000.00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年度软件企业参展综合补贴专项</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100,000.00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年度软件企业资质认证奖励</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100,000.00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雨花区人才补贴资金</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91,500.00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90,000.00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南京市政府科技创新劵补贴</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雨花区资质认证资金</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3"/>
              <w:jc w:val="right"/>
              <w:rPr>
                <w:rFonts w:ascii="Arial Narrow" w:hAnsi="Arial Narrow" w:cs="Arial Narrow" w:eastAsia="Arial Narrow" w:hint="default"/>
                <w:sz w:val="18"/>
                <w:szCs w:val="18"/>
              </w:rPr>
            </w:pPr>
            <w:r>
              <w:rPr>
                <w:rFonts w:ascii="Arial Narrow"/>
                <w:spacing w:val="-1"/>
                <w:sz w:val="18"/>
              </w:rPr>
              <w:t>50,000.00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天津市武清区市场和质量监督管理局奖励款</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50,000.00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市场和质量监督管理委员会著作权登记补助</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27,900.00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 w:hRule="exact"/>
        </w:trPr>
        <w:tc>
          <w:tcPr>
            <w:tcW w:w="5120"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c>
          <w:tcPr>
            <w:tcW w:w="829" w:type="dxa"/>
            <w:tcBorders>
              <w:top w:val="nil" w:sz="6" w:space="0" w:color="auto"/>
              <w:left w:val="nil" w:sz="6" w:space="0" w:color="auto"/>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350"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收</w:t>
            </w:r>
            <w:r>
              <w:rPr>
                <w:rFonts w:ascii="Arial Narrow" w:hAnsi="Arial Narrow" w:cs="Arial Narrow" w:eastAsia="Arial Narrow" w:hint="default"/>
                <w:sz w:val="18"/>
                <w:szCs w:val="18"/>
              </w:rPr>
              <w:t>“</w:t>
            </w:r>
            <w:r>
              <w:rPr>
                <w:rFonts w:ascii="宋体" w:hAnsi="宋体" w:cs="宋体" w:eastAsia="宋体" w:hint="default"/>
                <w:sz w:val="18"/>
                <w:szCs w:val="18"/>
              </w:rPr>
              <w:t>知识产权计算机资金资助</w:t>
            </w:r>
            <w:r>
              <w:rPr>
                <w:rFonts w:ascii="Arial Narrow" w:hAnsi="Arial Narrow" w:cs="Arial Narrow" w:eastAsia="Arial Narrow" w:hint="default"/>
                <w:sz w:val="18"/>
                <w:szCs w:val="18"/>
              </w:rPr>
              <w:t>”</w:t>
            </w:r>
            <w:r>
              <w:rPr>
                <w:rFonts w:ascii="宋体" w:hAnsi="宋体" w:cs="宋体" w:eastAsia="宋体" w:hint="default"/>
                <w:sz w:val="18"/>
                <w:szCs w:val="18"/>
              </w:rPr>
              <w:t>款</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9,000.00</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512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其他政府补助项目</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16,577.35</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3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5120"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41,347,942.73</w:t>
            </w:r>
          </w:p>
        </w:tc>
        <w:tc>
          <w:tcPr>
            <w:tcW w:w="82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44"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footerReference w:type="default" r:id="rId113"/>
          <w:pgSz w:w="11910" w:h="16840"/>
          <w:pgMar w:footer="1195" w:header="882" w:top="1120" w:bottom="1380" w:left="1580" w:right="1040"/>
          <w:pgNumType w:start="141"/>
        </w:sectPr>
      </w:pPr>
    </w:p>
    <w:p>
      <w:pPr>
        <w:pStyle w:val="Heading2"/>
        <w:spacing w:line="240" w:lineRule="auto"/>
        <w:ind w:right="-18"/>
        <w:jc w:val="left"/>
        <w:rPr>
          <w:b w:val="0"/>
          <w:bCs w:val="0"/>
        </w:rPr>
      </w:pPr>
      <w:r>
        <w:rPr/>
        <w:pict>
          <v:group style="position:absolute;margin-left:96.863998pt;margin-top:-89.444397pt;width:427.8pt;height:5.05pt;mso-position-horizontal-relative:page;mso-position-vertical-relative:paragraph;z-index:-939544" coordorigin="1937,-1789" coordsize="8556,101">
            <v:shape style="position:absolute;left:1937;top:-1789;width:6397;height:101" type="#_x0000_t75" stroked="false">
              <v:imagedata r:id="rId114" o:title=""/>
            </v:shape>
            <v:shape style="position:absolute;left:8310;top:-1698;width:833;height:10" type="#_x0000_t75" stroked="false">
              <v:imagedata r:id="rId115" o:title=""/>
            </v:shape>
            <v:shape style="position:absolute;left:9139;top:-1698;width:1354;height:10" type="#_x0000_t75" stroked="false">
              <v:imagedata r:id="rId116" o:title=""/>
            </v:shape>
            <w10:wrap type="none"/>
          </v:group>
        </w:pict>
      </w:r>
      <w:r>
        <w:rPr/>
        <w:pict>
          <v:group style="position:absolute;margin-left:96.863998pt;margin-top:-71.92437pt;width:427.8pt;height:5.05pt;mso-position-horizontal-relative:page;mso-position-vertical-relative:paragraph;z-index:-939520" coordorigin="1937,-1438" coordsize="8556,101">
            <v:shape style="position:absolute;left:1937;top:-1438;width:6397;height:101" type="#_x0000_t75" stroked="false">
              <v:imagedata r:id="rId117" o:title=""/>
            </v:shape>
            <v:shape style="position:absolute;left:8310;top:-1347;width:833;height:10" type="#_x0000_t75" stroked="false">
              <v:imagedata r:id="rId118" o:title=""/>
            </v:shape>
            <v:shape style="position:absolute;left:9139;top:-1347;width:1354;height:10" type="#_x0000_t75" stroked="false">
              <v:imagedata r:id="rId119" o:title=""/>
            </v:shape>
            <w10:wrap type="none"/>
          </v:group>
        </w:pict>
      </w:r>
      <w:r>
        <w:rPr/>
        <w:pict>
          <v:group style="position:absolute;margin-left:96.863998pt;margin-top:-49.964386pt;width:427.8pt;height:.5pt;mso-position-horizontal-relative:page;mso-position-vertical-relative:paragraph;z-index:-939496" coordorigin="1937,-999" coordsize="8556,10">
            <v:shape style="position:absolute;left:1937;top:-999;width:6378;height:10" type="#_x0000_t75" stroked="false">
              <v:imagedata r:id="rId120" o:title=""/>
            </v:shape>
            <v:shape style="position:absolute;left:8310;top:-999;width:833;height:10" type="#_x0000_t75" stroked="false">
              <v:imagedata r:id="rId118" o:title=""/>
            </v:shape>
            <v:shape style="position:absolute;left:9139;top:-999;width:1354;height:10" type="#_x0000_t75" stroked="false">
              <v:imagedata r:id="rId119" o:title=""/>
            </v:shape>
            <w10:wrap type="none"/>
          </v:group>
        </w:pict>
      </w:r>
      <w:r>
        <w:rPr>
          <w:rFonts w:ascii="宋体" w:hAnsi="宋体" w:cs="宋体" w:eastAsia="宋体" w:hint="default"/>
        </w:rPr>
        <w:t>69</w:t>
      </w:r>
      <w:r>
        <w:rPr/>
        <w:t>、</w:t>
      </w:r>
      <w:r>
        <w:rPr>
          <w:spacing w:val="-103"/>
        </w:rPr>
        <w:t> </w:t>
      </w:r>
      <w:r>
        <w:rPr/>
        <w:t>营业外收入</w:t>
      </w:r>
      <w:r>
        <w:rPr>
          <w:b w:val="0"/>
          <w:bCs w:val="0"/>
        </w:rPr>
      </w:r>
    </w:p>
    <w:p>
      <w:pPr>
        <w:pStyle w:val="BodyText"/>
        <w:spacing w:line="240" w:lineRule="auto" w:before="86"/>
        <w:ind w:right="-18"/>
        <w:jc w:val="left"/>
      </w:pPr>
      <w:r>
        <w:rPr/>
        <w:t>营业外收入情况</w:t>
      </w:r>
    </w:p>
    <w:p>
      <w:pPr>
        <w:pStyle w:val="BodyText"/>
        <w:tabs>
          <w:tab w:pos="1060" w:val="left" w:leader="none"/>
        </w:tabs>
        <w:spacing w:line="240" w:lineRule="auto" w:before="37"/>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2551" w:val="left" w:leader="none"/>
        </w:tabs>
        <w:spacing w:line="240" w:lineRule="auto"/>
        <w:ind w:left="1499"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27" w:space="3313"/>
            <w:col w:w="4050"/>
          </w:cols>
        </w:sectPr>
      </w:pPr>
    </w:p>
    <w:p>
      <w:pPr>
        <w:spacing w:line="240" w:lineRule="auto" w:before="10"/>
        <w:rPr>
          <w:rFonts w:ascii="宋体" w:hAnsi="宋体" w:cs="宋体" w:eastAsia="宋体" w:hint="default"/>
          <w:sz w:val="3"/>
          <w:szCs w:val="3"/>
        </w:rPr>
      </w:pPr>
      <w:r>
        <w:rPr/>
        <w:pict>
          <v:shape style="position:absolute;margin-left:351.910004pt;margin-top:77.639984pt;width:.48001pt;height:.12pt;mso-position-horizontal-relative:page;mso-position-vertical-relative:page;z-index:-940096" type="#_x0000_t75" stroked="false">
            <v:imagedata r:id="rId121" o:title=""/>
          </v:shape>
        </w:pict>
      </w:r>
      <w:r>
        <w:rPr/>
        <w:pict>
          <v:shape style="position:absolute;margin-left:415.75pt;margin-top:77.639984pt;width:.47998pt;height:.12pt;mso-position-horizontal-relative:page;mso-position-vertical-relative:page;z-index:-940072" type="#_x0000_t75" stroked="false">
            <v:imagedata r:id="rId121" o:title=""/>
          </v:shape>
        </w:pict>
      </w:r>
      <w:r>
        <w:rPr/>
        <w:pict>
          <v:shape style="position:absolute;margin-left:457.179993pt;margin-top:77.639984pt;width:.48001pt;height:.12pt;mso-position-horizontal-relative:page;mso-position-vertical-relative:page;z-index:-940048" type="#_x0000_t75" stroked="false">
            <v:imagedata r:id="rId121" o:title=""/>
          </v:shape>
        </w:pict>
      </w:r>
      <w:r>
        <w:rPr/>
        <w:pict>
          <v:group style="position:absolute;margin-left:96.863998pt;margin-top:95.06002pt;width:427.8pt;height:5.2pt;mso-position-horizontal-relative:page;mso-position-vertical-relative:page;z-index:-940024" coordorigin="1937,1901" coordsize="8556,104">
            <v:shape style="position:absolute;left:1937;top:1901;width:6397;height:103" type="#_x0000_t75" stroked="false">
              <v:imagedata r:id="rId122" o:title=""/>
            </v:shape>
            <v:shape style="position:absolute;left:8310;top:1995;width:833;height:10" type="#_x0000_t75" stroked="false">
              <v:imagedata r:id="rId118" o:title=""/>
            </v:shape>
            <v:shape style="position:absolute;left:9139;top:1995;width:1354;height:10" type="#_x0000_t75" stroked="false">
              <v:imagedata r:id="rId119" o:title=""/>
            </v:shape>
            <w10:wrap type="none"/>
          </v:group>
        </w:pict>
      </w:r>
      <w:r>
        <w:rPr/>
        <w:pict>
          <v:group style="position:absolute;margin-left:96.863998pt;margin-top:112.699966pt;width:427.8pt;height:5.05pt;mso-position-horizontal-relative:page;mso-position-vertical-relative:page;z-index:-940000" coordorigin="1937,2254" coordsize="8556,101">
            <v:shape style="position:absolute;left:1937;top:2254;width:6397;height:101" type="#_x0000_t75" stroked="false">
              <v:imagedata r:id="rId114" o:title=""/>
            </v:shape>
            <v:shape style="position:absolute;left:8310;top:2345;width:833;height:10" type="#_x0000_t75" stroked="false">
              <v:imagedata r:id="rId118" o:title=""/>
            </v:shape>
            <v:shape style="position:absolute;left:9139;top:2345;width:1354;height:10" type="#_x0000_t75" stroked="false">
              <v:imagedata r:id="rId119" o:title=""/>
            </v:shape>
            <w10:wrap type="none"/>
          </v:group>
        </w:pict>
      </w:r>
      <w:r>
        <w:rPr/>
        <w:pict>
          <v:group style="position:absolute;margin-left:96.863998pt;margin-top:130.219955pt;width:427.8pt;height:5.05pt;mso-position-horizontal-relative:page;mso-position-vertical-relative:page;z-index:-939976" coordorigin="1937,2604" coordsize="8556,101">
            <v:shape style="position:absolute;left:1937;top:2604;width:6397;height:101" type="#_x0000_t75" stroked="false">
              <v:imagedata r:id="rId114" o:title=""/>
            </v:shape>
            <v:shape style="position:absolute;left:8310;top:2696;width:833;height:10" type="#_x0000_t75" stroked="false">
              <v:imagedata r:id="rId115" o:title=""/>
            </v:shape>
            <v:shape style="position:absolute;left:9139;top:2696;width:1354;height:10" type="#_x0000_t75" stroked="false">
              <v:imagedata r:id="rId116" o:title=""/>
            </v:shape>
            <w10:wrap type="none"/>
          </v:group>
        </w:pict>
      </w:r>
      <w:r>
        <w:rPr/>
        <w:pict>
          <v:group style="position:absolute;margin-left:96.863998pt;margin-top:158.660004pt;width:427.8pt;height:.5pt;mso-position-horizontal-relative:page;mso-position-vertical-relative:page;z-index:-939952" coordorigin="1937,3173" coordsize="8556,10">
            <v:shape style="position:absolute;left:1937;top:3173;width:6378;height:10" type="#_x0000_t75" stroked="false">
              <v:imagedata r:id="rId120" o:title=""/>
            </v:shape>
            <v:shape style="position:absolute;left:8310;top:3173;width:833;height:10" type="#_x0000_t75" stroked="false">
              <v:imagedata r:id="rId118" o:title=""/>
            </v:shape>
            <v:shape style="position:absolute;left:9139;top:3173;width:1354;height:10" type="#_x0000_t75" stroked="false">
              <v:imagedata r:id="rId119" o:title=""/>
            </v:shape>
            <w10:wrap type="none"/>
          </v:group>
        </w:pict>
      </w:r>
      <w:r>
        <w:rPr/>
        <w:pict>
          <v:group style="position:absolute;margin-left:96.863998pt;margin-top:176.059998pt;width:427.8pt;height:.5pt;mso-position-horizontal-relative:page;mso-position-vertical-relative:page;z-index:-939928" coordorigin="1937,3521" coordsize="8556,10">
            <v:shape style="position:absolute;left:1937;top:3521;width:6378;height:10" type="#_x0000_t75" stroked="false">
              <v:imagedata r:id="rId120" o:title=""/>
            </v:shape>
            <v:shape style="position:absolute;left:8310;top:3521;width:833;height:10" type="#_x0000_t75" stroked="false">
              <v:imagedata r:id="rId115" o:title=""/>
            </v:shape>
            <v:shape style="position:absolute;left:9139;top:3521;width:1354;height:10" type="#_x0000_t75" stroked="false">
              <v:imagedata r:id="rId116" o:title=""/>
            </v:shape>
            <w10:wrap type="none"/>
          </v:group>
        </w:pict>
      </w:r>
      <w:r>
        <w:rPr/>
        <w:pict>
          <v:group style="position:absolute;margin-left:96.863998pt;margin-top:189.019958pt;width:427.8pt;height:5.05pt;mso-position-horizontal-relative:page;mso-position-vertical-relative:page;z-index:-939904" coordorigin="1937,3780" coordsize="8556,101">
            <v:shape style="position:absolute;left:1937;top:3780;width:6397;height:101" type="#_x0000_t75" stroked="false">
              <v:imagedata r:id="rId117" o:title=""/>
            </v:shape>
            <v:shape style="position:absolute;left:8310;top:3872;width:833;height:10" type="#_x0000_t75" stroked="false">
              <v:imagedata r:id="rId118" o:title=""/>
            </v:shape>
            <v:shape style="position:absolute;left:9139;top:3872;width:1354;height:10" type="#_x0000_t75" stroked="false">
              <v:imagedata r:id="rId119" o:title=""/>
            </v:shape>
            <w10:wrap type="none"/>
          </v:group>
        </w:pict>
      </w:r>
      <w:r>
        <w:rPr/>
        <w:pict>
          <v:group style="position:absolute;margin-left:96.863998pt;margin-top:206.540024pt;width:427.8pt;height:5.05pt;mso-position-horizontal-relative:page;mso-position-vertical-relative:page;z-index:-939880" coordorigin="1937,4131" coordsize="8556,101">
            <v:shape style="position:absolute;left:1937;top:4131;width:6397;height:101" type="#_x0000_t75" stroked="false">
              <v:imagedata r:id="rId117" o:title=""/>
            </v:shape>
            <v:shape style="position:absolute;left:8310;top:4222;width:833;height:10" type="#_x0000_t75" stroked="false">
              <v:imagedata r:id="rId118" o:title=""/>
            </v:shape>
            <v:shape style="position:absolute;left:9139;top:4222;width:1354;height:10" type="#_x0000_t75" stroked="false">
              <v:imagedata r:id="rId119" o:title=""/>
            </v:shape>
            <w10:wrap type="none"/>
          </v:group>
        </w:pict>
      </w:r>
      <w:r>
        <w:rPr/>
        <w:pict>
          <v:group style="position:absolute;margin-left:96.863998pt;margin-top:224.060028pt;width:427.8pt;height:5.05pt;mso-position-horizontal-relative:page;mso-position-vertical-relative:page;z-index:-939856" coordorigin="1937,4481" coordsize="8556,101">
            <v:shape style="position:absolute;left:1937;top:4481;width:6397;height:101" type="#_x0000_t75" stroked="false">
              <v:imagedata r:id="rId114" o:title=""/>
            </v:shape>
            <v:shape style="position:absolute;left:8310;top:4572;width:833;height:10" type="#_x0000_t75" stroked="false">
              <v:imagedata r:id="rId118" o:title=""/>
            </v:shape>
            <v:shape style="position:absolute;left:9139;top:4572;width:1354;height:10" type="#_x0000_t75" stroked="false">
              <v:imagedata r:id="rId119" o:title=""/>
            </v:shape>
            <w10:wrap type="none"/>
          </v:group>
        </w:pict>
      </w:r>
      <w:r>
        <w:rPr/>
        <w:pict>
          <v:group style="position:absolute;margin-left:96.863998pt;margin-top:241.579956pt;width:427.8pt;height:5.1pt;mso-position-horizontal-relative:page;mso-position-vertical-relative:page;z-index:-939832" coordorigin="1937,4832" coordsize="8556,102">
            <v:shape style="position:absolute;left:1937;top:4832;width:6397;height:101" type="#_x0000_t75" stroked="false">
              <v:imagedata r:id="rId123" o:title=""/>
            </v:shape>
            <v:shape style="position:absolute;left:8310;top:4923;width:833;height:10" type="#_x0000_t75" stroked="false">
              <v:imagedata r:id="rId115" o:title=""/>
            </v:shape>
            <v:shape style="position:absolute;left:9139;top:4923;width:1354;height:10" type="#_x0000_t75" stroked="false">
              <v:imagedata r:id="rId116" o:title=""/>
            </v:shape>
            <w10:wrap type="none"/>
          </v:group>
        </w:pict>
      </w:r>
      <w:r>
        <w:rPr/>
        <w:pict>
          <v:group style="position:absolute;margin-left:96.863998pt;margin-top:259.129974pt;width:427.8pt;height:5.05pt;mso-position-horizontal-relative:page;mso-position-vertical-relative:page;z-index:-939808" coordorigin="1937,5183" coordsize="8556,101">
            <v:shape style="position:absolute;left:1937;top:5183;width:6397;height:101" type="#_x0000_t75" stroked="false">
              <v:imagedata r:id="rId117" o:title=""/>
            </v:shape>
            <v:shape style="position:absolute;left:8310;top:5274;width:833;height:10" type="#_x0000_t75" stroked="false">
              <v:imagedata r:id="rId118" o:title=""/>
            </v:shape>
            <v:shape style="position:absolute;left:9139;top:5274;width:1354;height:10" type="#_x0000_t75" stroked="false">
              <v:imagedata r:id="rId119" o:title=""/>
            </v:shape>
            <w10:wrap type="none"/>
          </v:group>
        </w:pict>
      </w:r>
      <w:r>
        <w:rPr/>
        <w:pict>
          <v:group style="position:absolute;margin-left:96.863998pt;margin-top:281.089996pt;width:427.8pt;height:.5pt;mso-position-horizontal-relative:page;mso-position-vertical-relative:page;z-index:-939784" coordorigin="1937,5622" coordsize="8556,10">
            <v:shape style="position:absolute;left:1937;top:5622;width:6378;height:10" type="#_x0000_t75" stroked="false">
              <v:imagedata r:id="rId120" o:title=""/>
            </v:shape>
            <v:shape style="position:absolute;left:8310;top:5622;width:833;height:10" type="#_x0000_t75" stroked="false">
              <v:imagedata r:id="rId115" o:title=""/>
            </v:shape>
            <v:shape style="position:absolute;left:9139;top:5622;width:1354;height:10" type="#_x0000_t75" stroked="false">
              <v:imagedata r:id="rId116" o:title=""/>
            </v:shape>
            <w10:wrap type="none"/>
          </v:group>
        </w:pict>
      </w:r>
      <w:r>
        <w:rPr/>
        <w:pict>
          <v:group style="position:absolute;margin-left:96.863998pt;margin-top:294.050018pt;width:427.8pt;height:5.05pt;mso-position-horizontal-relative:page;mso-position-vertical-relative:page;z-index:-939760" coordorigin="1937,5881" coordsize="8556,101">
            <v:shape style="position:absolute;left:1937;top:5881;width:6397;height:101" type="#_x0000_t75" stroked="false">
              <v:imagedata r:id="rId117" o:title=""/>
            </v:shape>
            <v:shape style="position:absolute;left:8310;top:5972;width:833;height:10" type="#_x0000_t75" stroked="false">
              <v:imagedata r:id="rId118" o:title=""/>
            </v:shape>
            <v:shape style="position:absolute;left:9139;top:5972;width:1354;height:10" type="#_x0000_t75" stroked="false">
              <v:imagedata r:id="rId119" o:title=""/>
            </v:shape>
            <w10:wrap type="none"/>
          </v:group>
        </w:pict>
      </w:r>
      <w:r>
        <w:rPr/>
        <w:pict>
          <v:group style="position:absolute;margin-left:96.863998pt;margin-top:311.569977pt;width:427.8pt;height:5.05pt;mso-position-horizontal-relative:page;mso-position-vertical-relative:page;z-index:-939736" coordorigin="1937,6231" coordsize="8556,101">
            <v:shape style="position:absolute;left:1937;top:6231;width:6397;height:101" type="#_x0000_t75" stroked="false">
              <v:imagedata r:id="rId124" o:title=""/>
            </v:shape>
            <v:shape style="position:absolute;left:8310;top:6323;width:833;height:10" type="#_x0000_t75" stroked="false">
              <v:imagedata r:id="rId118" o:title=""/>
            </v:shape>
            <v:shape style="position:absolute;left:9139;top:6323;width:1354;height:10" type="#_x0000_t75" stroked="false">
              <v:imagedata r:id="rId119" o:title=""/>
            </v:shape>
            <w10:wrap type="none"/>
          </v:group>
        </w:pict>
      </w:r>
      <w:r>
        <w:rPr/>
        <w:pict>
          <v:group style="position:absolute;margin-left:96.863998pt;margin-top:329.089996pt;width:427.8pt;height:5.05pt;mso-position-horizontal-relative:page;mso-position-vertical-relative:page;z-index:-939712" coordorigin="1937,6582" coordsize="8556,101">
            <v:shape style="position:absolute;left:1937;top:6582;width:6397;height:101" type="#_x0000_t75" stroked="false">
              <v:imagedata r:id="rId114" o:title=""/>
            </v:shape>
            <v:shape style="position:absolute;left:8310;top:6673;width:833;height:10" type="#_x0000_t75" stroked="false">
              <v:imagedata r:id="rId118" o:title=""/>
            </v:shape>
            <v:shape style="position:absolute;left:9139;top:6673;width:1354;height:10" type="#_x0000_t75" stroked="false">
              <v:imagedata r:id="rId119" o:title=""/>
            </v:shape>
            <w10:wrap type="none"/>
          </v:group>
        </w:pict>
      </w:r>
      <w:r>
        <w:rPr/>
        <w:pict>
          <v:group style="position:absolute;margin-left:96.863998pt;margin-top:346.609985pt;width:427.8pt;height:5.05pt;mso-position-horizontal-relative:page;mso-position-vertical-relative:page;z-index:-939688" coordorigin="1937,6932" coordsize="8556,101">
            <v:shape style="position:absolute;left:1937;top:6932;width:6397;height:101" type="#_x0000_t75" stroked="false">
              <v:imagedata r:id="rId114" o:title=""/>
            </v:shape>
            <v:shape style="position:absolute;left:8310;top:7023;width:833;height:10" type="#_x0000_t75" stroked="false">
              <v:imagedata r:id="rId115" o:title=""/>
            </v:shape>
            <v:shape style="position:absolute;left:9139;top:7023;width:1354;height:10" type="#_x0000_t75" stroked="false">
              <v:imagedata r:id="rId116" o:title=""/>
            </v:shape>
            <w10:wrap type="none"/>
          </v:group>
        </w:pict>
      </w:r>
      <w:r>
        <w:rPr/>
        <w:pict>
          <v:group style="position:absolute;margin-left:96.863998pt;margin-top:364.129974pt;width:427.8pt;height:5.05pt;mso-position-horizontal-relative:page;mso-position-vertical-relative:page;z-index:-939664" coordorigin="1937,7283" coordsize="8556,101">
            <v:shape style="position:absolute;left:1937;top:7283;width:6397;height:101" type="#_x0000_t75" stroked="false">
              <v:imagedata r:id="rId125" o:title=""/>
            </v:shape>
            <v:shape style="position:absolute;left:8310;top:7374;width:833;height:10" type="#_x0000_t75" stroked="false">
              <v:imagedata r:id="rId118" o:title=""/>
            </v:shape>
            <v:shape style="position:absolute;left:9139;top:7374;width:1354;height:10" type="#_x0000_t75" stroked="false">
              <v:imagedata r:id="rId119" o:title=""/>
            </v:shape>
            <w10:wrap type="none"/>
          </v:group>
        </w:pict>
      </w:r>
      <w:r>
        <w:rPr/>
        <w:pict>
          <v:group style="position:absolute;margin-left:96.863998pt;margin-top:386.089996pt;width:427.8pt;height:.5pt;mso-position-horizontal-relative:page;mso-position-vertical-relative:page;z-index:-939640" coordorigin="1937,7722" coordsize="8556,10">
            <v:shape style="position:absolute;left:1937;top:7722;width:6378;height:10" type="#_x0000_t75" stroked="false">
              <v:imagedata r:id="rId120" o:title=""/>
            </v:shape>
            <v:shape style="position:absolute;left:8310;top:7722;width:833;height:10" type="#_x0000_t75" stroked="false">
              <v:imagedata r:id="rId115" o:title=""/>
            </v:shape>
            <v:shape style="position:absolute;left:9139;top:7722;width:1354;height:10" type="#_x0000_t75" stroked="false">
              <v:imagedata r:id="rId116" o:title=""/>
            </v:shape>
            <w10:wrap type="none"/>
          </v:group>
        </w:pict>
      </w:r>
      <w:r>
        <w:rPr/>
        <w:pict>
          <v:group style="position:absolute;margin-left:96.863998pt;margin-top:399.049988pt;width:427.8pt;height:5.05pt;mso-position-horizontal-relative:page;mso-position-vertical-relative:page;z-index:-939616" coordorigin="1937,7981" coordsize="8556,101">
            <v:shape style="position:absolute;left:1937;top:7981;width:6397;height:101" type="#_x0000_t75" stroked="false">
              <v:imagedata r:id="rId125" o:title=""/>
            </v:shape>
            <v:shape style="position:absolute;left:8310;top:8072;width:833;height:10" type="#_x0000_t75" stroked="false">
              <v:imagedata r:id="rId118" o:title=""/>
            </v:shape>
            <v:shape style="position:absolute;left:9139;top:8072;width:1354;height:10" type="#_x0000_t75" stroked="false">
              <v:imagedata r:id="rId119" o:title=""/>
            </v:shape>
            <w10:wrap type="none"/>
          </v:group>
        </w:pict>
      </w:r>
      <w:r>
        <w:rPr/>
        <w:pict>
          <v:group style="position:absolute;margin-left:96.863998pt;margin-top:416.589996pt;width:427.8pt;height:5.05pt;mso-position-horizontal-relative:page;mso-position-vertical-relative:page;z-index:-939592" coordorigin="1937,8332" coordsize="8556,101">
            <v:shape style="position:absolute;left:1937;top:8332;width:6397;height:101" type="#_x0000_t75" stroked="false">
              <v:imagedata r:id="rId125" o:title=""/>
            </v:shape>
            <v:shape style="position:absolute;left:8310;top:8423;width:833;height:10" type="#_x0000_t75" stroked="false">
              <v:imagedata r:id="rId118" o:title=""/>
            </v:shape>
            <v:shape style="position:absolute;left:9139;top:8423;width:1354;height:10" type="#_x0000_t75" stroked="false">
              <v:imagedata r:id="rId119" o:title=""/>
            </v:shape>
            <w10:wrap type="none"/>
          </v:group>
        </w:pict>
      </w:r>
      <w:r>
        <w:rPr/>
        <w:pict>
          <v:group style="position:absolute;margin-left:96.863998pt;margin-top:434.109985pt;width:427.8pt;height:5.05pt;mso-position-horizontal-relative:page;mso-position-vertical-relative:page;z-index:-939568" coordorigin="1937,8682" coordsize="8556,101">
            <v:shape style="position:absolute;left:1937;top:8682;width:6397;height:101" type="#_x0000_t75" stroked="false">
              <v:imagedata r:id="rId125" o:title=""/>
            </v:shape>
            <v:shape style="position:absolute;left:8310;top:8773;width:833;height:10" type="#_x0000_t75" stroked="false">
              <v:imagedata r:id="rId118" o:title=""/>
            </v:shape>
            <v:shape style="position:absolute;left:9139;top:8773;width:1354;height:10" type="#_x0000_t75" stroked="false">
              <v:imagedata r:id="rId119" o:title=""/>
            </v:shape>
            <w10:wrap type="none"/>
          </v:group>
        </w:pict>
      </w:r>
    </w:p>
    <w:tbl>
      <w:tblPr>
        <w:tblW w:w="0" w:type="auto"/>
        <w:jc w:val="left"/>
        <w:tblInd w:w="105" w:type="dxa"/>
        <w:tblLayout w:type="fixed"/>
        <w:tblCellMar>
          <w:top w:w="0" w:type="dxa"/>
          <w:left w:w="0" w:type="dxa"/>
          <w:bottom w:w="0" w:type="dxa"/>
          <w:right w:w="0" w:type="dxa"/>
        </w:tblCellMar>
        <w:tblLook w:val="01E0"/>
      </w:tblPr>
      <w:tblGrid>
        <w:gridCol w:w="3085"/>
        <w:gridCol w:w="1332"/>
        <w:gridCol w:w="2316"/>
        <w:gridCol w:w="2317"/>
      </w:tblGrid>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2"/>
              <w:jc w:val="right"/>
              <w:rPr>
                <w:rFonts w:ascii="宋体" w:hAnsi="宋体" w:cs="宋体" w:eastAsia="宋体" w:hint="default"/>
                <w:sz w:val="21"/>
                <w:szCs w:val="21"/>
              </w:rPr>
            </w:pPr>
            <w:r>
              <w:rPr>
                <w:rFonts w:ascii="宋体" w:hAnsi="宋体" w:cs="宋体" w:eastAsia="宋体" w:hint="default"/>
                <w:spacing w:val="-1"/>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8"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25,617,126.85</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12,761,106.04</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罚款收入及其他</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58,988.23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135,109.33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58" w:right="0"/>
              <w:jc w:val="left"/>
              <w:rPr>
                <w:rFonts w:ascii="宋体" w:hAnsi="宋体" w:cs="宋体" w:eastAsia="宋体" w:hint="default"/>
                <w:sz w:val="21"/>
                <w:szCs w:val="21"/>
              </w:rPr>
            </w:pPr>
            <w:r>
              <w:rPr>
                <w:rFonts w:ascii="宋体"/>
                <w:sz w:val="21"/>
              </w:rPr>
              <w:t>58,988.23</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58,988.23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38,513,342.22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58,988.23</w:t>
            </w:r>
          </w:p>
        </w:tc>
      </w:tr>
    </w:tbl>
    <w:p>
      <w:pPr>
        <w:spacing w:line="240" w:lineRule="auto" w:before="2"/>
        <w:rPr>
          <w:rFonts w:ascii="宋体" w:hAnsi="宋体" w:cs="宋体" w:eastAsia="宋体" w:hint="default"/>
          <w:sz w:val="20"/>
          <w:szCs w:val="20"/>
        </w:rPr>
      </w:pPr>
    </w:p>
    <w:p>
      <w:pPr>
        <w:pStyle w:val="BodyText"/>
        <w:spacing w:line="240" w:lineRule="auto" w:before="36"/>
        <w:ind w:right="215"/>
        <w:jc w:val="left"/>
      </w:pPr>
      <w:r>
        <w:rPr/>
        <w:t>计入当期损益的政府补助</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6"/>
        <w:ind w:right="215"/>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4851"/>
        <w:gridCol w:w="1366"/>
        <w:gridCol w:w="1424"/>
        <w:gridCol w:w="1255"/>
      </w:tblGrid>
      <w:tr>
        <w:trPr>
          <w:trHeight w:val="636"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7"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72"/>
              <w:jc w:val="right"/>
              <w:rPr>
                <w:rFonts w:ascii="宋体" w:hAnsi="宋体" w:cs="宋体" w:eastAsia="宋体" w:hint="default"/>
                <w:sz w:val="21"/>
                <w:szCs w:val="21"/>
              </w:rPr>
            </w:pPr>
            <w:r>
              <w:rPr>
                <w:rFonts w:ascii="宋体" w:hAnsi="宋体" w:cs="宋体" w:eastAsia="宋体" w:hint="default"/>
                <w:spacing w:val="-1"/>
                <w:sz w:val="21"/>
                <w:szCs w:val="21"/>
              </w:rPr>
              <w:t>上期发生金额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6" w:right="41"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、分布式实时高可靠事务管理关键技术研发项目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、互联网金融业务平台软件产业应用示范</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、区域医疗和公共卫生的数据处理分析及应用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180,500.00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、区域医疗和公共卫生的数据处理分析及应用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3,121,868.91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、城市多模式数据系统互联技术与支撑环境</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73,000.03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、金证综合金融服务平台补助资金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、软件产业和集成电路设计产业专项资</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17"/>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年产学研专项资助（</w:t>
            </w:r>
            <w:r>
              <w:rPr>
                <w:rFonts w:ascii="宋体" w:hAnsi="宋体" w:cs="宋体" w:eastAsia="宋体" w:hint="default"/>
                <w:sz w:val="21"/>
                <w:szCs w:val="21"/>
              </w:rPr>
              <w:t>HADOOP</w:t>
            </w:r>
            <w:r>
              <w:rPr>
                <w:rFonts w:ascii="宋体" w:hAnsi="宋体" w:cs="宋体" w:eastAsia="宋体" w:hint="default"/>
                <w:spacing w:val="-57"/>
                <w:sz w:val="21"/>
                <w:szCs w:val="21"/>
              </w:rPr>
              <w:t> </w:t>
            </w:r>
            <w:r>
              <w:rPr>
                <w:rFonts w:ascii="宋体" w:hAnsi="宋体" w:cs="宋体" w:eastAsia="宋体" w:hint="default"/>
                <w:sz w:val="21"/>
                <w:szCs w:val="21"/>
              </w:rPr>
              <w:t>数据挖掘研究）</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、计算机软件著作权登记资助</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27,000.00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、服务外包发展资金专项资助</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、金融信息系统灾难恢复专业化服务项目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1,516,189.43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与资产有关</w:t>
            </w:r>
          </w:p>
        </w:tc>
      </w:tr>
      <w:tr>
        <w:trPr>
          <w:trHeight w:val="324"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、基于企业</w:t>
            </w:r>
            <w:r>
              <w:rPr>
                <w:rFonts w:ascii="宋体" w:hAnsi="宋体" w:cs="宋体" w:eastAsia="宋体" w:hint="default"/>
                <w:spacing w:val="-56"/>
                <w:sz w:val="21"/>
                <w:szCs w:val="21"/>
              </w:rPr>
              <w:t> </w:t>
            </w:r>
            <w:r>
              <w:rPr>
                <w:rFonts w:ascii="宋体" w:hAnsi="宋体" w:cs="宋体" w:eastAsia="宋体" w:hint="default"/>
                <w:sz w:val="21"/>
                <w:szCs w:val="21"/>
              </w:rPr>
              <w:t>QQ</w:t>
            </w:r>
            <w:r>
              <w:rPr>
                <w:rFonts w:ascii="宋体" w:hAnsi="宋体" w:cs="宋体" w:eastAsia="宋体" w:hint="default"/>
                <w:spacing w:val="-56"/>
                <w:sz w:val="21"/>
                <w:szCs w:val="21"/>
              </w:rPr>
              <w:t> </w:t>
            </w:r>
            <w:r>
              <w:rPr>
                <w:rFonts w:ascii="宋体" w:hAnsi="宋体" w:cs="宋体" w:eastAsia="宋体" w:hint="default"/>
                <w:sz w:val="21"/>
                <w:szCs w:val="21"/>
              </w:rPr>
              <w:t>的证券交易服务平台企业化项目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1,598,284.08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7"/>
              <w:jc w:val="center"/>
              <w:rPr>
                <w:rFonts w:ascii="宋体" w:hAnsi="宋体" w:cs="宋体" w:eastAsia="宋体" w:hint="default"/>
                <w:sz w:val="21"/>
                <w:szCs w:val="21"/>
              </w:rPr>
            </w:pPr>
            <w:r>
              <w:rPr>
                <w:rFonts w:ascii="宋体" w:hAnsi="宋体" w:cs="宋体" w:eastAsia="宋体" w:hint="default"/>
                <w:sz w:val="21"/>
                <w:szCs w:val="21"/>
              </w:rPr>
              <w:t>与资产有关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、企业发展专项资金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1,122,200.00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、基于大数据的基层慢病健康管理应用项目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635,172.53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、基于大数据的基层慢病健康管理应用项目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年企业研发资助补贴</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7,478,000.00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、云智信息技术服务协作平台项目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800,000.00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7"/>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24"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、国家高新技术企业认定奖励</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150,000.00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年度人才安居房租补助</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年电子商务示范奖励资助</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z w:val="21"/>
                <w:szCs w:val="21"/>
              </w:rPr>
              <w:t>、、大数据分析与应用平台（新兴产业贴息）</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1,460,000.00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z w:val="21"/>
                <w:szCs w:val="21"/>
              </w:rPr>
              <w:t>、城市管理指挥监督云平台（贷款贴息）</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1,494,297.52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、智慧停车系统政府补助</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1,336,564.28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z w:val="21"/>
                <w:szCs w:val="21"/>
              </w:rPr>
              <w:t>、电子商务发展专项资助（壹融通项目）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710,000.00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、失业稳岗补贴</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647,699.83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z w:val="21"/>
                <w:szCs w:val="21"/>
              </w:rPr>
              <w:t>、生育津贴</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272,889.20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z w:val="21"/>
                <w:szCs w:val="21"/>
              </w:rPr>
              <w:t>、其他政府补助</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393,461.04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7"/>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25,617,126.85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BodyText"/>
        <w:spacing w:line="240" w:lineRule="auto" w:before="36"/>
        <w:ind w:right="-18"/>
        <w:jc w:val="left"/>
      </w:pPr>
      <w:r>
        <w:rPr/>
        <w:t>其他说明：</w:t>
      </w:r>
    </w:p>
    <w:p>
      <w:pPr>
        <w:pStyle w:val="BodyText"/>
        <w:spacing w:line="240" w:lineRule="auto" w:before="145"/>
        <w:ind w:right="-18"/>
        <w:jc w:val="left"/>
      </w:pPr>
      <w:r>
        <w:rPr/>
        <w:t>□适用</w:t>
      </w:r>
      <w:r>
        <w:rPr>
          <w:spacing w:val="-1"/>
        </w:rPr>
        <w:t> </w:t>
      </w:r>
      <w:r>
        <w:rPr/>
        <w:t>√不适用</w:t>
      </w:r>
    </w:p>
    <w:p>
      <w:pPr>
        <w:pStyle w:val="Heading2"/>
        <w:spacing w:line="240" w:lineRule="auto" w:before="62"/>
        <w:ind w:right="-18"/>
        <w:jc w:val="left"/>
        <w:rPr>
          <w:b w:val="0"/>
          <w:bCs w:val="0"/>
        </w:rPr>
      </w:pPr>
      <w:r>
        <w:rPr>
          <w:rFonts w:ascii="宋体" w:hAnsi="宋体" w:cs="宋体" w:eastAsia="宋体" w:hint="default"/>
        </w:rPr>
        <w:t>70</w:t>
      </w:r>
      <w:r>
        <w:rPr/>
        <w:t>、</w:t>
      </w:r>
      <w:r>
        <w:rPr>
          <w:spacing w:val="-103"/>
        </w:rPr>
        <w:t> </w:t>
      </w:r>
      <w:r>
        <w:rPr/>
        <w:t>营业外支出</w:t>
      </w:r>
      <w:r>
        <w:rPr>
          <w:b w:val="0"/>
          <w:bCs w:val="0"/>
        </w:rPr>
      </w:r>
    </w:p>
    <w:p>
      <w:pPr>
        <w:pStyle w:val="BodyText"/>
        <w:tabs>
          <w:tab w:pos="1060" w:val="left" w:leader="none"/>
        </w:tabs>
        <w:spacing w:line="240" w:lineRule="auto" w:before="85"/>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27" w:space="459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63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8"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非流动资产处置损</w:t>
            </w:r>
            <w:r>
              <w:rPr>
                <w:rFonts w:ascii="宋体" w:hAnsi="宋体" w:cs="宋体" w:eastAsia="宋体" w:hint="default"/>
                <w:w w:val="100"/>
                <w:sz w:val="21"/>
                <w:szCs w:val="21"/>
              </w:rPr>
              <w:t> </w:t>
            </w: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10" w:right="0"/>
              <w:jc w:val="left"/>
              <w:rPr>
                <w:rFonts w:ascii="宋体" w:hAnsi="宋体" w:cs="宋体" w:eastAsia="宋体" w:hint="default"/>
                <w:sz w:val="21"/>
                <w:szCs w:val="21"/>
              </w:rPr>
            </w:pPr>
            <w:r>
              <w:rPr>
                <w:rFonts w:ascii="宋体"/>
                <w:sz w:val="21"/>
              </w:rPr>
              <w:t>155,486.96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67" w:right="0"/>
              <w:jc w:val="left"/>
              <w:rPr>
                <w:rFonts w:ascii="宋体" w:hAnsi="宋体" w:cs="宋体" w:eastAsia="宋体" w:hint="default"/>
                <w:sz w:val="21"/>
                <w:szCs w:val="21"/>
              </w:rPr>
            </w:pPr>
            <w:r>
              <w:rPr>
                <w:rFonts w:ascii="宋体"/>
                <w:sz w:val="21"/>
              </w:rPr>
              <w:t>12,999.89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2" w:right="0"/>
              <w:jc w:val="left"/>
              <w:rPr>
                <w:rFonts w:ascii="宋体" w:hAnsi="宋体" w:cs="宋体" w:eastAsia="宋体" w:hint="default"/>
                <w:sz w:val="21"/>
                <w:szCs w:val="21"/>
              </w:rPr>
            </w:pPr>
            <w:r>
              <w:rPr>
                <w:rFonts w:ascii="宋体"/>
                <w:sz w:val="21"/>
              </w:rPr>
              <w:t>155,486.96</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63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155,486.96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12,999.89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155,486.96</w:t>
            </w:r>
          </w:p>
        </w:tc>
      </w:tr>
      <w:tr>
        <w:trPr>
          <w:trHeight w:val="94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both"/>
              <w:rPr>
                <w:rFonts w:ascii="宋体" w:hAnsi="宋体" w:cs="宋体" w:eastAsia="宋体" w:hint="default"/>
                <w:sz w:val="21"/>
                <w:szCs w:val="21"/>
              </w:rPr>
            </w:pPr>
            <w:r>
              <w:rPr>
                <w:rFonts w:ascii="宋体" w:hAnsi="宋体" w:cs="宋体" w:eastAsia="宋体" w:hint="default"/>
                <w:sz w:val="21"/>
                <w:szCs w:val="21"/>
              </w:rPr>
              <w:t>应付收购子公司—</w:t>
            </w:r>
            <w:r>
              <w:rPr>
                <w:rFonts w:ascii="宋体" w:hAnsi="宋体" w:cs="宋体" w:eastAsia="宋体" w:hint="default"/>
                <w:w w:val="100"/>
                <w:sz w:val="21"/>
                <w:szCs w:val="21"/>
              </w:rPr>
              <w:t> </w:t>
            </w:r>
            <w:r>
              <w:rPr>
                <w:rFonts w:ascii="宋体" w:hAnsi="宋体" w:cs="宋体" w:eastAsia="宋体" w:hint="default"/>
                <w:sz w:val="21"/>
                <w:szCs w:val="21"/>
              </w:rPr>
              <w:t>联龙博通股权浮动</w:t>
            </w:r>
            <w:r>
              <w:rPr>
                <w:rFonts w:ascii="宋体" w:hAnsi="宋体" w:cs="宋体" w:eastAsia="宋体" w:hint="default"/>
                <w:w w:val="100"/>
                <w:sz w:val="21"/>
                <w:szCs w:val="21"/>
              </w:rPr>
              <w:t> </w:t>
            </w:r>
            <w:r>
              <w:rPr>
                <w:rFonts w:ascii="宋体" w:hAnsi="宋体" w:cs="宋体" w:eastAsia="宋体" w:hint="default"/>
                <w:sz w:val="21"/>
                <w:szCs w:val="21"/>
              </w:rPr>
              <w:t>对价款</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14,815,961.08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40,834,049.30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14,815,961.08</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罚款支出及其他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153,526.68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91,207.99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153,526.68</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15,124,974.72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40,938,257.18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15,124,974.72</w:t>
            </w:r>
          </w:p>
        </w:tc>
      </w:tr>
    </w:tbl>
    <w:p>
      <w:pPr>
        <w:spacing w:after="0" w:line="262"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auto" w:before="47"/>
        <w:ind w:right="-19"/>
        <w:jc w:val="left"/>
      </w:pPr>
      <w:r>
        <w:rPr/>
        <w:t>其他说明：</w:t>
      </w:r>
    </w:p>
    <w:p>
      <w:pPr>
        <w:pStyle w:val="Heading2"/>
        <w:spacing w:line="283" w:lineRule="auto" w:before="69"/>
        <w:ind w:right="-19"/>
        <w:jc w:val="left"/>
        <w:rPr>
          <w:b w:val="0"/>
          <w:bCs w:val="0"/>
        </w:rPr>
      </w:pPr>
      <w:r>
        <w:rPr>
          <w:rFonts w:ascii="宋体" w:hAnsi="宋体" w:cs="宋体" w:eastAsia="宋体" w:hint="default"/>
        </w:rPr>
        <w:t>71</w:t>
      </w:r>
      <w:r>
        <w:rPr/>
        <w:t>、</w:t>
      </w:r>
      <w:r>
        <w:rPr>
          <w:spacing w:val="-101"/>
        </w:rPr>
        <w:t> </w:t>
      </w:r>
      <w:r>
        <w:rPr/>
        <w:t>所得税费用</w:t>
      </w:r>
      <w:r>
        <w:rPr>
          <w:w w:val="99"/>
        </w:rPr>
        <w:t> </w:t>
      </w:r>
      <w:r>
        <w:rPr>
          <w:rFonts w:ascii="宋体" w:hAnsi="宋体" w:cs="宋体" w:eastAsia="宋体" w:hint="default"/>
        </w:rPr>
        <w:t>(1)</w:t>
      </w:r>
      <w:r>
        <w:rPr>
          <w:rFonts w:ascii="宋体" w:hAnsi="宋体" w:cs="宋体" w:eastAsia="宋体" w:hint="default"/>
          <w:spacing w:val="-62"/>
        </w:rPr>
        <w:t> </w:t>
      </w:r>
      <w:r>
        <w:rPr/>
        <w:t>所得税费用表</w:t>
      </w:r>
      <w:r>
        <w:rPr>
          <w:b w:val="0"/>
          <w:bCs w:val="0"/>
        </w:rPr>
      </w:r>
    </w:p>
    <w:p>
      <w:pPr>
        <w:pStyle w:val="BodyText"/>
        <w:spacing w:line="240" w:lineRule="auto" w:before="43"/>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20,611,480.85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32,798,237.21</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-4,171,666.96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-3,060,868.32</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16,439,813.89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29,737,368.89</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61"/>
        </w:rPr>
        <w:t> </w:t>
      </w:r>
      <w:r>
        <w:rPr/>
        <w:t>会计利润与所得税费用调整过程：</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58" w:space="2264"/>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4301"/>
        <w:gridCol w:w="4592"/>
      </w:tblGrid>
      <w:tr>
        <w:trPr>
          <w:trHeight w:val="32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本期发生额</w:t>
            </w:r>
          </w:p>
        </w:tc>
      </w:tr>
      <w:tr>
        <w:trPr>
          <w:trHeight w:val="324"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233,017,750.13</w:t>
            </w:r>
          </w:p>
        </w:tc>
      </w:tr>
      <w:tr>
        <w:trPr>
          <w:trHeight w:val="32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宋体" w:hAnsi="宋体" w:cs="宋体" w:eastAsia="宋体" w:hint="default"/>
                <w:sz w:val="24"/>
                <w:szCs w:val="24"/>
              </w:rPr>
              <w:t>/</w:t>
            </w:r>
            <w:r>
              <w:rPr>
                <w:rFonts w:ascii="宋体" w:hAnsi="宋体" w:cs="宋体" w:eastAsia="宋体" w:hint="default"/>
                <w:sz w:val="24"/>
                <w:szCs w:val="24"/>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34,952,662.52</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3,279,388.42</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-8,968,161.98</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-8,276,854.57</w:t>
            </w:r>
          </w:p>
        </w:tc>
      </w:tr>
      <w:tr>
        <w:trPr>
          <w:trHeight w:val="32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2,696,196.47</w:t>
            </w:r>
          </w:p>
        </w:tc>
      </w:tr>
      <w:tr>
        <w:trPr>
          <w:trHeight w:val="63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-862,216.37</w:t>
            </w:r>
          </w:p>
        </w:tc>
      </w:tr>
      <w:tr>
        <w:trPr>
          <w:trHeight w:val="63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时性差异或可抵扣亏损的影响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11,959,948.44</w:t>
            </w:r>
          </w:p>
        </w:tc>
      </w:tr>
      <w:tr>
        <w:trPr>
          <w:trHeight w:val="326"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加计扣除费用的影响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-18,364,652.58</w:t>
            </w:r>
          </w:p>
        </w:tc>
      </w:tr>
      <w:tr>
        <w:trPr>
          <w:trHeight w:val="329"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23,503.54</w:t>
            </w:r>
          </w:p>
        </w:tc>
      </w:tr>
      <w:tr>
        <w:trPr>
          <w:trHeight w:val="326"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16,439,813.89</w:t>
            </w:r>
          </w:p>
        </w:tc>
      </w:tr>
    </w:tbl>
    <w:p>
      <w:pPr>
        <w:pStyle w:val="BodyText"/>
        <w:spacing w:line="240" w:lineRule="auto" w:before="47"/>
        <w:ind w:right="215"/>
        <w:jc w:val="left"/>
      </w:pPr>
      <w:r>
        <w:rPr/>
        <w:t>其他说明：</w:t>
      </w:r>
    </w:p>
    <w:p>
      <w:pPr>
        <w:pStyle w:val="BodyText"/>
        <w:spacing w:line="240" w:lineRule="auto" w:before="97"/>
        <w:ind w:right="215"/>
        <w:jc w:val="left"/>
      </w:pPr>
      <w:r>
        <w:rPr/>
        <w:t>□适用</w:t>
      </w:r>
      <w:r>
        <w:rPr>
          <w:spacing w:val="-1"/>
        </w:rPr>
        <w:t> </w:t>
      </w:r>
      <w:r>
        <w:rPr/>
        <w:t>√不适用</w:t>
      </w:r>
    </w:p>
    <w:p>
      <w:pPr>
        <w:pStyle w:val="Heading2"/>
        <w:spacing w:line="240" w:lineRule="auto" w:before="69"/>
        <w:ind w:right="215"/>
        <w:jc w:val="left"/>
        <w:rPr>
          <w:b w:val="0"/>
          <w:bCs w:val="0"/>
        </w:rPr>
      </w:pPr>
      <w:r>
        <w:rPr>
          <w:rFonts w:ascii="宋体" w:hAnsi="宋体" w:cs="宋体" w:eastAsia="宋体" w:hint="default"/>
        </w:rPr>
        <w:t>72</w:t>
      </w:r>
      <w:r>
        <w:rPr/>
        <w:t>、</w:t>
      </w:r>
      <w:r>
        <w:rPr>
          <w:spacing w:val="-104"/>
        </w:rPr>
        <w:t> </w:t>
      </w:r>
      <w:r>
        <w:rPr/>
        <w:t>其他综合收益</w:t>
      </w:r>
      <w:r>
        <w:rPr>
          <w:b w:val="0"/>
          <w:bCs w:val="0"/>
        </w:rPr>
      </w:r>
    </w:p>
    <w:p>
      <w:pPr>
        <w:pStyle w:val="BodyText"/>
        <w:spacing w:line="240" w:lineRule="auto" w:before="85"/>
        <w:ind w:right="215"/>
        <w:jc w:val="left"/>
      </w:pPr>
      <w:r>
        <w:rPr/>
        <w:t>□适用</w:t>
      </w:r>
      <w:r>
        <w:rPr>
          <w:spacing w:val="-1"/>
        </w:rPr>
        <w:t> </w:t>
      </w:r>
      <w:r>
        <w:rPr/>
        <w:t>√不适用</w:t>
      </w:r>
    </w:p>
    <w:p>
      <w:pPr>
        <w:pStyle w:val="Heading2"/>
        <w:spacing w:line="240" w:lineRule="auto" w:before="69"/>
        <w:ind w:right="215"/>
        <w:jc w:val="left"/>
        <w:rPr>
          <w:b w:val="0"/>
          <w:bCs w:val="0"/>
        </w:rPr>
      </w:pPr>
      <w:r>
        <w:rPr>
          <w:rFonts w:ascii="宋体" w:hAnsi="宋体" w:cs="宋体" w:eastAsia="宋体" w:hint="default"/>
        </w:rPr>
        <w:t>73</w:t>
      </w:r>
      <w:r>
        <w:rPr/>
        <w:t>、</w:t>
      </w:r>
      <w:r>
        <w:rPr>
          <w:spacing w:val="-103"/>
        </w:rPr>
        <w:t> </w:t>
      </w:r>
      <w:r>
        <w:rPr/>
        <w:t>现金流量表项目</w:t>
      </w:r>
      <w:r>
        <w:rPr>
          <w:b w:val="0"/>
          <w:bCs w:val="0"/>
        </w:rPr>
      </w:r>
    </w:p>
    <w:p>
      <w:pPr>
        <w:pStyle w:val="Heading2"/>
        <w:tabs>
          <w:tab w:pos="918" w:val="left" w:leader="none"/>
        </w:tabs>
        <w:spacing w:line="240" w:lineRule="auto" w:before="58"/>
        <w:ind w:right="215"/>
        <w:jc w:val="left"/>
        <w:rPr>
          <w:b w:val="0"/>
          <w:bCs w:val="0"/>
        </w:rPr>
      </w:pPr>
      <w:r>
        <w:rPr>
          <w:rFonts w:ascii="宋体" w:hAnsi="宋体" w:cs="宋体" w:eastAsia="宋体" w:hint="default"/>
        </w:rPr>
        <w:t>(1).</w:t>
        <w:tab/>
      </w:r>
      <w:r>
        <w:rPr/>
        <w:t>收到的其他与经营活动有关的现金：</w:t>
      </w:r>
      <w:r>
        <w:rPr>
          <w:b w:val="0"/>
          <w:bCs w:val="0"/>
        </w:rPr>
      </w:r>
    </w:p>
    <w:p>
      <w:pPr>
        <w:pStyle w:val="BodyText"/>
        <w:spacing w:line="240" w:lineRule="auto" w:before="85"/>
        <w:ind w:right="21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3"/>
        <w:tabs>
          <w:tab w:pos="1200" w:val="left" w:leader="none"/>
        </w:tabs>
        <w:spacing w:line="240" w:lineRule="auto" w:before="26"/>
        <w:ind w:left="0" w:right="1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收到现金折扣银行存款利息等</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48,088,571.60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42,046,315.19</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财政补贴及资助资金等</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25,956,036.32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23,294,794.02</w:t>
            </w:r>
          </w:p>
        </w:tc>
      </w:tr>
      <w:tr>
        <w:trPr>
          <w:trHeight w:val="557"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收到其他单位及个人往来款及保证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金等</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23,530,758.94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144,145,417.65</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收到的保函保证金净额</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1,456,804.86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97,575,366.86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210,943,331.72</w:t>
            </w:r>
          </w:p>
        </w:tc>
      </w:tr>
    </w:tbl>
    <w:p>
      <w:pPr>
        <w:spacing w:line="240" w:lineRule="auto" w:before="1"/>
        <w:rPr>
          <w:rFonts w:ascii="宋体" w:hAnsi="宋体" w:cs="宋体" w:eastAsia="宋体" w:hint="default"/>
          <w:sz w:val="23"/>
          <w:szCs w:val="23"/>
        </w:rPr>
      </w:pPr>
    </w:p>
    <w:p>
      <w:pPr>
        <w:pStyle w:val="BodyText"/>
        <w:spacing w:line="290" w:lineRule="auto" w:before="36"/>
        <w:ind w:left="558" w:right="158" w:hanging="420"/>
        <w:jc w:val="left"/>
      </w:pPr>
      <w:r>
        <w:rPr/>
        <w:t>收到的其他与经营活动有关的现金说明：</w:t>
      </w:r>
      <w:r>
        <w:rPr>
          <w:w w:val="100"/>
        </w:rPr>
        <w:t> </w:t>
      </w:r>
      <w:r>
        <w:rPr>
          <w:spacing w:val="-2"/>
        </w:rPr>
        <w:t>收到其他单位及个人往来款及保证金等减少，主要系子公司深圳市齐普生信息科技有限公司</w:t>
      </w:r>
    </w:p>
    <w:p>
      <w:pPr>
        <w:pStyle w:val="BodyText"/>
        <w:spacing w:line="229" w:lineRule="exact"/>
        <w:ind w:left="138" w:right="158"/>
        <w:jc w:val="left"/>
      </w:pPr>
      <w:r>
        <w:rPr/>
        <w:t>与外部单位之间的资金往来减少所致。</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26"/>
          <w:pgSz w:w="11910" w:h="16840"/>
          <w:pgMar w:footer="1195" w:header="882" w:top="1120" w:bottom="1380" w:left="1660" w:right="1120"/>
          <w:pgNumType w:start="144"/>
        </w:sectPr>
      </w:pPr>
    </w:p>
    <w:p>
      <w:pPr>
        <w:pStyle w:val="Heading2"/>
        <w:tabs>
          <w:tab w:pos="838" w:val="left" w:leader="none"/>
        </w:tabs>
        <w:spacing w:line="240" w:lineRule="auto"/>
        <w:ind w:left="138" w:right="0"/>
        <w:jc w:val="left"/>
        <w:rPr>
          <w:b w:val="0"/>
          <w:bCs w:val="0"/>
        </w:rPr>
      </w:pPr>
      <w:r>
        <w:rPr>
          <w:rFonts w:ascii="宋体" w:hAnsi="宋体" w:cs="宋体" w:eastAsia="宋体" w:hint="default"/>
        </w:rPr>
        <w:t>(2).</w:t>
        <w:tab/>
      </w:r>
      <w:r>
        <w:rPr>
          <w:w w:val="95"/>
        </w:rPr>
        <w:t>支付的其他与经营活动有关的现金：</w:t>
      </w:r>
      <w:r>
        <w:rPr>
          <w:b w:val="0"/>
          <w:bCs w:val="0"/>
        </w:rPr>
      </w:r>
    </w:p>
    <w:p>
      <w:pPr>
        <w:pStyle w:val="BodyText"/>
        <w:spacing w:line="240" w:lineRule="auto" w:before="85"/>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692" w:space="1829"/>
            <w:col w:w="260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费用性支出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216,638,212.23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220,796,646.33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支付往来款、押金及职工备用金等</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66,029,869.07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73,758,897.69</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支付保函保证金净额</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8,669,069.74</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291,337,151.04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294,555,544.02</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660" w:right="1120"/>
        </w:sectPr>
      </w:pPr>
    </w:p>
    <w:p>
      <w:pPr>
        <w:pStyle w:val="Heading2"/>
        <w:tabs>
          <w:tab w:pos="865" w:val="left" w:leader="none"/>
        </w:tabs>
        <w:spacing w:line="240" w:lineRule="auto"/>
        <w:ind w:left="138" w:right="0"/>
        <w:jc w:val="left"/>
        <w:rPr>
          <w:b w:val="0"/>
          <w:bCs w:val="0"/>
        </w:rPr>
      </w:pPr>
      <w:r>
        <w:rPr>
          <w:rFonts w:ascii="宋体" w:hAnsi="宋体" w:cs="宋体" w:eastAsia="宋体" w:hint="default"/>
        </w:rPr>
        <w:t>(3).</w:t>
        <w:tab/>
      </w:r>
      <w:r>
        <w:rPr>
          <w:w w:val="95"/>
        </w:rPr>
        <w:t>收到的其他与投资活动有关的现金</w:t>
      </w:r>
      <w:r>
        <w:rPr>
          <w:b w:val="0"/>
          <w:bCs w:val="0"/>
        </w:rPr>
      </w:r>
    </w:p>
    <w:p>
      <w:pPr>
        <w:pStyle w:val="BodyText"/>
        <w:spacing w:line="240" w:lineRule="auto" w:before="85"/>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189" w:val="left" w:leader="none"/>
        </w:tabs>
        <w:spacing w:line="240" w:lineRule="auto"/>
        <w:ind w:left="13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479" w:space="2149"/>
            <w:col w:w="2502"/>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143"/>
        <w:gridCol w:w="2069"/>
        <w:gridCol w:w="2684"/>
      </w:tblGrid>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收到建设工程项目退回保证金</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10,000,000.00</w:t>
            </w:r>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收到委托贷款保证金利息</w:t>
            </w:r>
          </w:p>
        </w:tc>
        <w:tc>
          <w:tcPr>
            <w:tcW w:w="2069"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703,891.14</w:t>
            </w:r>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本期支付的取得子公司的现金净额</w:t>
            </w:r>
          </w:p>
        </w:tc>
        <w:tc>
          <w:tcPr>
            <w:tcW w:w="2069"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64,030.62</w:t>
            </w:r>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10,767,921.76</w:t>
            </w:r>
          </w:p>
        </w:tc>
      </w:tr>
    </w:tbl>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660" w:right="1120"/>
        </w:sectPr>
      </w:pPr>
    </w:p>
    <w:p>
      <w:pPr>
        <w:pStyle w:val="Heading2"/>
        <w:tabs>
          <w:tab w:pos="865" w:val="left" w:leader="none"/>
        </w:tabs>
        <w:spacing w:line="240" w:lineRule="auto"/>
        <w:ind w:left="138" w:right="0"/>
        <w:jc w:val="left"/>
        <w:rPr>
          <w:b w:val="0"/>
          <w:bCs w:val="0"/>
        </w:rPr>
      </w:pPr>
      <w:r>
        <w:rPr>
          <w:rFonts w:ascii="宋体" w:hAnsi="宋体" w:cs="宋体" w:eastAsia="宋体" w:hint="default"/>
        </w:rPr>
        <w:t>(4).</w:t>
        <w:tab/>
      </w:r>
      <w:r>
        <w:rPr>
          <w:w w:val="95"/>
        </w:rPr>
        <w:t>支付的其他与投资活动有关的现金</w:t>
      </w:r>
      <w:r>
        <w:rPr>
          <w:b w:val="0"/>
          <w:bCs w:val="0"/>
        </w:rPr>
      </w:r>
    </w:p>
    <w:p>
      <w:pPr>
        <w:pStyle w:val="BodyText"/>
        <w:spacing w:line="240" w:lineRule="auto" w:before="85"/>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479" w:space="2043"/>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本期处置子公司的现金净额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5,825,873.27</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w:t>
            </w:r>
            <w:r>
              <w:rPr>
                <w:rFonts w:ascii="宋体" w:hAnsi="宋体" w:cs="宋体" w:eastAsia="宋体" w:hint="default"/>
                <w:sz w:val="21"/>
                <w:szCs w:val="21"/>
              </w:rPr>
              <w:t>BT</w:t>
            </w:r>
            <w:r>
              <w:rPr>
                <w:rFonts w:ascii="宋体" w:hAnsi="宋体" w:cs="宋体" w:eastAsia="宋体" w:hint="default"/>
                <w:sz w:val="21"/>
                <w:szCs w:val="21"/>
              </w:rPr>
              <w:t>项目管理费</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20,000,000.00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股权投资支付的中介费</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1,901,805.12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5,825,873.27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21,901,805.12</w:t>
            </w:r>
          </w:p>
        </w:tc>
      </w:tr>
    </w:tbl>
    <w:p>
      <w:pPr>
        <w:pStyle w:val="BodyText"/>
        <w:spacing w:line="240" w:lineRule="auto" w:before="47"/>
        <w:ind w:left="138" w:right="158"/>
        <w:jc w:val="left"/>
      </w:pPr>
      <w:r>
        <w:rPr>
          <w:w w:val="100"/>
        </w:rPr>
        <w:t>：</w:t>
      </w:r>
    </w:p>
    <w:p>
      <w:pPr>
        <w:pStyle w:val="Heading2"/>
        <w:tabs>
          <w:tab w:pos="977" w:val="left" w:leader="none"/>
        </w:tabs>
        <w:spacing w:line="240" w:lineRule="auto" w:before="69"/>
        <w:ind w:left="138" w:right="158"/>
        <w:jc w:val="left"/>
        <w:rPr>
          <w:b w:val="0"/>
          <w:bCs w:val="0"/>
        </w:rPr>
      </w:pPr>
      <w:r>
        <w:rPr>
          <w:rFonts w:ascii="宋体" w:hAnsi="宋体" w:cs="宋体" w:eastAsia="宋体" w:hint="default"/>
        </w:rPr>
        <w:t>(5).</w:t>
        <w:tab/>
      </w:r>
      <w:r>
        <w:rPr/>
        <w:t>收到的其他与筹资活动有关的现金</w:t>
      </w:r>
      <w:r>
        <w:rPr>
          <w:b w:val="0"/>
          <w:bCs w:val="0"/>
        </w:rPr>
      </w:r>
    </w:p>
    <w:p>
      <w:pPr>
        <w:pStyle w:val="BodyText"/>
        <w:spacing w:line="240" w:lineRule="auto" w:before="85"/>
        <w:ind w:left="138" w:right="158"/>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0"/>
        <w:rPr>
          <w:rFonts w:ascii="宋体" w:hAnsi="宋体" w:cs="宋体" w:eastAsia="宋体" w:hint="default"/>
          <w:sz w:val="26"/>
          <w:szCs w:val="26"/>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银行承兑汇票保证金净流入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17,562,919.55</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17,562,919.55</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tabs>
          <w:tab w:pos="1057" w:val="left" w:leader="none"/>
        </w:tabs>
        <w:spacing w:line="240" w:lineRule="auto"/>
        <w:ind w:right="0"/>
        <w:jc w:val="left"/>
        <w:rPr>
          <w:b w:val="0"/>
          <w:bCs w:val="0"/>
        </w:rPr>
      </w:pPr>
      <w:r>
        <w:rPr>
          <w:rFonts w:ascii="宋体" w:hAnsi="宋体" w:cs="宋体" w:eastAsia="宋体" w:hint="default"/>
        </w:rPr>
        <w:t>(6).</w:t>
        <w:tab/>
      </w:r>
      <w:r>
        <w:rPr>
          <w:w w:val="95"/>
        </w:rPr>
        <w:t>支付的其他与筹资活动有关的现金</w:t>
      </w:r>
      <w:r>
        <w:rPr>
          <w:b w:val="0"/>
          <w:bCs w:val="0"/>
        </w:rPr>
      </w:r>
    </w:p>
    <w:p>
      <w:pPr>
        <w:pStyle w:val="BodyText"/>
        <w:spacing w:line="240" w:lineRule="auto" w:before="85"/>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71" w:space="1850"/>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银行承兑汇票保证金净流出</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16,615,614.27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支付的募集资金及债券发行费用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3,562,200.00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3,562,200.00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16,615,614.27</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83" w:lineRule="auto"/>
        <w:ind w:right="-15"/>
        <w:jc w:val="left"/>
        <w:rPr>
          <w:b w:val="0"/>
          <w:bCs w:val="0"/>
        </w:rPr>
      </w:pPr>
      <w:r>
        <w:rPr>
          <w:rFonts w:ascii="宋体" w:hAnsi="宋体" w:cs="宋体" w:eastAsia="宋体" w:hint="default"/>
        </w:rPr>
        <w:t>74</w:t>
      </w:r>
      <w:r>
        <w:rPr/>
        <w:t>、</w:t>
      </w:r>
      <w:r>
        <w:rPr>
          <w:spacing w:val="-101"/>
        </w:rPr>
        <w:t> </w:t>
      </w:r>
      <w:r>
        <w:rPr/>
        <w:t>现金流量表补充资料</w:t>
      </w:r>
      <w:r>
        <w:rPr>
          <w:spacing w:val="2"/>
          <w:w w:val="99"/>
        </w:rPr>
        <w:t> </w:t>
      </w:r>
      <w:r>
        <w:rPr>
          <w:rFonts w:ascii="宋体" w:hAnsi="宋体" w:cs="宋体" w:eastAsia="宋体" w:hint="default"/>
        </w:rPr>
        <w:t>(1)</w:t>
      </w:r>
      <w:r>
        <w:rPr>
          <w:rFonts w:ascii="宋体" w:hAnsi="宋体" w:cs="宋体" w:eastAsia="宋体" w:hint="default"/>
          <w:spacing w:val="-61"/>
        </w:rPr>
        <w:t> </w:t>
      </w:r>
      <w:r>
        <w:rPr/>
        <w:t>现金流量表补充资料</w:t>
      </w:r>
      <w:r>
        <w:rPr>
          <w:b w:val="0"/>
          <w:bCs w:val="0"/>
        </w:rPr>
      </w:r>
    </w:p>
    <w:p>
      <w:pPr>
        <w:pStyle w:val="BodyText"/>
        <w:tabs>
          <w:tab w:pos="1060" w:val="left" w:leader="none"/>
        </w:tabs>
        <w:spacing w:line="240" w:lineRule="auto" w:before="42"/>
        <w:ind w:right="-15"/>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95" w:space="3627"/>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897"/>
        <w:gridCol w:w="2136"/>
        <w:gridCol w:w="2017"/>
      </w:tblGrid>
      <w:tr>
        <w:trPr>
          <w:trHeight w:val="322"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36"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17" w:type="dxa"/>
            <w:tcBorders>
              <w:top w:val="single" w:sz="4" w:space="0" w:color="000000"/>
              <w:left w:val="single" w:sz="5" w:space="0" w:color="000000"/>
              <w:bottom w:val="single" w:sz="4" w:space="0" w:color="000000"/>
              <w:right w:val="single" w:sz="5" w:space="0" w:color="000000"/>
            </w:tcBorders>
          </w:tcPr>
          <w:p>
            <w:pPr>
              <w:pStyle w:val="TableParagraph"/>
              <w:spacing w:line="262" w:lineRule="exact"/>
              <w:ind w:left="58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2"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136" w:type="dxa"/>
            <w:tcBorders>
              <w:top w:val="single" w:sz="4" w:space="0" w:color="000000"/>
              <w:left w:val="single" w:sz="4" w:space="0" w:color="000000"/>
              <w:bottom w:val="single" w:sz="6" w:space="0" w:color="000000"/>
              <w:right w:val="single" w:sz="6" w:space="0" w:color="000000"/>
            </w:tcBorders>
          </w:tcPr>
          <w:p>
            <w:pPr/>
          </w:p>
        </w:tc>
        <w:tc>
          <w:tcPr>
            <w:tcW w:w="2017" w:type="dxa"/>
            <w:tcBorders>
              <w:top w:val="single" w:sz="4" w:space="0" w:color="000000"/>
              <w:left w:val="single" w:sz="6" w:space="0" w:color="000000"/>
              <w:bottom w:val="single" w:sz="6" w:space="0" w:color="000000"/>
              <w:right w:val="single" w:sz="6" w:space="0" w:color="000000"/>
            </w:tcBorders>
          </w:tcPr>
          <w:p>
            <w:pPr/>
          </w:p>
        </w:tc>
      </w:tr>
      <w:tr>
        <w:trPr>
          <w:trHeight w:val="329"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216,577,936.24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279,228,314.03</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12,993,281.93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10,716,616.35</w:t>
            </w:r>
          </w:p>
        </w:tc>
      </w:tr>
      <w:tr>
        <w:trPr>
          <w:trHeight w:val="638"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固定资产折旧、油气资产折耗、生产性生物资产折</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旧</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12,117,895.47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11,693,128.19</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17,541,873.73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16,184,709.45</w:t>
            </w:r>
          </w:p>
        </w:tc>
      </w:tr>
      <w:tr>
        <w:trPr>
          <w:trHeight w:val="329"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3,487,323.33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2,196,051.35</w:t>
            </w:r>
          </w:p>
        </w:tc>
      </w:tr>
      <w:tr>
        <w:trPr>
          <w:trHeight w:val="638"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8"/>
                <w:sz w:val="21"/>
                <w:szCs w:val="21"/>
              </w:rPr>
              <w:t>处置固定资产、无形资产和其他长期资产的损失（收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益以“－”号填列）</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-119,593.65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-80,124.85</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155,486.96</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12,999.89</w:t>
            </w:r>
          </w:p>
        </w:tc>
      </w:tr>
      <w:tr>
        <w:trPr>
          <w:trHeight w:val="327"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36" w:type="dxa"/>
            <w:tcBorders>
              <w:top w:val="single" w:sz="6" w:space="0" w:color="000000"/>
              <w:left w:val="single" w:sz="4"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48,985,726.17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-78,266,697.32</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5,116,236.37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3,372,516.44</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-3,540,649.15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-408,085.57</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-570,994.28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-2,819,530.54</w:t>
            </w:r>
          </w:p>
        </w:tc>
      </w:tr>
      <w:tr>
        <w:trPr>
          <w:trHeight w:val="329"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-214,781,225.53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-171,181,276.03</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-67,406,172.50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-196,372,460.31</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61,999,971.63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105,808,024.54</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14,815,961.08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40,834,049.30</w:t>
            </w:r>
          </w:p>
        </w:tc>
      </w:tr>
      <w:tr>
        <w:trPr>
          <w:trHeight w:val="329"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107,373,057.80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20,918,234.92</w:t>
            </w:r>
          </w:p>
        </w:tc>
      </w:tr>
      <w:tr>
        <w:trPr>
          <w:trHeight w:val="327"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136" w:type="dxa"/>
            <w:tcBorders>
              <w:top w:val="single" w:sz="6" w:space="0" w:color="000000"/>
              <w:left w:val="single" w:sz="4"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36" w:type="dxa"/>
            <w:tcBorders>
              <w:top w:val="single" w:sz="6" w:space="0" w:color="000000"/>
              <w:left w:val="single" w:sz="4"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897"/>
        <w:gridCol w:w="2136"/>
        <w:gridCol w:w="2017"/>
      </w:tblGrid>
      <w:tr>
        <w:trPr>
          <w:trHeight w:val="329"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36" w:type="dxa"/>
            <w:tcBorders>
              <w:top w:val="single" w:sz="6" w:space="0" w:color="000000"/>
              <w:left w:val="single" w:sz="4"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36" w:type="dxa"/>
            <w:tcBorders>
              <w:top w:val="single" w:sz="6" w:space="0" w:color="000000"/>
              <w:left w:val="single" w:sz="4"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136" w:type="dxa"/>
            <w:tcBorders>
              <w:top w:val="single" w:sz="6" w:space="0" w:color="000000"/>
              <w:left w:val="single" w:sz="4"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1,522,660,915.88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557,789,174.17</w:t>
            </w:r>
          </w:p>
        </w:tc>
      </w:tr>
      <w:tr>
        <w:trPr>
          <w:trHeight w:val="329"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557,789,174.17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486,927,593.31</w:t>
            </w: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36" w:type="dxa"/>
            <w:tcBorders>
              <w:top w:val="single" w:sz="6" w:space="0" w:color="000000"/>
              <w:left w:val="single" w:sz="4"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36" w:type="dxa"/>
            <w:tcBorders>
              <w:top w:val="single" w:sz="6" w:space="0" w:color="000000"/>
              <w:left w:val="single" w:sz="4"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3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964,871,741.71</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70,861,580.86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62"/>
        </w:rPr>
        <w:t> </w:t>
      </w:r>
      <w:r>
        <w:rPr/>
        <w:t>本期支付的取得子公司的现金净额</w:t>
      </w:r>
      <w:r>
        <w:rPr>
          <w:b w:val="0"/>
          <w:bCs w:val="0"/>
        </w:rPr>
      </w:r>
    </w:p>
    <w:p>
      <w:pPr>
        <w:pStyle w:val="BodyText"/>
        <w:spacing w:line="240" w:lineRule="auto" w:before="85"/>
        <w:ind w:right="-18"/>
        <w:jc w:val="left"/>
      </w:pPr>
      <w:r>
        <w:rPr/>
        <w:t>□适用</w:t>
      </w:r>
      <w:r>
        <w:rPr>
          <w:spacing w:val="-1"/>
        </w:rPr>
        <w:t> </w:t>
      </w:r>
      <w:r>
        <w:rPr/>
        <w:t>√不适用</w:t>
      </w:r>
    </w:p>
    <w:p>
      <w:pPr>
        <w:pStyle w:val="Heading2"/>
        <w:spacing w:line="240" w:lineRule="auto" w:before="69"/>
        <w:ind w:right="-18"/>
        <w:jc w:val="left"/>
        <w:rPr>
          <w:b w:val="0"/>
          <w:bCs w:val="0"/>
        </w:rPr>
      </w:pPr>
      <w:r>
        <w:rPr>
          <w:rFonts w:ascii="宋体" w:hAnsi="宋体" w:cs="宋体" w:eastAsia="宋体" w:hint="default"/>
        </w:rPr>
        <w:t>(3)</w:t>
      </w:r>
      <w:r>
        <w:rPr>
          <w:rFonts w:ascii="宋体" w:hAnsi="宋体" w:cs="宋体" w:eastAsia="宋体" w:hint="default"/>
          <w:spacing w:val="-62"/>
        </w:rPr>
        <w:t> </w:t>
      </w:r>
      <w:r>
        <w:rPr/>
        <w:t>本期收到的处置子公司的现金净额</w:t>
      </w:r>
      <w:r>
        <w:rPr>
          <w:b w:val="0"/>
          <w:bCs w:val="0"/>
        </w:rPr>
      </w:r>
    </w:p>
    <w:p>
      <w:pPr>
        <w:pStyle w:val="BodyText"/>
        <w:spacing w:line="240" w:lineRule="auto" w:before="85"/>
        <w:ind w:right="-18"/>
        <w:jc w:val="left"/>
      </w:pPr>
      <w:r>
        <w:rPr/>
        <w:t>□适用</w:t>
      </w:r>
      <w:r>
        <w:rPr>
          <w:spacing w:val="-1"/>
        </w:rPr>
        <w:t> </w:t>
      </w:r>
      <w:r>
        <w:rPr/>
        <w:t>√不适用</w:t>
      </w:r>
    </w:p>
    <w:p>
      <w:pPr>
        <w:pStyle w:val="Heading2"/>
        <w:spacing w:line="240" w:lineRule="auto" w:before="69"/>
        <w:ind w:right="-18"/>
        <w:jc w:val="left"/>
        <w:rPr>
          <w:b w:val="0"/>
          <w:bCs w:val="0"/>
        </w:rPr>
      </w:pPr>
      <w:r>
        <w:rPr>
          <w:rFonts w:ascii="宋体" w:hAnsi="宋体" w:cs="宋体" w:eastAsia="宋体" w:hint="default"/>
        </w:rPr>
        <w:t>(4)</w:t>
      </w:r>
      <w:r>
        <w:rPr>
          <w:rFonts w:ascii="宋体" w:hAnsi="宋体" w:cs="宋体" w:eastAsia="宋体" w:hint="default"/>
          <w:spacing w:val="-62"/>
        </w:rPr>
        <w:t> </w:t>
      </w:r>
      <w:r>
        <w:rPr/>
        <w:t>现金和现金等价物的构成</w:t>
      </w:r>
      <w:r>
        <w:rPr>
          <w:b w:val="0"/>
          <w:bCs w:val="0"/>
        </w:rPr>
      </w:r>
    </w:p>
    <w:p>
      <w:pPr>
        <w:pStyle w:val="BodyText"/>
        <w:spacing w:line="240" w:lineRule="auto" w:before="8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57" w:space="226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468"/>
        <w:gridCol w:w="1897"/>
        <w:gridCol w:w="1685"/>
      </w:tblGrid>
      <w:tr>
        <w:trPr>
          <w:trHeight w:val="322"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7"/>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1,522,660,915.88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557,789,174.17</w:t>
            </w:r>
          </w:p>
        </w:tc>
      </w:tr>
      <w:tr>
        <w:trPr>
          <w:trHeight w:val="322"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464,815.37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419,222.59</w:t>
            </w:r>
          </w:p>
        </w:tc>
      </w:tr>
      <w:tr>
        <w:trPr>
          <w:trHeight w:val="322"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1,522,162,823.57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557,336,239.60</w:t>
            </w:r>
          </w:p>
        </w:tc>
      </w:tr>
      <w:tr>
        <w:trPr>
          <w:trHeight w:val="322"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33,276.94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33,711.98</w:t>
            </w:r>
          </w:p>
        </w:tc>
      </w:tr>
      <w:tr>
        <w:trPr>
          <w:trHeight w:val="324"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1,522,660,915.88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557,789,174.17</w:t>
            </w:r>
          </w:p>
        </w:tc>
      </w:tr>
      <w:tr>
        <w:trPr>
          <w:trHeight w:val="634"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其中：母公司或集团内子公司使用受限制的现金和现金等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价物</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7"/>
        <w:ind w:right="0"/>
        <w:jc w:val="both"/>
      </w:pPr>
      <w:r>
        <w:rPr/>
        <w:t>其他说明：</w:t>
      </w:r>
    </w:p>
    <w:p>
      <w:pPr>
        <w:pStyle w:val="BodyText"/>
        <w:spacing w:line="345" w:lineRule="auto" w:before="97"/>
        <w:ind w:left="638" w:right="215" w:hanging="420"/>
        <w:jc w:val="left"/>
      </w:pPr>
      <w:r>
        <w:rPr/>
        <w:t>√适用</w:t>
      </w:r>
      <w:r>
        <w:rPr>
          <w:spacing w:val="-2"/>
        </w:rPr>
        <w:t> </w:t>
      </w:r>
      <w:r>
        <w:rPr/>
        <w:t>□不适用</w:t>
      </w:r>
      <w:r>
        <w:rPr>
          <w:w w:val="100"/>
        </w:rPr>
        <w:t> </w:t>
      </w:r>
      <w:r>
        <w:rPr>
          <w:spacing w:val="-2"/>
        </w:rPr>
        <w:t>现金流量表中反映的现金期初余额、期末余额较资产负债表中货币资金的期初数、期末数分</w:t>
      </w:r>
    </w:p>
    <w:p>
      <w:pPr>
        <w:pStyle w:val="BodyText"/>
        <w:spacing w:line="314" w:lineRule="auto"/>
        <w:ind w:right="237"/>
        <w:jc w:val="both"/>
      </w:pPr>
      <w:r>
        <w:rPr/>
        <w:t>别少</w:t>
      </w:r>
      <w:r>
        <w:rPr>
          <w:spacing w:val="-53"/>
        </w:rPr>
        <w:t> </w:t>
      </w:r>
      <w:r>
        <w:rPr>
          <w:rFonts w:ascii="宋体" w:hAnsi="宋体" w:cs="宋体" w:eastAsia="宋体" w:hint="default"/>
        </w:rPr>
        <w:t>47,075,971.05</w:t>
      </w:r>
      <w:r>
        <w:rPr>
          <w:rFonts w:ascii="宋体" w:hAnsi="宋体" w:cs="宋体" w:eastAsia="宋体" w:hint="default"/>
          <w:spacing w:val="-55"/>
        </w:rPr>
        <w:t> </w:t>
      </w:r>
      <w:r>
        <w:rPr/>
        <w:t>元和</w:t>
      </w:r>
      <w:r>
        <w:rPr>
          <w:spacing w:val="-54"/>
        </w:rPr>
        <w:t> </w:t>
      </w:r>
      <w:r>
        <w:rPr>
          <w:rFonts w:ascii="宋体" w:hAnsi="宋体" w:cs="宋体" w:eastAsia="宋体" w:hint="default"/>
        </w:rPr>
        <w:t>34,209,082.26</w:t>
      </w:r>
      <w:r>
        <w:rPr>
          <w:rFonts w:ascii="宋体" w:hAnsi="宋体" w:cs="宋体" w:eastAsia="宋体" w:hint="default"/>
          <w:spacing w:val="-55"/>
        </w:rPr>
        <w:t> </w:t>
      </w:r>
      <w:r>
        <w:rPr/>
        <w:t>元，系资产负债表中货币资金含保函保证金、履约保证</w:t>
      </w:r>
      <w:r>
        <w:rPr>
          <w:w w:val="100"/>
        </w:rPr>
        <w:t> </w:t>
      </w:r>
      <w:r>
        <w:rPr>
          <w:spacing w:val="-2"/>
        </w:rPr>
        <w:t>金和银行承兑汇票保证金、冻结银行存款等，在编制现金流量表时将其从期初和期末现金及现金</w:t>
      </w:r>
      <w:r>
        <w:rPr>
          <w:spacing w:val="-26"/>
        </w:rPr>
        <w:t> </w:t>
      </w:r>
      <w:r>
        <w:rPr>
          <w:spacing w:val="-26"/>
        </w:rPr>
      </w:r>
      <w:r>
        <w:rPr/>
        <w:t>等价物中剔除。</w:t>
      </w:r>
    </w:p>
    <w:p>
      <w:pPr>
        <w:pStyle w:val="Heading2"/>
        <w:spacing w:line="240" w:lineRule="auto"/>
        <w:ind w:right="0"/>
        <w:jc w:val="both"/>
        <w:rPr>
          <w:b w:val="0"/>
          <w:bCs w:val="0"/>
        </w:rPr>
      </w:pPr>
      <w:r>
        <w:rPr>
          <w:rFonts w:ascii="宋体" w:hAnsi="宋体" w:cs="宋体" w:eastAsia="宋体" w:hint="default"/>
        </w:rPr>
        <w:t>75</w:t>
      </w:r>
      <w:r>
        <w:rPr/>
        <w:t>、</w:t>
      </w:r>
      <w:r>
        <w:rPr>
          <w:spacing w:val="-104"/>
        </w:rPr>
        <w:t> </w:t>
      </w:r>
      <w:r>
        <w:rPr/>
        <w:t>所有者权益变动表项目注释</w:t>
      </w:r>
      <w:r>
        <w:rPr>
          <w:b w:val="0"/>
          <w:bCs w:val="0"/>
        </w:rPr>
      </w:r>
    </w:p>
    <w:p>
      <w:pPr>
        <w:pStyle w:val="BodyText"/>
        <w:spacing w:line="240" w:lineRule="auto" w:before="85"/>
        <w:ind w:right="0"/>
        <w:jc w:val="both"/>
      </w:pPr>
      <w:r>
        <w:rPr/>
        <w:t>说明对上年期末余额进行调整的“其他”项目名称及调整金额等事项：</w:t>
      </w:r>
    </w:p>
    <w:p>
      <w:pPr>
        <w:pStyle w:val="BodyText"/>
        <w:spacing w:line="240" w:lineRule="auto" w:before="37"/>
        <w:ind w:right="0"/>
        <w:jc w:val="both"/>
      </w:pPr>
      <w:r>
        <w:rPr/>
        <w:t>□适用</w:t>
      </w:r>
      <w:r>
        <w:rPr>
          <w:spacing w:val="-1"/>
        </w:rPr>
        <w:t> </w:t>
      </w:r>
      <w:r>
        <w:rPr/>
        <w:t>√不适用</w:t>
      </w:r>
    </w:p>
    <w:p>
      <w:pPr>
        <w:pStyle w:val="Heading2"/>
        <w:spacing w:line="240" w:lineRule="auto" w:before="69"/>
        <w:ind w:right="0"/>
        <w:jc w:val="both"/>
        <w:rPr>
          <w:b w:val="0"/>
          <w:bCs w:val="0"/>
        </w:rPr>
      </w:pPr>
      <w:r>
        <w:rPr>
          <w:rFonts w:ascii="宋体" w:hAnsi="宋体" w:cs="宋体" w:eastAsia="宋体" w:hint="default"/>
        </w:rPr>
        <w:t>76</w:t>
      </w:r>
      <w:r>
        <w:rPr/>
        <w:t>、</w:t>
      </w:r>
      <w:r>
        <w:rPr>
          <w:spacing w:val="-103"/>
        </w:rPr>
        <w:t> </w:t>
      </w:r>
      <w:r>
        <w:rPr/>
        <w:t>所有权或使用权受到限制的资产</w:t>
      </w:r>
      <w:r>
        <w:rPr>
          <w:b w:val="0"/>
          <w:bCs w:val="0"/>
        </w:rPr>
      </w:r>
    </w:p>
    <w:p>
      <w:pPr>
        <w:pStyle w:val="Heading3"/>
        <w:spacing w:line="240" w:lineRule="auto" w:before="58"/>
        <w:ind w:right="0"/>
        <w:jc w:val="both"/>
      </w:pPr>
      <w:r>
        <w:rPr/>
        <w:t>√适用</w:t>
      </w:r>
      <w:r>
        <w:rPr>
          <w:spacing w:val="119"/>
        </w:rPr>
        <w:t> </w:t>
      </w:r>
      <w:r>
        <w:rPr/>
        <w:t>□不适用</w:t>
      </w:r>
    </w:p>
    <w:p>
      <w:pPr>
        <w:pStyle w:val="Heading3"/>
        <w:tabs>
          <w:tab w:pos="1200" w:val="left" w:leader="none"/>
        </w:tabs>
        <w:spacing w:line="312"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58"/>
        <w:gridCol w:w="2693"/>
        <w:gridCol w:w="4045"/>
      </w:tblGrid>
      <w:tr>
        <w:trPr>
          <w:trHeight w:val="32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受限原因</w:t>
            </w:r>
          </w:p>
        </w:tc>
      </w:tr>
    </w:tbl>
    <w:p>
      <w:pPr>
        <w:spacing w:after="0" w:line="262"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158"/>
        <w:gridCol w:w="2693"/>
        <w:gridCol w:w="4045"/>
      </w:tblGrid>
      <w:tr>
        <w:trPr>
          <w:trHeight w:val="32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34,209,082.26</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保证金及已经冻结的银行存款</w:t>
            </w:r>
          </w:p>
        </w:tc>
      </w:tr>
      <w:tr>
        <w:trPr>
          <w:trHeight w:val="32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693" w:type="dxa"/>
            <w:tcBorders>
              <w:top w:val="single" w:sz="4" w:space="0" w:color="000000"/>
              <w:left w:val="single" w:sz="4" w:space="0" w:color="000000"/>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693" w:type="dxa"/>
            <w:tcBorders>
              <w:top w:val="single" w:sz="4" w:space="0" w:color="000000"/>
              <w:left w:val="single" w:sz="4" w:space="0" w:color="000000"/>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52,144,727.77</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用于抵押借款的房屋及建筑物</w:t>
            </w:r>
          </w:p>
        </w:tc>
      </w:tr>
      <w:tr>
        <w:trPr>
          <w:trHeight w:val="324" w:hRule="exact"/>
        </w:trPr>
        <w:tc>
          <w:tcPr>
            <w:tcW w:w="2158"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3,466,600.04</w:t>
            </w:r>
          </w:p>
        </w:tc>
        <w:tc>
          <w:tcPr>
            <w:tcW w:w="4045"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用于抵押借款的土地使用权</w:t>
            </w:r>
          </w:p>
        </w:tc>
      </w:tr>
      <w:tr>
        <w:trPr>
          <w:trHeight w:val="326"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360,000,000.00</w:t>
            </w:r>
          </w:p>
        </w:tc>
        <w:tc>
          <w:tcPr>
            <w:tcW w:w="404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用于质押借款的对子公司联龙博通的股权</w:t>
            </w:r>
          </w:p>
        </w:tc>
      </w:tr>
      <w:tr>
        <w:trPr>
          <w:trHeight w:val="329" w:hRule="exact"/>
        </w:trPr>
        <w:tc>
          <w:tcPr>
            <w:tcW w:w="2158" w:type="dxa"/>
            <w:tcBorders>
              <w:top w:val="single" w:sz="6" w:space="0" w:color="000000"/>
              <w:left w:val="single" w:sz="6" w:space="0" w:color="000000"/>
              <w:bottom w:val="single" w:sz="4"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404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449,820,410.07</w:t>
            </w:r>
          </w:p>
        </w:tc>
        <w:tc>
          <w:tcPr>
            <w:tcW w:w="4045"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w w:val="100"/>
                <w:sz w:val="21"/>
              </w:rPr>
              <w:t>/</w:t>
            </w:r>
          </w:p>
        </w:tc>
      </w:tr>
    </w:tbl>
    <w:p>
      <w:pPr>
        <w:pStyle w:val="Heading3"/>
        <w:spacing w:line="240" w:lineRule="auto" w:before="19"/>
        <w:ind w:left="158" w:right="0"/>
        <w:jc w:val="both"/>
      </w:pPr>
      <w:r>
        <w:rPr/>
        <w:t>其他说明：</w:t>
      </w:r>
    </w:p>
    <w:p>
      <w:pPr>
        <w:pStyle w:val="BodyText"/>
        <w:spacing w:line="240" w:lineRule="auto" w:before="109"/>
        <w:ind w:left="158" w:right="0"/>
        <w:jc w:val="both"/>
      </w:pPr>
      <w:r>
        <w:rPr/>
        <w:t>注</w:t>
      </w:r>
      <w:r>
        <w:rPr>
          <w:spacing w:val="-55"/>
        </w:rPr>
        <w:t> </w:t>
      </w:r>
      <w:r>
        <w:rPr>
          <w:rFonts w:ascii="宋体" w:hAnsi="宋体" w:cs="宋体" w:eastAsia="宋体" w:hint="default"/>
        </w:rPr>
        <w:t>1</w:t>
      </w:r>
      <w:r>
        <w:rPr/>
        <w:t>：受限制的货币资金为保证金及已经冻结的银行存款，详见附注七</w:t>
      </w:r>
      <w:r>
        <w:rPr>
          <w:rFonts w:ascii="宋体" w:hAnsi="宋体" w:cs="宋体" w:eastAsia="宋体" w:hint="default"/>
        </w:rPr>
        <w:t>-</w:t>
      </w:r>
      <w:r>
        <w:rPr/>
        <w:t>注释</w:t>
      </w:r>
      <w:r>
        <w:rPr>
          <w:spacing w:val="-55"/>
        </w:rPr>
        <w:t> </w:t>
      </w:r>
      <w:r>
        <w:rPr>
          <w:rFonts w:ascii="宋体" w:hAnsi="宋体" w:cs="宋体" w:eastAsia="宋体" w:hint="default"/>
        </w:rPr>
        <w:t>1</w:t>
      </w:r>
      <w:r>
        <w:rPr/>
        <w:t>。</w:t>
      </w:r>
    </w:p>
    <w:p>
      <w:pPr>
        <w:pStyle w:val="BodyText"/>
        <w:spacing w:line="314" w:lineRule="auto" w:before="85"/>
        <w:ind w:left="158" w:right="148"/>
        <w:jc w:val="both"/>
      </w:pPr>
      <w:r>
        <w:rPr/>
        <w:t>注</w:t>
      </w:r>
      <w:r>
        <w:rPr>
          <w:spacing w:val="-54"/>
        </w:rPr>
        <w:t> </w:t>
      </w:r>
      <w:r>
        <w:rPr>
          <w:rFonts w:ascii="宋体" w:hAnsi="宋体" w:cs="宋体" w:eastAsia="宋体" w:hint="default"/>
        </w:rPr>
        <w:t>2</w:t>
      </w:r>
      <w:r>
        <w:rPr/>
        <w:t>：根据本公司与招商银行股份有限公司签订的借款合同，授信金额为</w:t>
      </w:r>
      <w:r>
        <w:rPr>
          <w:spacing w:val="-54"/>
        </w:rPr>
        <w:t> </w:t>
      </w:r>
      <w:r>
        <w:rPr>
          <w:rFonts w:ascii="宋体" w:hAnsi="宋体" w:cs="宋体" w:eastAsia="宋体" w:hint="default"/>
        </w:rPr>
        <w:t>3</w:t>
      </w:r>
      <w:r>
        <w:rPr>
          <w:rFonts w:ascii="宋体" w:hAnsi="宋体" w:cs="宋体" w:eastAsia="宋体" w:hint="default"/>
          <w:spacing w:val="-56"/>
        </w:rPr>
        <w:t> </w:t>
      </w:r>
      <w:r>
        <w:rPr/>
        <w:t>亿元整，贷款只能用</w:t>
      </w:r>
      <w:r>
        <w:rPr>
          <w:w w:val="100"/>
        </w:rPr>
        <w:t> </w:t>
      </w:r>
      <w:r>
        <w:rPr>
          <w:spacing w:val="-2"/>
        </w:rPr>
        <w:t>于收购北京联龙博通电子商务技术有限公司的股权，担保方式为质押北京联龙博通电子商务技术</w:t>
      </w:r>
      <w:r>
        <w:rPr>
          <w:spacing w:val="-25"/>
        </w:rPr>
        <w:t> </w:t>
      </w:r>
      <w:r>
        <w:rPr>
          <w:spacing w:val="-25"/>
        </w:rPr>
      </w:r>
      <w:r>
        <w:rPr>
          <w:spacing w:val="-4"/>
        </w:rPr>
        <w:t>有限公司的股权及抵押金证科技大楼，截止</w:t>
      </w:r>
      <w:r>
        <w:rPr>
          <w:spacing w:val="-43"/>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日，尚未偿还招商银行股份有限公司</w:t>
      </w:r>
    </w:p>
    <w:p>
      <w:pPr>
        <w:pStyle w:val="BodyText"/>
        <w:spacing w:line="240" w:lineRule="auto" w:before="17"/>
        <w:ind w:left="158" w:right="0"/>
        <w:jc w:val="both"/>
        <w:rPr>
          <w:rFonts w:ascii="宋体" w:hAnsi="宋体" w:cs="宋体" w:eastAsia="宋体" w:hint="default"/>
        </w:rPr>
      </w:pPr>
      <w:r>
        <w:rPr/>
        <w:t>的借款金额为</w:t>
      </w:r>
      <w:r>
        <w:rPr>
          <w:spacing w:val="-43"/>
        </w:rPr>
        <w:t> </w:t>
      </w:r>
      <w:r>
        <w:rPr>
          <w:rFonts w:ascii="宋体" w:hAnsi="宋体" w:cs="宋体" w:eastAsia="宋体" w:hint="default"/>
        </w:rPr>
        <w:t>47,898,000.00</w:t>
      </w:r>
      <w:r>
        <w:rPr>
          <w:rFonts w:ascii="宋体" w:hAnsi="宋体" w:cs="宋体" w:eastAsia="宋体" w:hint="default"/>
          <w:spacing w:val="-41"/>
        </w:rPr>
        <w:t> </w:t>
      </w:r>
      <w:r>
        <w:rPr>
          <w:spacing w:val="-3"/>
        </w:rPr>
        <w:t>元。本公司质押北京联龙博通电子商务技术有限公司的股权于</w:t>
      </w:r>
      <w:r>
        <w:rPr>
          <w:spacing w:val="-43"/>
        </w:rPr>
        <w:t> </w:t>
      </w:r>
      <w:r>
        <w:rPr>
          <w:rFonts w:ascii="宋体" w:hAnsi="宋体" w:cs="宋体" w:eastAsia="宋体" w:hint="default"/>
        </w:rPr>
        <w:t>2018</w:t>
      </w:r>
    </w:p>
    <w:p>
      <w:pPr>
        <w:pStyle w:val="BodyText"/>
        <w:spacing w:line="240" w:lineRule="auto" w:before="85"/>
        <w:ind w:left="158" w:right="0"/>
        <w:jc w:val="both"/>
      </w:pP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日解除，本公司抵押金证科技大楼的产权于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日解除。</w:t>
      </w:r>
    </w:p>
    <w:p>
      <w:pPr>
        <w:spacing w:line="240" w:lineRule="auto" w:before="0"/>
        <w:rPr>
          <w:rFonts w:ascii="宋体" w:hAnsi="宋体" w:cs="宋体" w:eastAsia="宋体" w:hint="default"/>
          <w:sz w:val="20"/>
          <w:szCs w:val="20"/>
        </w:rPr>
      </w:pPr>
    </w:p>
    <w:p>
      <w:pPr>
        <w:pStyle w:val="Heading2"/>
        <w:spacing w:line="240" w:lineRule="auto" w:before="141"/>
        <w:ind w:left="158" w:right="0"/>
        <w:jc w:val="both"/>
        <w:rPr>
          <w:b w:val="0"/>
          <w:bCs w:val="0"/>
        </w:rPr>
      </w:pPr>
      <w:r>
        <w:rPr>
          <w:rFonts w:ascii="宋体" w:hAnsi="宋体" w:cs="宋体" w:eastAsia="宋体" w:hint="default"/>
        </w:rPr>
        <w:t>77</w:t>
      </w:r>
      <w:r>
        <w:rPr/>
        <w:t>、</w:t>
      </w:r>
      <w:r>
        <w:rPr>
          <w:spacing w:val="-103"/>
        </w:rPr>
        <w:t> </w:t>
      </w:r>
      <w:r>
        <w:rPr/>
        <w:t>外币货币性项目</w:t>
      </w:r>
      <w:r>
        <w:rPr>
          <w:b w:val="0"/>
          <w:bCs w:val="0"/>
        </w:rPr>
      </w:r>
    </w:p>
    <w:p>
      <w:pPr>
        <w:pStyle w:val="BodyText"/>
        <w:spacing w:line="240" w:lineRule="auto" w:before="85"/>
        <w:ind w:left="559" w:right="6865"/>
        <w:jc w:val="center"/>
        <w:rPr>
          <w:rFonts w:ascii="宋体" w:hAnsi="宋体" w:cs="宋体" w:eastAsia="宋体" w:hint="default"/>
        </w:rPr>
      </w:pPr>
      <w:r>
        <w:rPr/>
        <w:t>外币货币性项目</w:t>
      </w:r>
      <w:r>
        <w:rPr>
          <w:rFonts w:ascii="宋体" w:hAnsi="宋体" w:cs="宋体" w:eastAsia="宋体" w:hint="default"/>
          <w:b/>
          <w:bCs/>
        </w:rPr>
        <w:t>：</w:t>
      </w:r>
      <w:r>
        <w:rPr>
          <w:rFonts w:ascii="宋体" w:hAnsi="宋体" w:cs="宋体" w:eastAsia="宋体" w:hint="default"/>
        </w:rPr>
      </w:r>
    </w:p>
    <w:p>
      <w:pPr>
        <w:pStyle w:val="BodyText"/>
        <w:spacing w:line="326" w:lineRule="auto" w:before="97"/>
        <w:ind w:left="578" w:right="0" w:hanging="420"/>
        <w:jc w:val="left"/>
      </w:pPr>
      <w:r>
        <w:rPr/>
        <w:t>□适用</w:t>
      </w:r>
      <w:r>
        <w:rPr>
          <w:spacing w:val="-2"/>
        </w:rPr>
        <w:t> </w:t>
      </w:r>
      <w:r>
        <w:rPr/>
        <w:t>√不适用</w:t>
      </w:r>
      <w:r>
        <w:rPr>
          <w:w w:val="100"/>
        </w:rPr>
        <w:t> </w:t>
      </w:r>
      <w:r>
        <w:rPr>
          <w:spacing w:val="-2"/>
        </w:rPr>
        <w:t>境外经营实体说明，包括对于重要的境外经营实体，应披露其境外主要经营地、记账本位币</w:t>
      </w:r>
    </w:p>
    <w:p>
      <w:pPr>
        <w:pStyle w:val="BodyText"/>
        <w:spacing w:line="236" w:lineRule="exact"/>
        <w:ind w:left="158" w:right="0"/>
        <w:jc w:val="both"/>
      </w:pPr>
      <w:r>
        <w:rPr/>
        <w:t>及选择依据，记账本位币发生变化的还应披露原因。</w:t>
      </w:r>
    </w:p>
    <w:p>
      <w:pPr>
        <w:pStyle w:val="BodyText"/>
        <w:spacing w:line="240" w:lineRule="auto" w:before="97"/>
        <w:ind w:left="158" w:right="0"/>
        <w:jc w:val="both"/>
      </w:pPr>
      <w:r>
        <w:rPr/>
        <w:t>□适用</w:t>
      </w:r>
      <w:r>
        <w:rPr>
          <w:spacing w:val="-1"/>
        </w:rPr>
        <w:t> </w:t>
      </w:r>
      <w:r>
        <w:rPr/>
        <w:t>√不适用</w:t>
      </w:r>
    </w:p>
    <w:p>
      <w:pPr>
        <w:pStyle w:val="Heading2"/>
        <w:spacing w:line="240" w:lineRule="auto" w:before="69"/>
        <w:ind w:left="158" w:right="0"/>
        <w:jc w:val="both"/>
        <w:rPr>
          <w:b w:val="0"/>
          <w:bCs w:val="0"/>
        </w:rPr>
      </w:pPr>
      <w:r>
        <w:rPr>
          <w:rFonts w:ascii="宋体" w:hAnsi="宋体" w:cs="宋体" w:eastAsia="宋体" w:hint="default"/>
        </w:rPr>
        <w:t>78</w:t>
      </w:r>
      <w:r>
        <w:rPr/>
        <w:t>、</w:t>
      </w:r>
      <w:r>
        <w:rPr>
          <w:spacing w:val="-100"/>
        </w:rPr>
        <w:t> </w:t>
      </w:r>
      <w:r>
        <w:rPr/>
        <w:t>套期</w:t>
      </w:r>
      <w:r>
        <w:rPr>
          <w:b w:val="0"/>
          <w:bCs w:val="0"/>
        </w:rPr>
      </w:r>
    </w:p>
    <w:p>
      <w:pPr>
        <w:pStyle w:val="BodyText"/>
        <w:spacing w:line="240" w:lineRule="auto" w:before="85"/>
        <w:ind w:left="158" w:right="0"/>
        <w:jc w:val="both"/>
      </w:pPr>
      <w:r>
        <w:rPr/>
        <w:t>□适用</w:t>
      </w:r>
      <w:r>
        <w:rPr>
          <w:spacing w:val="-1"/>
        </w:rPr>
        <w:t> </w:t>
      </w:r>
      <w:r>
        <w:rPr/>
        <w:t>√不适用</w:t>
      </w:r>
    </w:p>
    <w:p>
      <w:pPr>
        <w:pStyle w:val="Heading2"/>
        <w:spacing w:line="240" w:lineRule="auto" w:before="69"/>
        <w:ind w:left="158" w:right="0"/>
        <w:jc w:val="both"/>
        <w:rPr>
          <w:b w:val="0"/>
          <w:bCs w:val="0"/>
        </w:rPr>
      </w:pPr>
      <w:r>
        <w:rPr>
          <w:rFonts w:ascii="宋体" w:hAnsi="宋体" w:cs="宋体" w:eastAsia="宋体" w:hint="default"/>
        </w:rPr>
        <w:t>79</w:t>
      </w:r>
      <w:r>
        <w:rPr/>
        <w:t>、</w:t>
      </w:r>
      <w:r>
        <w:rPr>
          <w:spacing w:val="-100"/>
        </w:rPr>
        <w:t> </w:t>
      </w:r>
      <w:r>
        <w:rPr/>
        <w:t>政府补助</w:t>
      </w:r>
      <w:r>
        <w:rPr>
          <w:b w:val="0"/>
          <w:bCs w:val="0"/>
        </w:rPr>
      </w:r>
    </w:p>
    <w:p>
      <w:pPr>
        <w:pStyle w:val="Heading2"/>
        <w:spacing w:line="240" w:lineRule="auto" w:before="58"/>
        <w:ind w:left="158" w:right="0"/>
        <w:jc w:val="both"/>
        <w:rPr>
          <w:b w:val="0"/>
          <w:bCs w:val="0"/>
        </w:rPr>
      </w:pPr>
      <w:r>
        <w:rPr>
          <w:rFonts w:ascii="宋体" w:hAnsi="宋体" w:cs="宋体" w:eastAsia="宋体" w:hint="default"/>
        </w:rPr>
        <w:t>1.</w:t>
      </w:r>
      <w:r>
        <w:rPr>
          <w:rFonts w:ascii="宋体" w:hAnsi="宋体" w:cs="宋体" w:eastAsia="宋体" w:hint="default"/>
          <w:spacing w:val="59"/>
        </w:rPr>
        <w:t> </w:t>
      </w:r>
      <w:r>
        <w:rPr/>
        <w:t>政府补助基本情况</w:t>
      </w:r>
      <w:r>
        <w:rPr>
          <w:b w:val="0"/>
          <w:bCs w:val="0"/>
        </w:rPr>
      </w:r>
    </w:p>
    <w:p>
      <w:pPr>
        <w:pStyle w:val="BodyText"/>
        <w:spacing w:line="240" w:lineRule="auto" w:before="85"/>
        <w:ind w:left="158" w:right="0"/>
        <w:jc w:val="both"/>
      </w:pPr>
      <w:r>
        <w:rPr/>
        <w:t>□适用</w:t>
      </w:r>
      <w:r>
        <w:rPr>
          <w:spacing w:val="104"/>
        </w:rPr>
        <w:t> </w:t>
      </w:r>
      <w:r>
        <w:rPr/>
        <w:t>√不适用</w:t>
      </w:r>
    </w:p>
    <w:p>
      <w:pPr>
        <w:pStyle w:val="Heading2"/>
        <w:spacing w:line="240" w:lineRule="auto" w:before="69"/>
        <w:ind w:left="158" w:right="0"/>
        <w:jc w:val="both"/>
        <w:rPr>
          <w:b w:val="0"/>
          <w:bCs w:val="0"/>
        </w:rPr>
      </w:pPr>
      <w:r>
        <w:rPr>
          <w:rFonts w:ascii="宋体" w:hAnsi="宋体" w:cs="宋体" w:eastAsia="宋体" w:hint="default"/>
        </w:rPr>
        <w:t>2.</w:t>
      </w:r>
      <w:r>
        <w:rPr>
          <w:rFonts w:ascii="宋体" w:hAnsi="宋体" w:cs="宋体" w:eastAsia="宋体" w:hint="default"/>
          <w:spacing w:val="59"/>
        </w:rPr>
        <w:t> </w:t>
      </w:r>
      <w:r>
        <w:rPr/>
        <w:t>政府补助退回情况</w:t>
      </w:r>
      <w:r>
        <w:rPr>
          <w:b w:val="0"/>
          <w:bCs w:val="0"/>
        </w:rPr>
      </w:r>
    </w:p>
    <w:p>
      <w:pPr>
        <w:pStyle w:val="BodyText"/>
        <w:spacing w:line="240" w:lineRule="auto" w:before="86"/>
        <w:ind w:left="158" w:right="0"/>
        <w:jc w:val="both"/>
      </w:pPr>
      <w:r>
        <w:rPr/>
        <w:t>□适用</w:t>
      </w:r>
      <w:r>
        <w:rPr>
          <w:spacing w:val="8"/>
        </w:rPr>
        <w:t> </w:t>
      </w:r>
      <w:r>
        <w:rPr>
          <w:spacing w:val="-3"/>
        </w:rPr>
        <w:t>√不适用</w:t>
      </w:r>
      <w:r>
        <w:rPr/>
      </w:r>
    </w:p>
    <w:p>
      <w:pPr>
        <w:pStyle w:val="Heading2"/>
        <w:spacing w:line="240" w:lineRule="auto" w:before="69"/>
        <w:ind w:left="158" w:right="0"/>
        <w:jc w:val="both"/>
        <w:rPr>
          <w:b w:val="0"/>
          <w:bCs w:val="0"/>
        </w:rPr>
      </w:pPr>
      <w:r>
        <w:rPr>
          <w:rFonts w:ascii="宋体" w:hAnsi="宋体" w:cs="宋体" w:eastAsia="宋体" w:hint="default"/>
        </w:rPr>
        <w:t>80</w:t>
      </w:r>
      <w:r>
        <w:rPr/>
        <w:t>、</w:t>
      </w:r>
      <w:r>
        <w:rPr>
          <w:spacing w:val="-100"/>
        </w:rPr>
        <w:t> </w:t>
      </w:r>
      <w:r>
        <w:rPr/>
        <w:t>其他</w:t>
      </w:r>
      <w:r>
        <w:rPr>
          <w:b w:val="0"/>
          <w:bCs w:val="0"/>
        </w:rPr>
      </w:r>
    </w:p>
    <w:p>
      <w:pPr>
        <w:pStyle w:val="BodyText"/>
        <w:spacing w:line="240" w:lineRule="auto" w:before="85"/>
        <w:ind w:left="158" w:right="0"/>
        <w:jc w:val="both"/>
      </w:pPr>
      <w:r>
        <w:rPr/>
        <w:t>□适用</w:t>
      </w:r>
      <w:r>
        <w:rPr>
          <w:spacing w:val="-1"/>
        </w:rPr>
        <w:t> </w:t>
      </w:r>
      <w:r>
        <w:rPr/>
        <w:t>√不适用</w:t>
      </w:r>
    </w:p>
    <w:p>
      <w:pPr>
        <w:pStyle w:val="Heading2"/>
        <w:tabs>
          <w:tab w:pos="997" w:val="left" w:leader="none"/>
        </w:tabs>
        <w:spacing w:line="283" w:lineRule="auto" w:before="69"/>
        <w:ind w:left="158" w:right="6157"/>
        <w:jc w:val="left"/>
        <w:rPr>
          <w:b w:val="0"/>
          <w:bCs w:val="0"/>
        </w:rPr>
      </w:pPr>
      <w:r>
        <w:rPr/>
        <w:t>八、</w:t>
        <w:tab/>
        <w:t>合并范围的变更</w:t>
      </w:r>
      <w:r>
        <w:rPr>
          <w:w w:val="99"/>
        </w:rPr>
        <w:t> </w:t>
      </w:r>
      <w:r>
        <w:rPr>
          <w:rFonts w:ascii="宋体" w:hAnsi="宋体" w:cs="宋体" w:eastAsia="宋体" w:hint="default"/>
        </w:rPr>
        <w:t>1</w:t>
      </w:r>
      <w:r>
        <w:rPr/>
        <w:t>、</w:t>
      </w:r>
      <w:r>
        <w:rPr>
          <w:spacing w:val="-66"/>
        </w:rPr>
        <w:t> </w:t>
      </w:r>
      <w:r>
        <w:rPr/>
        <w:t>非同一控制下企业合并</w:t>
      </w:r>
      <w:r>
        <w:rPr>
          <w:b w:val="0"/>
          <w:bCs w:val="0"/>
        </w:rPr>
      </w:r>
    </w:p>
    <w:p>
      <w:pPr>
        <w:pStyle w:val="BodyText"/>
        <w:spacing w:line="240" w:lineRule="auto" w:before="42"/>
        <w:ind w:left="158" w:right="0"/>
        <w:jc w:val="both"/>
      </w:pPr>
      <w:r>
        <w:rPr/>
        <w:t>√适用</w:t>
      </w:r>
      <w:r>
        <w:rPr>
          <w:spacing w:val="-1"/>
        </w:rPr>
        <w:t> </w:t>
      </w:r>
      <w:r>
        <w:rPr/>
        <w:t>□不适用</w:t>
      </w:r>
    </w:p>
    <w:p>
      <w:pPr>
        <w:pStyle w:val="Heading4"/>
        <w:spacing w:line="240" w:lineRule="auto" w:before="97"/>
        <w:ind w:left="158" w:right="0"/>
        <w:jc w:val="both"/>
        <w:rPr>
          <w:b w:val="0"/>
          <w:bCs w:val="0"/>
        </w:rPr>
      </w:pPr>
      <w:r>
        <w:rPr>
          <w:rFonts w:ascii="宋体" w:hAnsi="宋体" w:cs="宋体" w:eastAsia="宋体" w:hint="default"/>
        </w:rPr>
        <w:t>(1). </w:t>
      </w:r>
      <w:r>
        <w:rPr>
          <w:rFonts w:ascii="宋体" w:hAnsi="宋体" w:cs="宋体" w:eastAsia="宋体" w:hint="default"/>
          <w:spacing w:val="21"/>
        </w:rPr>
        <w:t> </w:t>
      </w:r>
      <w:r>
        <w:rPr/>
        <w:t>本期发生的非同一控制下企业合并</w:t>
      </w:r>
      <w:r>
        <w:rPr>
          <w:b w:val="0"/>
          <w:bCs w:val="0"/>
        </w:rPr>
      </w:r>
    </w:p>
    <w:p>
      <w:pPr>
        <w:pStyle w:val="BodyText"/>
        <w:spacing w:line="240" w:lineRule="auto" w:before="97"/>
        <w:ind w:left="158" w:right="0"/>
        <w:jc w:val="both"/>
      </w:pPr>
      <w:r>
        <w:rPr/>
        <w:t>√适用</w:t>
      </w:r>
      <w:r>
        <w:rPr>
          <w:spacing w:val="-1"/>
        </w:rPr>
        <w:t> </w:t>
      </w:r>
      <w:r>
        <w:rPr/>
        <w:t>□不适用</w:t>
      </w:r>
    </w:p>
    <w:p>
      <w:pPr>
        <w:pStyle w:val="BodyText"/>
        <w:tabs>
          <w:tab w:pos="1051" w:val="left" w:leader="none"/>
        </w:tabs>
        <w:spacing w:line="240" w:lineRule="auto" w:before="37"/>
        <w:ind w:left="0" w:right="150"/>
        <w:jc w:val="right"/>
      </w:pPr>
      <w:r>
        <w:rPr>
          <w:spacing w:val="-1"/>
        </w:rPr>
        <w:t>单位：元</w:t>
        <w:tab/>
      </w:r>
      <w:r>
        <w:rPr>
          <w:spacing w:val="-2"/>
        </w:rPr>
        <w:t>币种：人民币</w:t>
      </w:r>
    </w:p>
    <w:p>
      <w:pPr>
        <w:spacing w:after="0" w:line="240" w:lineRule="auto"/>
        <w:jc w:val="right"/>
        <w:sectPr>
          <w:pgSz w:w="11910" w:h="16840"/>
          <w:pgMar w:header="882" w:footer="1195"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78"/>
        <w:gridCol w:w="1064"/>
        <w:gridCol w:w="1339"/>
        <w:gridCol w:w="742"/>
        <w:gridCol w:w="845"/>
        <w:gridCol w:w="1130"/>
        <w:gridCol w:w="987"/>
        <w:gridCol w:w="720"/>
        <w:gridCol w:w="845"/>
      </w:tblGrid>
      <w:tr>
        <w:trPr>
          <w:trHeight w:val="219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3" w:lineRule="auto"/>
              <w:ind w:left="578" w:right="153" w:hanging="420"/>
              <w:jc w:val="left"/>
              <w:rPr>
                <w:rFonts w:ascii="宋体" w:hAnsi="宋体" w:cs="宋体" w:eastAsia="宋体" w:hint="default"/>
                <w:sz w:val="21"/>
                <w:szCs w:val="21"/>
              </w:rPr>
            </w:pPr>
            <w:r>
              <w:rPr>
                <w:rFonts w:ascii="宋体" w:hAnsi="宋体" w:cs="宋体" w:eastAsia="宋体" w:hint="default"/>
                <w:sz w:val="21"/>
                <w:szCs w:val="21"/>
              </w:rPr>
              <w:t>被购买方名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3" w:lineRule="auto"/>
              <w:ind w:left="314" w:right="106"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3" w:lineRule="auto"/>
              <w:ind w:left="556" w:right="137" w:hanging="420"/>
              <w:jc w:val="left"/>
              <w:rPr>
                <w:rFonts w:ascii="宋体" w:hAnsi="宋体" w:cs="宋体" w:eastAsia="宋体" w:hint="default"/>
                <w:sz w:val="21"/>
                <w:szCs w:val="21"/>
              </w:rPr>
            </w:pPr>
            <w:r>
              <w:rPr>
                <w:rFonts w:ascii="宋体" w:hAnsi="宋体" w:cs="宋体" w:eastAsia="宋体" w:hint="default"/>
                <w:sz w:val="21"/>
                <w:szCs w:val="21"/>
              </w:rPr>
              <w:t>股权取得成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73" w:lineRule="auto"/>
              <w:ind w:left="155" w:right="151"/>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得方式</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4"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72" w:right="170"/>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3" w:right="143"/>
              <w:jc w:val="both"/>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日至</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被购</w:t>
            </w:r>
            <w:r>
              <w:rPr>
                <w:rFonts w:ascii="宋体" w:hAnsi="宋体" w:cs="宋体" w:eastAsia="宋体" w:hint="default"/>
                <w:spacing w:val="-103"/>
                <w:sz w:val="21"/>
                <w:szCs w:val="21"/>
              </w:rPr>
              <w:t> </w:t>
            </w:r>
            <w:r>
              <w:rPr>
                <w:rFonts w:ascii="宋体" w:hAnsi="宋体" w:cs="宋体" w:eastAsia="宋体" w:hint="default"/>
                <w:sz w:val="21"/>
                <w:szCs w:val="21"/>
              </w:rPr>
              <w:t>买方</w:t>
            </w:r>
            <w:r>
              <w:rPr>
                <w:rFonts w:ascii="宋体" w:hAnsi="宋体" w:cs="宋体" w:eastAsia="宋体" w:hint="default"/>
                <w:spacing w:val="-103"/>
                <w:sz w:val="21"/>
                <w:szCs w:val="21"/>
              </w:rPr>
              <w:t> </w:t>
            </w:r>
            <w:r>
              <w:rPr>
                <w:rFonts w:ascii="宋体" w:hAnsi="宋体" w:cs="宋体" w:eastAsia="宋体" w:hint="default"/>
                <w:sz w:val="21"/>
                <w:szCs w:val="21"/>
              </w:rPr>
              <w:t>的收</w:t>
            </w:r>
            <w:r>
              <w:rPr>
                <w:rFonts w:ascii="宋体" w:hAnsi="宋体" w:cs="宋体" w:eastAsia="宋体" w:hint="default"/>
                <w:spacing w:val="-103"/>
                <w:sz w:val="21"/>
                <w:szCs w:val="21"/>
              </w:rPr>
              <w:t> </w:t>
            </w:r>
            <w:r>
              <w:rPr>
                <w:rFonts w:ascii="宋体" w:hAnsi="宋体" w:cs="宋体" w:eastAsia="宋体" w:hint="default"/>
                <w:sz w:val="21"/>
                <w:szCs w:val="21"/>
              </w:rPr>
              <w:t>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至期末</w:t>
            </w:r>
            <w:r>
              <w:rPr>
                <w:rFonts w:ascii="宋体" w:hAnsi="宋体" w:cs="宋体" w:eastAsia="宋体" w:hint="default"/>
                <w:spacing w:val="-102"/>
                <w:sz w:val="21"/>
                <w:szCs w:val="21"/>
              </w:rPr>
              <w:t> </w:t>
            </w:r>
            <w:r>
              <w:rPr>
                <w:rFonts w:ascii="宋体" w:hAnsi="宋体" w:cs="宋体" w:eastAsia="宋体" w:hint="default"/>
                <w:sz w:val="21"/>
                <w:szCs w:val="21"/>
              </w:rPr>
              <w:t>被购买</w:t>
            </w:r>
            <w:r>
              <w:rPr>
                <w:rFonts w:ascii="宋体" w:hAnsi="宋体" w:cs="宋体" w:eastAsia="宋体" w:hint="default"/>
                <w:spacing w:val="-102"/>
                <w:sz w:val="21"/>
                <w:szCs w:val="21"/>
              </w:rPr>
              <w:t> </w:t>
            </w:r>
            <w:r>
              <w:rPr>
                <w:rFonts w:ascii="宋体" w:hAnsi="宋体" w:cs="宋体" w:eastAsia="宋体" w:hint="default"/>
                <w:sz w:val="21"/>
                <w:szCs w:val="21"/>
              </w:rPr>
              <w:t>方的净</w:t>
            </w:r>
            <w:r>
              <w:rPr>
                <w:rFonts w:ascii="宋体" w:hAnsi="宋体" w:cs="宋体" w:eastAsia="宋体" w:hint="default"/>
                <w:spacing w:val="-102"/>
                <w:sz w:val="21"/>
                <w:szCs w:val="21"/>
              </w:rPr>
              <w:t> </w:t>
            </w:r>
            <w:r>
              <w:rPr>
                <w:rFonts w:ascii="宋体" w:hAnsi="宋体" w:cs="宋体" w:eastAsia="宋体" w:hint="default"/>
                <w:sz w:val="21"/>
                <w:szCs w:val="21"/>
              </w:rPr>
              <w:t>利润</w:t>
            </w:r>
          </w:p>
        </w:tc>
      </w:tr>
      <w:tr>
        <w:trPr>
          <w:trHeight w:val="94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9"/>
              <w:jc w:val="both"/>
              <w:rPr>
                <w:rFonts w:ascii="宋体" w:hAnsi="宋体" w:cs="宋体" w:eastAsia="宋体" w:hint="default"/>
                <w:sz w:val="21"/>
                <w:szCs w:val="21"/>
              </w:rPr>
            </w:pPr>
            <w:r>
              <w:rPr>
                <w:rFonts w:ascii="宋体" w:hAnsi="宋体" w:cs="宋体" w:eastAsia="宋体" w:hint="default"/>
                <w:sz w:val="21"/>
                <w:szCs w:val="21"/>
              </w:rPr>
              <w:t>深圳市知领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互联信息有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720,000.00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非同一</w:t>
            </w:r>
            <w:r>
              <w:rPr>
                <w:rFonts w:ascii="宋体" w:hAnsi="宋体" w:cs="宋体" w:eastAsia="宋体" w:hint="default"/>
                <w:spacing w:val="-102"/>
                <w:sz w:val="21"/>
                <w:szCs w:val="21"/>
              </w:rPr>
              <w:t> </w:t>
            </w:r>
            <w:r>
              <w:rPr>
                <w:rFonts w:ascii="宋体" w:hAnsi="宋体" w:cs="宋体" w:eastAsia="宋体" w:hint="default"/>
                <w:sz w:val="21"/>
                <w:szCs w:val="21"/>
              </w:rPr>
              <w:t>控制下</w:t>
            </w:r>
            <w:r>
              <w:rPr>
                <w:rFonts w:ascii="宋体" w:hAnsi="宋体" w:cs="宋体" w:eastAsia="宋体" w:hint="default"/>
                <w:spacing w:val="-102"/>
                <w:sz w:val="21"/>
                <w:szCs w:val="21"/>
              </w:rPr>
              <w:t> </w:t>
            </w:r>
            <w:r>
              <w:rPr>
                <w:rFonts w:ascii="宋体" w:hAnsi="宋体" w:cs="宋体" w:eastAsia="宋体" w:hint="default"/>
                <w:sz w:val="21"/>
                <w:szCs w:val="21"/>
              </w:rPr>
              <w:t>合并</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both"/>
              <w:rPr>
                <w:rFonts w:ascii="宋体" w:hAnsi="宋体" w:cs="宋体" w:eastAsia="宋体" w:hint="default"/>
                <w:sz w:val="21"/>
                <w:szCs w:val="21"/>
              </w:rPr>
            </w:pPr>
            <w:r>
              <w:rPr>
                <w:rFonts w:ascii="宋体" w:hAnsi="宋体" w:cs="宋体" w:eastAsia="宋体" w:hint="default"/>
                <w:sz w:val="21"/>
                <w:szCs w:val="21"/>
              </w:rPr>
              <w:t>实际取</w:t>
            </w:r>
            <w:r>
              <w:rPr>
                <w:rFonts w:ascii="宋体" w:hAnsi="宋体" w:cs="宋体" w:eastAsia="宋体" w:hint="default"/>
                <w:spacing w:val="-102"/>
                <w:sz w:val="21"/>
                <w:szCs w:val="21"/>
              </w:rPr>
              <w:t> </w:t>
            </w:r>
            <w:r>
              <w:rPr>
                <w:rFonts w:ascii="宋体" w:hAnsi="宋体" w:cs="宋体" w:eastAsia="宋体" w:hint="default"/>
                <w:sz w:val="21"/>
                <w:szCs w:val="21"/>
              </w:rPr>
              <w:t>得控制</w:t>
            </w:r>
            <w:r>
              <w:rPr>
                <w:rFonts w:ascii="宋体" w:hAnsi="宋体" w:cs="宋体" w:eastAsia="宋体" w:hint="default"/>
                <w:spacing w:val="-102"/>
                <w:sz w:val="21"/>
                <w:szCs w:val="21"/>
              </w:rPr>
              <w:t> </w:t>
            </w:r>
            <w:r>
              <w:rPr>
                <w:rFonts w:ascii="宋体" w:hAnsi="宋体" w:cs="宋体" w:eastAsia="宋体" w:hint="default"/>
                <w:sz w:val="21"/>
                <w:szCs w:val="21"/>
              </w:rPr>
              <w:t>权</w:t>
            </w:r>
          </w:p>
        </w:tc>
        <w:tc>
          <w:tcPr>
            <w:tcW w:w="7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9"/>
              <w:jc w:val="both"/>
              <w:rPr>
                <w:rFonts w:ascii="宋体" w:hAnsi="宋体" w:cs="宋体" w:eastAsia="宋体" w:hint="default"/>
                <w:sz w:val="21"/>
                <w:szCs w:val="21"/>
              </w:rPr>
            </w:pPr>
            <w:r>
              <w:rPr>
                <w:rFonts w:ascii="宋体" w:hAnsi="宋体" w:cs="宋体" w:eastAsia="宋体" w:hint="default"/>
                <w:sz w:val="21"/>
                <w:szCs w:val="21"/>
              </w:rPr>
              <w:t>深圳智泽金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融服务有限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3.00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非同一</w:t>
            </w:r>
            <w:r>
              <w:rPr>
                <w:rFonts w:ascii="宋体" w:hAnsi="宋体" w:cs="宋体" w:eastAsia="宋体" w:hint="default"/>
                <w:spacing w:val="-102"/>
                <w:sz w:val="21"/>
                <w:szCs w:val="21"/>
              </w:rPr>
              <w:t> </w:t>
            </w:r>
            <w:r>
              <w:rPr>
                <w:rFonts w:ascii="宋体" w:hAnsi="宋体" w:cs="宋体" w:eastAsia="宋体" w:hint="default"/>
                <w:sz w:val="21"/>
                <w:szCs w:val="21"/>
              </w:rPr>
              <w:t>控制下</w:t>
            </w:r>
            <w:r>
              <w:rPr>
                <w:rFonts w:ascii="宋体" w:hAnsi="宋体" w:cs="宋体" w:eastAsia="宋体" w:hint="default"/>
                <w:spacing w:val="-102"/>
                <w:sz w:val="21"/>
                <w:szCs w:val="21"/>
              </w:rPr>
              <w:t> </w:t>
            </w:r>
            <w:r>
              <w:rPr>
                <w:rFonts w:ascii="宋体" w:hAnsi="宋体" w:cs="宋体" w:eastAsia="宋体" w:hint="default"/>
                <w:sz w:val="21"/>
                <w:szCs w:val="21"/>
              </w:rPr>
              <w:t>合并</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both"/>
              <w:rPr>
                <w:rFonts w:ascii="宋体" w:hAnsi="宋体" w:cs="宋体" w:eastAsia="宋体" w:hint="default"/>
                <w:sz w:val="21"/>
                <w:szCs w:val="21"/>
              </w:rPr>
            </w:pPr>
            <w:r>
              <w:rPr>
                <w:rFonts w:ascii="宋体" w:hAnsi="宋体" w:cs="宋体" w:eastAsia="宋体" w:hint="default"/>
                <w:sz w:val="21"/>
                <w:szCs w:val="21"/>
              </w:rPr>
              <w:t>实际取</w:t>
            </w:r>
            <w:r>
              <w:rPr>
                <w:rFonts w:ascii="宋体" w:hAnsi="宋体" w:cs="宋体" w:eastAsia="宋体" w:hint="default"/>
                <w:spacing w:val="-102"/>
                <w:sz w:val="21"/>
                <w:szCs w:val="21"/>
              </w:rPr>
              <w:t> </w:t>
            </w:r>
            <w:r>
              <w:rPr>
                <w:rFonts w:ascii="宋体" w:hAnsi="宋体" w:cs="宋体" w:eastAsia="宋体" w:hint="default"/>
                <w:sz w:val="21"/>
                <w:szCs w:val="21"/>
              </w:rPr>
              <w:t>得控制</w:t>
            </w:r>
            <w:r>
              <w:rPr>
                <w:rFonts w:ascii="宋体" w:hAnsi="宋体" w:cs="宋体" w:eastAsia="宋体" w:hint="default"/>
                <w:spacing w:val="-102"/>
                <w:sz w:val="21"/>
                <w:szCs w:val="21"/>
              </w:rPr>
              <w:t> </w:t>
            </w:r>
            <w:r>
              <w:rPr>
                <w:rFonts w:ascii="宋体" w:hAnsi="宋体" w:cs="宋体" w:eastAsia="宋体" w:hint="default"/>
                <w:sz w:val="21"/>
                <w:szCs w:val="21"/>
              </w:rPr>
              <w:t>权</w:t>
            </w:r>
          </w:p>
        </w:tc>
        <w:tc>
          <w:tcPr>
            <w:tcW w:w="7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-46.51</w:t>
            </w:r>
          </w:p>
        </w:tc>
      </w:tr>
    </w:tbl>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spacing w:before="26"/>
        <w:ind w:left="218" w:right="-19" w:firstLine="0"/>
        <w:jc w:val="left"/>
        <w:rPr>
          <w:rFonts w:ascii="宋体" w:hAnsi="宋体" w:cs="宋体" w:eastAsia="宋体" w:hint="default"/>
          <w:sz w:val="21"/>
          <w:szCs w:val="21"/>
        </w:rPr>
      </w:pPr>
      <w:r>
        <w:rPr>
          <w:rFonts w:ascii="宋体" w:hAnsi="宋体" w:cs="宋体" w:eastAsia="宋体" w:hint="default"/>
          <w:b/>
          <w:bCs/>
          <w:sz w:val="24"/>
          <w:szCs w:val="24"/>
        </w:rPr>
        <w:t>(2).</w:t>
      </w:r>
      <w:r>
        <w:rPr>
          <w:rFonts w:ascii="宋体" w:hAnsi="宋体" w:cs="宋体" w:eastAsia="宋体" w:hint="default"/>
          <w:b/>
          <w:bCs/>
          <w:spacing w:val="54"/>
          <w:sz w:val="24"/>
          <w:szCs w:val="24"/>
        </w:rPr>
        <w:t> </w:t>
      </w:r>
      <w:r>
        <w:rPr>
          <w:rFonts w:ascii="宋体" w:hAnsi="宋体" w:cs="宋体" w:eastAsia="宋体" w:hint="default"/>
          <w:b/>
          <w:bCs/>
          <w:sz w:val="21"/>
          <w:szCs w:val="21"/>
        </w:rPr>
        <w:t>合并成本及商誉</w:t>
      </w:r>
      <w:r>
        <w:rPr>
          <w:rFonts w:ascii="宋体" w:hAnsi="宋体" w:cs="宋体" w:eastAsia="宋体" w:hint="default"/>
          <w:sz w:val="21"/>
          <w:szCs w:val="21"/>
        </w:rPr>
      </w:r>
    </w:p>
    <w:p>
      <w:pPr>
        <w:pStyle w:val="BodyText"/>
        <w:spacing w:line="240" w:lineRule="auto" w:before="7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55" w:space="4167"/>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072"/>
        <w:gridCol w:w="1985"/>
        <w:gridCol w:w="1993"/>
      </w:tblGrid>
      <w:tr>
        <w:trPr>
          <w:trHeight w:val="63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89"/>
              <w:jc w:val="left"/>
              <w:rPr>
                <w:rFonts w:ascii="宋体" w:hAnsi="宋体" w:cs="宋体" w:eastAsia="宋体" w:hint="default"/>
                <w:sz w:val="21"/>
                <w:szCs w:val="21"/>
              </w:rPr>
            </w:pPr>
            <w:r>
              <w:rPr>
                <w:rFonts w:ascii="宋体" w:hAnsi="宋体" w:cs="宋体" w:eastAsia="宋体" w:hint="default"/>
                <w:sz w:val="21"/>
                <w:szCs w:val="21"/>
              </w:rPr>
              <w:t>深圳市知领互联信</w:t>
            </w:r>
            <w:r>
              <w:rPr>
                <w:rFonts w:ascii="宋体" w:hAnsi="宋体" w:cs="宋体" w:eastAsia="宋体" w:hint="default"/>
                <w:w w:val="100"/>
                <w:sz w:val="21"/>
                <w:szCs w:val="21"/>
              </w:rPr>
              <w:t> </w:t>
            </w:r>
            <w:r>
              <w:rPr>
                <w:rFonts w:ascii="宋体" w:hAnsi="宋体" w:cs="宋体" w:eastAsia="宋体" w:hint="default"/>
                <w:sz w:val="21"/>
                <w:szCs w:val="21"/>
              </w:rPr>
              <w:t>息有限公司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7"/>
              <w:jc w:val="left"/>
              <w:rPr>
                <w:rFonts w:ascii="宋体" w:hAnsi="宋体" w:cs="宋体" w:eastAsia="宋体" w:hint="default"/>
                <w:sz w:val="21"/>
                <w:szCs w:val="21"/>
              </w:rPr>
            </w:pPr>
            <w:r>
              <w:rPr>
                <w:rFonts w:ascii="宋体" w:hAnsi="宋体" w:cs="宋体" w:eastAsia="宋体" w:hint="default"/>
                <w:sz w:val="21"/>
                <w:szCs w:val="21"/>
              </w:rPr>
              <w:t>深圳智泽金融服务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r>
      <w:tr>
        <w:trPr>
          <w:trHeight w:val="3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720,000.00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3.00</w:t>
            </w:r>
          </w:p>
        </w:tc>
      </w:tr>
      <w:tr>
        <w:trPr>
          <w:trHeight w:val="32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720,000.00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3.00</w:t>
            </w:r>
          </w:p>
        </w:tc>
      </w:tr>
      <w:tr>
        <w:trPr>
          <w:trHeight w:val="3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470,785.46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3.00</w:t>
            </w:r>
          </w:p>
        </w:tc>
      </w:tr>
      <w:tr>
        <w:trPr>
          <w:trHeight w:val="63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spacing w:val="-2"/>
                <w:sz w:val="21"/>
                <w:szCs w:val="21"/>
              </w:rPr>
              <w:t>商誉</w:t>
            </w:r>
            <w:r>
              <w:rPr>
                <w:rFonts w:ascii="宋体" w:hAnsi="宋体" w:cs="宋体" w:eastAsia="宋体" w:hint="default"/>
                <w:spacing w:val="-2"/>
                <w:sz w:val="21"/>
                <w:szCs w:val="21"/>
              </w:rPr>
              <w:t>/</w:t>
            </w:r>
            <w:r>
              <w:rPr>
                <w:rFonts w:ascii="宋体" w:hAnsi="宋体" w:cs="宋体" w:eastAsia="宋体" w:hint="default"/>
                <w:spacing w:val="-2"/>
                <w:sz w:val="21"/>
                <w:szCs w:val="21"/>
              </w:rPr>
              <w:t>合并成本小于取得的可辨认净资产公允价值份</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额的金额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249,214.54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BodyText"/>
        <w:spacing w:line="273" w:lineRule="auto" w:before="36"/>
        <w:ind w:right="3122"/>
        <w:jc w:val="left"/>
      </w:pPr>
      <w:r>
        <w:rPr>
          <w:spacing w:val="-2"/>
        </w:rPr>
        <w:t>合并成本公允价值的确定方法、或有对价及其变动的说明：</w:t>
      </w:r>
      <w:r>
        <w:rPr>
          <w:spacing w:val="-55"/>
        </w:rPr>
        <w:t> </w:t>
      </w:r>
      <w:r>
        <w:rPr>
          <w:spacing w:val="-55"/>
        </w:rPr>
      </w:r>
      <w:r>
        <w:rPr/>
        <w:t>商誉形成的主要原因：</w:t>
      </w:r>
    </w:p>
    <w:p>
      <w:pPr>
        <w:pStyle w:val="BodyText"/>
        <w:spacing w:line="277" w:lineRule="exact"/>
        <w:ind w:left="638" w:right="123"/>
        <w:jc w:val="left"/>
      </w:pPr>
      <w:r>
        <w:rPr>
          <w:w w:val="100"/>
        </w:rPr>
        <w:t>根据</w:t>
      </w:r>
      <w:r>
        <w:rPr>
          <w:spacing w:val="-3"/>
          <w:w w:val="100"/>
        </w:rPr>
        <w:t>本</w:t>
      </w:r>
      <w:r>
        <w:rPr>
          <w:w w:val="100"/>
        </w:rPr>
        <w:t>公</w:t>
      </w:r>
      <w:r>
        <w:rPr>
          <w:spacing w:val="-3"/>
          <w:w w:val="100"/>
        </w:rPr>
        <w:t>司</w:t>
      </w:r>
      <w:r>
        <w:rPr>
          <w:w w:val="100"/>
        </w:rPr>
        <w:t>之</w:t>
      </w:r>
      <w:r>
        <w:rPr>
          <w:spacing w:val="-3"/>
          <w:w w:val="100"/>
        </w:rPr>
        <w:t>子</w:t>
      </w:r>
      <w:r>
        <w:rPr>
          <w:w w:val="100"/>
        </w:rPr>
        <w:t>公</w:t>
      </w:r>
      <w:r>
        <w:rPr>
          <w:spacing w:val="-3"/>
          <w:w w:val="100"/>
        </w:rPr>
        <w:t>司</w:t>
      </w:r>
      <w:r>
        <w:rPr>
          <w:w w:val="100"/>
        </w:rPr>
        <w:t>深</w:t>
      </w:r>
      <w:r>
        <w:rPr>
          <w:spacing w:val="-3"/>
          <w:w w:val="100"/>
        </w:rPr>
        <w:t>圳</w:t>
      </w:r>
      <w:r>
        <w:rPr>
          <w:w w:val="100"/>
        </w:rPr>
        <w:t>市睿</w:t>
      </w:r>
      <w:r>
        <w:rPr>
          <w:spacing w:val="-3"/>
          <w:w w:val="100"/>
        </w:rPr>
        <w:t>服</w:t>
      </w:r>
      <w:r>
        <w:rPr>
          <w:w w:val="100"/>
        </w:rPr>
        <w:t>科</w:t>
      </w:r>
      <w:r>
        <w:rPr>
          <w:spacing w:val="-3"/>
          <w:w w:val="100"/>
        </w:rPr>
        <w:t>技</w:t>
      </w:r>
      <w:r>
        <w:rPr>
          <w:w w:val="100"/>
        </w:rPr>
        <w:t>有</w:t>
      </w:r>
      <w:r>
        <w:rPr>
          <w:spacing w:val="-3"/>
          <w:w w:val="100"/>
        </w:rPr>
        <w:t>限公</w:t>
      </w: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日</w:t>
      </w:r>
      <w:r>
        <w:rPr>
          <w:w w:val="100"/>
        </w:rPr>
        <w:t>临</w:t>
      </w:r>
      <w:r>
        <w:rPr>
          <w:spacing w:val="-3"/>
          <w:w w:val="100"/>
        </w:rPr>
        <w:t>时</w:t>
      </w:r>
      <w:r>
        <w:rPr>
          <w:w w:val="100"/>
        </w:rPr>
        <w:t>股</w:t>
      </w:r>
      <w:r>
        <w:rPr>
          <w:spacing w:val="-3"/>
          <w:w w:val="100"/>
        </w:rPr>
        <w:t>东会</w:t>
      </w:r>
      <w:r>
        <w:rPr>
          <w:w w:val="100"/>
        </w:rPr>
        <w:t>会议</w:t>
      </w:r>
      <w:r>
        <w:rPr>
          <w:spacing w:val="-3"/>
          <w:w w:val="100"/>
        </w:rPr>
        <w:t>决议</w:t>
      </w:r>
      <w:r>
        <w:rPr>
          <w:spacing w:val="-85"/>
          <w:w w:val="100"/>
        </w:rPr>
        <w:t>，</w:t>
      </w:r>
      <w:r>
        <w:rPr>
          <w:spacing w:val="-3"/>
          <w:w w:val="100"/>
        </w:rPr>
        <w:t>同</w:t>
      </w:r>
      <w:r>
        <w:rPr>
          <w:w w:val="100"/>
        </w:rPr>
        <w:t>意</w:t>
      </w:r>
    </w:p>
    <w:p>
      <w:pPr>
        <w:pStyle w:val="BodyText"/>
        <w:spacing w:line="338" w:lineRule="auto" w:before="117"/>
        <w:ind w:right="228"/>
        <w:jc w:val="both"/>
        <w:rPr>
          <w:rFonts w:ascii="Times New Roman" w:hAnsi="Times New Roman" w:cs="Times New Roman" w:eastAsia="Times New Roman" w:hint="default"/>
        </w:rPr>
      </w:pPr>
      <w:r>
        <w:rPr/>
        <w:t>公司以现金方式出资人民币</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万元，以股权转让和注资的方式完成对深圳市知领互联信息有限</w:t>
      </w:r>
      <w:r>
        <w:rPr>
          <w:w w:val="100"/>
        </w:rPr>
        <w:t> </w:t>
      </w:r>
      <w:r>
        <w:rPr>
          <w:spacing w:val="-5"/>
          <w:w w:val="100"/>
        </w:rPr>
        <w:t>公司（本段以下简称“知领互联”）的控股，最终占该公司注册资本的</w:t>
      </w:r>
      <w:r>
        <w:rPr>
          <w:spacing w:val="-52"/>
          <w:w w:val="100"/>
        </w:rPr>
        <w:t> </w:t>
      </w:r>
      <w:r>
        <w:rPr>
          <w:rFonts w:ascii="Times New Roman" w:hAnsi="Times New Roman" w:cs="Times New Roman" w:eastAsia="Times New Roman" w:hint="default"/>
          <w:spacing w:val="-2"/>
          <w:w w:val="100"/>
        </w:rPr>
        <w:t>51%</w:t>
      </w:r>
      <w:r>
        <w:rPr>
          <w:spacing w:val="-2"/>
          <w:w w:val="100"/>
        </w:rPr>
        <w:t>。本公司出资</w:t>
      </w:r>
      <w:r>
        <w:rPr>
          <w:spacing w:val="-52"/>
          <w:w w:val="10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1"/>
          <w:w w:val="100"/>
        </w:rPr>
        <w:t> </w:t>
      </w:r>
      <w:r>
        <w:rPr>
          <w:w w:val="100"/>
        </w:rPr>
        <w:t>万元 </w:t>
      </w:r>
      <w:r>
        <w:rPr/>
        <w:t>向原股东深圳市华大智创科技有限公司购买知领互联</w:t>
      </w:r>
      <w:r>
        <w:rPr>
          <w:spacing w:val="-57"/>
        </w:rPr>
        <w:t> </w:t>
      </w:r>
      <w:r>
        <w:rPr>
          <w:rFonts w:ascii="Times New Roman" w:hAnsi="Times New Roman" w:cs="Times New Roman" w:eastAsia="Times New Roman" w:hint="default"/>
        </w:rPr>
        <w:t>51%</w:t>
      </w:r>
      <w:r>
        <w:rPr/>
        <w:t>的股权，同时公司向知领互联出资</w:t>
      </w:r>
      <w:r>
        <w:rPr>
          <w:spacing w:val="-56"/>
        </w:rPr>
        <w:t> </w:t>
      </w:r>
      <w:r>
        <w:rPr>
          <w:rFonts w:ascii="Times New Roman" w:hAnsi="Times New Roman" w:cs="Times New Roman" w:eastAsia="Times New Roman" w:hint="default"/>
        </w:rPr>
        <w:t>70</w:t>
      </w:r>
    </w:p>
    <w:p>
      <w:pPr>
        <w:pStyle w:val="BodyText"/>
        <w:spacing w:line="240" w:lineRule="auto" w:before="22"/>
        <w:ind w:right="0"/>
        <w:jc w:val="both"/>
      </w:pPr>
      <w:r>
        <w:rPr/>
        <w:t>万元，对其认缴知领互联</w:t>
      </w:r>
      <w:r>
        <w:rPr>
          <w:spacing w:val="-56"/>
        </w:rPr>
        <w:t> </w:t>
      </w:r>
      <w:r>
        <w:rPr>
          <w:rFonts w:ascii="Times New Roman" w:hAnsi="Times New Roman" w:cs="Times New Roman" w:eastAsia="Times New Roman" w:hint="default"/>
        </w:rPr>
        <w:t>14%</w:t>
      </w:r>
      <w:r>
        <w:rPr/>
        <w:t>的股权进行实缴。截止</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日，本公司之子公司深圳</w:t>
      </w:r>
    </w:p>
    <w:p>
      <w:pPr>
        <w:pStyle w:val="BodyText"/>
        <w:spacing w:line="336" w:lineRule="auto" w:before="117"/>
        <w:ind w:right="242"/>
        <w:jc w:val="both"/>
      </w:pPr>
      <w:r>
        <w:rPr/>
        <w:t>市睿服科技有限公司支付股权款</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万元及实缴注册资本</w:t>
      </w:r>
      <w:r>
        <w:rPr>
          <w:spacing w:val="-55"/>
        </w:rPr>
        <w:t> </w:t>
      </w:r>
      <w:r>
        <w:rPr>
          <w:rFonts w:ascii="Times New Roman" w:hAnsi="Times New Roman" w:cs="Times New Roman" w:eastAsia="Times New Roman" w:hint="default"/>
        </w:rPr>
        <w:t>42</w:t>
      </w:r>
      <w:r>
        <w:rPr>
          <w:rFonts w:ascii="Times New Roman" w:hAnsi="Times New Roman" w:cs="Times New Roman" w:eastAsia="Times New Roman" w:hint="default"/>
          <w:spacing w:val="-2"/>
        </w:rPr>
        <w:t> </w:t>
      </w:r>
      <w:r>
        <w:rPr/>
        <w:t>万元，按照购买日投资成本与取得深</w:t>
      </w:r>
      <w:r>
        <w:rPr>
          <w:w w:val="100"/>
        </w:rPr>
        <w:t> </w:t>
      </w:r>
      <w:r>
        <w:rPr/>
        <w:t>圳市知领互联信息有限公司可辨认资产公允价值差异计算商誉。</w:t>
      </w:r>
    </w:p>
    <w:p>
      <w:pPr>
        <w:pStyle w:val="BodyText"/>
        <w:spacing w:line="240" w:lineRule="auto" w:before="51"/>
        <w:ind w:left="638" w:right="215"/>
        <w:jc w:val="left"/>
      </w:pPr>
      <w:r>
        <w:rPr/>
        <w:t>根据</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日双方签字的股权转让协议，本公司之子公司深圳奔球金融服务有限公</w:t>
      </w:r>
    </w:p>
    <w:p>
      <w:pPr>
        <w:pStyle w:val="BodyText"/>
        <w:spacing w:line="268" w:lineRule="auto" w:before="21"/>
        <w:ind w:right="237"/>
        <w:jc w:val="both"/>
      </w:pPr>
      <w:r>
        <w:rPr/>
        <w:t>司收购深圳智泽金融服务有限公司原股东陈可、吴边、赵义股权，交易对价分别为</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元。按照协</w:t>
      </w:r>
      <w:r>
        <w:rPr>
          <w:w w:val="100"/>
        </w:rPr>
        <w:t> </w:t>
      </w:r>
      <w:r>
        <w:rPr>
          <w:spacing w:val="-2"/>
        </w:rPr>
        <w:t>议约定，在股权交割日前，标的股权所发生或出现的一切变化：标的股权所产生的、或与标的股</w:t>
      </w:r>
      <w:r>
        <w:rPr>
          <w:spacing w:val="-25"/>
        </w:rPr>
        <w:t> </w:t>
      </w:r>
      <w:r>
        <w:rPr>
          <w:spacing w:val="-25"/>
        </w:rPr>
      </w:r>
      <w:r>
        <w:rPr>
          <w:spacing w:val="-2"/>
        </w:rPr>
        <w:t>权有关的一切权利、利益、收入、利润、增值、负债、责任、义务、损失、减值和折旧；标的股</w:t>
      </w:r>
      <w:r>
        <w:rPr>
          <w:spacing w:val="-25"/>
        </w:rPr>
        <w:t> </w:t>
      </w:r>
      <w:r>
        <w:rPr>
          <w:spacing w:val="-25"/>
        </w:rPr>
      </w:r>
      <w:r>
        <w:rPr/>
        <w:t>权诉讼所产生的一切权利义务或责任，均由原股东享有和承担，所以购买日未产生商誉。</w:t>
      </w:r>
    </w:p>
    <w:p>
      <w:pPr>
        <w:spacing w:after="0" w:line="268" w:lineRule="auto"/>
        <w:jc w:val="both"/>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49"/>
        </w:rPr>
        <w:t> </w:t>
      </w:r>
      <w:r>
        <w:rPr/>
        <w:t>被购买方于</w:t>
      </w:r>
      <w:r>
        <w:rPr>
          <w:sz w:val="21"/>
          <w:szCs w:val="21"/>
        </w:rPr>
        <w:t>购买</w:t>
      </w:r>
      <w:r>
        <w:rPr/>
        <w:t>日可辨认资产、负债</w:t>
      </w:r>
      <w:r>
        <w:rPr>
          <w:b w:val="0"/>
          <w:bCs w:val="0"/>
        </w:rPr>
      </w:r>
    </w:p>
    <w:p>
      <w:pPr>
        <w:pStyle w:val="Heading3"/>
        <w:tabs>
          <w:tab w:pos="1177" w:val="left" w:leader="none"/>
        </w:tabs>
        <w:spacing w:line="240" w:lineRule="auto" w:before="58"/>
        <w:ind w:right="-17"/>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670" w:space="152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324" w:hRule="exact"/>
        </w:trPr>
        <w:tc>
          <w:tcPr>
            <w:tcW w:w="1481" w:type="dxa"/>
            <w:vMerge w:val="restart"/>
            <w:tcBorders>
              <w:top w:val="single" w:sz="4" w:space="0" w:color="000000"/>
              <w:left w:val="single" w:sz="4" w:space="0" w:color="000000"/>
              <w:right w:val="single" w:sz="4" w:space="0" w:color="000000"/>
            </w:tcBorders>
          </w:tcPr>
          <w:p>
            <w:pP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12"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2,134,530.61</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2,134,530.61</w:t>
            </w:r>
          </w:p>
        </w:tc>
      </w:tr>
      <w:tr>
        <w:trPr>
          <w:trHeight w:val="37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325,628.16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325,628.16</w:t>
            </w:r>
          </w:p>
        </w:tc>
      </w:tr>
      <w:tr>
        <w:trPr>
          <w:trHeight w:val="36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120,707.80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120,707.80</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其它应收款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1,678,206.65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1,678,206.65</w:t>
            </w:r>
          </w:p>
        </w:tc>
      </w:tr>
      <w:tr>
        <w:trPr>
          <w:trHeight w:val="37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9,988.00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9,988.00</w:t>
            </w:r>
          </w:p>
        </w:tc>
      </w:tr>
      <w:tr>
        <w:trPr>
          <w:trHeight w:val="36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1,614,951.28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1,614,951.28</w:t>
            </w:r>
          </w:p>
        </w:tc>
      </w:tr>
      <w:tr>
        <w:trPr>
          <w:trHeight w:val="36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1,614,951.28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1,614,951.28</w:t>
            </w:r>
          </w:p>
        </w:tc>
      </w:tr>
      <w:tr>
        <w:trPr>
          <w:trHeight w:val="63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递延所得税负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519,579.33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519,579.33</w:t>
            </w:r>
          </w:p>
        </w:tc>
      </w:tr>
      <w:tr>
        <w:trPr>
          <w:trHeight w:val="63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0"/>
              <w:jc w:val="left"/>
              <w:rPr>
                <w:rFonts w:ascii="宋体" w:hAnsi="宋体" w:cs="宋体" w:eastAsia="宋体" w:hint="default"/>
                <w:sz w:val="21"/>
                <w:szCs w:val="21"/>
              </w:rPr>
            </w:pPr>
            <w:r>
              <w:rPr>
                <w:rFonts w:ascii="宋体" w:hAnsi="宋体" w:cs="宋体" w:eastAsia="宋体" w:hint="default"/>
                <w:sz w:val="21"/>
                <w:szCs w:val="21"/>
              </w:rPr>
              <w:t>减：少数股东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48,793.87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48,793.87</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470,785.46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470,785.46</w:t>
            </w:r>
          </w:p>
        </w:tc>
      </w:tr>
    </w:tbl>
    <w:p>
      <w:pPr>
        <w:spacing w:line="240" w:lineRule="auto" w:before="9"/>
        <w:rPr>
          <w:rFonts w:ascii="宋体" w:hAnsi="宋体" w:cs="宋体" w:eastAsia="宋体" w:hint="default"/>
          <w:sz w:val="24"/>
          <w:szCs w:val="24"/>
        </w:rPr>
      </w:pPr>
    </w:p>
    <w:p>
      <w:pPr>
        <w:pStyle w:val="BodyText"/>
        <w:spacing w:line="240" w:lineRule="auto" w:before="36"/>
        <w:ind w:right="215"/>
        <w:jc w:val="left"/>
      </w:pPr>
      <w:r>
        <w:rPr/>
        <w:t>可辨认资产、负债公允价值的确定方法：</w:t>
      </w:r>
    </w:p>
    <w:p>
      <w:pPr>
        <w:pStyle w:val="BodyText"/>
        <w:spacing w:line="273" w:lineRule="auto" w:before="97"/>
        <w:ind w:right="215"/>
        <w:jc w:val="left"/>
      </w:pPr>
      <w:r>
        <w:rPr>
          <w:spacing w:val="-2"/>
        </w:rPr>
        <w:t>因深圳市知领互联信息有限公司账面资产主要为货币资金及往来款项，深圳市知领互联信息有限</w:t>
      </w:r>
      <w:r>
        <w:rPr>
          <w:spacing w:val="-25"/>
        </w:rPr>
        <w:t> </w:t>
      </w:r>
      <w:r>
        <w:rPr>
          <w:spacing w:val="-25"/>
        </w:rPr>
      </w:r>
      <w:r>
        <w:rPr/>
        <w:t>公司</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日经审定的账面价值与公允价值一致。</w:t>
      </w:r>
    </w:p>
    <w:p>
      <w:pPr>
        <w:spacing w:line="240" w:lineRule="auto" w:before="0"/>
        <w:rPr>
          <w:rFonts w:ascii="宋体" w:hAnsi="宋体" w:cs="宋体" w:eastAsia="宋体" w:hint="default"/>
          <w:sz w:val="20"/>
          <w:szCs w:val="20"/>
        </w:rPr>
      </w:pPr>
    </w:p>
    <w:p>
      <w:pPr>
        <w:pStyle w:val="Heading2"/>
        <w:spacing w:line="240" w:lineRule="auto" w:before="150"/>
        <w:ind w:right="215"/>
        <w:jc w:val="left"/>
        <w:rPr>
          <w:b w:val="0"/>
          <w:bCs w:val="0"/>
        </w:rPr>
      </w:pPr>
      <w:r>
        <w:rPr>
          <w:rFonts w:ascii="宋体" w:hAnsi="宋体" w:cs="宋体" w:eastAsia="宋体" w:hint="default"/>
        </w:rPr>
        <w:t>(4).</w:t>
      </w:r>
      <w:r>
        <w:rPr>
          <w:rFonts w:ascii="宋体" w:hAnsi="宋体" w:cs="宋体" w:eastAsia="宋体" w:hint="default"/>
          <w:spacing w:val="47"/>
        </w:rPr>
        <w:t> </w:t>
      </w:r>
      <w:r>
        <w:rPr/>
        <w:t>购买日之前持有的股权按照公允价值重新计量产生的利得或损失</w:t>
      </w:r>
      <w:r>
        <w:rPr>
          <w:b w:val="0"/>
          <w:bCs w:val="0"/>
        </w:rPr>
      </w:r>
    </w:p>
    <w:p>
      <w:pPr>
        <w:pStyle w:val="BodyText"/>
        <w:spacing w:line="240" w:lineRule="auto" w:before="86"/>
        <w:ind w:right="215"/>
        <w:jc w:val="left"/>
      </w:pPr>
      <w:r>
        <w:rPr/>
        <w:t>是否存在通过多次交易分步实现企业合并且在报告期内取得控制权的交易</w:t>
      </w:r>
    </w:p>
    <w:p>
      <w:pPr>
        <w:pStyle w:val="BodyText"/>
        <w:spacing w:line="240" w:lineRule="auto" w:before="37"/>
        <w:ind w:right="215"/>
        <w:jc w:val="left"/>
      </w:pPr>
      <w:r>
        <w:rPr/>
        <w:t>□适用</w:t>
      </w:r>
      <w:r>
        <w:rPr>
          <w:spacing w:val="-1"/>
        </w:rPr>
        <w:t> </w:t>
      </w:r>
      <w:r>
        <w:rPr/>
        <w:t>√不适用</w:t>
      </w:r>
    </w:p>
    <w:p>
      <w:pPr>
        <w:pStyle w:val="Heading2"/>
        <w:spacing w:line="312" w:lineRule="exact" w:before="100"/>
        <w:ind w:right="219"/>
        <w:jc w:val="left"/>
        <w:rPr>
          <w:b w:val="0"/>
          <w:bCs w:val="0"/>
        </w:rPr>
      </w:pPr>
      <w:r>
        <w:rPr>
          <w:rFonts w:ascii="宋体" w:hAnsi="宋体" w:cs="宋体" w:eastAsia="宋体" w:hint="default"/>
        </w:rPr>
        <w:t>(5).</w:t>
      </w:r>
      <w:r>
        <w:rPr>
          <w:rFonts w:ascii="宋体" w:hAnsi="宋体" w:cs="宋体" w:eastAsia="宋体" w:hint="default"/>
          <w:spacing w:val="32"/>
        </w:rPr>
        <w:t> </w:t>
      </w:r>
      <w:r>
        <w:rPr/>
        <w:t>购买日或合并当期期末无法合理确定合并对价或被购买方可辨认资产、负债公</w:t>
      </w:r>
      <w:r>
        <w:rPr>
          <w:w w:val="99"/>
        </w:rPr>
        <w:t> </w:t>
      </w:r>
      <w:r>
        <w:rPr/>
        <w:t>允价值的相关说明</w:t>
      </w:r>
      <w:r>
        <w:rPr>
          <w:b w:val="0"/>
          <w:bCs w:val="0"/>
        </w:rPr>
      </w:r>
    </w:p>
    <w:p>
      <w:pPr>
        <w:pStyle w:val="BodyText"/>
        <w:tabs>
          <w:tab w:pos="1060" w:val="left" w:leader="none"/>
        </w:tabs>
        <w:spacing w:line="240" w:lineRule="auto" w:before="57"/>
        <w:ind w:right="215"/>
        <w:jc w:val="left"/>
      </w:pPr>
      <w:r>
        <w:rPr>
          <w:spacing w:val="-1"/>
        </w:rPr>
        <w:t>□适用</w:t>
        <w:tab/>
      </w:r>
      <w:r>
        <w:rPr>
          <w:spacing w:val="-2"/>
        </w:rPr>
        <w:t>√不适用</w:t>
      </w:r>
    </w:p>
    <w:p>
      <w:pPr>
        <w:pStyle w:val="Heading2"/>
        <w:spacing w:line="240" w:lineRule="auto" w:before="69"/>
        <w:ind w:right="215"/>
        <w:jc w:val="left"/>
        <w:rPr>
          <w:b w:val="0"/>
          <w:bCs w:val="0"/>
        </w:rPr>
      </w:pPr>
      <w:r>
        <w:rPr>
          <w:rFonts w:ascii="宋体" w:hAnsi="宋体" w:cs="宋体" w:eastAsia="宋体" w:hint="default"/>
        </w:rPr>
        <w:t>(6).</w:t>
      </w:r>
      <w:r>
        <w:rPr>
          <w:rFonts w:ascii="宋体" w:hAnsi="宋体" w:cs="宋体" w:eastAsia="宋体" w:hint="default"/>
          <w:spacing w:val="51"/>
        </w:rPr>
        <w:t> </w:t>
      </w:r>
      <w:r>
        <w:rPr/>
        <w:t>其他说明：</w:t>
      </w:r>
      <w:r>
        <w:rPr>
          <w:b w:val="0"/>
          <w:bCs w:val="0"/>
        </w:rPr>
      </w:r>
    </w:p>
    <w:p>
      <w:pPr>
        <w:pStyle w:val="BodyText"/>
        <w:tabs>
          <w:tab w:pos="1060" w:val="left" w:leader="none"/>
        </w:tabs>
        <w:spacing w:line="240" w:lineRule="auto" w:before="85"/>
        <w:ind w:right="215"/>
        <w:jc w:val="left"/>
      </w:pPr>
      <w:r>
        <w:rPr>
          <w:spacing w:val="-1"/>
        </w:rPr>
        <w:t>□适用</w:t>
        <w:tab/>
      </w:r>
      <w:r>
        <w:rPr>
          <w:spacing w:val="-2"/>
        </w:rPr>
        <w:t>√不适用</w:t>
      </w:r>
    </w:p>
    <w:p>
      <w:pPr>
        <w:pStyle w:val="Heading2"/>
        <w:spacing w:line="240" w:lineRule="auto" w:before="69"/>
        <w:ind w:right="215"/>
        <w:jc w:val="left"/>
        <w:rPr>
          <w:b w:val="0"/>
          <w:bCs w:val="0"/>
        </w:rPr>
      </w:pPr>
      <w:r>
        <w:rPr>
          <w:rFonts w:ascii="宋体" w:hAnsi="宋体" w:cs="宋体" w:eastAsia="宋体" w:hint="default"/>
        </w:rPr>
        <w:t>2</w:t>
      </w:r>
      <w:r>
        <w:rPr/>
        <w:t>、</w:t>
      </w:r>
      <w:r>
        <w:rPr>
          <w:spacing w:val="-65"/>
        </w:rPr>
        <w:t> </w:t>
      </w:r>
      <w:r>
        <w:rPr/>
        <w:t>同一控制下企业合并</w:t>
      </w:r>
      <w:r>
        <w:rPr>
          <w:b w:val="0"/>
          <w:bCs w:val="0"/>
        </w:rPr>
      </w:r>
    </w:p>
    <w:p>
      <w:pPr>
        <w:pStyle w:val="BodyText"/>
        <w:spacing w:line="240" w:lineRule="auto" w:before="85"/>
        <w:ind w:right="215"/>
        <w:jc w:val="left"/>
      </w:pPr>
      <w:r>
        <w:rPr/>
        <w:t>□适用</w:t>
      </w:r>
      <w:r>
        <w:rPr>
          <w:spacing w:val="-1"/>
        </w:rPr>
        <w:t> </w:t>
      </w:r>
      <w:r>
        <w:rPr/>
        <w:t>√不适用</w:t>
      </w:r>
    </w:p>
    <w:p>
      <w:pPr>
        <w:pStyle w:val="Heading2"/>
        <w:spacing w:line="240" w:lineRule="auto" w:before="69"/>
        <w:ind w:right="215"/>
        <w:jc w:val="left"/>
        <w:rPr>
          <w:b w:val="0"/>
          <w:bCs w:val="0"/>
        </w:rPr>
      </w:pPr>
      <w:r>
        <w:rPr>
          <w:rFonts w:ascii="宋体" w:hAnsi="宋体" w:cs="宋体" w:eastAsia="宋体" w:hint="default"/>
        </w:rPr>
        <w:t>3</w:t>
      </w:r>
      <w:r>
        <w:rPr/>
        <w:t>、</w:t>
      </w:r>
      <w:r>
        <w:rPr>
          <w:spacing w:val="-64"/>
        </w:rPr>
        <w:t> </w:t>
      </w:r>
      <w:r>
        <w:rPr/>
        <w:t>反向购买</w:t>
      </w:r>
      <w:r>
        <w:rPr>
          <w:b w:val="0"/>
          <w:bCs w:val="0"/>
        </w:rPr>
      </w:r>
    </w:p>
    <w:p>
      <w:pPr>
        <w:pStyle w:val="BodyText"/>
        <w:spacing w:line="240" w:lineRule="auto" w:before="85"/>
        <w:ind w:right="21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27"/>
          <w:footerReference w:type="default" r:id="rId128"/>
          <w:pgSz w:w="16840" w:h="11910" w:orient="landscape"/>
          <w:pgMar w:header="882" w:footer="1195" w:top="1120" w:bottom="1380" w:left="1380" w:right="1220"/>
          <w:pgNumType w:start="150"/>
        </w:sectPr>
      </w:pPr>
    </w:p>
    <w:p>
      <w:pPr>
        <w:pStyle w:val="Heading2"/>
        <w:spacing w:line="240" w:lineRule="auto" w:before="180"/>
        <w:ind w:left="144" w:right="0"/>
        <w:jc w:val="left"/>
        <w:rPr>
          <w:b w:val="0"/>
          <w:bCs w:val="0"/>
        </w:rPr>
      </w:pPr>
      <w:r>
        <w:rPr>
          <w:rFonts w:ascii="宋体" w:hAnsi="宋体" w:cs="宋体" w:eastAsia="宋体" w:hint="default"/>
        </w:rPr>
        <w:t>4</w:t>
      </w:r>
      <w:r>
        <w:rPr/>
        <w:t>、</w:t>
      </w:r>
      <w:r>
        <w:rPr>
          <w:spacing w:val="-65"/>
        </w:rPr>
        <w:t> </w:t>
      </w:r>
      <w:r>
        <w:rPr/>
        <w:t>处置子公司</w:t>
      </w:r>
      <w:r>
        <w:rPr>
          <w:b w:val="0"/>
          <w:bCs w:val="0"/>
        </w:rPr>
      </w:r>
    </w:p>
    <w:p>
      <w:pPr>
        <w:pStyle w:val="BodyText"/>
        <w:spacing w:line="273" w:lineRule="exact" w:before="64"/>
        <w:ind w:left="144" w:right="0"/>
        <w:jc w:val="left"/>
      </w:pPr>
      <w:r>
        <w:rPr>
          <w:spacing w:val="-2"/>
        </w:rPr>
        <w:t>是否存在单次处置对子公司投资即丧失控制权的情形</w:t>
      </w:r>
    </w:p>
    <w:p>
      <w:pPr>
        <w:pStyle w:val="BodyText"/>
        <w:spacing w:line="273" w:lineRule="exact"/>
        <w:ind w:left="14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tabs>
          <w:tab w:pos="1089" w:val="left" w:leader="none"/>
        </w:tabs>
        <w:spacing w:line="240" w:lineRule="auto"/>
        <w:ind w:left="1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1220"/>
          <w:cols w:num="2" w:equalWidth="0">
            <w:col w:w="4979" w:space="6795"/>
            <w:col w:w="2466"/>
          </w:cols>
        </w:sectPr>
      </w:pPr>
    </w:p>
    <w:p>
      <w:pPr>
        <w:spacing w:line="240" w:lineRule="auto" w:before="4"/>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1140"/>
        <w:gridCol w:w="809"/>
        <w:gridCol w:w="919"/>
        <w:gridCol w:w="939"/>
        <w:gridCol w:w="936"/>
        <w:gridCol w:w="1114"/>
        <w:gridCol w:w="1392"/>
        <w:gridCol w:w="1070"/>
        <w:gridCol w:w="1130"/>
        <w:gridCol w:w="1124"/>
        <w:gridCol w:w="1231"/>
        <w:gridCol w:w="1265"/>
        <w:gridCol w:w="833"/>
      </w:tblGrid>
      <w:tr>
        <w:trPr>
          <w:trHeight w:val="246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83" w:right="79"/>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置价款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1" w:right="-39" w:firstLine="36"/>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256" w:right="39"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43" w:right="38"/>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26" w:right="21"/>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59" w:right="58"/>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4" w:right="0"/>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35" w:right="29"/>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31" w:right="27"/>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84" w:right="81"/>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before="2"/>
              <w:ind w:left="96" w:right="91"/>
              <w:jc w:val="both"/>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权投资</w:t>
            </w:r>
            <w:r>
              <w:rPr>
                <w:rFonts w:ascii="宋体" w:hAnsi="宋体" w:cs="宋体" w:eastAsia="宋体" w:hint="default"/>
                <w:spacing w:val="-102"/>
                <w:sz w:val="21"/>
                <w:szCs w:val="21"/>
              </w:rPr>
              <w:t> </w:t>
            </w: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转入投</w:t>
            </w:r>
            <w:r>
              <w:rPr>
                <w:rFonts w:ascii="宋体" w:hAnsi="宋体" w:cs="宋体" w:eastAsia="宋体" w:hint="default"/>
                <w:spacing w:val="-102"/>
                <w:sz w:val="21"/>
                <w:szCs w:val="21"/>
              </w:rPr>
              <w:t> </w:t>
            </w:r>
            <w:r>
              <w:rPr>
                <w:rFonts w:ascii="宋体" w:hAnsi="宋体" w:cs="宋体" w:eastAsia="宋体" w:hint="default"/>
                <w:sz w:val="21"/>
                <w:szCs w:val="21"/>
              </w:rPr>
              <w:t>资损益</w:t>
            </w:r>
            <w:r>
              <w:rPr>
                <w:rFonts w:ascii="宋体" w:hAnsi="宋体" w:cs="宋体" w:eastAsia="宋体" w:hint="default"/>
                <w:spacing w:val="-102"/>
                <w:sz w:val="21"/>
                <w:szCs w:val="21"/>
              </w:rPr>
              <w:t> </w:t>
            </w:r>
            <w:r>
              <w:rPr>
                <w:rFonts w:ascii="宋体" w:hAnsi="宋体" w:cs="宋体" w:eastAsia="宋体" w:hint="default"/>
                <w:sz w:val="21"/>
                <w:szCs w:val="21"/>
              </w:rPr>
              <w:t>的金额</w:t>
            </w:r>
          </w:p>
        </w:tc>
      </w:tr>
      <w:tr>
        <w:trPr>
          <w:trHeight w:val="82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成都金证同</w:t>
            </w:r>
          </w:p>
          <w:p>
            <w:pPr>
              <w:pStyle w:val="TableParagraph"/>
              <w:spacing w:line="240" w:lineRule="auto"/>
              <w:ind w:left="-1" w:right="75"/>
              <w:jc w:val="left"/>
              <w:rPr>
                <w:rFonts w:ascii="宋体" w:hAnsi="宋体" w:cs="宋体" w:eastAsia="宋体" w:hint="default"/>
                <w:sz w:val="21"/>
                <w:szCs w:val="21"/>
              </w:rPr>
            </w:pPr>
            <w:r>
              <w:rPr>
                <w:rFonts w:ascii="宋体" w:hAnsi="宋体" w:cs="宋体" w:eastAsia="宋体" w:hint="default"/>
                <w:sz w:val="21"/>
                <w:szCs w:val="21"/>
              </w:rPr>
              <w:t>洲科技有限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4" w:right="-3"/>
              <w:jc w:val="left"/>
              <w:rPr>
                <w:rFonts w:ascii="宋体" w:hAnsi="宋体" w:cs="宋体" w:eastAsia="宋体" w:hint="default"/>
                <w:sz w:val="21"/>
                <w:szCs w:val="21"/>
              </w:rPr>
            </w:pPr>
            <w:r>
              <w:rPr>
                <w:rFonts w:ascii="宋体"/>
                <w:sz w:val="21"/>
              </w:rPr>
              <w:t>3,060,0</w:t>
            </w:r>
          </w:p>
          <w:p>
            <w:pPr>
              <w:pStyle w:val="TableParagraph"/>
              <w:spacing w:line="273" w:lineRule="exact"/>
              <w:ind w:left="273" w:right="-3"/>
              <w:jc w:val="left"/>
              <w:rPr>
                <w:rFonts w:ascii="宋体" w:hAnsi="宋体" w:cs="宋体" w:eastAsia="宋体" w:hint="default"/>
                <w:sz w:val="21"/>
                <w:szCs w:val="21"/>
              </w:rPr>
            </w:pPr>
            <w:r>
              <w:rPr>
                <w:rFonts w:ascii="宋体"/>
                <w:sz w:val="21"/>
              </w:rPr>
              <w:t>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5"/>
              <w:jc w:val="left"/>
              <w:rPr>
                <w:rFonts w:ascii="宋体" w:hAnsi="宋体" w:cs="宋体" w:eastAsia="宋体" w:hint="default"/>
                <w:sz w:val="21"/>
                <w:szCs w:val="21"/>
              </w:rPr>
            </w:pPr>
            <w:r>
              <w:rPr>
                <w:rFonts w:ascii="宋体"/>
                <w:sz w:val="21"/>
              </w:rPr>
              <w:t>51%</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现金出售</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收购方实际</w:t>
            </w:r>
          </w:p>
          <w:p>
            <w:pPr>
              <w:pStyle w:val="TableParagraph"/>
              <w:spacing w:line="240" w:lineRule="auto"/>
              <w:ind w:left="-1" w:right="48"/>
              <w:jc w:val="left"/>
              <w:rPr>
                <w:rFonts w:ascii="宋体" w:hAnsi="宋体" w:cs="宋体" w:eastAsia="宋体" w:hint="default"/>
                <w:sz w:val="21"/>
                <w:szCs w:val="21"/>
              </w:rPr>
            </w:pPr>
            <w:r>
              <w:rPr>
                <w:rFonts w:ascii="宋体" w:hAnsi="宋体" w:cs="宋体" w:eastAsia="宋体" w:hint="default"/>
                <w:sz w:val="21"/>
                <w:szCs w:val="21"/>
              </w:rPr>
              <w:t>取得经营决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策控制权</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left"/>
              <w:rPr>
                <w:rFonts w:ascii="宋体" w:hAnsi="宋体" w:cs="宋体" w:eastAsia="宋体" w:hint="default"/>
                <w:sz w:val="21"/>
                <w:szCs w:val="21"/>
              </w:rPr>
            </w:pPr>
            <w:r>
              <w:rPr>
                <w:rFonts w:ascii="宋体"/>
                <w:sz w:val="21"/>
              </w:rPr>
              <w:t>1,010,426.51</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8"/>
          <w:szCs w:val="18"/>
        </w:rPr>
      </w:pPr>
    </w:p>
    <w:p>
      <w:pPr>
        <w:pStyle w:val="BodyText"/>
        <w:spacing w:line="274" w:lineRule="exact" w:before="36"/>
        <w:ind w:left="144" w:right="0"/>
        <w:jc w:val="left"/>
      </w:pPr>
      <w:r>
        <w:rPr/>
        <w:t>其他说明：</w:t>
      </w:r>
    </w:p>
    <w:p>
      <w:pPr>
        <w:pStyle w:val="BodyText"/>
        <w:spacing w:line="272" w:lineRule="exact"/>
        <w:ind w:left="144" w:right="0"/>
        <w:jc w:val="left"/>
      </w:pPr>
      <w:r>
        <w:rPr/>
        <w:t>√适用 □不适用</w:t>
      </w:r>
    </w:p>
    <w:p>
      <w:pPr>
        <w:pStyle w:val="BodyText"/>
        <w:spacing w:line="273" w:lineRule="auto"/>
        <w:ind w:left="144" w:right="0" w:firstLine="420"/>
        <w:jc w:val="left"/>
      </w:pPr>
      <w:r>
        <w:rPr/>
        <w:t>本公司之子公司成都金证信息技术有限公司与甘露于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2"/>
        </w:rPr>
        <w:t> </w:t>
      </w:r>
      <w:r>
        <w:rPr/>
        <w:t>日签订本公司之孙公司成都金证同洲科技有限公司股权转让协议书，合同约定：</w:t>
      </w:r>
      <w:r>
        <w:rPr>
          <w:w w:val="100"/>
        </w:rPr>
        <w:t> </w:t>
      </w:r>
      <w:r>
        <w:rPr/>
        <w:t>本公司之子公司成都金证信息技术有限公司将其占同洲公司</w:t>
      </w:r>
      <w:r>
        <w:rPr>
          <w:spacing w:val="-54"/>
        </w:rPr>
        <w:t> </w:t>
      </w:r>
      <w:r>
        <w:rPr>
          <w:rFonts w:ascii="宋体" w:hAnsi="宋体" w:cs="宋体" w:eastAsia="宋体" w:hint="default"/>
        </w:rPr>
        <w:t>51%</w:t>
      </w:r>
      <w:r>
        <w:rPr/>
        <w:t>的股权转让给甘露，转让金额为</w:t>
      </w:r>
      <w:r>
        <w:rPr>
          <w:spacing w:val="-54"/>
        </w:rPr>
        <w:t> </w:t>
      </w:r>
      <w:r>
        <w:rPr>
          <w:rFonts w:ascii="宋体" w:hAnsi="宋体" w:cs="宋体" w:eastAsia="宋体" w:hint="default"/>
        </w:rPr>
        <w:t>306</w:t>
      </w:r>
      <w:r>
        <w:rPr>
          <w:rFonts w:ascii="宋体" w:hAnsi="宋体" w:cs="宋体" w:eastAsia="宋体" w:hint="default"/>
          <w:spacing w:val="-56"/>
        </w:rPr>
        <w:t> </w:t>
      </w:r>
      <w:r>
        <w:rPr/>
        <w:t>万元。</w:t>
      </w:r>
    </w:p>
    <w:p>
      <w:pPr>
        <w:spacing w:line="240" w:lineRule="auto" w:before="7"/>
        <w:rPr>
          <w:rFonts w:ascii="宋体" w:hAnsi="宋体" w:cs="宋体" w:eastAsia="宋体" w:hint="default"/>
          <w:sz w:val="21"/>
          <w:szCs w:val="21"/>
        </w:rPr>
      </w:pPr>
    </w:p>
    <w:p>
      <w:pPr>
        <w:pStyle w:val="BodyText"/>
        <w:spacing w:line="270" w:lineRule="exact"/>
        <w:ind w:left="144" w:right="0"/>
        <w:jc w:val="left"/>
      </w:pPr>
      <w:r>
        <w:rPr/>
        <w:t>是否存在通过多次交易分步处置对子公司投资且在本期丧失控制权的情形</w:t>
      </w:r>
    </w:p>
    <w:p>
      <w:pPr>
        <w:pStyle w:val="Heading3"/>
        <w:spacing w:line="309" w:lineRule="exact"/>
        <w:ind w:left="144" w:right="0"/>
        <w:jc w:val="left"/>
      </w:pPr>
      <w:r>
        <w:rPr/>
        <w:t>□适用 √不适用</w:t>
      </w:r>
    </w:p>
    <w:p>
      <w:pPr>
        <w:pStyle w:val="Heading2"/>
        <w:spacing w:line="240" w:lineRule="auto" w:before="58"/>
        <w:ind w:left="144" w:right="0"/>
        <w:jc w:val="left"/>
        <w:rPr>
          <w:b w:val="0"/>
          <w:bCs w:val="0"/>
        </w:rPr>
      </w:pPr>
      <w:r>
        <w:rPr>
          <w:rFonts w:ascii="宋体" w:hAnsi="宋体" w:cs="宋体" w:eastAsia="宋体" w:hint="default"/>
        </w:rPr>
        <w:t>5</w:t>
      </w:r>
      <w:r>
        <w:rPr/>
        <w:t>、</w:t>
      </w:r>
      <w:r>
        <w:rPr>
          <w:spacing w:val="-67"/>
        </w:rPr>
        <w:t> </w:t>
      </w:r>
      <w:r>
        <w:rPr/>
        <w:t>其他原因的合并范围变动</w:t>
      </w:r>
      <w:r>
        <w:rPr>
          <w:b w:val="0"/>
          <w:bCs w:val="0"/>
        </w:rPr>
      </w:r>
    </w:p>
    <w:p>
      <w:pPr>
        <w:pStyle w:val="BodyText"/>
        <w:spacing w:line="274" w:lineRule="exact" w:before="62"/>
        <w:ind w:left="144" w:right="0"/>
        <w:jc w:val="left"/>
      </w:pPr>
      <w:r>
        <w:rPr/>
        <w:t>说明其他原因导致的合并范围变动（如，新设子公司、清算子公司等）及其相关情况：</w:t>
      </w:r>
    </w:p>
    <w:p>
      <w:pPr>
        <w:pStyle w:val="BodyText"/>
        <w:spacing w:line="274" w:lineRule="exact"/>
        <w:ind w:left="144" w:right="0"/>
        <w:jc w:val="left"/>
      </w:pPr>
      <w:r>
        <w:rPr/>
        <w:t>√适用 □不适用</w:t>
      </w:r>
    </w:p>
    <w:p>
      <w:pPr>
        <w:spacing w:after="0" w:line="274" w:lineRule="exact"/>
        <w:jc w:val="left"/>
        <w:sectPr>
          <w:type w:val="continuous"/>
          <w:pgSz w:w="16840" w:h="11910" w:orient="landscape"/>
          <w:pgMar w:top="1120" w:bottom="1380" w:left="1380" w:right="1220"/>
        </w:sectPr>
      </w:pPr>
    </w:p>
    <w:p>
      <w:pPr>
        <w:pStyle w:val="BodyText"/>
        <w:spacing w:line="240" w:lineRule="auto" w:before="117"/>
        <w:ind w:left="624" w:right="0"/>
        <w:jc w:val="left"/>
        <w:rPr>
          <w:rFonts w:ascii="宋体" w:hAnsi="宋体" w:cs="宋体" w:eastAsia="宋体" w:hint="default"/>
        </w:rPr>
      </w:pPr>
      <w:r>
        <w:rPr/>
        <w:t>本公司之子公司深圳市睿服科技有限公司于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6"/>
        </w:rPr>
        <w:t> </w:t>
      </w:r>
      <w:r>
        <w:rPr/>
        <w:t>日由本公司和深圳市金锐联投资企业（有限合伙）共同投资设立。公司注册资本</w:t>
      </w:r>
      <w:r>
        <w:rPr>
          <w:spacing w:val="-54"/>
        </w:rPr>
        <w:t> </w:t>
      </w:r>
      <w:r>
        <w:rPr>
          <w:rFonts w:ascii="宋体" w:hAnsi="宋体" w:cs="宋体" w:eastAsia="宋体" w:hint="default"/>
        </w:rPr>
        <w:t>2000</w:t>
      </w:r>
    </w:p>
    <w:p>
      <w:pPr>
        <w:pStyle w:val="BodyText"/>
        <w:spacing w:line="240" w:lineRule="auto" w:before="37"/>
        <w:ind w:left="144" w:right="0"/>
        <w:jc w:val="left"/>
        <w:rPr>
          <w:rFonts w:ascii="宋体" w:hAnsi="宋体" w:cs="宋体" w:eastAsia="宋体" w:hint="default"/>
        </w:rPr>
      </w:pPr>
      <w:r>
        <w:rPr/>
        <w:t>万，深圳市金证科技股份有限公司投资</w:t>
      </w:r>
      <w:r>
        <w:rPr>
          <w:spacing w:val="-54"/>
        </w:rPr>
        <w:t> </w:t>
      </w:r>
      <w:r>
        <w:rPr>
          <w:rFonts w:ascii="宋体" w:hAnsi="宋体" w:cs="宋体" w:eastAsia="宋体" w:hint="default"/>
        </w:rPr>
        <w:t>1200</w:t>
      </w:r>
      <w:r>
        <w:rPr>
          <w:rFonts w:ascii="宋体" w:hAnsi="宋体" w:cs="宋体" w:eastAsia="宋体" w:hint="default"/>
          <w:spacing w:val="-57"/>
        </w:rPr>
        <w:t> </w:t>
      </w:r>
      <w:r>
        <w:rPr/>
        <w:t>万元，持股比例为</w:t>
      </w:r>
      <w:r>
        <w:rPr>
          <w:spacing w:val="-55"/>
        </w:rPr>
        <w:t> </w:t>
      </w:r>
      <w:r>
        <w:rPr>
          <w:rFonts w:ascii="宋体" w:hAnsi="宋体" w:cs="宋体" w:eastAsia="宋体" w:hint="default"/>
        </w:rPr>
        <w:t>60%</w:t>
      </w:r>
      <w:r>
        <w:rPr/>
        <w:t>，深圳市金锐联投资企业（有限合伙）投资</w:t>
      </w:r>
      <w:r>
        <w:rPr>
          <w:spacing w:val="-54"/>
        </w:rPr>
        <w:t> </w:t>
      </w:r>
      <w:r>
        <w:rPr>
          <w:rFonts w:ascii="宋体" w:hAnsi="宋体" w:cs="宋体" w:eastAsia="宋体" w:hint="default"/>
        </w:rPr>
        <w:t>800</w:t>
      </w:r>
      <w:r>
        <w:rPr>
          <w:rFonts w:ascii="宋体" w:hAnsi="宋体" w:cs="宋体" w:eastAsia="宋体" w:hint="default"/>
          <w:spacing w:val="-55"/>
        </w:rPr>
        <w:t> </w:t>
      </w:r>
      <w:r>
        <w:rPr/>
        <w:t>万元，持股比例为</w:t>
      </w:r>
      <w:r>
        <w:rPr>
          <w:spacing w:val="-55"/>
        </w:rPr>
        <w:t> </w:t>
      </w:r>
      <w:r>
        <w:rPr>
          <w:rFonts w:ascii="宋体" w:hAnsi="宋体" w:cs="宋体" w:eastAsia="宋体" w:hint="default"/>
        </w:rPr>
        <w:t>40%</w:t>
      </w:r>
      <w:r>
        <w:rPr/>
        <w:t>。截止</w:t>
      </w:r>
      <w:r>
        <w:rPr>
          <w:spacing w:val="-54"/>
        </w:rPr>
        <w:t> </w:t>
      </w:r>
      <w:r>
        <w:rPr>
          <w:rFonts w:ascii="宋体" w:hAnsi="宋体" w:cs="宋体" w:eastAsia="宋体" w:hint="default"/>
        </w:rPr>
        <w:t>2017</w:t>
      </w:r>
    </w:p>
    <w:p>
      <w:pPr>
        <w:pStyle w:val="BodyText"/>
        <w:spacing w:line="240" w:lineRule="auto" w:before="39"/>
        <w:ind w:left="144" w:right="0"/>
        <w:jc w:val="left"/>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日，本公司完成第一期投资</w:t>
      </w:r>
      <w:r>
        <w:rPr>
          <w:spacing w:val="-52"/>
        </w:rPr>
        <w:t> </w:t>
      </w:r>
      <w:r>
        <w:rPr>
          <w:rFonts w:ascii="宋体" w:hAnsi="宋体" w:cs="宋体" w:eastAsia="宋体" w:hint="default"/>
        </w:rPr>
        <w:t>885.75</w:t>
      </w:r>
      <w:r>
        <w:rPr>
          <w:rFonts w:ascii="宋体" w:hAnsi="宋体" w:cs="宋体" w:eastAsia="宋体" w:hint="default"/>
          <w:spacing w:val="-53"/>
        </w:rPr>
        <w:t> </w:t>
      </w:r>
      <w:r>
        <w:rPr>
          <w:spacing w:val="-3"/>
        </w:rPr>
        <w:t>万元。</w:t>
      </w:r>
      <w:r>
        <w:rPr/>
      </w:r>
    </w:p>
    <w:p>
      <w:pPr>
        <w:pStyle w:val="BodyText"/>
        <w:spacing w:line="240" w:lineRule="auto" w:before="37"/>
        <w:ind w:left="564" w:right="0"/>
        <w:jc w:val="left"/>
      </w:pPr>
      <w:r>
        <w:rPr/>
        <w:t>本公司之子公司深圳金证引擎科技有限公司于</w:t>
      </w:r>
      <w:r>
        <w:rPr>
          <w:spacing w:val="-55"/>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5</w:t>
      </w:r>
      <w:r>
        <w:rPr>
          <w:rFonts w:ascii="宋体" w:hAnsi="宋体" w:cs="宋体" w:eastAsia="宋体" w:hint="default"/>
          <w:spacing w:val="-57"/>
        </w:rPr>
        <w:t> </w:t>
      </w:r>
      <w:r>
        <w:rPr/>
        <w:t>月</w:t>
      </w:r>
      <w:r>
        <w:rPr>
          <w:spacing w:val="-55"/>
        </w:rPr>
        <w:t> </w:t>
      </w:r>
      <w:r>
        <w:rPr>
          <w:rFonts w:ascii="宋体" w:hAnsi="宋体" w:cs="宋体" w:eastAsia="宋体" w:hint="default"/>
        </w:rPr>
        <w:t>3</w:t>
      </w:r>
      <w:r>
        <w:rPr>
          <w:rFonts w:ascii="宋体" w:hAnsi="宋体" w:cs="宋体" w:eastAsia="宋体" w:hint="default"/>
          <w:spacing w:val="-55"/>
        </w:rPr>
        <w:t> </w:t>
      </w:r>
      <w:r>
        <w:rPr/>
        <w:t>日由本公司和深圳市金产融投资合伙企业（有限合伙）共同出资设立。公司注册资本</w:t>
      </w:r>
    </w:p>
    <w:p>
      <w:pPr>
        <w:pStyle w:val="BodyText"/>
        <w:spacing w:line="273" w:lineRule="auto" w:before="39"/>
        <w:ind w:left="144" w:right="0"/>
        <w:jc w:val="left"/>
      </w:pPr>
      <w:r>
        <w:rPr>
          <w:rFonts w:ascii="宋体" w:hAnsi="宋体" w:cs="宋体" w:eastAsia="宋体" w:hint="default"/>
        </w:rPr>
        <w:t>1000</w:t>
      </w:r>
      <w:r>
        <w:rPr>
          <w:rFonts w:ascii="宋体" w:hAnsi="宋体" w:cs="宋体" w:eastAsia="宋体" w:hint="default"/>
          <w:spacing w:val="-49"/>
        </w:rPr>
        <w:t> </w:t>
      </w:r>
      <w:r>
        <w:rPr>
          <w:spacing w:val="-6"/>
        </w:rPr>
        <w:t>万元，本公司出资</w:t>
      </w:r>
      <w:r>
        <w:rPr>
          <w:spacing w:val="-47"/>
        </w:rPr>
        <w:t> </w:t>
      </w:r>
      <w:r>
        <w:rPr>
          <w:rFonts w:ascii="宋体" w:hAnsi="宋体" w:cs="宋体" w:eastAsia="宋体" w:hint="default"/>
        </w:rPr>
        <w:t>510</w:t>
      </w:r>
      <w:r>
        <w:rPr>
          <w:rFonts w:ascii="宋体" w:hAnsi="宋体" w:cs="宋体" w:eastAsia="宋体" w:hint="default"/>
          <w:spacing w:val="-47"/>
        </w:rPr>
        <w:t> </w:t>
      </w:r>
      <w:r>
        <w:rPr>
          <w:spacing w:val="-6"/>
        </w:rPr>
        <w:t>万元，持股比例为</w:t>
      </w:r>
      <w:r>
        <w:rPr>
          <w:spacing w:val="-49"/>
        </w:rPr>
        <w:t> </w:t>
      </w:r>
      <w:r>
        <w:rPr>
          <w:rFonts w:ascii="宋体" w:hAnsi="宋体" w:cs="宋体" w:eastAsia="宋体" w:hint="default"/>
          <w:spacing w:val="-6"/>
        </w:rPr>
        <w:t>51%</w:t>
      </w:r>
      <w:r>
        <w:rPr>
          <w:spacing w:val="-6"/>
        </w:rPr>
        <w:t>，深圳市金产融投资合伙企业（有限合伙）出资</w:t>
      </w:r>
      <w:r>
        <w:rPr>
          <w:spacing w:val="-49"/>
        </w:rPr>
        <w:t> </w:t>
      </w:r>
      <w:r>
        <w:rPr>
          <w:rFonts w:ascii="宋体" w:hAnsi="宋体" w:cs="宋体" w:eastAsia="宋体" w:hint="default"/>
        </w:rPr>
        <w:t>490</w:t>
      </w:r>
      <w:r>
        <w:rPr>
          <w:rFonts w:ascii="宋体" w:hAnsi="宋体" w:cs="宋体" w:eastAsia="宋体" w:hint="default"/>
          <w:spacing w:val="-49"/>
        </w:rPr>
        <w:t> </w:t>
      </w:r>
      <w:r>
        <w:rPr>
          <w:spacing w:val="-6"/>
        </w:rPr>
        <w:t>万元，持股比例为</w:t>
      </w:r>
      <w:r>
        <w:rPr>
          <w:spacing w:val="-49"/>
        </w:rPr>
        <w:t> </w:t>
      </w:r>
      <w:r>
        <w:rPr>
          <w:rFonts w:ascii="宋体" w:hAnsi="宋体" w:cs="宋体" w:eastAsia="宋体" w:hint="default"/>
          <w:spacing w:val="-7"/>
        </w:rPr>
        <w:t>49%</w:t>
      </w:r>
      <w:r>
        <w:rPr>
          <w:spacing w:val="-7"/>
        </w:rPr>
        <w:t>。截止</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3"/>
        </w:rPr>
        <w:t>日，</w:t>
      </w:r>
      <w:r>
        <w:rPr>
          <w:spacing w:val="-102"/>
        </w:rPr>
        <w:t> </w:t>
      </w:r>
      <w:r>
        <w:rPr/>
        <w:t>本公司已全部实缴出资。</w:t>
      </w:r>
    </w:p>
    <w:p>
      <w:pPr>
        <w:pStyle w:val="BodyText"/>
        <w:spacing w:line="240" w:lineRule="auto" w:before="10"/>
        <w:ind w:left="564" w:right="0"/>
        <w:jc w:val="left"/>
        <w:rPr>
          <w:rFonts w:ascii="宋体" w:hAnsi="宋体" w:cs="宋体" w:eastAsia="宋体" w:hint="default"/>
        </w:rPr>
      </w:pPr>
      <w:r>
        <w:rPr/>
        <w:t>本公司之子公司深圳市齐普生科技股份有限公司在</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6</w:t>
      </w:r>
      <w:r>
        <w:rPr>
          <w:rFonts w:ascii="宋体" w:hAnsi="宋体" w:cs="宋体" w:eastAsia="宋体" w:hint="default"/>
          <w:spacing w:val="-50"/>
        </w:rPr>
        <w:t> </w:t>
      </w:r>
      <w:r>
        <w:rPr/>
        <w:t>月</w:t>
      </w:r>
      <w:r>
        <w:rPr>
          <w:spacing w:val="-48"/>
        </w:rPr>
        <w:t> </w:t>
      </w:r>
      <w:r>
        <w:rPr>
          <w:rFonts w:ascii="宋体" w:hAnsi="宋体" w:cs="宋体" w:eastAsia="宋体" w:hint="default"/>
        </w:rPr>
        <w:t>22</w:t>
      </w:r>
      <w:r>
        <w:rPr>
          <w:rFonts w:ascii="宋体" w:hAnsi="宋体" w:cs="宋体" w:eastAsia="宋体" w:hint="default"/>
          <w:spacing w:val="-50"/>
        </w:rPr>
        <w:t> </w:t>
      </w:r>
      <w:r>
        <w:rPr>
          <w:spacing w:val="-6"/>
        </w:rPr>
        <w:t>日出资设立齐普生信息科技（海南）有限公司，注册资本为</w:t>
      </w:r>
      <w:r>
        <w:rPr>
          <w:spacing w:val="-48"/>
        </w:rPr>
        <w:t> </w:t>
      </w:r>
      <w:r>
        <w:rPr>
          <w:rFonts w:ascii="宋体" w:hAnsi="宋体" w:cs="宋体" w:eastAsia="宋体" w:hint="default"/>
        </w:rPr>
        <w:t>3000</w:t>
      </w:r>
      <w:r>
        <w:rPr>
          <w:rFonts w:ascii="宋体" w:hAnsi="宋体" w:cs="宋体" w:eastAsia="宋体" w:hint="default"/>
          <w:spacing w:val="-48"/>
        </w:rPr>
        <w:t> </w:t>
      </w:r>
      <w:r>
        <w:rPr>
          <w:spacing w:val="-9"/>
        </w:rPr>
        <w:t>万元，截止</w:t>
      </w:r>
      <w:r>
        <w:rPr>
          <w:spacing w:val="-48"/>
        </w:rPr>
        <w:t> </w:t>
      </w:r>
      <w:r>
        <w:rPr>
          <w:rFonts w:ascii="宋体" w:hAnsi="宋体" w:cs="宋体" w:eastAsia="宋体" w:hint="default"/>
        </w:rPr>
        <w:t>2017</w:t>
      </w:r>
    </w:p>
    <w:p>
      <w:pPr>
        <w:pStyle w:val="BodyText"/>
        <w:spacing w:line="240" w:lineRule="auto" w:before="37"/>
        <w:ind w:left="144" w:right="0"/>
        <w:jc w:val="left"/>
      </w:pP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日，尚未实缴出资。</w:t>
      </w:r>
    </w:p>
    <w:p>
      <w:pPr>
        <w:pStyle w:val="Heading2"/>
        <w:spacing w:line="240" w:lineRule="auto" w:before="94"/>
        <w:ind w:left="144" w:right="0"/>
        <w:jc w:val="left"/>
        <w:rPr>
          <w:b w:val="0"/>
          <w:bCs w:val="0"/>
        </w:rPr>
      </w:pPr>
      <w:r>
        <w:rPr>
          <w:rFonts w:ascii="宋体" w:hAnsi="宋体" w:cs="宋体" w:eastAsia="宋体" w:hint="default"/>
        </w:rPr>
        <w:t>6</w:t>
      </w:r>
      <w:r>
        <w:rPr/>
        <w:t>、</w:t>
      </w:r>
      <w:r>
        <w:rPr>
          <w:spacing w:val="-62"/>
        </w:rPr>
        <w:t> </w:t>
      </w:r>
      <w:r>
        <w:rPr/>
        <w:t>其他</w:t>
      </w:r>
      <w:r>
        <w:rPr>
          <w:b w:val="0"/>
          <w:bCs w:val="0"/>
        </w:rPr>
      </w:r>
    </w:p>
    <w:p>
      <w:pPr>
        <w:pStyle w:val="BodyText"/>
        <w:tabs>
          <w:tab w:pos="986" w:val="left" w:leader="none"/>
        </w:tabs>
        <w:spacing w:line="240" w:lineRule="auto" w:before="61"/>
        <w:ind w:left="144" w:right="0"/>
        <w:jc w:val="left"/>
      </w:pPr>
      <w:r>
        <w:rPr/>
        <w:t>□适用</w:t>
        <w:tab/>
        <w:t>√不适用</w:t>
      </w:r>
    </w:p>
    <w:p>
      <w:pPr>
        <w:spacing w:after="0" w:line="240" w:lineRule="auto"/>
        <w:jc w:val="left"/>
        <w:sectPr>
          <w:pgSz w:w="16840" w:h="11910" w:orient="landscape"/>
          <w:pgMar w:header="882"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057" w:val="left" w:leader="none"/>
        </w:tabs>
        <w:spacing w:line="283" w:lineRule="auto" w:before="168"/>
        <w:ind w:right="6057"/>
        <w:jc w:val="left"/>
        <w:rPr>
          <w:b w:val="0"/>
          <w:bCs w:val="0"/>
        </w:rPr>
      </w:pPr>
      <w:r>
        <w:rPr/>
        <w:t>九、</w:t>
        <w:tab/>
        <w:t>在其他主体中的权益</w:t>
      </w:r>
      <w:r>
        <w:rPr>
          <w:w w:val="99"/>
        </w:rPr>
        <w:t> </w:t>
      </w:r>
      <w:r>
        <w:rPr>
          <w:rFonts w:ascii="宋体" w:hAnsi="宋体" w:cs="宋体" w:eastAsia="宋体" w:hint="default"/>
        </w:rPr>
        <w:t>1</w:t>
      </w:r>
      <w:r>
        <w:rPr/>
        <w:t>、</w:t>
      </w:r>
      <w:r>
        <w:rPr>
          <w:spacing w:val="-66"/>
        </w:rPr>
        <w:t> </w:t>
      </w:r>
      <w:r>
        <w:rPr/>
        <w:t>在子公司中的权益</w:t>
      </w:r>
      <w:r>
        <w:rPr>
          <w:b w:val="0"/>
          <w:bCs w:val="0"/>
        </w:rPr>
      </w:r>
    </w:p>
    <w:p>
      <w:pPr>
        <w:pStyle w:val="Heading2"/>
        <w:spacing w:line="240" w:lineRule="auto" w:before="12"/>
        <w:ind w:right="215"/>
        <w:jc w:val="left"/>
        <w:rPr>
          <w:b w:val="0"/>
          <w:bCs w:val="0"/>
        </w:rPr>
      </w:pPr>
      <w:r>
        <w:rPr>
          <w:rFonts w:ascii="宋体" w:hAnsi="宋体" w:cs="宋体" w:eastAsia="宋体" w:hint="default"/>
        </w:rPr>
        <w:t>(1).</w:t>
      </w:r>
      <w:r>
        <w:rPr>
          <w:rFonts w:ascii="宋体" w:hAnsi="宋体" w:cs="宋体" w:eastAsia="宋体" w:hint="default"/>
          <w:spacing w:val="36"/>
        </w:rPr>
        <w:t> </w:t>
      </w:r>
      <w:r>
        <w:rPr/>
        <w:t>企业集团的构成</w:t>
      </w:r>
      <w:r>
        <w:rPr>
          <w:b w:val="0"/>
          <w:bCs w:val="0"/>
        </w:rPr>
      </w:r>
    </w:p>
    <w:p>
      <w:pPr>
        <w:pStyle w:val="BodyText"/>
        <w:spacing w:line="240" w:lineRule="auto" w:before="64"/>
        <w:ind w:right="21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6"/>
        <w:gridCol w:w="962"/>
        <w:gridCol w:w="980"/>
        <w:gridCol w:w="1118"/>
        <w:gridCol w:w="742"/>
        <w:gridCol w:w="742"/>
        <w:gridCol w:w="1279"/>
      </w:tblGrid>
      <w:tr>
        <w:trPr>
          <w:trHeight w:val="283" w:hRule="exact"/>
        </w:trPr>
        <w:tc>
          <w:tcPr>
            <w:tcW w:w="3226" w:type="dxa"/>
            <w:vMerge w:val="restart"/>
            <w:tcBorders>
              <w:top w:val="single" w:sz="4" w:space="0" w:color="000000"/>
              <w:left w:val="single" w:sz="4" w:space="0" w:color="000000"/>
              <w:right w:val="single" w:sz="4" w:space="0" w:color="000000"/>
            </w:tcBorders>
          </w:tcPr>
          <w:p>
            <w:pPr>
              <w:pStyle w:val="TableParagraph"/>
              <w:spacing w:line="272" w:lineRule="exact" w:before="3"/>
              <w:ind w:left="1291" w:right="1289"/>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962" w:type="dxa"/>
            <w:vMerge w:val="restart"/>
            <w:tcBorders>
              <w:top w:val="single" w:sz="4" w:space="0" w:color="000000"/>
              <w:left w:val="single" w:sz="4" w:space="0" w:color="000000"/>
              <w:right w:val="single" w:sz="4" w:space="0" w:color="000000"/>
            </w:tcBorders>
          </w:tcPr>
          <w:p>
            <w:pPr>
              <w:pStyle w:val="TableParagraph"/>
              <w:spacing w:line="272" w:lineRule="exact" w:before="3"/>
              <w:ind w:left="266" w:right="156"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112"/>
              <w:ind w:left="16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112"/>
              <w:ind w:left="13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79" w:type="dxa"/>
            <w:vMerge w:val="restart"/>
            <w:tcBorders>
              <w:top w:val="single" w:sz="4" w:space="0" w:color="000000"/>
              <w:left w:val="single" w:sz="4" w:space="0" w:color="000000"/>
              <w:right w:val="single" w:sz="4" w:space="0" w:color="000000"/>
            </w:tcBorders>
          </w:tcPr>
          <w:p>
            <w:pPr>
              <w:pStyle w:val="TableParagraph"/>
              <w:spacing w:line="272" w:lineRule="exact" w:before="3"/>
              <w:ind w:left="424" w:right="42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288" w:hRule="exact"/>
        </w:trPr>
        <w:tc>
          <w:tcPr>
            <w:tcW w:w="3226" w:type="dxa"/>
            <w:vMerge/>
            <w:tcBorders>
              <w:left w:val="single" w:sz="4" w:space="0" w:color="000000"/>
              <w:bottom w:val="single" w:sz="4" w:space="0" w:color="000000"/>
              <w:right w:val="single" w:sz="4" w:space="0" w:color="000000"/>
            </w:tcBorders>
          </w:tcPr>
          <w:p>
            <w:pPr/>
          </w:p>
        </w:tc>
        <w:tc>
          <w:tcPr>
            <w:tcW w:w="962"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2"/>
              <w:jc w:val="right"/>
              <w:rPr>
                <w:rFonts w:ascii="宋体" w:hAnsi="宋体" w:cs="宋体" w:eastAsia="宋体" w:hint="default"/>
                <w:sz w:val="21"/>
                <w:szCs w:val="21"/>
              </w:rPr>
            </w:pPr>
            <w:r>
              <w:rPr>
                <w:rFonts w:ascii="宋体" w:hAnsi="宋体" w:cs="宋体" w:eastAsia="宋体" w:hint="default"/>
                <w:sz w:val="21"/>
                <w:szCs w:val="21"/>
              </w:rPr>
              <w:t>间接</w:t>
            </w:r>
          </w:p>
        </w:tc>
        <w:tc>
          <w:tcPr>
            <w:tcW w:w="1279" w:type="dxa"/>
            <w:vMerge/>
            <w:tcBorders>
              <w:left w:val="single" w:sz="4" w:space="0" w:color="000000"/>
              <w:bottom w:val="single" w:sz="4" w:space="0" w:color="000000"/>
              <w:right w:val="single" w:sz="4" w:space="0" w:color="000000"/>
            </w:tcBorders>
          </w:tcPr>
          <w:p>
            <w:pP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41.20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47.25</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60</w:t>
            </w:r>
          </w:p>
        </w:tc>
        <w:tc>
          <w:tcPr>
            <w:tcW w:w="74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47.7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齐普生信息科技（海南）有限公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r>
    </w:tbl>
    <w:p>
      <w:pPr>
        <w:pStyle w:val="BodyText"/>
        <w:spacing w:line="241" w:lineRule="exact"/>
        <w:ind w:left="638" w:right="123"/>
        <w:jc w:val="left"/>
      </w:pPr>
      <w:r>
        <w:rPr/>
        <w:t>持有半数或以下表决权但仍控制被投资单位、以及持有半数以上表决权但不控制被投资单位</w:t>
      </w:r>
    </w:p>
    <w:p>
      <w:pPr>
        <w:pStyle w:val="BodyText"/>
        <w:spacing w:line="240" w:lineRule="auto" w:before="37"/>
        <w:ind w:right="215"/>
        <w:jc w:val="left"/>
      </w:pPr>
      <w:r>
        <w:rPr/>
        <w:t>的依据：</w:t>
      </w:r>
    </w:p>
    <w:p>
      <w:pPr>
        <w:pStyle w:val="BodyText"/>
        <w:spacing w:line="273" w:lineRule="auto" w:before="159"/>
        <w:ind w:right="230" w:firstLine="479"/>
        <w:jc w:val="both"/>
      </w:pPr>
      <w:r>
        <w:rPr>
          <w:spacing w:val="-2"/>
        </w:rPr>
        <w:t>本公司持有深圳市齐普生科技股份有限公司股权比例为</w:t>
      </w:r>
      <w:r>
        <w:rPr>
          <w:spacing w:val="7"/>
        </w:rPr>
        <w:t> </w:t>
      </w:r>
      <w:r>
        <w:rPr>
          <w:rFonts w:ascii="宋体" w:hAnsi="宋体" w:cs="宋体" w:eastAsia="宋体" w:hint="default"/>
          <w:spacing w:val="-2"/>
        </w:rPr>
        <w:t>47.7%</w:t>
      </w:r>
      <w:r>
        <w:rPr>
          <w:spacing w:val="-2"/>
        </w:rPr>
        <w:t>，持股比例半数以下，主要系</w:t>
      </w:r>
      <w:r>
        <w:rPr>
          <w:w w:val="100"/>
        </w:rPr>
        <w:t> </w:t>
      </w:r>
      <w:r>
        <w:rPr>
          <w:spacing w:val="-2"/>
        </w:rPr>
        <w:t>本公司为深圳市齐普生科技股份有限公司第一大股东，且本公司委派的董事超过深圳市齐普生科</w:t>
      </w:r>
      <w:r>
        <w:rPr>
          <w:spacing w:val="-25"/>
        </w:rPr>
        <w:t> </w:t>
      </w:r>
      <w:r>
        <w:rPr>
          <w:spacing w:val="-25"/>
        </w:rPr>
      </w:r>
      <w:r>
        <w:rPr>
          <w:spacing w:val="-2"/>
        </w:rPr>
        <w:t>技股份有限公司全体董事的过半数，另本公司委派的董事系深圳市合生创利投资管理中心（有限</w:t>
      </w:r>
      <w:r>
        <w:rPr>
          <w:spacing w:val="-25"/>
        </w:rPr>
        <w:t> </w:t>
      </w:r>
      <w:r>
        <w:rPr>
          <w:spacing w:val="-25"/>
        </w:rPr>
      </w:r>
      <w:r>
        <w:rPr>
          <w:spacing w:val="-2"/>
        </w:rPr>
        <w:t>合伙）普通合伙人，对深圳市合生创利投资管理中心（有限合伙）的经营决策具有重要影响，因</w:t>
      </w:r>
      <w:r>
        <w:rPr>
          <w:spacing w:val="-25"/>
        </w:rPr>
        <w:t> </w:t>
      </w:r>
      <w:r>
        <w:rPr>
          <w:spacing w:val="-25"/>
        </w:rPr>
      </w:r>
      <w:r>
        <w:rPr>
          <w:spacing w:val="-2"/>
        </w:rPr>
        <w:t>此本公司对深圳市齐普生科技股份有限公司仍具有控制权，深圳市齐普生科技股份有限公司纳入</w:t>
      </w:r>
      <w:r>
        <w:rPr>
          <w:spacing w:val="-25"/>
        </w:rPr>
        <w:t> </w:t>
      </w:r>
      <w:r>
        <w:rPr>
          <w:spacing w:val="-25"/>
        </w:rPr>
      </w:r>
      <w:r>
        <w:rPr/>
        <w:t>本公司合并范围。</w:t>
      </w:r>
    </w:p>
    <w:p>
      <w:pPr>
        <w:pStyle w:val="BodyText"/>
        <w:spacing w:line="272" w:lineRule="exact" w:before="38"/>
        <w:ind w:right="230" w:firstLine="419"/>
        <w:jc w:val="both"/>
      </w:pPr>
      <w:r>
        <w:rPr/>
        <w:t>本公司持有深圳市金微蓝技术有限公司股权比例为</w:t>
      </w:r>
      <w:r>
        <w:rPr>
          <w:spacing w:val="-29"/>
        </w:rPr>
        <w:t> </w:t>
      </w:r>
      <w:r>
        <w:rPr>
          <w:rFonts w:ascii="宋体" w:hAnsi="宋体" w:cs="宋体" w:eastAsia="宋体" w:hint="default"/>
          <w:spacing w:val="-4"/>
        </w:rPr>
        <w:t>47.25%</w:t>
      </w:r>
      <w:r>
        <w:rPr>
          <w:spacing w:val="-4"/>
        </w:rPr>
        <w:t>，持股比例半数以下，主要系本公</w:t>
      </w:r>
      <w:r>
        <w:rPr>
          <w:w w:val="100"/>
        </w:rPr>
        <w:t> </w:t>
      </w:r>
      <w:r>
        <w:rPr>
          <w:spacing w:val="-2"/>
        </w:rPr>
        <w:t>司为深圳市金微蓝技术有限公司第一大股东，且本公司委派的董事超过深圳市金微蓝技术有限公</w:t>
      </w:r>
    </w:p>
    <w:p>
      <w:pPr>
        <w:spacing w:after="0" w:line="272" w:lineRule="exact"/>
        <w:jc w:val="both"/>
        <w:sectPr>
          <w:headerReference w:type="default" r:id="rId129"/>
          <w:footerReference w:type="default" r:id="rId130"/>
          <w:pgSz w:w="11910" w:h="16840"/>
          <w:pgMar w:header="882" w:footer="1195" w:top="1120" w:bottom="1380" w:left="1580" w:right="1040"/>
          <w:pgNumType w:start="152"/>
        </w:sectPr>
      </w:pPr>
    </w:p>
    <w:p>
      <w:pPr>
        <w:spacing w:line="240" w:lineRule="auto" w:before="1"/>
        <w:rPr>
          <w:rFonts w:ascii="宋体" w:hAnsi="宋体" w:cs="宋体" w:eastAsia="宋体" w:hint="default"/>
          <w:sz w:val="25"/>
          <w:szCs w:val="25"/>
        </w:rPr>
      </w:pPr>
    </w:p>
    <w:p>
      <w:pPr>
        <w:pStyle w:val="BodyText"/>
        <w:spacing w:line="240" w:lineRule="auto" w:before="36"/>
        <w:ind w:left="818" w:right="0"/>
        <w:jc w:val="left"/>
      </w:pPr>
      <w:r>
        <w:rPr>
          <w:spacing w:val="-2"/>
        </w:rPr>
        <w:t>司全体董事的过半数，因此本公司对深圳市金微蓝技术有限公司仍具有控制权，深圳市金微蓝技</w:t>
      </w:r>
      <w:r>
        <w:rPr>
          <w:spacing w:val="-25"/>
        </w:rPr>
        <w:t> </w:t>
      </w:r>
      <w:r>
        <w:rPr>
          <w:spacing w:val="-25"/>
        </w:rPr>
      </w:r>
      <w:r>
        <w:rPr/>
        <w:t>术有限公司纳入本公司合并范围。</w:t>
      </w:r>
    </w:p>
    <w:p>
      <w:pPr>
        <w:pStyle w:val="BodyText"/>
        <w:spacing w:line="230" w:lineRule="auto" w:before="126"/>
        <w:ind w:left="818" w:right="313" w:firstLine="424"/>
        <w:jc w:val="both"/>
      </w:pPr>
      <w:r>
        <w:rPr>
          <w:spacing w:val="-2"/>
        </w:rPr>
        <w:t>本公司之控股子公司深圳市睿服科技有限公司持有深圳市知领互联信息有限公司股权比例为</w:t>
      </w:r>
      <w:r>
        <w:rPr>
          <w:w w:val="100"/>
        </w:rPr>
        <w:t> </w:t>
      </w:r>
      <w:r>
        <w:rPr>
          <w:rFonts w:ascii="Times New Roman" w:hAnsi="Times New Roman" w:cs="Times New Roman" w:eastAsia="Times New Roman" w:hint="default"/>
        </w:rPr>
        <w:t>51%</w:t>
      </w:r>
      <w:r>
        <w:rPr/>
        <w:t>，本公司持有子公司深圳市睿服科技有限公司股权比例为</w:t>
      </w:r>
      <w:r>
        <w:rPr>
          <w:spacing w:val="-57"/>
        </w:rPr>
        <w:t> </w:t>
      </w:r>
      <w:r>
        <w:rPr>
          <w:rFonts w:ascii="Times New Roman" w:hAnsi="Times New Roman" w:cs="Times New Roman" w:eastAsia="Times New Roman" w:hint="default"/>
        </w:rPr>
        <w:t>60%</w:t>
      </w:r>
      <w:r>
        <w:rPr/>
        <w:t>，因此本公司最终持有深圳市</w:t>
      </w:r>
      <w:r>
        <w:rPr>
          <w:w w:val="100"/>
        </w:rPr>
        <w:t> </w:t>
      </w:r>
      <w:r>
        <w:rPr/>
        <w:t>知领互联信息有限公司的持股比例为</w:t>
      </w:r>
      <w:r>
        <w:rPr>
          <w:spacing w:val="-55"/>
        </w:rPr>
        <w:t> </w:t>
      </w:r>
      <w:r>
        <w:rPr>
          <w:rFonts w:ascii="Times New Roman" w:hAnsi="Times New Roman" w:cs="Times New Roman" w:eastAsia="Times New Roman" w:hint="default"/>
        </w:rPr>
        <w:t>30.6%</w:t>
      </w:r>
      <w:r>
        <w:rPr/>
        <w:t>。</w:t>
      </w:r>
    </w:p>
    <w:p>
      <w:pPr>
        <w:pStyle w:val="Heading2"/>
        <w:spacing w:line="240" w:lineRule="auto" w:before="38"/>
        <w:ind w:left="818" w:right="0"/>
        <w:jc w:val="left"/>
        <w:rPr>
          <w:b w:val="0"/>
          <w:bCs w:val="0"/>
        </w:rPr>
      </w:pPr>
      <w:r>
        <w:rPr>
          <w:rFonts w:ascii="宋体" w:hAnsi="宋体" w:cs="宋体" w:eastAsia="宋体" w:hint="default"/>
        </w:rPr>
        <w:t>(2).</w:t>
      </w:r>
      <w:r>
        <w:rPr>
          <w:rFonts w:ascii="宋体" w:hAnsi="宋体" w:cs="宋体" w:eastAsia="宋体" w:hint="default"/>
          <w:spacing w:val="36"/>
        </w:rPr>
        <w:t> </w:t>
      </w:r>
      <w:r>
        <w:rPr/>
        <w:t>重要的非全资子公司</w:t>
      </w:r>
      <w:r>
        <w:rPr>
          <w:b w:val="0"/>
          <w:bCs w:val="0"/>
        </w:rPr>
      </w:r>
    </w:p>
    <w:p>
      <w:pPr>
        <w:pStyle w:val="BodyText"/>
        <w:spacing w:line="240" w:lineRule="auto" w:before="61"/>
        <w:ind w:left="818" w:right="0"/>
        <w:jc w:val="left"/>
      </w:pPr>
      <w:r>
        <w:rPr/>
        <w:t>√适用</w:t>
      </w:r>
      <w:r>
        <w:rPr>
          <w:spacing w:val="-1"/>
        </w:rPr>
        <w:t> </w:t>
      </w:r>
      <w:r>
        <w:rPr/>
        <w:t>□不适用</w:t>
      </w:r>
    </w:p>
    <w:p>
      <w:pPr>
        <w:pStyle w:val="BodyText"/>
        <w:tabs>
          <w:tab w:pos="946" w:val="left" w:leader="none"/>
        </w:tabs>
        <w:spacing w:line="274" w:lineRule="exact"/>
        <w:ind w:left="0" w:right="3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389"/>
        <w:gridCol w:w="1577"/>
        <w:gridCol w:w="1580"/>
        <w:gridCol w:w="1820"/>
        <w:gridCol w:w="1685"/>
      </w:tblGrid>
      <w:tr>
        <w:trPr>
          <w:trHeight w:val="55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本期归属于少</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数股东的损益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44,152,169.47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20,920,000.00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165,574,702.70</w:t>
            </w:r>
          </w:p>
        </w:tc>
      </w:tr>
      <w:tr>
        <w:trPr>
          <w:trHeight w:val="55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21,677,081.79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15,340,000.00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121,773,056.14</w:t>
            </w:r>
          </w:p>
        </w:tc>
      </w:tr>
    </w:tbl>
    <w:p>
      <w:pPr>
        <w:spacing w:after="0" w:line="241" w:lineRule="exact"/>
        <w:jc w:val="right"/>
        <w:rPr>
          <w:rFonts w:ascii="宋体" w:hAnsi="宋体" w:cs="宋体" w:eastAsia="宋体" w:hint="default"/>
          <w:sz w:val="21"/>
          <w:szCs w:val="21"/>
        </w:rPr>
        <w:sectPr>
          <w:pgSz w:w="11910" w:h="16840"/>
          <w:pgMar w:header="882" w:footer="1195" w:top="1120" w:bottom="1380" w:left="980" w:right="960"/>
        </w:sectPr>
      </w:pPr>
    </w:p>
    <w:p>
      <w:pPr>
        <w:pStyle w:val="BodyText"/>
        <w:spacing w:line="239" w:lineRule="exact"/>
        <w:ind w:left="818" w:right="0"/>
        <w:jc w:val="left"/>
      </w:pPr>
      <w:r>
        <w:rPr>
          <w:spacing w:val="-2"/>
        </w:rPr>
        <w:t>子公司少数股东的持股比例不同于表决权比例的说明：</w:t>
      </w:r>
    </w:p>
    <w:p>
      <w:pPr>
        <w:pStyle w:val="BodyText"/>
        <w:spacing w:line="240" w:lineRule="auto"/>
        <w:ind w:left="818" w:right="3451"/>
        <w:jc w:val="left"/>
      </w:pPr>
      <w:r>
        <w:rPr/>
        <w:t>□适用</w:t>
      </w:r>
      <w:r>
        <w:rPr>
          <w:spacing w:val="-1"/>
        </w:rPr>
        <w:t> </w:t>
      </w:r>
      <w:r>
        <w:rPr/>
        <w:t>√不适用</w:t>
      </w:r>
      <w:r>
        <w:rPr>
          <w:w w:val="100"/>
        </w:rPr>
        <w:t> </w:t>
      </w:r>
      <w:r>
        <w:rPr/>
        <w:t>其他说明：</w:t>
      </w:r>
    </w:p>
    <w:p>
      <w:pPr>
        <w:pStyle w:val="BodyText"/>
        <w:spacing w:line="271" w:lineRule="exact"/>
        <w:ind w:left="818" w:right="0"/>
        <w:jc w:val="left"/>
      </w:pPr>
      <w:r>
        <w:rPr/>
        <w:t>□适用</w:t>
      </w:r>
      <w:r>
        <w:rPr>
          <w:spacing w:val="-1"/>
        </w:rPr>
        <w:t> </w:t>
      </w:r>
      <w:r>
        <w:rPr/>
        <w:t>√不适用</w:t>
      </w:r>
    </w:p>
    <w:p>
      <w:pPr>
        <w:pStyle w:val="Heading2"/>
        <w:spacing w:line="240" w:lineRule="auto" w:before="52"/>
        <w:ind w:left="818" w:right="0"/>
        <w:jc w:val="left"/>
        <w:rPr>
          <w:b w:val="0"/>
          <w:bCs w:val="0"/>
        </w:rPr>
      </w:pPr>
      <w:r>
        <w:rPr>
          <w:rFonts w:ascii="宋体" w:hAnsi="宋体" w:cs="宋体" w:eastAsia="宋体" w:hint="default"/>
        </w:rPr>
        <w:t>(3).</w:t>
      </w:r>
      <w:r>
        <w:rPr>
          <w:rFonts w:ascii="宋体" w:hAnsi="宋体" w:cs="宋体" w:eastAsia="宋体" w:hint="default"/>
          <w:spacing w:val="35"/>
        </w:rPr>
        <w:t> </w:t>
      </w:r>
      <w:r>
        <w:rPr/>
        <w:t>重要非全资子公司的主要财务信息</w:t>
      </w:r>
      <w:r>
        <w:rPr>
          <w:b w:val="0"/>
          <w:bCs w:val="0"/>
        </w:rPr>
      </w:r>
    </w:p>
    <w:p>
      <w:pPr>
        <w:pStyle w:val="Heading3"/>
        <w:tabs>
          <w:tab w:pos="1777" w:val="left" w:leader="none"/>
        </w:tabs>
        <w:spacing w:line="240" w:lineRule="auto" w:before="58"/>
        <w:ind w:left="818"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Heading3"/>
        <w:tabs>
          <w:tab w:pos="2138" w:val="left" w:leader="none"/>
        </w:tabs>
        <w:spacing w:line="240" w:lineRule="auto"/>
        <w:ind w:left="81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980" w:right="960"/>
          <w:cols w:num="2" w:equalWidth="0">
            <w:col w:w="5864" w:space="329"/>
            <w:col w:w="3777"/>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75"/>
        <w:gridCol w:w="710"/>
        <w:gridCol w:w="562"/>
        <w:gridCol w:w="644"/>
        <w:gridCol w:w="794"/>
        <w:gridCol w:w="475"/>
        <w:gridCol w:w="802"/>
        <w:gridCol w:w="794"/>
        <w:gridCol w:w="732"/>
        <w:gridCol w:w="794"/>
        <w:gridCol w:w="795"/>
        <w:gridCol w:w="473"/>
        <w:gridCol w:w="794"/>
      </w:tblGrid>
      <w:tr>
        <w:trPr>
          <w:trHeight w:val="283"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9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8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1" w:hRule="exact"/>
        </w:trPr>
        <w:tc>
          <w:tcPr>
            <w:tcW w:w="1275"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9" w:right="13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1" w:right="36"/>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5" w:right="104"/>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2" w:right="17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53" w:right="98"/>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2" w:right="185"/>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9" w:right="180"/>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7" w:right="14"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9" w:right="18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9" w:right="18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53" w:right="96"/>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9" w:right="18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82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深圳市齐普</w:t>
            </w:r>
          </w:p>
          <w:p>
            <w:pPr>
              <w:pStyle w:val="TableParagraph"/>
              <w:spacing w:line="272" w:lineRule="exact" w:before="27"/>
              <w:ind w:left="100" w:right="108"/>
              <w:jc w:val="left"/>
              <w:rPr>
                <w:rFonts w:ascii="宋体" w:hAnsi="宋体" w:cs="宋体" w:eastAsia="宋体" w:hint="default"/>
                <w:sz w:val="21"/>
                <w:szCs w:val="21"/>
              </w:rPr>
            </w:pPr>
            <w:r>
              <w:rPr>
                <w:rFonts w:ascii="宋体" w:hAnsi="宋体" w:cs="宋体" w:eastAsia="宋体" w:hint="default"/>
                <w:sz w:val="21"/>
                <w:szCs w:val="21"/>
              </w:rPr>
              <w:t>生科技股份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107,</w:t>
            </w:r>
          </w:p>
          <w:p>
            <w:pPr>
              <w:pStyle w:val="TableParagraph"/>
              <w:spacing w:line="272" w:lineRule="exact"/>
              <w:ind w:left="175" w:right="0"/>
              <w:jc w:val="left"/>
              <w:rPr>
                <w:rFonts w:ascii="宋体" w:hAnsi="宋体" w:cs="宋体" w:eastAsia="宋体" w:hint="default"/>
                <w:sz w:val="21"/>
                <w:szCs w:val="21"/>
              </w:rPr>
            </w:pPr>
            <w:r>
              <w:rPr>
                <w:rFonts w:ascii="宋体"/>
                <w:sz w:val="21"/>
              </w:rPr>
              <w:t>185.</w:t>
            </w:r>
          </w:p>
          <w:p>
            <w:pPr>
              <w:pStyle w:val="TableParagraph"/>
              <w:spacing w:line="273" w:lineRule="exact"/>
              <w:ind w:left="383" w:right="0"/>
              <w:jc w:val="left"/>
              <w:rPr>
                <w:rFonts w:ascii="宋体" w:hAnsi="宋体" w:cs="宋体" w:eastAsia="宋体" w:hint="default"/>
                <w:sz w:val="21"/>
                <w:szCs w:val="21"/>
              </w:rPr>
            </w:pPr>
            <w:r>
              <w:rPr>
                <w:rFonts w:ascii="宋体"/>
                <w:sz w:val="21"/>
              </w:rPr>
              <w:t>87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5,0</w:t>
            </w:r>
          </w:p>
          <w:p>
            <w:pPr>
              <w:pStyle w:val="TableParagraph"/>
              <w:spacing w:line="272" w:lineRule="exact"/>
              <w:ind w:left="28" w:right="0"/>
              <w:jc w:val="center"/>
              <w:rPr>
                <w:rFonts w:ascii="宋体" w:hAnsi="宋体" w:cs="宋体" w:eastAsia="宋体" w:hint="default"/>
                <w:sz w:val="21"/>
                <w:szCs w:val="21"/>
              </w:rPr>
            </w:pPr>
            <w:r>
              <w:rPr>
                <w:rFonts w:ascii="宋体"/>
                <w:sz w:val="21"/>
              </w:rPr>
              <w:t>20.</w:t>
            </w:r>
          </w:p>
          <w:p>
            <w:pPr>
              <w:pStyle w:val="TableParagraph"/>
              <w:spacing w:line="273" w:lineRule="exact"/>
              <w:ind w:left="129" w:right="0"/>
              <w:jc w:val="center"/>
              <w:rPr>
                <w:rFonts w:ascii="宋体" w:hAnsi="宋体" w:cs="宋体" w:eastAsia="宋体" w:hint="default"/>
                <w:sz w:val="21"/>
                <w:szCs w:val="21"/>
              </w:rPr>
            </w:pPr>
            <w:r>
              <w:rPr>
                <w:rFonts w:ascii="宋体"/>
                <w:sz w:val="21"/>
              </w:rPr>
              <w:t>04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112,</w:t>
            </w:r>
          </w:p>
          <w:p>
            <w:pPr>
              <w:pStyle w:val="TableParagraph"/>
              <w:spacing w:line="272" w:lineRule="exact"/>
              <w:ind w:left="110" w:right="0"/>
              <w:jc w:val="left"/>
              <w:rPr>
                <w:rFonts w:ascii="宋体" w:hAnsi="宋体" w:cs="宋体" w:eastAsia="宋体" w:hint="default"/>
                <w:sz w:val="21"/>
                <w:szCs w:val="21"/>
              </w:rPr>
            </w:pPr>
            <w:r>
              <w:rPr>
                <w:rFonts w:ascii="宋体"/>
                <w:sz w:val="21"/>
              </w:rPr>
              <w:t>205.</w:t>
            </w:r>
          </w:p>
          <w:p>
            <w:pPr>
              <w:pStyle w:val="TableParagraph"/>
              <w:spacing w:line="273" w:lineRule="exact"/>
              <w:ind w:left="319" w:right="0"/>
              <w:jc w:val="left"/>
              <w:rPr>
                <w:rFonts w:ascii="宋体" w:hAnsi="宋体" w:cs="宋体" w:eastAsia="宋体" w:hint="default"/>
                <w:sz w:val="21"/>
                <w:szCs w:val="21"/>
              </w:rPr>
            </w:pPr>
            <w:r>
              <w:rPr>
                <w:rFonts w:ascii="宋体"/>
                <w:sz w:val="21"/>
              </w:rPr>
              <w:t>91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sz w:val="21"/>
              </w:rPr>
              <w:t>80,54</w:t>
            </w:r>
          </w:p>
          <w:p>
            <w:pPr>
              <w:pStyle w:val="TableParagraph"/>
              <w:spacing w:line="274" w:lineRule="exact"/>
              <w:ind w:left="160" w:right="0"/>
              <w:jc w:val="center"/>
              <w:rPr>
                <w:rFonts w:ascii="宋体" w:hAnsi="宋体" w:cs="宋体" w:eastAsia="宋体" w:hint="default"/>
                <w:sz w:val="21"/>
                <w:szCs w:val="21"/>
              </w:rPr>
            </w:pPr>
            <w:r>
              <w:rPr>
                <w:rFonts w:ascii="宋体"/>
                <w:sz w:val="21"/>
              </w:rPr>
              <w:t>7.27</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w w:val="100"/>
                <w:sz w:val="21"/>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sz w:val="21"/>
              </w:rPr>
              <w:t>80,54</w:t>
            </w:r>
          </w:p>
          <w:p>
            <w:pPr>
              <w:pStyle w:val="TableParagraph"/>
              <w:spacing w:line="274" w:lineRule="exact"/>
              <w:ind w:left="162" w:right="0"/>
              <w:jc w:val="center"/>
              <w:rPr>
                <w:rFonts w:ascii="宋体" w:hAnsi="宋体" w:cs="宋体" w:eastAsia="宋体" w:hint="default"/>
                <w:sz w:val="21"/>
                <w:szCs w:val="21"/>
              </w:rPr>
            </w:pPr>
            <w:r>
              <w:rPr>
                <w:rFonts w:ascii="宋体"/>
                <w:sz w:val="21"/>
              </w:rPr>
              <w:t>7.27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93,59</w:t>
            </w:r>
          </w:p>
          <w:p>
            <w:pPr>
              <w:pStyle w:val="TableParagraph"/>
              <w:spacing w:line="274" w:lineRule="exact"/>
              <w:ind w:left="155" w:right="0"/>
              <w:jc w:val="center"/>
              <w:rPr>
                <w:rFonts w:ascii="宋体" w:hAnsi="宋体" w:cs="宋体" w:eastAsia="宋体" w:hint="default"/>
                <w:sz w:val="21"/>
                <w:szCs w:val="21"/>
              </w:rPr>
            </w:pPr>
            <w:r>
              <w:rPr>
                <w:rFonts w:ascii="宋体"/>
                <w:sz w:val="21"/>
              </w:rPr>
              <w:t>5.37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4,42</w:t>
            </w:r>
          </w:p>
          <w:p>
            <w:pPr>
              <w:pStyle w:val="TableParagraph"/>
              <w:spacing w:line="274" w:lineRule="exact"/>
              <w:ind w:left="199" w:right="0"/>
              <w:jc w:val="left"/>
              <w:rPr>
                <w:rFonts w:ascii="宋体" w:hAnsi="宋体" w:cs="宋体" w:eastAsia="宋体" w:hint="default"/>
                <w:sz w:val="21"/>
                <w:szCs w:val="21"/>
              </w:rPr>
            </w:pPr>
            <w:r>
              <w:rPr>
                <w:rFonts w:ascii="宋体"/>
                <w:sz w:val="21"/>
              </w:rPr>
              <w:t>7.14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98,02</w:t>
            </w:r>
          </w:p>
          <w:p>
            <w:pPr>
              <w:pStyle w:val="TableParagraph"/>
              <w:spacing w:line="274" w:lineRule="exact"/>
              <w:ind w:left="155" w:right="0"/>
              <w:jc w:val="center"/>
              <w:rPr>
                <w:rFonts w:ascii="宋体" w:hAnsi="宋体" w:cs="宋体" w:eastAsia="宋体" w:hint="default"/>
                <w:sz w:val="21"/>
                <w:szCs w:val="21"/>
              </w:rPr>
            </w:pPr>
            <w:r>
              <w:rPr>
                <w:rFonts w:ascii="宋体"/>
                <w:sz w:val="21"/>
              </w:rPr>
              <w:t>2.51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 w:right="0"/>
              <w:jc w:val="center"/>
              <w:rPr>
                <w:rFonts w:ascii="宋体" w:hAnsi="宋体" w:cs="宋体" w:eastAsia="宋体" w:hint="default"/>
                <w:sz w:val="21"/>
                <w:szCs w:val="21"/>
              </w:rPr>
            </w:pPr>
            <w:r>
              <w:rPr>
                <w:rFonts w:ascii="宋体"/>
                <w:sz w:val="21"/>
              </w:rPr>
              <w:t>70,80</w:t>
            </w:r>
          </w:p>
          <w:p>
            <w:pPr>
              <w:pStyle w:val="TableParagraph"/>
              <w:spacing w:line="274" w:lineRule="exact"/>
              <w:ind w:left="156" w:right="0"/>
              <w:jc w:val="center"/>
              <w:rPr>
                <w:rFonts w:ascii="宋体" w:hAnsi="宋体" w:cs="宋体" w:eastAsia="宋体" w:hint="default"/>
                <w:sz w:val="21"/>
                <w:szCs w:val="21"/>
              </w:rPr>
            </w:pPr>
            <w:r>
              <w:rPr>
                <w:rFonts w:ascii="宋体"/>
                <w:sz w:val="21"/>
              </w:rPr>
              <w:t>5.97</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w w:val="100"/>
                <w:sz w:val="21"/>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70,80</w:t>
            </w:r>
          </w:p>
          <w:p>
            <w:pPr>
              <w:pStyle w:val="TableParagraph"/>
              <w:spacing w:line="274" w:lineRule="exact"/>
              <w:ind w:left="155" w:right="0"/>
              <w:jc w:val="center"/>
              <w:rPr>
                <w:rFonts w:ascii="宋体" w:hAnsi="宋体" w:cs="宋体" w:eastAsia="宋体" w:hint="default"/>
                <w:sz w:val="21"/>
                <w:szCs w:val="21"/>
              </w:rPr>
            </w:pPr>
            <w:r>
              <w:rPr>
                <w:rFonts w:ascii="宋体"/>
                <w:sz w:val="21"/>
              </w:rPr>
              <w:t>5.97</w:t>
            </w:r>
          </w:p>
        </w:tc>
      </w:tr>
      <w:tr>
        <w:trPr>
          <w:trHeight w:val="82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金证财富南</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京科技有限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23,1</w:t>
            </w:r>
          </w:p>
          <w:p>
            <w:pPr>
              <w:pStyle w:val="TableParagraph"/>
              <w:spacing w:line="272" w:lineRule="exact"/>
              <w:ind w:right="101"/>
              <w:jc w:val="right"/>
              <w:rPr>
                <w:rFonts w:ascii="宋体" w:hAnsi="宋体" w:cs="宋体" w:eastAsia="宋体" w:hint="default"/>
                <w:sz w:val="21"/>
                <w:szCs w:val="21"/>
              </w:rPr>
            </w:pPr>
            <w:r>
              <w:rPr>
                <w:rFonts w:ascii="宋体"/>
                <w:sz w:val="21"/>
              </w:rPr>
              <w:t>55.5</w:t>
            </w:r>
          </w:p>
          <w:p>
            <w:pPr>
              <w:pStyle w:val="TableParagraph"/>
              <w:spacing w:line="274" w:lineRule="exact"/>
              <w:ind w:right="103"/>
              <w:jc w:val="right"/>
              <w:rPr>
                <w:rFonts w:ascii="宋体" w:hAnsi="宋体" w:cs="宋体" w:eastAsia="宋体" w:hint="default"/>
                <w:sz w:val="21"/>
                <w:szCs w:val="21"/>
              </w:rPr>
            </w:pPr>
            <w:r>
              <w:rPr>
                <w:rFonts w:ascii="宋体"/>
                <w:w w:val="100"/>
                <w:sz w:val="21"/>
              </w:rPr>
              <w:t>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center"/>
              <w:rPr>
                <w:rFonts w:ascii="宋体" w:hAnsi="宋体" w:cs="宋体" w:eastAsia="宋体" w:hint="default"/>
                <w:sz w:val="21"/>
                <w:szCs w:val="21"/>
              </w:rPr>
            </w:pPr>
            <w:r>
              <w:rPr>
                <w:rFonts w:ascii="宋体"/>
                <w:sz w:val="21"/>
              </w:rPr>
              <w:t>4,1</w:t>
            </w:r>
          </w:p>
          <w:p>
            <w:pPr>
              <w:pStyle w:val="TableParagraph"/>
              <w:spacing w:line="272" w:lineRule="exact"/>
              <w:ind w:left="28" w:right="0"/>
              <w:jc w:val="center"/>
              <w:rPr>
                <w:rFonts w:ascii="宋体" w:hAnsi="宋体" w:cs="宋体" w:eastAsia="宋体" w:hint="default"/>
                <w:sz w:val="21"/>
                <w:szCs w:val="21"/>
              </w:rPr>
            </w:pPr>
            <w:r>
              <w:rPr>
                <w:rFonts w:ascii="宋体"/>
                <w:sz w:val="21"/>
              </w:rPr>
              <w:t>47.</w:t>
            </w:r>
          </w:p>
          <w:p>
            <w:pPr>
              <w:pStyle w:val="TableParagraph"/>
              <w:spacing w:line="274" w:lineRule="exact"/>
              <w:ind w:left="129" w:right="0"/>
              <w:jc w:val="center"/>
              <w:rPr>
                <w:rFonts w:ascii="宋体" w:hAnsi="宋体" w:cs="宋体" w:eastAsia="宋体" w:hint="default"/>
                <w:sz w:val="21"/>
                <w:szCs w:val="21"/>
              </w:rPr>
            </w:pPr>
            <w:r>
              <w:rPr>
                <w:rFonts w:ascii="宋体"/>
                <w:sz w:val="21"/>
              </w:rPr>
              <w:t>84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27,3</w:t>
            </w:r>
          </w:p>
          <w:p>
            <w:pPr>
              <w:pStyle w:val="TableParagraph"/>
              <w:spacing w:line="272" w:lineRule="exact"/>
              <w:ind w:right="99"/>
              <w:jc w:val="right"/>
              <w:rPr>
                <w:rFonts w:ascii="宋体" w:hAnsi="宋体" w:cs="宋体" w:eastAsia="宋体" w:hint="default"/>
                <w:sz w:val="21"/>
                <w:szCs w:val="21"/>
              </w:rPr>
            </w:pPr>
            <w:r>
              <w:rPr>
                <w:rFonts w:ascii="宋体"/>
                <w:sz w:val="21"/>
              </w:rPr>
              <w:t>03.4</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2,445</w:t>
            </w:r>
          </w:p>
          <w:p>
            <w:pPr>
              <w:pStyle w:val="TableParagraph"/>
              <w:spacing w:line="273" w:lineRule="exact"/>
              <w:ind w:left="367" w:right="0"/>
              <w:jc w:val="left"/>
              <w:rPr>
                <w:rFonts w:ascii="宋体" w:hAnsi="宋体" w:cs="宋体" w:eastAsia="宋体" w:hint="default"/>
                <w:sz w:val="21"/>
                <w:szCs w:val="21"/>
              </w:rPr>
            </w:pPr>
            <w:r>
              <w:rPr>
                <w:rFonts w:ascii="宋体"/>
                <w:sz w:val="21"/>
              </w:rPr>
              <w:t>.64</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6.</w:t>
            </w:r>
          </w:p>
          <w:p>
            <w:pPr>
              <w:pStyle w:val="TableParagraph"/>
              <w:spacing w:line="273" w:lineRule="exact"/>
              <w:ind w:left="148" w:right="0"/>
              <w:jc w:val="left"/>
              <w:rPr>
                <w:rFonts w:ascii="宋体" w:hAnsi="宋体" w:cs="宋体" w:eastAsia="宋体" w:hint="default"/>
                <w:sz w:val="21"/>
                <w:szCs w:val="21"/>
              </w:rPr>
            </w:pPr>
            <w:r>
              <w:rPr>
                <w:rFonts w:ascii="宋体"/>
                <w:sz w:val="21"/>
              </w:rPr>
              <w:t>15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2,451</w:t>
            </w:r>
          </w:p>
          <w:p>
            <w:pPr>
              <w:pStyle w:val="TableParagraph"/>
              <w:spacing w:line="273" w:lineRule="exact"/>
              <w:ind w:left="372" w:right="0"/>
              <w:jc w:val="left"/>
              <w:rPr>
                <w:rFonts w:ascii="宋体" w:hAnsi="宋体" w:cs="宋体" w:eastAsia="宋体" w:hint="default"/>
                <w:sz w:val="21"/>
                <w:szCs w:val="21"/>
              </w:rPr>
            </w:pPr>
            <w:r>
              <w:rPr>
                <w:rFonts w:ascii="宋体"/>
                <w:sz w:val="21"/>
              </w:rPr>
              <w:t>.79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center"/>
              <w:rPr>
                <w:rFonts w:ascii="宋体" w:hAnsi="宋体" w:cs="宋体" w:eastAsia="宋体" w:hint="default"/>
                <w:sz w:val="21"/>
                <w:szCs w:val="21"/>
              </w:rPr>
            </w:pPr>
            <w:r>
              <w:rPr>
                <w:rFonts w:ascii="宋体"/>
                <w:sz w:val="21"/>
              </w:rPr>
              <w:t>11,57</w:t>
            </w:r>
          </w:p>
          <w:p>
            <w:pPr>
              <w:pStyle w:val="TableParagraph"/>
              <w:spacing w:line="273" w:lineRule="exact"/>
              <w:ind w:left="155" w:right="0"/>
              <w:jc w:val="center"/>
              <w:rPr>
                <w:rFonts w:ascii="宋体" w:hAnsi="宋体" w:cs="宋体" w:eastAsia="宋体" w:hint="default"/>
                <w:sz w:val="21"/>
                <w:szCs w:val="21"/>
              </w:rPr>
            </w:pPr>
            <w:r>
              <w:rPr>
                <w:rFonts w:ascii="宋体"/>
                <w:sz w:val="21"/>
              </w:rPr>
              <w:t>2.75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591.</w:t>
            </w:r>
          </w:p>
          <w:p>
            <w:pPr>
              <w:pStyle w:val="TableParagraph"/>
              <w:spacing w:line="273" w:lineRule="exact"/>
              <w:ind w:left="407" w:right="0"/>
              <w:jc w:val="left"/>
              <w:rPr>
                <w:rFonts w:ascii="宋体" w:hAnsi="宋体" w:cs="宋体" w:eastAsia="宋体" w:hint="default"/>
                <w:sz w:val="21"/>
                <w:szCs w:val="21"/>
              </w:rPr>
            </w:pPr>
            <w:r>
              <w:rPr>
                <w:rFonts w:ascii="宋体"/>
                <w:sz w:val="21"/>
              </w:rPr>
              <w:t>58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center"/>
              <w:rPr>
                <w:rFonts w:ascii="宋体" w:hAnsi="宋体" w:cs="宋体" w:eastAsia="宋体" w:hint="default"/>
                <w:sz w:val="21"/>
                <w:szCs w:val="21"/>
              </w:rPr>
            </w:pPr>
            <w:r>
              <w:rPr>
                <w:rFonts w:ascii="宋体"/>
                <w:sz w:val="21"/>
              </w:rPr>
              <w:t>12,16</w:t>
            </w:r>
          </w:p>
          <w:p>
            <w:pPr>
              <w:pStyle w:val="TableParagraph"/>
              <w:spacing w:line="273" w:lineRule="exact"/>
              <w:ind w:left="155" w:right="0"/>
              <w:jc w:val="center"/>
              <w:rPr>
                <w:rFonts w:ascii="宋体" w:hAnsi="宋体" w:cs="宋体" w:eastAsia="宋体" w:hint="default"/>
                <w:sz w:val="21"/>
                <w:szCs w:val="21"/>
              </w:rPr>
            </w:pPr>
            <w:r>
              <w:rPr>
                <w:rFonts w:ascii="宋体"/>
                <w:sz w:val="21"/>
              </w:rPr>
              <w:t>4.33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3,711</w:t>
            </w:r>
          </w:p>
          <w:p>
            <w:pPr>
              <w:pStyle w:val="TableParagraph"/>
              <w:spacing w:line="273" w:lineRule="exact"/>
              <w:ind w:left="365" w:right="0"/>
              <w:jc w:val="left"/>
              <w:rPr>
                <w:rFonts w:ascii="宋体" w:hAnsi="宋体" w:cs="宋体" w:eastAsia="宋体" w:hint="default"/>
                <w:sz w:val="21"/>
                <w:szCs w:val="21"/>
              </w:rPr>
            </w:pPr>
            <w:r>
              <w:rPr>
                <w:rFonts w:ascii="宋体"/>
                <w:sz w:val="21"/>
              </w:rPr>
              <w:t>.01</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0.</w:t>
            </w:r>
          </w:p>
          <w:p>
            <w:pPr>
              <w:pStyle w:val="TableParagraph"/>
              <w:spacing w:line="273" w:lineRule="exact"/>
              <w:ind w:left="148" w:right="0"/>
              <w:jc w:val="left"/>
              <w:rPr>
                <w:rFonts w:ascii="宋体" w:hAnsi="宋体" w:cs="宋体" w:eastAsia="宋体" w:hint="default"/>
                <w:sz w:val="21"/>
                <w:szCs w:val="21"/>
              </w:rPr>
            </w:pPr>
            <w:r>
              <w:rPr>
                <w:rFonts w:ascii="宋体"/>
                <w:sz w:val="21"/>
              </w:rPr>
              <w:t>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3,711</w:t>
            </w:r>
          </w:p>
          <w:p>
            <w:pPr>
              <w:pStyle w:val="TableParagraph"/>
              <w:spacing w:line="273" w:lineRule="exact"/>
              <w:ind w:left="364" w:right="0"/>
              <w:jc w:val="left"/>
              <w:rPr>
                <w:rFonts w:ascii="宋体" w:hAnsi="宋体" w:cs="宋体" w:eastAsia="宋体" w:hint="default"/>
                <w:sz w:val="21"/>
                <w:szCs w:val="21"/>
              </w:rPr>
            </w:pPr>
            <w:r>
              <w:rPr>
                <w:rFonts w:ascii="宋体"/>
                <w:sz w:val="21"/>
              </w:rPr>
              <w:t>.16</w:t>
            </w:r>
          </w:p>
        </w:tc>
      </w:tr>
    </w:tbl>
    <w:p>
      <w:pPr>
        <w:spacing w:line="240" w:lineRule="auto" w:before="12"/>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1275"/>
        <w:gridCol w:w="713"/>
        <w:gridCol w:w="1035"/>
        <w:gridCol w:w="1034"/>
        <w:gridCol w:w="1147"/>
        <w:gridCol w:w="1241"/>
        <w:gridCol w:w="1032"/>
        <w:gridCol w:w="1035"/>
        <w:gridCol w:w="1226"/>
      </w:tblGrid>
      <w:tr>
        <w:trPr>
          <w:trHeight w:val="324"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9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5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1275"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9"/>
              <w:ind w:left="141"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40" w:lineRule="auto" w:before="39"/>
              <w:ind w:left="196"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9"/>
              <w:ind w:left="148" w:right="0"/>
              <w:jc w:val="left"/>
              <w:rPr>
                <w:rFonts w:ascii="宋体" w:hAnsi="宋体" w:cs="宋体" w:eastAsia="宋体" w:hint="default"/>
                <w:sz w:val="21"/>
                <w:szCs w:val="21"/>
              </w:rPr>
            </w:pPr>
            <w:r>
              <w:rPr>
                <w:rFonts w:ascii="宋体" w:hAnsi="宋体" w:cs="宋体" w:eastAsia="宋体" w:hint="default"/>
                <w:sz w:val="21"/>
                <w:szCs w:val="21"/>
              </w:rPr>
              <w:t>现金流量</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40" w:lineRule="auto" w:before="39"/>
              <w:ind w:left="196"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9"/>
              <w:ind w:left="187" w:right="0"/>
              <w:jc w:val="left"/>
              <w:rPr>
                <w:rFonts w:ascii="宋体" w:hAnsi="宋体" w:cs="宋体" w:eastAsia="宋体" w:hint="default"/>
                <w:sz w:val="21"/>
                <w:szCs w:val="21"/>
              </w:rPr>
            </w:pPr>
            <w:r>
              <w:rPr>
                <w:rFonts w:ascii="宋体" w:hAnsi="宋体" w:cs="宋体" w:eastAsia="宋体" w:hint="default"/>
                <w:sz w:val="21"/>
                <w:szCs w:val="21"/>
              </w:rPr>
              <w:t>现金流量</w:t>
            </w:r>
          </w:p>
        </w:tc>
      </w:tr>
      <w:tr>
        <w:trPr>
          <w:trHeight w:val="9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深圳市齐普</w:t>
            </w:r>
          </w:p>
          <w:p>
            <w:pPr>
              <w:pStyle w:val="TableParagraph"/>
              <w:spacing w:line="273" w:lineRule="auto" w:before="39"/>
              <w:ind w:left="100" w:right="108"/>
              <w:jc w:val="left"/>
              <w:rPr>
                <w:rFonts w:ascii="宋体" w:hAnsi="宋体" w:cs="宋体" w:eastAsia="宋体" w:hint="default"/>
                <w:sz w:val="21"/>
                <w:szCs w:val="21"/>
              </w:rPr>
            </w:pPr>
            <w:r>
              <w:rPr>
                <w:rFonts w:ascii="宋体" w:hAnsi="宋体" w:cs="宋体" w:eastAsia="宋体" w:hint="default"/>
                <w:sz w:val="21"/>
                <w:szCs w:val="21"/>
              </w:rPr>
              <w:t>生信息科技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w:t>
            </w:r>
          </w:p>
          <w:p>
            <w:pPr>
              <w:pStyle w:val="TableParagraph"/>
              <w:spacing w:line="240" w:lineRule="auto" w:before="39"/>
              <w:ind w:right="98"/>
              <w:jc w:val="right"/>
              <w:rPr>
                <w:rFonts w:ascii="宋体" w:hAnsi="宋体" w:cs="宋体" w:eastAsia="宋体" w:hint="default"/>
                <w:sz w:val="21"/>
                <w:szCs w:val="21"/>
              </w:rPr>
            </w:pPr>
            <w:r>
              <w:rPr>
                <w:rFonts w:ascii="宋体"/>
                <w:sz w:val="21"/>
              </w:rPr>
              <w:t>341.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8,442.1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8,442.1</w:t>
            </w:r>
          </w:p>
          <w:p>
            <w:pPr>
              <w:pStyle w:val="TableParagraph"/>
              <w:spacing w:line="240" w:lineRule="auto" w:before="39"/>
              <w:ind w:right="101"/>
              <w:jc w:val="right"/>
              <w:rPr>
                <w:rFonts w:ascii="宋体" w:hAnsi="宋体" w:cs="宋体" w:eastAsia="宋体" w:hint="default"/>
                <w:sz w:val="21"/>
                <w:szCs w:val="21"/>
              </w:rPr>
            </w:pPr>
            <w:r>
              <w:rPr>
                <w:rFonts w:ascii="宋体"/>
                <w:w w:val="100"/>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-6,776.5</w:t>
            </w:r>
          </w:p>
          <w:p>
            <w:pPr>
              <w:pStyle w:val="TableParagraph"/>
              <w:spacing w:line="240" w:lineRule="auto" w:before="39"/>
              <w:ind w:right="101"/>
              <w:jc w:val="right"/>
              <w:rPr>
                <w:rFonts w:ascii="宋体" w:hAnsi="宋体" w:cs="宋体" w:eastAsia="宋体" w:hint="default"/>
                <w:sz w:val="21"/>
                <w:szCs w:val="21"/>
              </w:rPr>
            </w:pPr>
            <w:r>
              <w:rPr>
                <w:rFonts w:ascii="宋体"/>
                <w:w w:val="100"/>
                <w:sz w:val="21"/>
              </w:rPr>
              <w:t>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233,750.2</w:t>
            </w:r>
          </w:p>
          <w:p>
            <w:pPr>
              <w:pStyle w:val="TableParagraph"/>
              <w:spacing w:line="240" w:lineRule="auto" w:before="39"/>
              <w:ind w:right="101"/>
              <w:jc w:val="right"/>
              <w:rPr>
                <w:rFonts w:ascii="宋体" w:hAnsi="宋体" w:cs="宋体" w:eastAsia="宋体" w:hint="default"/>
                <w:sz w:val="21"/>
                <w:szCs w:val="21"/>
              </w:rPr>
            </w:pPr>
            <w:r>
              <w:rPr>
                <w:rFonts w:ascii="宋体"/>
                <w:w w:val="100"/>
                <w:sz w:val="21"/>
              </w:rPr>
              <w:t>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7,113.0</w:t>
            </w:r>
          </w:p>
          <w:p>
            <w:pPr>
              <w:pStyle w:val="TableParagraph"/>
              <w:spacing w:line="240" w:lineRule="auto" w:before="39"/>
              <w:ind w:right="101"/>
              <w:jc w:val="right"/>
              <w:rPr>
                <w:rFonts w:ascii="宋体" w:hAnsi="宋体" w:cs="宋体" w:eastAsia="宋体" w:hint="default"/>
                <w:sz w:val="21"/>
                <w:szCs w:val="21"/>
              </w:rPr>
            </w:pPr>
            <w:r>
              <w:rPr>
                <w:rFonts w:ascii="宋体"/>
                <w:w w:val="100"/>
                <w:sz w:val="21"/>
              </w:rPr>
              <w:t>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7,113.0</w:t>
            </w:r>
          </w:p>
          <w:p>
            <w:pPr>
              <w:pStyle w:val="TableParagraph"/>
              <w:spacing w:line="240" w:lineRule="auto" w:before="39"/>
              <w:ind w:right="101"/>
              <w:jc w:val="right"/>
              <w:rPr>
                <w:rFonts w:ascii="宋体" w:hAnsi="宋体" w:cs="宋体" w:eastAsia="宋体" w:hint="default"/>
                <w:sz w:val="21"/>
                <w:szCs w:val="21"/>
              </w:rPr>
            </w:pPr>
            <w:r>
              <w:rPr>
                <w:rFonts w:ascii="宋体"/>
                <w:w w:val="100"/>
                <w:sz w:val="21"/>
              </w:rPr>
              <w:t>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-7,435.36</w:t>
            </w:r>
          </w:p>
        </w:tc>
      </w:tr>
      <w:tr>
        <w:trPr>
          <w:trHeight w:val="94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金证财富南</w:t>
            </w:r>
          </w:p>
          <w:p>
            <w:pPr>
              <w:pStyle w:val="TableParagraph"/>
              <w:spacing w:line="273" w:lineRule="auto" w:before="37"/>
              <w:ind w:left="100" w:right="108"/>
              <w:jc w:val="left"/>
              <w:rPr>
                <w:rFonts w:ascii="宋体" w:hAnsi="宋体" w:cs="宋体" w:eastAsia="宋体" w:hint="default"/>
                <w:sz w:val="21"/>
                <w:szCs w:val="21"/>
              </w:rPr>
            </w:pPr>
            <w:r>
              <w:rPr>
                <w:rFonts w:ascii="宋体" w:hAnsi="宋体" w:cs="宋体" w:eastAsia="宋体" w:hint="default"/>
                <w:sz w:val="21"/>
                <w:szCs w:val="21"/>
              </w:rPr>
              <w:t>京科技有限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14,5</w:t>
            </w:r>
          </w:p>
          <w:p>
            <w:pPr>
              <w:pStyle w:val="TableParagraph"/>
              <w:spacing w:line="240" w:lineRule="auto" w:before="37"/>
              <w:ind w:right="98"/>
              <w:jc w:val="right"/>
              <w:rPr>
                <w:rFonts w:ascii="宋体" w:hAnsi="宋体" w:cs="宋体" w:eastAsia="宋体" w:hint="default"/>
                <w:sz w:val="21"/>
                <w:szCs w:val="21"/>
              </w:rPr>
            </w:pPr>
            <w:r>
              <w:rPr>
                <w:rFonts w:ascii="宋体"/>
                <w:sz w:val="21"/>
              </w:rPr>
              <w:t>42.4</w:t>
            </w:r>
          </w:p>
          <w:p>
            <w:pPr>
              <w:pStyle w:val="TableParagraph"/>
              <w:spacing w:line="240" w:lineRule="auto" w:before="39"/>
              <w:ind w:right="101"/>
              <w:jc w:val="right"/>
              <w:rPr>
                <w:rFonts w:ascii="宋体" w:hAnsi="宋体" w:cs="宋体" w:eastAsia="宋体" w:hint="default"/>
                <w:sz w:val="21"/>
                <w:szCs w:val="21"/>
              </w:rPr>
            </w:pPr>
            <w:r>
              <w:rPr>
                <w:rFonts w:ascii="宋体"/>
                <w:w w:val="100"/>
                <w:sz w:val="21"/>
              </w:rPr>
              <w:t>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3,808.1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3,850.1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2,110.04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sz w:val="21"/>
              </w:rPr>
              <w:t>11,105.1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2,792.9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2,676.2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3,636.47</w:t>
            </w:r>
          </w:p>
        </w:tc>
      </w:tr>
    </w:tbl>
    <w:p>
      <w:pPr>
        <w:pStyle w:val="Heading3"/>
        <w:spacing w:line="274" w:lineRule="exact"/>
        <w:ind w:left="818" w:right="0"/>
        <w:jc w:val="left"/>
      </w:pPr>
      <w:r>
        <w:rPr/>
        <w:t>其他说明：</w:t>
      </w:r>
    </w:p>
    <w:p>
      <w:pPr>
        <w:pStyle w:val="Heading2"/>
        <w:spacing w:line="240" w:lineRule="auto" w:before="58"/>
        <w:ind w:left="818" w:right="0"/>
        <w:jc w:val="left"/>
        <w:rPr>
          <w:b w:val="0"/>
          <w:bCs w:val="0"/>
        </w:rPr>
      </w:pPr>
      <w:r>
        <w:rPr>
          <w:rFonts w:ascii="宋体" w:hAnsi="宋体" w:cs="宋体" w:eastAsia="宋体" w:hint="default"/>
        </w:rPr>
        <w:t>(4).</w:t>
      </w:r>
      <w:r>
        <w:rPr>
          <w:rFonts w:ascii="宋体" w:hAnsi="宋体" w:cs="宋体" w:eastAsia="宋体" w:hint="default"/>
          <w:spacing w:val="33"/>
        </w:rPr>
        <w:t> </w:t>
      </w:r>
      <w:r>
        <w:rPr/>
        <w:t>使用企业集团资产和清偿企业集团债务的重大限制：</w:t>
      </w:r>
      <w:r>
        <w:rPr>
          <w:b w:val="0"/>
          <w:bCs w:val="0"/>
        </w:rPr>
      </w:r>
    </w:p>
    <w:p>
      <w:pPr>
        <w:pStyle w:val="BodyText"/>
        <w:spacing w:line="240" w:lineRule="auto" w:before="64"/>
        <w:ind w:left="818" w:right="0"/>
        <w:jc w:val="left"/>
      </w:pPr>
      <w:r>
        <w:rPr/>
        <w:t>□适用</w:t>
      </w:r>
      <w:r>
        <w:rPr>
          <w:spacing w:val="-1"/>
        </w:rPr>
        <w:t> </w:t>
      </w:r>
      <w:r>
        <w:rPr/>
        <w:t>√不适用</w:t>
      </w:r>
    </w:p>
    <w:p>
      <w:pPr>
        <w:spacing w:after="0" w:line="240" w:lineRule="auto"/>
        <w:jc w:val="left"/>
        <w:sectPr>
          <w:type w:val="continuous"/>
          <w:pgSz w:w="11910" w:h="16840"/>
          <w:pgMar w:top="1120" w:bottom="1380" w:left="980" w:right="960"/>
        </w:sectPr>
      </w:pPr>
    </w:p>
    <w:p>
      <w:pPr>
        <w:spacing w:line="240" w:lineRule="auto" w:before="5"/>
        <w:rPr>
          <w:rFonts w:ascii="宋体" w:hAnsi="宋体" w:cs="宋体" w:eastAsia="宋体" w:hint="default"/>
          <w:sz w:val="25"/>
          <w:szCs w:val="25"/>
        </w:rPr>
      </w:pPr>
    </w:p>
    <w:p>
      <w:pPr>
        <w:pStyle w:val="Heading2"/>
        <w:spacing w:line="240" w:lineRule="auto"/>
        <w:ind w:right="215"/>
        <w:jc w:val="left"/>
        <w:rPr>
          <w:b w:val="0"/>
          <w:bCs w:val="0"/>
        </w:rPr>
      </w:pPr>
      <w:r>
        <w:rPr>
          <w:rFonts w:ascii="宋体" w:hAnsi="宋体" w:cs="宋体" w:eastAsia="宋体" w:hint="default"/>
        </w:rPr>
        <w:t>(5).</w:t>
      </w:r>
      <w:r>
        <w:rPr>
          <w:rFonts w:ascii="宋体" w:hAnsi="宋体" w:cs="宋体" w:eastAsia="宋体" w:hint="default"/>
          <w:spacing w:val="32"/>
        </w:rPr>
        <w:t> </w:t>
      </w:r>
      <w:r>
        <w:rPr/>
        <w:t>向纳入合并财务报表范围的结构化主体提供的财务支持或其他支持：</w:t>
      </w:r>
      <w:r>
        <w:rPr>
          <w:b w:val="0"/>
          <w:bCs w:val="0"/>
        </w:rPr>
      </w:r>
    </w:p>
    <w:p>
      <w:pPr>
        <w:pStyle w:val="BodyText"/>
        <w:tabs>
          <w:tab w:pos="1060" w:val="left" w:leader="none"/>
        </w:tabs>
        <w:spacing w:line="240" w:lineRule="auto" w:before="64"/>
        <w:ind w:right="7383"/>
        <w:jc w:val="left"/>
      </w:pPr>
      <w:r>
        <w:rPr>
          <w:spacing w:val="-1"/>
        </w:rPr>
        <w:t>□适用</w:t>
        <w:tab/>
      </w:r>
      <w:r>
        <w:rPr>
          <w:spacing w:val="-2"/>
        </w:rPr>
        <w:t>√不适用</w:t>
      </w:r>
      <w:r>
        <w:rPr>
          <w:spacing w:val="-99"/>
        </w:rPr>
        <w:t> </w:t>
      </w:r>
      <w:r>
        <w:rPr>
          <w:spacing w:val="-99"/>
        </w:rPr>
      </w:r>
      <w:r>
        <w:rPr/>
        <w:t>其他说明：</w:t>
      </w:r>
    </w:p>
    <w:p>
      <w:pPr>
        <w:pStyle w:val="BodyText"/>
        <w:spacing w:line="271" w:lineRule="exact"/>
        <w:ind w:right="215"/>
        <w:jc w:val="left"/>
      </w:pPr>
      <w:r>
        <w:rPr/>
        <w:t>□适用</w:t>
      </w:r>
      <w:r>
        <w:rPr>
          <w:spacing w:val="-1"/>
        </w:rPr>
        <w:t> </w:t>
      </w:r>
      <w:r>
        <w:rPr/>
        <w:t>√不适用</w:t>
      </w:r>
    </w:p>
    <w:p>
      <w:pPr>
        <w:pStyle w:val="Heading2"/>
        <w:spacing w:line="240" w:lineRule="auto" w:before="52"/>
        <w:ind w:right="215"/>
        <w:jc w:val="left"/>
        <w:rPr>
          <w:b w:val="0"/>
          <w:bCs w:val="0"/>
        </w:rPr>
      </w:pPr>
      <w:r>
        <w:rPr>
          <w:rFonts w:ascii="宋体" w:hAnsi="宋体" w:cs="宋体" w:eastAsia="宋体" w:hint="default"/>
        </w:rPr>
        <w:t>2</w:t>
      </w:r>
      <w:r>
        <w:rPr/>
        <w:t>、</w:t>
      </w:r>
      <w:r>
        <w:rPr>
          <w:spacing w:val="-69"/>
        </w:rPr>
        <w:t> </w:t>
      </w:r>
      <w:r>
        <w:rPr/>
        <w:t>在子公司的所有者权益份额发生变化且仍控制子公司的交易</w:t>
      </w:r>
      <w:r>
        <w:rPr>
          <w:b w:val="0"/>
          <w:bCs w:val="0"/>
        </w:rPr>
      </w:r>
    </w:p>
    <w:p>
      <w:pPr>
        <w:pStyle w:val="BodyText"/>
        <w:spacing w:line="240" w:lineRule="auto" w:before="61"/>
        <w:ind w:right="215"/>
        <w:jc w:val="left"/>
      </w:pPr>
      <w:r>
        <w:rPr/>
        <w:t>□适用</w:t>
      </w:r>
      <w:r>
        <w:rPr>
          <w:spacing w:val="-1"/>
        </w:rPr>
        <w:t> </w:t>
      </w:r>
      <w:r>
        <w:rPr/>
        <w:t>√不适用</w:t>
      </w:r>
    </w:p>
    <w:p>
      <w:pPr>
        <w:pStyle w:val="Heading2"/>
        <w:spacing w:line="240" w:lineRule="auto" w:before="52"/>
        <w:ind w:right="215"/>
        <w:jc w:val="left"/>
        <w:rPr>
          <w:b w:val="0"/>
          <w:bCs w:val="0"/>
        </w:rPr>
      </w:pPr>
      <w:r>
        <w:rPr>
          <w:rFonts w:ascii="宋体" w:hAnsi="宋体" w:cs="宋体" w:eastAsia="宋体" w:hint="default"/>
        </w:rPr>
        <w:t>3</w:t>
      </w:r>
      <w:r>
        <w:rPr/>
        <w:t>、</w:t>
      </w:r>
      <w:r>
        <w:rPr>
          <w:spacing w:val="-66"/>
        </w:rPr>
        <w:t> </w:t>
      </w:r>
      <w:r>
        <w:rPr/>
        <w:t>在合营企业或联营企业中的权益</w:t>
      </w:r>
      <w:r>
        <w:rPr>
          <w:b w:val="0"/>
          <w:bCs w:val="0"/>
        </w:rPr>
      </w:r>
    </w:p>
    <w:p>
      <w:pPr>
        <w:pStyle w:val="BodyText"/>
        <w:spacing w:line="240" w:lineRule="auto" w:before="61"/>
        <w:ind w:right="215"/>
        <w:jc w:val="left"/>
      </w:pPr>
      <w:r>
        <w:rPr/>
        <w:t>√适用</w:t>
      </w:r>
      <w:r>
        <w:rPr>
          <w:spacing w:val="-1"/>
        </w:rPr>
        <w:t> </w:t>
      </w:r>
      <w:r>
        <w:rPr/>
        <w:t>□不适用</w:t>
      </w:r>
    </w:p>
    <w:p>
      <w:pPr>
        <w:pStyle w:val="Heading2"/>
        <w:spacing w:line="240" w:lineRule="auto" w:before="52"/>
        <w:ind w:right="215"/>
        <w:jc w:val="left"/>
        <w:rPr>
          <w:b w:val="0"/>
          <w:bCs w:val="0"/>
        </w:rPr>
      </w:pPr>
      <w:r>
        <w:rPr>
          <w:rFonts w:ascii="宋体" w:hAnsi="宋体" w:cs="宋体" w:eastAsia="宋体" w:hint="default"/>
        </w:rPr>
        <w:t>(1).</w:t>
      </w:r>
      <w:r>
        <w:rPr>
          <w:rFonts w:ascii="宋体" w:hAnsi="宋体" w:cs="宋体" w:eastAsia="宋体" w:hint="default"/>
          <w:spacing w:val="23"/>
        </w:rPr>
        <w:t> </w:t>
      </w:r>
      <w:r>
        <w:rPr/>
        <w:t>重要的合营企业或联营企业</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spacing w:line="240" w:lineRule="auto" w:before="50"/>
        <w:ind w:right="215"/>
        <w:jc w:val="left"/>
        <w:rPr>
          <w:b w:val="0"/>
          <w:bCs w:val="0"/>
        </w:rPr>
      </w:pPr>
      <w:r>
        <w:rPr>
          <w:rFonts w:ascii="宋体" w:hAnsi="宋体" w:cs="宋体" w:eastAsia="宋体" w:hint="default"/>
        </w:rPr>
        <w:t>(2).</w:t>
      </w:r>
      <w:r>
        <w:rPr>
          <w:rFonts w:ascii="宋体" w:hAnsi="宋体" w:cs="宋体" w:eastAsia="宋体" w:hint="default"/>
          <w:spacing w:val="23"/>
        </w:rPr>
        <w:t> </w:t>
      </w:r>
      <w:r>
        <w:rPr/>
        <w:t>重要合营企业的主要财务信息</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spacing w:line="240" w:lineRule="auto" w:before="50"/>
        <w:ind w:right="215"/>
        <w:jc w:val="left"/>
        <w:rPr>
          <w:b w:val="0"/>
          <w:bCs w:val="0"/>
        </w:rPr>
      </w:pPr>
      <w:r>
        <w:rPr>
          <w:rFonts w:ascii="宋体" w:hAnsi="宋体" w:cs="宋体" w:eastAsia="宋体" w:hint="default"/>
        </w:rPr>
        <w:t>(3).</w:t>
      </w:r>
      <w:r>
        <w:rPr>
          <w:rFonts w:ascii="宋体" w:hAnsi="宋体" w:cs="宋体" w:eastAsia="宋体" w:hint="default"/>
          <w:spacing w:val="23"/>
        </w:rPr>
        <w:t> </w:t>
      </w:r>
      <w:r>
        <w:rPr/>
        <w:t>重要联营企业的主要财务信息</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spacing w:line="240" w:lineRule="auto" w:before="50"/>
        <w:ind w:right="215"/>
        <w:jc w:val="left"/>
        <w:rPr>
          <w:b w:val="0"/>
          <w:bCs w:val="0"/>
        </w:rPr>
      </w:pPr>
      <w:r>
        <w:rPr>
          <w:rFonts w:ascii="宋体" w:hAnsi="宋体" w:cs="宋体" w:eastAsia="宋体" w:hint="default"/>
        </w:rPr>
        <w:t>(4).</w:t>
      </w:r>
      <w:r>
        <w:rPr>
          <w:rFonts w:ascii="宋体" w:hAnsi="宋体" w:cs="宋体" w:eastAsia="宋体" w:hint="default"/>
          <w:spacing w:val="22"/>
        </w:rPr>
        <w:t> </w:t>
      </w:r>
      <w:r>
        <w:rPr/>
        <w:t>不重要的合营企业和联营企业的汇总财务信息</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127,274,092.63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82,389,619.00</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-6,756,648.83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-5,278,289.02</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-6,756,648.83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-5,278,289.02</w:t>
            </w:r>
          </w:p>
        </w:tc>
      </w:tr>
    </w:tbl>
    <w:p>
      <w:pPr>
        <w:pStyle w:val="BodyText"/>
        <w:spacing w:line="241" w:lineRule="exact"/>
        <w:ind w:right="215"/>
        <w:jc w:val="left"/>
      </w:pPr>
      <w:r>
        <w:rPr/>
        <w:t>其他说明</w:t>
      </w:r>
    </w:p>
    <w:p>
      <w:pPr>
        <w:pStyle w:val="Heading2"/>
        <w:spacing w:line="240" w:lineRule="auto" w:before="52"/>
        <w:ind w:right="215"/>
        <w:jc w:val="left"/>
        <w:rPr>
          <w:b w:val="0"/>
          <w:bCs w:val="0"/>
        </w:rPr>
      </w:pPr>
      <w:r>
        <w:rPr>
          <w:rFonts w:ascii="宋体" w:hAnsi="宋体" w:cs="宋体" w:eastAsia="宋体" w:hint="default"/>
        </w:rPr>
        <w:t>(5).</w:t>
      </w:r>
      <w:r>
        <w:rPr>
          <w:rFonts w:ascii="宋体" w:hAnsi="宋体" w:cs="宋体" w:eastAsia="宋体" w:hint="default"/>
          <w:spacing w:val="20"/>
        </w:rPr>
        <w:t> </w:t>
      </w:r>
      <w:r>
        <w:rPr/>
        <w:t>合营企业或联营企业向本公司转移资金的能力存在重大限制的说明：</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spacing w:line="240" w:lineRule="auto" w:before="50"/>
        <w:ind w:right="215"/>
        <w:jc w:val="left"/>
        <w:rPr>
          <w:b w:val="0"/>
          <w:bCs w:val="0"/>
        </w:rPr>
      </w:pPr>
      <w:r>
        <w:rPr>
          <w:rFonts w:ascii="宋体" w:hAnsi="宋体" w:cs="宋体" w:eastAsia="宋体" w:hint="default"/>
        </w:rPr>
        <w:t>(6).</w:t>
      </w:r>
      <w:r>
        <w:rPr>
          <w:rFonts w:ascii="宋体" w:hAnsi="宋体" w:cs="宋体" w:eastAsia="宋体" w:hint="default"/>
          <w:spacing w:val="22"/>
        </w:rPr>
        <w:t> </w:t>
      </w:r>
      <w:r>
        <w:rPr/>
        <w:t>合营企业或联营企业发生的超额亏损</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spacing w:line="240" w:lineRule="auto" w:before="50"/>
        <w:ind w:right="215"/>
        <w:jc w:val="left"/>
        <w:rPr>
          <w:b w:val="0"/>
          <w:bCs w:val="0"/>
        </w:rPr>
      </w:pPr>
      <w:r>
        <w:rPr>
          <w:rFonts w:ascii="宋体" w:hAnsi="宋体" w:cs="宋体" w:eastAsia="宋体" w:hint="default"/>
        </w:rPr>
        <w:t>(7).</w:t>
      </w:r>
      <w:r>
        <w:rPr>
          <w:rFonts w:ascii="宋体" w:hAnsi="宋体" w:cs="宋体" w:eastAsia="宋体" w:hint="default"/>
          <w:spacing w:val="23"/>
        </w:rPr>
        <w:t> </w:t>
      </w:r>
      <w:r>
        <w:rPr/>
        <w:t>与合营企业投资相关的未确认承诺</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spacing w:line="240" w:lineRule="auto" w:before="50"/>
        <w:ind w:right="215"/>
        <w:jc w:val="left"/>
        <w:rPr>
          <w:b w:val="0"/>
          <w:bCs w:val="0"/>
        </w:rPr>
      </w:pPr>
      <w:r>
        <w:rPr>
          <w:rFonts w:ascii="宋体" w:hAnsi="宋体" w:cs="宋体" w:eastAsia="宋体" w:hint="default"/>
        </w:rPr>
        <w:t>(8).</w:t>
      </w:r>
      <w:r>
        <w:rPr>
          <w:rFonts w:ascii="宋体" w:hAnsi="宋体" w:cs="宋体" w:eastAsia="宋体" w:hint="default"/>
          <w:spacing w:val="23"/>
        </w:rPr>
        <w:t> </w:t>
      </w:r>
      <w:r>
        <w:rPr/>
        <w:t>与合营企业或联营企业投资相关的或有负债</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pStyle w:val="Heading2"/>
        <w:spacing w:line="240" w:lineRule="auto" w:before="53"/>
        <w:ind w:right="215"/>
        <w:jc w:val="left"/>
        <w:rPr>
          <w:b w:val="0"/>
          <w:bCs w:val="0"/>
        </w:rPr>
      </w:pPr>
      <w:r>
        <w:rPr>
          <w:rFonts w:ascii="宋体" w:hAnsi="宋体" w:cs="宋体" w:eastAsia="宋体" w:hint="default"/>
        </w:rPr>
        <w:t>4</w:t>
      </w:r>
      <w:r>
        <w:rPr/>
        <w:t>、</w:t>
      </w:r>
      <w:r>
        <w:rPr>
          <w:spacing w:val="-65"/>
        </w:rPr>
        <w:t> </w:t>
      </w:r>
      <w:r>
        <w:rPr/>
        <w:t>重要的共同经营</w:t>
      </w:r>
      <w:r>
        <w:rPr>
          <w:b w:val="0"/>
          <w:bCs w:val="0"/>
        </w:rPr>
      </w:r>
    </w:p>
    <w:p>
      <w:pPr>
        <w:spacing w:after="0" w:line="240" w:lineRule="auto"/>
        <w:jc w:val="left"/>
        <w:sectPr>
          <w:footerReference w:type="default" r:id="rId131"/>
          <w:pgSz w:w="11910" w:h="16840"/>
          <w:pgMar w:footer="1657" w:header="882" w:top="1120" w:bottom="1840" w:left="1580" w:right="1040"/>
          <w:pgNumType w:start="154"/>
        </w:sectPr>
      </w:pPr>
    </w:p>
    <w:p>
      <w:pPr>
        <w:spacing w:line="240" w:lineRule="auto" w:before="5"/>
        <w:rPr>
          <w:rFonts w:ascii="宋体" w:hAnsi="宋体" w:cs="宋体" w:eastAsia="宋体" w:hint="default"/>
          <w:b/>
          <w:bCs/>
          <w:sz w:val="25"/>
          <w:szCs w:val="25"/>
        </w:rPr>
      </w:pPr>
    </w:p>
    <w:p>
      <w:pPr>
        <w:pStyle w:val="Heading2"/>
        <w:spacing w:line="240" w:lineRule="auto"/>
        <w:ind w:left="138" w:right="1055"/>
        <w:jc w:val="left"/>
        <w:rPr>
          <w:b w:val="0"/>
          <w:bCs w:val="0"/>
        </w:rPr>
      </w:pPr>
      <w:r>
        <w:rPr>
          <w:rFonts w:ascii="宋体" w:hAnsi="宋体" w:cs="宋体" w:eastAsia="宋体" w:hint="default"/>
        </w:rPr>
        <w:t>5</w:t>
      </w:r>
      <w:r>
        <w:rPr/>
        <w:t>、</w:t>
      </w:r>
      <w:r>
        <w:rPr>
          <w:spacing w:val="-67"/>
        </w:rPr>
        <w:t> </w:t>
      </w:r>
      <w:r>
        <w:rPr/>
        <w:t>在未纳入合并财务报表范围的结构化主体中的权益</w:t>
      </w:r>
      <w:r>
        <w:rPr>
          <w:b w:val="0"/>
          <w:bCs w:val="0"/>
        </w:rPr>
      </w:r>
    </w:p>
    <w:p>
      <w:pPr>
        <w:pStyle w:val="BodyText"/>
        <w:spacing w:line="274" w:lineRule="exact" w:before="64"/>
        <w:ind w:left="138" w:right="1055"/>
        <w:jc w:val="left"/>
      </w:pPr>
      <w:r>
        <w:rPr/>
        <w:t>未纳入合并财务报表范围的结构化主体的相关说明：</w:t>
      </w:r>
    </w:p>
    <w:p>
      <w:pPr>
        <w:pStyle w:val="BodyText"/>
        <w:spacing w:line="274" w:lineRule="exact"/>
        <w:ind w:left="138" w:right="1055"/>
        <w:jc w:val="left"/>
      </w:pPr>
      <w:r>
        <w:rPr/>
        <w:t>□适用</w:t>
      </w:r>
      <w:r>
        <w:rPr>
          <w:spacing w:val="-1"/>
        </w:rPr>
        <w:t> </w:t>
      </w:r>
      <w:r>
        <w:rPr/>
        <w:t>√不适用</w:t>
      </w:r>
    </w:p>
    <w:p>
      <w:pPr>
        <w:pStyle w:val="Heading2"/>
        <w:spacing w:line="240" w:lineRule="auto" w:before="50"/>
        <w:ind w:left="138" w:right="1055"/>
        <w:jc w:val="left"/>
        <w:rPr>
          <w:b w:val="0"/>
          <w:bCs w:val="0"/>
        </w:rPr>
      </w:pPr>
      <w:r>
        <w:rPr>
          <w:rFonts w:ascii="宋体" w:hAnsi="宋体" w:cs="宋体" w:eastAsia="宋体" w:hint="default"/>
        </w:rPr>
        <w:t>6</w:t>
      </w:r>
      <w:r>
        <w:rPr/>
        <w:t>、</w:t>
      </w:r>
      <w:r>
        <w:rPr>
          <w:spacing w:val="-62"/>
        </w:rPr>
        <w:t> </w:t>
      </w:r>
      <w:r>
        <w:rPr/>
        <w:t>其他</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tabs>
          <w:tab w:pos="977" w:val="left" w:leader="none"/>
        </w:tabs>
        <w:spacing w:line="240" w:lineRule="auto" w:before="50"/>
        <w:ind w:left="138" w:right="1055"/>
        <w:jc w:val="left"/>
        <w:rPr>
          <w:b w:val="0"/>
          <w:bCs w:val="0"/>
        </w:rPr>
      </w:pPr>
      <w:r>
        <w:rPr/>
        <w:t>十、</w:t>
        <w:tab/>
        <w:t>与金融工具相关的风险</w:t>
      </w:r>
      <w:r>
        <w:rPr>
          <w:b w:val="0"/>
          <w:bCs w:val="0"/>
        </w:rPr>
      </w:r>
    </w:p>
    <w:p>
      <w:pPr>
        <w:pStyle w:val="BodyText"/>
        <w:spacing w:line="240" w:lineRule="auto" w:before="64"/>
        <w:ind w:left="138" w:right="1055"/>
        <w:jc w:val="left"/>
      </w:pPr>
      <w:r>
        <w:rPr/>
        <w:t>□适用</w:t>
      </w:r>
      <w:r>
        <w:rPr>
          <w:spacing w:val="-1"/>
        </w:rPr>
        <w:t> </w:t>
      </w:r>
      <w:r>
        <w:rPr/>
        <w:t>√不适用</w:t>
      </w:r>
    </w:p>
    <w:p>
      <w:pPr>
        <w:pStyle w:val="Heading2"/>
        <w:spacing w:line="240" w:lineRule="auto" w:before="50"/>
        <w:ind w:left="138" w:right="1055"/>
        <w:jc w:val="left"/>
        <w:rPr>
          <w:b w:val="0"/>
          <w:bCs w:val="0"/>
        </w:rPr>
      </w:pPr>
      <w:r>
        <w:rPr/>
        <w:t>十一、</w:t>
      </w:r>
      <w:r>
        <w:rPr>
          <w:spacing w:val="-6"/>
        </w:rPr>
        <w:t> </w:t>
      </w:r>
      <w:r>
        <w:rPr/>
        <w:t>公允价值的披露</w:t>
      </w:r>
      <w:r>
        <w:rPr>
          <w:b w:val="0"/>
          <w:bCs w:val="0"/>
        </w:rPr>
      </w:r>
    </w:p>
    <w:p>
      <w:pPr>
        <w:pStyle w:val="Heading2"/>
        <w:spacing w:line="240" w:lineRule="auto" w:before="58"/>
        <w:ind w:left="138" w:right="1055"/>
        <w:jc w:val="left"/>
        <w:rPr>
          <w:b w:val="0"/>
          <w:bCs w:val="0"/>
        </w:rPr>
      </w:pPr>
      <w:r>
        <w:rPr>
          <w:rFonts w:ascii="宋体" w:hAnsi="宋体" w:cs="宋体" w:eastAsia="宋体" w:hint="default"/>
        </w:rPr>
        <w:t>1</w:t>
      </w:r>
      <w:r>
        <w:rPr/>
        <w:t>、</w:t>
      </w:r>
      <w:r>
        <w:rPr>
          <w:spacing w:val="-62"/>
        </w:rPr>
        <w:t> </w:t>
      </w:r>
      <w:r>
        <w:rPr/>
        <w:t>以公允价值计量的资产和负债的期末公允价值</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spacing w:line="240" w:lineRule="auto" w:before="50"/>
        <w:ind w:left="138" w:right="1055"/>
        <w:jc w:val="left"/>
        <w:rPr>
          <w:b w:val="0"/>
          <w:bCs w:val="0"/>
        </w:rPr>
      </w:pPr>
      <w:r>
        <w:rPr>
          <w:rFonts w:ascii="宋体" w:hAnsi="宋体" w:cs="宋体" w:eastAsia="宋体" w:hint="default"/>
        </w:rPr>
        <w:t>2</w:t>
      </w:r>
      <w:r>
        <w:rPr/>
        <w:t>、</w:t>
      </w:r>
      <w:r>
        <w:rPr>
          <w:spacing w:val="-63"/>
        </w:rPr>
        <w:t> </w:t>
      </w:r>
      <w:r>
        <w:rPr/>
        <w:t>持续和非持续第一层次公允价值计量项目市价的确定依据</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spacing w:line="312" w:lineRule="exact" w:before="81"/>
        <w:ind w:left="562" w:right="97" w:hanging="425"/>
        <w:jc w:val="left"/>
        <w:rPr>
          <w:b w:val="0"/>
          <w:bCs w:val="0"/>
        </w:rPr>
      </w:pPr>
      <w:r>
        <w:rPr>
          <w:rFonts w:ascii="宋体" w:hAnsi="宋体" w:cs="宋体" w:eastAsia="宋体" w:hint="default"/>
        </w:rPr>
        <w:t>3</w:t>
      </w:r>
      <w:r>
        <w:rPr/>
        <w:t>、</w:t>
      </w:r>
      <w:r>
        <w:rPr>
          <w:spacing w:val="-84"/>
        </w:rPr>
        <w:t> </w:t>
      </w:r>
      <w:r>
        <w:rPr/>
        <w:t>持续和非持续第二层次公允价值计量项目，采用的估值技术和重要参数的定性及</w:t>
      </w:r>
      <w:r>
        <w:rPr>
          <w:w w:val="99"/>
        </w:rPr>
        <w:t> </w:t>
      </w:r>
      <w:r>
        <w:rPr/>
        <w:t>定量信息</w:t>
      </w:r>
      <w:r>
        <w:rPr>
          <w:b w:val="0"/>
          <w:bCs w:val="0"/>
        </w:rPr>
      </w:r>
    </w:p>
    <w:p>
      <w:pPr>
        <w:pStyle w:val="BodyText"/>
        <w:tabs>
          <w:tab w:pos="980" w:val="left" w:leader="none"/>
        </w:tabs>
        <w:spacing w:line="240" w:lineRule="auto" w:before="35"/>
        <w:ind w:left="138" w:right="1055"/>
        <w:jc w:val="left"/>
      </w:pPr>
      <w:r>
        <w:rPr>
          <w:spacing w:val="-1"/>
        </w:rPr>
        <w:t>□适用</w:t>
        <w:tab/>
      </w:r>
      <w:r>
        <w:rPr>
          <w:spacing w:val="-2"/>
        </w:rPr>
        <w:t>√不适用</w:t>
      </w:r>
    </w:p>
    <w:p>
      <w:pPr>
        <w:pStyle w:val="Heading2"/>
        <w:spacing w:line="312" w:lineRule="exact" w:before="81"/>
        <w:ind w:left="562" w:right="97" w:hanging="425"/>
        <w:jc w:val="left"/>
        <w:rPr>
          <w:b w:val="0"/>
          <w:bCs w:val="0"/>
        </w:rPr>
      </w:pPr>
      <w:r>
        <w:rPr>
          <w:rFonts w:ascii="宋体" w:hAnsi="宋体" w:cs="宋体" w:eastAsia="宋体" w:hint="default"/>
        </w:rPr>
        <w:t>4</w:t>
      </w:r>
      <w:r>
        <w:rPr/>
        <w:t>、</w:t>
      </w:r>
      <w:r>
        <w:rPr>
          <w:spacing w:val="-84"/>
        </w:rPr>
        <w:t> </w:t>
      </w:r>
      <w:r>
        <w:rPr/>
        <w:t>持续和非持续第三层次公允价值计量项目，采用的估值技术和重要参数的定性及</w:t>
      </w:r>
      <w:r>
        <w:rPr>
          <w:w w:val="99"/>
        </w:rPr>
        <w:t> </w:t>
      </w:r>
      <w:r>
        <w:rPr/>
        <w:t>定量信息</w:t>
      </w:r>
      <w:r>
        <w:rPr>
          <w:b w:val="0"/>
          <w:bCs w:val="0"/>
        </w:rPr>
      </w:r>
    </w:p>
    <w:p>
      <w:pPr>
        <w:pStyle w:val="BodyText"/>
        <w:tabs>
          <w:tab w:pos="980" w:val="left" w:leader="none"/>
        </w:tabs>
        <w:spacing w:line="240" w:lineRule="auto" w:before="35"/>
        <w:ind w:left="138" w:right="1055"/>
        <w:jc w:val="left"/>
      </w:pPr>
      <w:r>
        <w:rPr>
          <w:spacing w:val="-1"/>
        </w:rPr>
        <w:t>□适用</w:t>
        <w:tab/>
      </w:r>
      <w:r>
        <w:rPr>
          <w:spacing w:val="-2"/>
        </w:rPr>
        <w:t>√不适用</w:t>
      </w:r>
    </w:p>
    <w:p>
      <w:pPr>
        <w:pStyle w:val="Heading2"/>
        <w:spacing w:line="240" w:lineRule="auto" w:before="50"/>
        <w:ind w:left="562" w:right="97" w:hanging="425"/>
        <w:jc w:val="left"/>
        <w:rPr>
          <w:b w:val="0"/>
          <w:bCs w:val="0"/>
        </w:rPr>
      </w:pPr>
      <w:r>
        <w:rPr>
          <w:rFonts w:ascii="宋体" w:hAnsi="宋体" w:cs="宋体" w:eastAsia="宋体" w:hint="default"/>
        </w:rPr>
        <w:t>5</w:t>
      </w:r>
      <w:r>
        <w:rPr/>
        <w:t>、</w:t>
      </w:r>
      <w:r>
        <w:rPr>
          <w:spacing w:val="-84"/>
        </w:rPr>
        <w:t> </w:t>
      </w:r>
      <w:r>
        <w:rPr/>
        <w:t>持续的第三层次公允价值计量项目，期初与期末账面价值间的调节信息及不可观</w:t>
      </w:r>
      <w:r>
        <w:rPr>
          <w:w w:val="99"/>
        </w:rPr>
        <w:t> </w:t>
      </w:r>
      <w:r>
        <w:rPr/>
        <w:t>察参数敏感性分析</w:t>
      </w:r>
      <w:r>
        <w:rPr>
          <w:b w:val="0"/>
          <w:bCs w:val="0"/>
        </w:rPr>
      </w:r>
    </w:p>
    <w:p>
      <w:pPr>
        <w:pStyle w:val="BodyText"/>
        <w:tabs>
          <w:tab w:pos="980" w:val="left" w:leader="none"/>
        </w:tabs>
        <w:spacing w:line="240" w:lineRule="auto" w:before="61"/>
        <w:ind w:left="138" w:right="1055"/>
        <w:jc w:val="left"/>
      </w:pPr>
      <w:r>
        <w:rPr>
          <w:spacing w:val="-1"/>
        </w:rPr>
        <w:t>□适用</w:t>
        <w:tab/>
      </w:r>
      <w:r>
        <w:rPr>
          <w:spacing w:val="-2"/>
        </w:rPr>
        <w:t>√不适用</w:t>
      </w:r>
    </w:p>
    <w:p>
      <w:pPr>
        <w:pStyle w:val="Heading2"/>
        <w:spacing w:line="312" w:lineRule="exact" w:before="83"/>
        <w:ind w:left="562" w:right="97" w:hanging="425"/>
        <w:jc w:val="left"/>
        <w:rPr>
          <w:b w:val="0"/>
          <w:bCs w:val="0"/>
        </w:rPr>
      </w:pPr>
      <w:r>
        <w:rPr>
          <w:rFonts w:ascii="宋体" w:hAnsi="宋体" w:cs="宋体" w:eastAsia="宋体" w:hint="default"/>
        </w:rPr>
        <w:t>6</w:t>
      </w:r>
      <w:r>
        <w:rPr/>
        <w:t>、</w:t>
      </w:r>
      <w:r>
        <w:rPr>
          <w:spacing w:val="-84"/>
        </w:rPr>
        <w:t> </w:t>
      </w:r>
      <w:r>
        <w:rPr/>
        <w:t>持续的公允价值计量项目，本期内发生各层级之间转换的，转换的原因及确定转</w:t>
      </w:r>
      <w:r>
        <w:rPr>
          <w:w w:val="99"/>
        </w:rPr>
        <w:t> </w:t>
      </w:r>
      <w:r>
        <w:rPr/>
        <w:t>换时点的政策</w:t>
      </w:r>
      <w:r>
        <w:rPr>
          <w:b w:val="0"/>
          <w:bCs w:val="0"/>
        </w:rPr>
      </w:r>
    </w:p>
    <w:p>
      <w:pPr>
        <w:pStyle w:val="BodyText"/>
        <w:tabs>
          <w:tab w:pos="980" w:val="left" w:leader="none"/>
        </w:tabs>
        <w:spacing w:line="240" w:lineRule="auto" w:before="33"/>
        <w:ind w:left="138" w:right="1055"/>
        <w:jc w:val="left"/>
      </w:pPr>
      <w:r>
        <w:rPr>
          <w:spacing w:val="-1"/>
        </w:rPr>
        <w:t>□适用</w:t>
        <w:tab/>
      </w:r>
      <w:r>
        <w:rPr>
          <w:spacing w:val="-2"/>
        </w:rPr>
        <w:t>√不适用</w:t>
      </w:r>
    </w:p>
    <w:p>
      <w:pPr>
        <w:pStyle w:val="Heading2"/>
        <w:spacing w:line="240" w:lineRule="auto" w:before="52"/>
        <w:ind w:left="138" w:right="1055"/>
        <w:jc w:val="left"/>
        <w:rPr>
          <w:b w:val="0"/>
          <w:bCs w:val="0"/>
        </w:rPr>
      </w:pPr>
      <w:r>
        <w:rPr>
          <w:rFonts w:ascii="宋体" w:hAnsi="宋体" w:cs="宋体" w:eastAsia="宋体" w:hint="default"/>
        </w:rPr>
        <w:t>7</w:t>
      </w:r>
      <w:r>
        <w:rPr/>
        <w:t>、</w:t>
      </w:r>
      <w:r>
        <w:rPr>
          <w:spacing w:val="-61"/>
        </w:rPr>
        <w:t> </w:t>
      </w:r>
      <w:r>
        <w:rPr/>
        <w:t>本期内发生的估值技术变更及变更原因</w:t>
      </w:r>
      <w:r>
        <w:rPr>
          <w:b w:val="0"/>
          <w:bCs w:val="0"/>
        </w:rPr>
      </w:r>
    </w:p>
    <w:p>
      <w:pPr>
        <w:pStyle w:val="BodyText"/>
        <w:tabs>
          <w:tab w:pos="980" w:val="left" w:leader="none"/>
        </w:tabs>
        <w:spacing w:line="240" w:lineRule="auto" w:before="61"/>
        <w:ind w:left="138" w:right="1055"/>
        <w:jc w:val="left"/>
      </w:pPr>
      <w:r>
        <w:rPr>
          <w:spacing w:val="-1"/>
        </w:rPr>
        <w:t>□适用</w:t>
        <w:tab/>
      </w:r>
      <w:r>
        <w:rPr>
          <w:spacing w:val="-2"/>
        </w:rPr>
        <w:t>√不适用</w:t>
      </w:r>
    </w:p>
    <w:p>
      <w:pPr>
        <w:pStyle w:val="Heading2"/>
        <w:spacing w:line="240" w:lineRule="auto" w:before="52"/>
        <w:ind w:left="138" w:right="1055"/>
        <w:jc w:val="left"/>
        <w:rPr>
          <w:b w:val="0"/>
          <w:bCs w:val="0"/>
        </w:rPr>
      </w:pPr>
      <w:r>
        <w:rPr>
          <w:rFonts w:ascii="宋体" w:hAnsi="宋体" w:cs="宋体" w:eastAsia="宋体" w:hint="default"/>
        </w:rPr>
        <w:t>8</w:t>
      </w:r>
      <w:r>
        <w:rPr/>
        <w:t>、</w:t>
      </w:r>
      <w:r>
        <w:rPr>
          <w:spacing w:val="-62"/>
        </w:rPr>
        <w:t> </w:t>
      </w:r>
      <w:r>
        <w:rPr/>
        <w:t>不以公允价值计量的金融资产和金融负债的公允价值情况</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spacing w:line="240" w:lineRule="auto" w:before="50"/>
        <w:ind w:left="138" w:right="1055"/>
        <w:jc w:val="left"/>
        <w:rPr>
          <w:b w:val="0"/>
          <w:bCs w:val="0"/>
        </w:rPr>
      </w:pPr>
      <w:r>
        <w:rPr>
          <w:rFonts w:ascii="宋体" w:hAnsi="宋体" w:cs="宋体" w:eastAsia="宋体" w:hint="default"/>
        </w:rPr>
        <w:t>9</w:t>
      </w:r>
      <w:r>
        <w:rPr/>
        <w:t>、</w:t>
      </w:r>
      <w:r>
        <w:rPr>
          <w:spacing w:val="-57"/>
        </w:rPr>
        <w:t> </w:t>
      </w:r>
      <w:r>
        <w:rPr/>
        <w:t>其他</w:t>
      </w:r>
      <w:r>
        <w:rPr>
          <w:b w:val="0"/>
          <w:bCs w:val="0"/>
        </w:rPr>
      </w:r>
    </w:p>
    <w:p>
      <w:pPr>
        <w:pStyle w:val="BodyText"/>
        <w:tabs>
          <w:tab w:pos="980" w:val="left" w:leader="none"/>
        </w:tabs>
        <w:spacing w:line="240" w:lineRule="auto" w:before="64"/>
        <w:ind w:left="138" w:right="1055"/>
        <w:jc w:val="left"/>
      </w:pPr>
      <w:r>
        <w:rPr>
          <w:spacing w:val="-1"/>
        </w:rPr>
        <w:t>□适用</w:t>
        <w:tab/>
      </w:r>
      <w:r>
        <w:rPr>
          <w:spacing w:val="-2"/>
        </w:rPr>
        <w:t>√不适用</w:t>
      </w:r>
    </w:p>
    <w:p>
      <w:pPr>
        <w:pStyle w:val="Heading2"/>
        <w:spacing w:line="283" w:lineRule="auto" w:before="50"/>
        <w:ind w:left="138" w:right="6164"/>
        <w:jc w:val="left"/>
        <w:rPr>
          <w:b w:val="0"/>
          <w:bCs w:val="0"/>
        </w:rPr>
      </w:pPr>
      <w:r>
        <w:rPr/>
        <w:t>十二、</w:t>
      </w:r>
      <w:r>
        <w:rPr>
          <w:spacing w:val="-7"/>
        </w:rPr>
        <w:t> </w:t>
      </w:r>
      <w:r>
        <w:rPr/>
        <w:t>关联方及关联交易</w:t>
      </w:r>
      <w:r>
        <w:rPr>
          <w:w w:val="99"/>
        </w:rPr>
        <w:t> </w:t>
      </w:r>
      <w:r>
        <w:rPr>
          <w:rFonts w:ascii="宋体" w:hAnsi="宋体" w:cs="宋体" w:eastAsia="宋体" w:hint="default"/>
        </w:rPr>
        <w:t>1</w:t>
      </w:r>
      <w:r>
        <w:rPr/>
        <w:t>、</w:t>
      </w:r>
      <w:r>
        <w:rPr>
          <w:spacing w:val="-60"/>
        </w:rPr>
        <w:t> </w:t>
      </w:r>
      <w:r>
        <w:rPr/>
        <w:t>本企业的母公司情况</w:t>
      </w:r>
      <w:r>
        <w:rPr>
          <w:b w:val="0"/>
          <w:bCs w:val="0"/>
        </w:rPr>
      </w:r>
    </w:p>
    <w:p>
      <w:pPr>
        <w:pStyle w:val="BodyText"/>
        <w:tabs>
          <w:tab w:pos="980" w:val="left" w:leader="none"/>
        </w:tabs>
        <w:spacing w:line="240" w:lineRule="auto" w:before="21"/>
        <w:ind w:left="138" w:right="1055"/>
        <w:jc w:val="left"/>
      </w:pPr>
      <w:r>
        <w:rPr>
          <w:spacing w:val="-1"/>
        </w:rPr>
        <w:t>□适用</w:t>
        <w:tab/>
      </w:r>
      <w:r>
        <w:rPr>
          <w:spacing w:val="-2"/>
        </w:rPr>
        <w:t>√不适用</w:t>
      </w:r>
    </w:p>
    <w:p>
      <w:pPr>
        <w:pStyle w:val="Heading2"/>
        <w:spacing w:line="240" w:lineRule="auto" w:before="50"/>
        <w:ind w:left="138" w:right="1055"/>
        <w:jc w:val="left"/>
        <w:rPr>
          <w:b w:val="0"/>
          <w:bCs w:val="0"/>
        </w:rPr>
      </w:pPr>
      <w:r>
        <w:rPr>
          <w:rFonts w:ascii="宋体" w:hAnsi="宋体" w:cs="宋体" w:eastAsia="宋体" w:hint="default"/>
        </w:rPr>
        <w:t>2</w:t>
      </w:r>
      <w:r>
        <w:rPr/>
        <w:t>、</w:t>
      </w:r>
      <w:r>
        <w:rPr>
          <w:spacing w:val="-60"/>
        </w:rPr>
        <w:t> </w:t>
      </w:r>
      <w:r>
        <w:rPr/>
        <w:t>本企业的子公司情况</w:t>
      </w:r>
      <w:r>
        <w:rPr>
          <w:b w:val="0"/>
          <w:bCs w:val="0"/>
        </w:rPr>
      </w:r>
    </w:p>
    <w:p>
      <w:pPr>
        <w:pStyle w:val="BodyText"/>
        <w:spacing w:line="273" w:lineRule="exact" w:before="64"/>
        <w:ind w:left="138" w:right="1055"/>
        <w:jc w:val="left"/>
      </w:pPr>
      <w:r>
        <w:rPr/>
        <w:t>本企业子公司的情况详见附注九、</w:t>
      </w:r>
      <w:r>
        <w:rPr>
          <w:rFonts w:ascii="宋体" w:hAnsi="宋体" w:cs="宋体" w:eastAsia="宋体" w:hint="default"/>
        </w:rPr>
        <w:t>1</w:t>
      </w:r>
      <w:r>
        <w:rPr>
          <w:rFonts w:ascii="宋体" w:hAnsi="宋体" w:cs="宋体" w:eastAsia="宋体" w:hint="default"/>
          <w:spacing w:val="-54"/>
        </w:rPr>
        <w:t> </w:t>
      </w:r>
      <w:r>
        <w:rPr/>
        <w:t>在子公司中的权益</w:t>
      </w:r>
    </w:p>
    <w:p>
      <w:pPr>
        <w:pStyle w:val="BodyText"/>
        <w:spacing w:line="272" w:lineRule="exact"/>
        <w:ind w:left="138" w:right="1055"/>
        <w:jc w:val="left"/>
      </w:pPr>
      <w:r>
        <w:rPr/>
        <w:t>√适用 □不适用</w:t>
      </w:r>
    </w:p>
    <w:p>
      <w:pPr>
        <w:pStyle w:val="BodyText"/>
        <w:tabs>
          <w:tab w:pos="980" w:val="left" w:leader="none"/>
        </w:tabs>
        <w:spacing w:line="274" w:lineRule="exact"/>
        <w:ind w:left="138" w:right="1055"/>
        <w:jc w:val="left"/>
      </w:pPr>
      <w:r>
        <w:rPr>
          <w:spacing w:val="-1"/>
        </w:rPr>
        <w:t>□适用</w:t>
        <w:tab/>
      </w:r>
      <w:r>
        <w:rPr>
          <w:spacing w:val="-2"/>
        </w:rPr>
        <w:t>√不适用</w:t>
      </w:r>
    </w:p>
    <w:p>
      <w:pPr>
        <w:pStyle w:val="Heading2"/>
        <w:spacing w:line="240" w:lineRule="auto" w:before="50"/>
        <w:ind w:left="138" w:right="1055"/>
        <w:jc w:val="left"/>
        <w:rPr>
          <w:b w:val="0"/>
          <w:bCs w:val="0"/>
        </w:rPr>
      </w:pPr>
      <w:r>
        <w:rPr>
          <w:rFonts w:ascii="宋体" w:hAnsi="宋体" w:cs="宋体" w:eastAsia="宋体" w:hint="default"/>
        </w:rPr>
        <w:t>3</w:t>
      </w:r>
      <w:r>
        <w:rPr/>
        <w:t>、</w:t>
      </w:r>
      <w:r>
        <w:rPr>
          <w:spacing w:val="-61"/>
        </w:rPr>
        <w:t> </w:t>
      </w:r>
      <w:r>
        <w:rPr/>
        <w:t>本企业合营和联营企业情况</w:t>
      </w:r>
      <w:r>
        <w:rPr>
          <w:b w:val="0"/>
          <w:bCs w:val="0"/>
        </w:rPr>
      </w:r>
    </w:p>
    <w:p>
      <w:pPr>
        <w:pStyle w:val="BodyText"/>
        <w:spacing w:line="273" w:lineRule="exact" w:before="64"/>
        <w:ind w:left="138" w:right="1055"/>
        <w:jc w:val="left"/>
      </w:pPr>
      <w:r>
        <w:rPr>
          <w:spacing w:val="-2"/>
        </w:rPr>
        <w:t>本企业重要的合营或联营企业详见附注九、</w:t>
      </w:r>
      <w:r>
        <w:rPr>
          <w:rFonts w:ascii="宋体" w:hAnsi="宋体" w:cs="宋体" w:eastAsia="宋体" w:hint="default"/>
          <w:spacing w:val="-2"/>
        </w:rPr>
        <w:t>2</w:t>
      </w:r>
      <w:r>
        <w:rPr>
          <w:rFonts w:ascii="宋体" w:hAnsi="宋体" w:cs="宋体" w:eastAsia="宋体" w:hint="default"/>
          <w:spacing w:val="14"/>
        </w:rPr>
        <w:t> </w:t>
      </w:r>
      <w:r>
        <w:rPr>
          <w:spacing w:val="-2"/>
        </w:rPr>
        <w:t>在合营企业或联营企业中的权益。</w:t>
      </w:r>
    </w:p>
    <w:p>
      <w:pPr>
        <w:pStyle w:val="BodyText"/>
        <w:spacing w:line="273" w:lineRule="exact"/>
        <w:ind w:left="138" w:right="1055"/>
        <w:jc w:val="left"/>
      </w:pPr>
      <w:r>
        <w:rPr/>
        <w:t>√适用</w:t>
      </w:r>
      <w:r>
        <w:rPr>
          <w:spacing w:val="-1"/>
        </w:rPr>
        <w:t> </w:t>
      </w:r>
      <w:r>
        <w:rPr/>
        <w:t>□不适用</w:t>
      </w:r>
    </w:p>
    <w:p>
      <w:pPr>
        <w:spacing w:after="0" w:line="273" w:lineRule="exact"/>
        <w:jc w:val="left"/>
        <w:sectPr>
          <w:footerReference w:type="default" r:id="rId132"/>
          <w:pgSz w:w="11910" w:h="16840"/>
          <w:pgMar w:footer="1195" w:header="882" w:top="1120" w:bottom="1380" w:left="1660" w:right="1160"/>
          <w:pgNumType w:start="155"/>
        </w:sectPr>
      </w:pPr>
    </w:p>
    <w:p>
      <w:pPr>
        <w:spacing w:line="240" w:lineRule="auto" w:before="1"/>
        <w:rPr>
          <w:rFonts w:ascii="宋体" w:hAnsi="宋体" w:cs="宋体" w:eastAsia="宋体" w:hint="default"/>
          <w:sz w:val="25"/>
          <w:szCs w:val="25"/>
        </w:rPr>
      </w:pPr>
    </w:p>
    <w:p>
      <w:pPr>
        <w:pStyle w:val="BodyText"/>
        <w:spacing w:line="240" w:lineRule="auto" w:before="36"/>
        <w:ind w:right="215"/>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1" w:lineRule="exact"/>
        <w:ind w:right="21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4830"/>
      </w:tblGrid>
      <w:tr>
        <w:trPr>
          <w:trHeight w:val="29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9"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深圳市中科金证科技有限公司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兴业数字金融服务（上海）股份有限公司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西安中沥电子商务有限公司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55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深圳市盈通数据服务股份有限公司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本公司联营企业（</w:t>
            </w:r>
            <w:r>
              <w:rPr>
                <w:rFonts w:ascii="宋体" w:hAnsi="宋体" w:cs="宋体" w:eastAsia="宋体" w:hint="default"/>
                <w:spacing w:val="-6"/>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月后无本公司派遣的董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事会成员，对其不具有重大影响）</w:t>
            </w:r>
          </w:p>
        </w:tc>
      </w:tr>
    </w:tbl>
    <w:p>
      <w:pPr>
        <w:pStyle w:val="BodyText"/>
        <w:spacing w:line="239" w:lineRule="exact"/>
        <w:ind w:right="215"/>
        <w:jc w:val="left"/>
      </w:pPr>
      <w:r>
        <w:rPr/>
        <w:t>其他说明</w:t>
      </w:r>
    </w:p>
    <w:p>
      <w:pPr>
        <w:pStyle w:val="BodyText"/>
        <w:spacing w:line="273" w:lineRule="exact"/>
        <w:ind w:right="215"/>
        <w:jc w:val="left"/>
      </w:pPr>
      <w:r>
        <w:rPr/>
        <w:t>□适用</w:t>
      </w:r>
      <w:r>
        <w:rPr>
          <w:spacing w:val="-1"/>
        </w:rPr>
        <w:t> </w:t>
      </w:r>
      <w:r>
        <w:rPr/>
        <w:t>√不适用</w:t>
      </w:r>
    </w:p>
    <w:p>
      <w:pPr>
        <w:pStyle w:val="Heading2"/>
        <w:spacing w:line="240" w:lineRule="auto" w:before="52"/>
        <w:ind w:right="215"/>
        <w:jc w:val="left"/>
        <w:rPr>
          <w:b w:val="0"/>
          <w:bCs w:val="0"/>
        </w:rPr>
      </w:pPr>
      <w:r>
        <w:rPr>
          <w:rFonts w:ascii="宋体" w:hAnsi="宋体" w:cs="宋体" w:eastAsia="宋体" w:hint="default"/>
        </w:rPr>
        <w:t>4</w:t>
      </w:r>
      <w:r>
        <w:rPr/>
        <w:t>、</w:t>
      </w:r>
      <w:r>
        <w:rPr>
          <w:spacing w:val="-60"/>
        </w:rPr>
        <w:t> </w:t>
      </w:r>
      <w:r>
        <w:rPr/>
        <w:t>其他关联方情况</w:t>
      </w:r>
      <w:r>
        <w:rPr>
          <w:b w:val="0"/>
          <w:bCs w:val="0"/>
        </w:rPr>
      </w:r>
    </w:p>
    <w:p>
      <w:pPr>
        <w:pStyle w:val="BodyText"/>
        <w:spacing w:line="240" w:lineRule="auto" w:before="61"/>
        <w:ind w:right="21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624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深圳市永兴元科技股份有限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深圳市图晟科技有限公司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深圳市金鹏天益投资咨询合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深圳市合生创利投资管理中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心（有限合伙）</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上海壹账通金融科技有限公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本公司主要投资者个人控制、共同控制或施加重大影响的其他企业</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120"/>
        </w:sectPr>
      </w:pPr>
    </w:p>
    <w:p>
      <w:pPr>
        <w:pStyle w:val="Heading2"/>
        <w:spacing w:line="240" w:lineRule="auto"/>
        <w:ind w:right="-18"/>
        <w:jc w:val="left"/>
        <w:rPr>
          <w:b w:val="0"/>
          <w:bCs w:val="0"/>
        </w:rPr>
      </w:pPr>
      <w:r>
        <w:rPr>
          <w:rFonts w:ascii="宋体" w:hAnsi="宋体" w:cs="宋体" w:eastAsia="宋体" w:hint="default"/>
        </w:rPr>
        <w:t>5</w:t>
      </w:r>
      <w:r>
        <w:rPr/>
        <w:t>、</w:t>
      </w:r>
      <w:r>
        <w:rPr>
          <w:spacing w:val="-61"/>
        </w:rPr>
        <w:t> </w:t>
      </w:r>
      <w:r>
        <w:rPr/>
        <w:t>关联交易情况</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9"/>
        </w:rPr>
        <w:t> </w:t>
      </w:r>
      <w:r>
        <w:rPr/>
        <w:t>购销商品、提供和接受劳务的关联交易</w:t>
      </w:r>
      <w:r>
        <w:rPr>
          <w:b w:val="0"/>
          <w:bCs w:val="0"/>
        </w:rPr>
      </w:r>
    </w:p>
    <w:p>
      <w:pPr>
        <w:pStyle w:val="BodyText"/>
        <w:spacing w:line="273" w:lineRule="exact" w:before="64"/>
        <w:ind w:right="-18"/>
        <w:jc w:val="left"/>
      </w:pPr>
      <w:r>
        <w:rPr/>
        <w:t>采购商品</w:t>
      </w:r>
      <w:r>
        <w:rPr>
          <w:rFonts w:ascii="宋体" w:hAnsi="宋体" w:cs="宋体" w:eastAsia="宋体" w:hint="default"/>
        </w:rPr>
        <w:t>/</w:t>
      </w:r>
      <w:r>
        <w:rPr/>
        <w:t>接受劳务情况表</w:t>
      </w:r>
    </w:p>
    <w:p>
      <w:pPr>
        <w:pStyle w:val="BodyText"/>
        <w:spacing w:line="273"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4930" w:space="1591"/>
            <w:col w:w="268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718"/>
        <w:gridCol w:w="2127"/>
        <w:gridCol w:w="1561"/>
        <w:gridCol w:w="1490"/>
      </w:tblGrid>
      <w:tr>
        <w:trPr>
          <w:trHeight w:val="305"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深圳中科金证科技有限公司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82,896,097.26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16,202,920.72</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66,608.47</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2,213,302.25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500,854.72</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2,495,471.53</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8,273,467.29</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2,617,052.40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98,495,390.73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16,770,383.91</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120"/>
        </w:sectPr>
      </w:pPr>
    </w:p>
    <w:p>
      <w:pPr>
        <w:pStyle w:val="BodyText"/>
        <w:spacing w:line="274"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636" w:space="3886"/>
            <w:col w:w="268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860"/>
        <w:gridCol w:w="2122"/>
        <w:gridCol w:w="1426"/>
        <w:gridCol w:w="1488"/>
      </w:tblGrid>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160,298.64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141,346.99</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深圳中科金证科技有限公司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605,738.41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2,106,048.52</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深圳市盈通数据服务股份有限公司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69,506.72</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西安中沥电子商务有限公司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735,849.06</w:t>
            </w:r>
          </w:p>
        </w:tc>
      </w:tr>
      <w:tr>
        <w:trPr>
          <w:trHeight w:val="28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兴业数字金融服务（上海）股份有限公司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8,986,120.60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2,965,865.24</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28,301.89</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113,257.71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10,524.01</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606,746.09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1,753.70</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2,353,593.70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1,128,301.88</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297,169.81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62,893.08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120,283.02</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9,049.82</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上海壹账通金融科技有限公司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177,095.22</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1,490,566.04</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14,982,812.14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7,187,498.01</w:t>
            </w:r>
          </w:p>
        </w:tc>
      </w:tr>
    </w:tbl>
    <w:p>
      <w:pPr>
        <w:spacing w:line="240" w:lineRule="auto" w:before="7"/>
        <w:rPr>
          <w:rFonts w:ascii="宋体" w:hAnsi="宋体" w:cs="宋体" w:eastAsia="宋体" w:hint="default"/>
          <w:sz w:val="18"/>
          <w:szCs w:val="18"/>
        </w:rPr>
      </w:pPr>
    </w:p>
    <w:p>
      <w:pPr>
        <w:pStyle w:val="BodyText"/>
        <w:spacing w:line="273" w:lineRule="exact" w:before="36"/>
        <w:ind w:right="0"/>
        <w:jc w:val="left"/>
      </w:pPr>
      <w:r>
        <w:rPr/>
        <w:t>购销商品、提供和接受劳务的关联交易说明</w:t>
      </w:r>
    </w:p>
    <w:p>
      <w:pPr>
        <w:pStyle w:val="BodyText"/>
        <w:spacing w:line="448" w:lineRule="auto"/>
        <w:ind w:left="578" w:right="0" w:hanging="360"/>
        <w:jc w:val="left"/>
      </w:pPr>
      <w:r>
        <w:rPr/>
        <w:t>√适用</w:t>
      </w:r>
      <w:r>
        <w:rPr>
          <w:spacing w:val="-2"/>
        </w:rPr>
        <w:t> </w:t>
      </w:r>
      <w:r>
        <w:rPr/>
        <w:t>□不适用</w:t>
      </w:r>
      <w:r>
        <w:rPr>
          <w:w w:val="100"/>
        </w:rPr>
        <w:t> </w:t>
      </w:r>
      <w:r>
        <w:rPr>
          <w:spacing w:val="-2"/>
        </w:rPr>
        <w:t>说明：本公司与兴业数字金融服务（上海）股份有限公司本期发生的关联交易由多笔合同购</w:t>
      </w:r>
    </w:p>
    <w:p>
      <w:pPr>
        <w:pStyle w:val="BodyText"/>
        <w:spacing w:line="225" w:lineRule="exact"/>
        <w:ind w:right="0"/>
        <w:jc w:val="left"/>
      </w:pPr>
      <w:r>
        <w:rPr/>
        <w:pict>
          <v:shape style="position:absolute;margin-left:281.089996pt;margin-top:21.06838pt;width:.47974pt;height:.12pt;mso-position-horizontal-relative:page;mso-position-vertical-relative:paragraph;z-index:3832" type="#_x0000_t75" stroked="false">
            <v:imagedata r:id="rId133" o:title=""/>
          </v:shape>
        </w:pict>
      </w:r>
      <w:r>
        <w:rPr/>
        <w:pict>
          <v:shape style="position:absolute;margin-left:401.589996pt;margin-top:21.06838pt;width:.47974pt;height:.12pt;mso-position-horizontal-relative:page;mso-position-vertical-relative:paragraph;z-index:3856" type="#_x0000_t75" stroked="false">
            <v:imagedata r:id="rId133" o:title=""/>
          </v:shape>
        </w:pict>
      </w:r>
      <w:r>
        <w:rPr/>
        <w:pict>
          <v:group style="position:absolute;margin-left:84.503998pt;margin-top:38.108459pt;width:426.45pt;height:.5pt;mso-position-horizontal-relative:page;mso-position-vertical-relative:paragraph;z-index:-939424" coordorigin="1690,762" coordsize="8529,10">
            <v:shape style="position:absolute;left:1690;top:762;width:3932;height:10" type="#_x0000_t75" stroked="false">
              <v:imagedata r:id="rId134" o:title=""/>
            </v:shape>
            <v:shape style="position:absolute;left:5617;top:762;width:2415;height:10" type="#_x0000_t75" stroked="false">
              <v:imagedata r:id="rId135" o:title=""/>
            </v:shape>
            <v:shape style="position:absolute;left:8027;top:762;width:2192;height:10" type="#_x0000_t75" stroked="false">
              <v:imagedata r:id="rId136" o:title=""/>
            </v:shape>
            <w10:wrap type="none"/>
          </v:group>
        </w:pict>
      </w:r>
      <w:r>
        <w:rPr/>
        <w:pict>
          <v:group style="position:absolute;margin-left:280.849976pt;margin-top:51.06842pt;width:230.1pt;height:5.05pt;mso-position-horizontal-relative:page;mso-position-vertical-relative:paragraph;z-index:-939400" coordorigin="5617,1021" coordsize="4602,101">
            <v:shape style="position:absolute;left:5617;top:1021;width:2434;height:101" type="#_x0000_t75" stroked="false">
              <v:imagedata r:id="rId137" o:title=""/>
            </v:shape>
            <v:shape style="position:absolute;left:8027;top:1113;width:2192;height:10" type="#_x0000_t75" stroked="false">
              <v:imagedata r:id="rId136" o:title=""/>
            </v:shape>
            <w10:wrap type="none"/>
          </v:group>
        </w:pict>
      </w:r>
      <w:r>
        <w:rPr/>
        <w:pict>
          <v:group style="position:absolute;margin-left:280.850006pt;margin-top:68.588425pt;width:230.1pt;height:5.05pt;mso-position-horizontal-relative:page;mso-position-vertical-relative:paragraph;z-index:-939376" coordorigin="5617,1372" coordsize="4602,101">
            <v:shape style="position:absolute;left:5617;top:1372;width:2434;height:101" type="#_x0000_t75" stroked="false">
              <v:imagedata r:id="rId137" o:title=""/>
            </v:shape>
            <v:shape style="position:absolute;left:8027;top:1463;width:2192;height:10" type="#_x0000_t75" stroked="false">
              <v:imagedata r:id="rId138" o:title=""/>
            </v:shape>
            <w10:wrap type="none"/>
          </v:group>
        </w:pict>
      </w:r>
      <w:r>
        <w:rPr/>
        <w:pict>
          <v:group style="position:absolute;margin-left:280.850006pt;margin-top:86.108482pt;width:230.1pt;height:5.05pt;mso-position-horizontal-relative:page;mso-position-vertical-relative:paragraph;z-index:-939352" coordorigin="5617,1722" coordsize="4602,101">
            <v:shape style="position:absolute;left:5617;top:1722;width:2434;height:101" type="#_x0000_t75" stroked="false">
              <v:imagedata r:id="rId139" o:title=""/>
            </v:shape>
            <v:shape style="position:absolute;left:8027;top:1813;width:2192;height:10" type="#_x0000_t75" stroked="false">
              <v:imagedata r:id="rId136" o:title=""/>
            </v:shape>
            <w10:wrap type="none"/>
          </v:group>
        </w:pict>
      </w:r>
      <w:r>
        <w:rPr/>
        <w:pict>
          <v:group style="position:absolute;margin-left:84.503998pt;margin-top:103.648483pt;width:430.8pt;height:5.05pt;mso-position-horizontal-relative:page;mso-position-vertical-relative:paragraph;z-index:-939328" coordorigin="1690,2073" coordsize="8616,101">
            <v:shape style="position:absolute;left:1690;top:2073;width:3951;height:101" type="#_x0000_t75" stroked="false">
              <v:imagedata r:id="rId140" o:title=""/>
            </v:shape>
            <v:shape style="position:absolute;left:5617;top:2164;width:2415;height:10" type="#_x0000_t75" stroked="false">
              <v:imagedata r:id="rId135" o:title=""/>
            </v:shape>
            <v:shape style="position:absolute;left:8027;top:2164;width:2278;height:10" type="#_x0000_t75" stroked="false">
              <v:imagedata r:id="rId51" o:title=""/>
            </v:shape>
            <w10:wrap type="none"/>
          </v:group>
        </w:pict>
      </w:r>
      <w:r>
        <w:rPr/>
        <w:t>销组成，按合同分类金额如下：</w:t>
      </w:r>
    </w:p>
    <w:p>
      <w:pPr>
        <w:spacing w:line="240" w:lineRule="auto" w:before="12"/>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937"/>
        <w:gridCol w:w="2410"/>
        <w:gridCol w:w="2182"/>
      </w:tblGrid>
      <w:tr>
        <w:trPr>
          <w:trHeight w:val="633" w:hRule="exact"/>
        </w:trPr>
        <w:tc>
          <w:tcPr>
            <w:tcW w:w="3937" w:type="dxa"/>
            <w:tcBorders>
              <w:top w:val="single" w:sz="12" w:space="0" w:color="000000"/>
              <w:left w:val="nil" w:sz="6" w:space="0" w:color="auto"/>
              <w:bottom w:val="nil" w:sz="6" w:space="0" w:color="auto"/>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p>
            <w:pPr>
              <w:pStyle w:val="TableParagraph"/>
              <w:spacing w:line="240" w:lineRule="auto" w:before="115"/>
              <w:ind w:left="660"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182" w:type="dxa"/>
            <w:tcBorders>
              <w:top w:val="single" w:sz="12" w:space="0" w:color="000000"/>
              <w:left w:val="single" w:sz="4" w:space="0" w:color="000000"/>
              <w:bottom w:val="nil" w:sz="6" w:space="0" w:color="auto"/>
              <w:right w:val="nil" w:sz="6" w:space="0" w:color="auto"/>
            </w:tcBorders>
          </w:tcPr>
          <w:p>
            <w:pPr>
              <w:pStyle w:val="TableParagraph"/>
              <w:spacing w:line="240" w:lineRule="auto" w:before="25"/>
              <w:ind w:left="636"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156"/>
              <w:ind w:left="1207" w:right="0"/>
              <w:jc w:val="left"/>
              <w:rPr>
                <w:rFonts w:ascii="Arial Narrow" w:hAnsi="Arial Narrow" w:cs="Arial Narrow" w:eastAsia="Arial Narrow" w:hint="default"/>
                <w:sz w:val="18"/>
                <w:szCs w:val="18"/>
              </w:rPr>
            </w:pPr>
            <w:r>
              <w:rPr>
                <w:rFonts w:ascii="Arial Narrow"/>
                <w:sz w:val="18"/>
              </w:rPr>
              <w:t>1,056,603.76</w:t>
            </w:r>
          </w:p>
        </w:tc>
      </w:tr>
      <w:tr>
        <w:trPr>
          <w:trHeight w:val="82" w:hRule="exact"/>
        </w:trPr>
        <w:tc>
          <w:tcPr>
            <w:tcW w:w="393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
        </w:tc>
      </w:tr>
      <w:tr>
        <w:trPr>
          <w:trHeight w:val="262" w:hRule="exact"/>
        </w:trPr>
        <w:tc>
          <w:tcPr>
            <w:tcW w:w="393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2182"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2,278,301.89</w:t>
            </w:r>
          </w:p>
        </w:tc>
      </w:tr>
      <w:tr>
        <w:trPr>
          <w:trHeight w:val="171" w:hRule="exact"/>
        </w:trPr>
        <w:tc>
          <w:tcPr>
            <w:tcW w:w="3937" w:type="dxa"/>
            <w:tcBorders>
              <w:top w:val="nil" w:sz="6" w:space="0" w:color="auto"/>
              <w:left w:val="nil" w:sz="6" w:space="0" w:color="auto"/>
              <w:bottom w:val="nil" w:sz="6" w:space="0" w:color="auto"/>
              <w:right w:val="single" w:sz="4" w:space="0" w:color="000000"/>
            </w:tcBorders>
          </w:tcPr>
          <w:p>
            <w:pPr>
              <w:pStyle w:val="TableParagraph"/>
              <w:spacing w:line="174" w:lineRule="exact"/>
              <w:ind w:left="107" w:right="0"/>
              <w:jc w:val="left"/>
              <w:rPr>
                <w:rFonts w:ascii="宋体" w:hAnsi="宋体" w:cs="宋体" w:eastAsia="宋体" w:hint="default"/>
                <w:sz w:val="18"/>
                <w:szCs w:val="18"/>
              </w:rPr>
            </w:pPr>
            <w:r>
              <w:rPr>
                <w:rFonts w:ascii="宋体" w:hAnsi="宋体" w:cs="宋体" w:eastAsia="宋体" w:hint="default"/>
                <w:sz w:val="18"/>
                <w:szCs w:val="18"/>
              </w:rPr>
              <w:t>兴业数字金融服务（上海）股份有限公司</w:t>
            </w:r>
          </w:p>
        </w:tc>
        <w:tc>
          <w:tcPr>
            <w:tcW w:w="2410" w:type="dxa"/>
            <w:tcBorders>
              <w:top w:val="nil" w:sz="6" w:space="0" w:color="auto"/>
              <w:left w:val="single" w:sz="4" w:space="0" w:color="000000"/>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
        </w:tc>
      </w:tr>
      <w:tr>
        <w:trPr>
          <w:trHeight w:val="186" w:hRule="exact"/>
        </w:trPr>
        <w:tc>
          <w:tcPr>
            <w:tcW w:w="393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技术服务收入（人力外包）</w:t>
            </w:r>
          </w:p>
        </w:tc>
        <w:tc>
          <w:tcPr>
            <w:tcW w:w="2182" w:type="dxa"/>
            <w:tcBorders>
              <w:top w:val="nil" w:sz="6" w:space="0" w:color="auto"/>
              <w:left w:val="single" w:sz="4" w:space="0" w:color="000000"/>
              <w:bottom w:val="nil" w:sz="6" w:space="0" w:color="auto"/>
              <w:right w:val="nil" w:sz="6" w:space="0" w:color="auto"/>
            </w:tcBorders>
          </w:tcPr>
          <w:p>
            <w:pPr>
              <w:pStyle w:val="TableParagraph"/>
              <w:spacing w:line="190" w:lineRule="exact"/>
              <w:ind w:right="107"/>
              <w:jc w:val="right"/>
              <w:rPr>
                <w:rFonts w:ascii="Arial Narrow" w:hAnsi="Arial Narrow" w:cs="Arial Narrow" w:eastAsia="Arial Narrow" w:hint="default"/>
                <w:sz w:val="18"/>
                <w:szCs w:val="18"/>
              </w:rPr>
            </w:pPr>
            <w:r>
              <w:rPr>
                <w:rFonts w:ascii="Arial Narrow"/>
                <w:spacing w:val="-1"/>
                <w:sz w:val="18"/>
              </w:rPr>
              <w:t>5,296,469.67</w:t>
            </w:r>
          </w:p>
        </w:tc>
      </w:tr>
      <w:tr>
        <w:trPr>
          <w:trHeight w:val="82" w:hRule="exact"/>
        </w:trPr>
        <w:tc>
          <w:tcPr>
            <w:tcW w:w="393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
        </w:tc>
      </w:tr>
      <w:tr>
        <w:trPr>
          <w:trHeight w:val="269" w:hRule="exact"/>
        </w:trPr>
        <w:tc>
          <w:tcPr>
            <w:tcW w:w="393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技术服务收入（人力外包）</w:t>
            </w:r>
          </w:p>
        </w:tc>
        <w:tc>
          <w:tcPr>
            <w:tcW w:w="2182"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7"/>
              <w:jc w:val="right"/>
              <w:rPr>
                <w:rFonts w:ascii="Arial Narrow" w:hAnsi="Arial Narrow" w:cs="Arial Narrow" w:eastAsia="Arial Narrow" w:hint="default"/>
                <w:sz w:val="18"/>
                <w:szCs w:val="18"/>
              </w:rPr>
            </w:pPr>
            <w:r>
              <w:rPr>
                <w:rFonts w:ascii="Arial Narrow"/>
                <w:spacing w:val="-1"/>
                <w:sz w:val="18"/>
              </w:rPr>
              <w:t>354,745.28</w:t>
            </w:r>
          </w:p>
        </w:tc>
      </w:tr>
      <w:tr>
        <w:trPr>
          <w:trHeight w:val="82" w:hRule="exact"/>
        </w:trPr>
        <w:tc>
          <w:tcPr>
            <w:tcW w:w="3937"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
        </w:tc>
      </w:tr>
      <w:tr>
        <w:trPr>
          <w:trHeight w:val="355" w:hRule="exact"/>
        </w:trPr>
        <w:tc>
          <w:tcPr>
            <w:tcW w:w="3937"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nil" w:sz="6" w:space="0" w:color="auto"/>
              <w:left w:val="single" w:sz="4" w:space="0" w:color="000000"/>
              <w:bottom w:val="single" w:sz="12" w:space="0" w:color="000000"/>
              <w:right w:val="single" w:sz="4" w:space="0" w:color="000000"/>
            </w:tcBorders>
          </w:tcPr>
          <w:p>
            <w:pPr/>
          </w:p>
        </w:tc>
        <w:tc>
          <w:tcPr>
            <w:tcW w:w="2182" w:type="dxa"/>
            <w:tcBorders>
              <w:top w:val="nil" w:sz="6" w:space="0" w:color="auto"/>
              <w:left w:val="single" w:sz="4" w:space="0" w:color="000000"/>
              <w:bottom w:val="single" w:sz="12" w:space="0" w:color="000000"/>
              <w:right w:val="nil" w:sz="6" w:space="0" w:color="auto"/>
            </w:tcBorders>
          </w:tcPr>
          <w:p>
            <w:pPr/>
          </w:p>
        </w:tc>
      </w:tr>
    </w:tbl>
    <w:p>
      <w:pPr>
        <w:spacing w:after="0"/>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401" w:lineRule="exact"/>
        <w:ind w:left="10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2.95pt;height:20.1pt;mso-position-horizontal-relative:char;mso-position-vertical-relative:line" coordorigin="0,0" coordsize="8659,402">
            <v:group style="position:absolute;left:29;top:14;width:3932;height:2" coordorigin="29,14" coordsize="3932,2">
              <v:shape style="position:absolute;left:29;top:14;width:3932;height:2" coordorigin="29,14" coordsize="3932,0" path="m29,14l3960,14e" filled="false" stroked="true" strokeweight="1.44pt" strokecolor="#000000">
                <v:path arrowok="t"/>
              </v:shape>
              <v:shape style="position:absolute;left:3961;top:29;width:10;height:2" type="#_x0000_t75" stroked="false">
                <v:imagedata r:id="rId141" o:title=""/>
              </v:shape>
            </v:group>
            <v:group style="position:absolute;left:3961;top:14;width:29;height:2" coordorigin="3961,14" coordsize="29,2">
              <v:shape style="position:absolute;left:3961;top:14;width:29;height:2" coordorigin="3961,14" coordsize="29,0" path="m3961,14l3989,14e" filled="false" stroked="true" strokeweight="1.44pt" strokecolor="#000000">
                <v:path arrowok="t"/>
              </v:shape>
            </v:group>
            <v:group style="position:absolute;left:3989;top:14;width:2382;height:2" coordorigin="3989,14" coordsize="2382,2">
              <v:shape style="position:absolute;left:3989;top:14;width:2382;height:2" coordorigin="3989,14" coordsize="2382,0" path="m3989,14l6371,14e" filled="false" stroked="true" strokeweight="1.44pt" strokecolor="#000000">
                <v:path arrowok="t"/>
              </v:shape>
              <v:shape style="position:absolute;left:6371;top:29;width:10;height:2" type="#_x0000_t75" stroked="false">
                <v:imagedata r:id="rId141" o:title=""/>
              </v:shape>
            </v:group>
            <v:group style="position:absolute;left:6371;top:14;width:29;height:2" coordorigin="6371,14" coordsize="29,2">
              <v:shape style="position:absolute;left:6371;top:14;width:29;height:2" coordorigin="6371,14" coordsize="29,0" path="m6371,14l6399,14e" filled="false" stroked="true" strokeweight="1.44pt" strokecolor="#000000">
                <v:path arrowok="t"/>
              </v:shape>
            </v:group>
            <v:group style="position:absolute;left:6399;top:14;width:2245;height:2" coordorigin="6399,14" coordsize="2245,2">
              <v:shape style="position:absolute;left:6399;top:14;width:2245;height:2" coordorigin="6399,14" coordsize="2245,0" path="m6399,14l8644,14e" filled="false" stroked="true" strokeweight="1.44pt" strokecolor="#000000">
                <v:path arrowok="t"/>
              </v:shape>
            </v:group>
            <v:group style="position:absolute;left:3961;top:31;width:10;height:20" coordorigin="3961,31" coordsize="10,20">
              <v:shape style="position:absolute;left:3961;top:31;width:10;height:20" coordorigin="3961,31" coordsize="10,20" path="m3961,50l3970,50,3970,31,3961,31,3961,50xe" filled="true" fillcolor="#000000" stroked="false">
                <v:path arrowok="t"/>
                <v:fill type="solid"/>
              </v:shape>
            </v:group>
            <v:group style="position:absolute;left:3961;top:50;width:10;height:20" coordorigin="3961,50" coordsize="10,20">
              <v:shape style="position:absolute;left:3961;top:50;width:10;height:20" coordorigin="3961,50" coordsize="10,20" path="m3961,70l3970,70,3970,50,3961,50,3961,70xe" filled="true" fillcolor="#000000" stroked="false">
                <v:path arrowok="t"/>
                <v:fill type="solid"/>
              </v:shape>
            </v:group>
            <v:group style="position:absolute;left:3961;top:70;width:10;height:20" coordorigin="3961,70" coordsize="10,20">
              <v:shape style="position:absolute;left:3961;top:70;width:10;height:20" coordorigin="3961,70" coordsize="10,20" path="m3961,89l3970,89,3970,70,3961,70,3961,89xe" filled="true" fillcolor="#000000" stroked="false">
                <v:path arrowok="t"/>
                <v:fill type="solid"/>
              </v:shape>
            </v:group>
            <v:group style="position:absolute;left:3961;top:89;width:10;height:20" coordorigin="3961,89" coordsize="10,20">
              <v:shape style="position:absolute;left:3961;top:89;width:10;height:20" coordorigin="3961,89" coordsize="10,20" path="m3961,108l3970,108,3970,89,3961,89,3961,108xe" filled="true" fillcolor="#000000" stroked="false">
                <v:path arrowok="t"/>
                <v:fill type="solid"/>
              </v:shape>
            </v:group>
            <v:group style="position:absolute;left:3961;top:108;width:10;height:20" coordorigin="3961,108" coordsize="10,20">
              <v:shape style="position:absolute;left:3961;top:108;width:10;height:20" coordorigin="3961,108" coordsize="10,20" path="m3961,128l3970,128,3970,108,3961,108,3961,128xe" filled="true" fillcolor="#000000" stroked="false">
                <v:path arrowok="t"/>
                <v:fill type="solid"/>
              </v:shape>
            </v:group>
            <v:group style="position:absolute;left:3961;top:128;width:10;height:20" coordorigin="3961,128" coordsize="10,20">
              <v:shape style="position:absolute;left:3961;top:128;width:10;height:20" coordorigin="3961,128" coordsize="10,20" path="m3961,147l3970,147,3970,128,3961,128,3961,147xe" filled="true" fillcolor="#000000" stroked="false">
                <v:path arrowok="t"/>
                <v:fill type="solid"/>
              </v:shape>
            </v:group>
            <v:group style="position:absolute;left:3961;top:147;width:10;height:20" coordorigin="3961,147" coordsize="10,20">
              <v:shape style="position:absolute;left:3961;top:147;width:10;height:20" coordorigin="3961,147" coordsize="10,20" path="m3961,166l3970,166,3970,147,3961,147,3961,166xe" filled="true" fillcolor="#000000" stroked="false">
                <v:path arrowok="t"/>
                <v:fill type="solid"/>
              </v:shape>
            </v:group>
            <v:group style="position:absolute;left:3961;top:166;width:10;height:20" coordorigin="3961,166" coordsize="10,20">
              <v:shape style="position:absolute;left:3961;top:166;width:10;height:20" coordorigin="3961,166" coordsize="10,20" path="m3961,185l3970,185,3970,166,3961,166,3961,185xe" filled="true" fillcolor="#000000" stroked="false">
                <v:path arrowok="t"/>
                <v:fill type="solid"/>
              </v:shape>
            </v:group>
            <v:group style="position:absolute;left:3961;top:185;width:10;height:20" coordorigin="3961,185" coordsize="10,20">
              <v:shape style="position:absolute;left:3961;top:185;width:10;height:20" coordorigin="3961,185" coordsize="10,20" path="m3961,204l3970,204,3970,185,3961,185,3961,204xe" filled="true" fillcolor="#000000" stroked="false">
                <v:path arrowok="t"/>
                <v:fill type="solid"/>
              </v:shape>
            </v:group>
            <v:group style="position:absolute;left:3961;top:204;width:10;height:20" coordorigin="3961,204" coordsize="10,20">
              <v:shape style="position:absolute;left:3961;top:204;width:10;height:20" coordorigin="3961,204" coordsize="10,20" path="m3961,224l3970,224,3970,204,3961,204,3961,224xe" filled="true" fillcolor="#000000" stroked="false">
                <v:path arrowok="t"/>
                <v:fill type="solid"/>
              </v:shape>
            </v:group>
            <v:group style="position:absolute;left:3961;top:224;width:10;height:20" coordorigin="3961,224" coordsize="10,20">
              <v:shape style="position:absolute;left:3961;top:224;width:10;height:20" coordorigin="3961,224" coordsize="10,20" path="m3961,243l3970,243,3970,224,3961,224,3961,243xe" filled="true" fillcolor="#000000" stroked="false">
                <v:path arrowok="t"/>
                <v:fill type="solid"/>
              </v:shape>
            </v:group>
            <v:group style="position:absolute;left:3961;top:243;width:10;height:20" coordorigin="3961,243" coordsize="10,20">
              <v:shape style="position:absolute;left:3961;top:243;width:10;height:20" coordorigin="3961,243" coordsize="10,20" path="m3961,262l3970,262,3970,243,3961,243,3961,262xe" filled="true" fillcolor="#000000" stroked="false">
                <v:path arrowok="t"/>
                <v:fill type="solid"/>
              </v:shape>
            </v:group>
            <v:group style="position:absolute;left:3961;top:262;width:10;height:20" coordorigin="3961,262" coordsize="10,20">
              <v:shape style="position:absolute;left:3961;top:262;width:10;height:20" coordorigin="3961,262" coordsize="10,20" path="m3961,281l3970,281,3970,262,3961,262,3961,281xe" filled="true" fillcolor="#000000" stroked="false">
                <v:path arrowok="t"/>
                <v:fill type="solid"/>
              </v:shape>
            </v:group>
            <v:group style="position:absolute;left:3961;top:281;width:10;height:20" coordorigin="3961,281" coordsize="10,20">
              <v:shape style="position:absolute;left:3961;top:281;width:10;height:20" coordorigin="3961,281" coordsize="10,20" path="m3961,300l3970,300,3970,281,3961,281,3961,300xe" filled="true" fillcolor="#000000" stroked="false">
                <v:path arrowok="t"/>
                <v:fill type="solid"/>
              </v:shape>
            </v:group>
            <v:group style="position:absolute;left:14;top:387;width:3946;height:2" coordorigin="14,387" coordsize="3946,2">
              <v:shape style="position:absolute;left:14;top:387;width:3946;height:2" coordorigin="14,387" coordsize="3946,0" path="m14,387l3960,387e" filled="false" stroked="true" strokeweight="1.44pt" strokecolor="#000000">
                <v:path arrowok="t"/>
              </v:shape>
            </v:group>
            <v:group style="position:absolute;left:3961;top:300;width:10;height:20" coordorigin="3961,300" coordsize="10,20">
              <v:shape style="position:absolute;left:3961;top:300;width:10;height:20" coordorigin="3961,300" coordsize="10,20" path="m3961,320l3970,320,3970,300,3961,300,3961,320xe" filled="true" fillcolor="#000000" stroked="false">
                <v:path arrowok="t"/>
                <v:fill type="solid"/>
              </v:shape>
            </v:group>
            <v:group style="position:absolute;left:3961;top:320;width:10;height:20" coordorigin="3961,320" coordsize="10,20">
              <v:shape style="position:absolute;left:3961;top:320;width:10;height:20" coordorigin="3961,320" coordsize="10,20" path="m3961,339l3970,339,3970,320,3961,320,3961,339xe" filled="true" fillcolor="#000000" stroked="false">
                <v:path arrowok="t"/>
                <v:fill type="solid"/>
              </v:shape>
            </v:group>
            <v:group style="position:absolute;left:3961;top:339;width:10;height:20" coordorigin="3961,339" coordsize="10,20">
              <v:shape style="position:absolute;left:3961;top:339;width:10;height:20" coordorigin="3961,339" coordsize="10,20" path="m3961,358l3970,358,3970,339,3961,339,3961,358xe" filled="true" fillcolor="#000000" stroked="false">
                <v:path arrowok="t"/>
                <v:fill type="solid"/>
              </v:shape>
            </v:group>
            <v:group style="position:absolute;left:3961;top:365;width:10;height:2" coordorigin="3961,365" coordsize="10,2">
              <v:shape style="position:absolute;left:3961;top:365;width:10;height:2" coordorigin="3961,365" coordsize="10,0" path="m3961,365l3970,365e" filled="false" stroked="true" strokeweight=".71997pt" strokecolor="#000000">
                <v:path arrowok="t"/>
              </v:shape>
            </v:group>
            <v:group style="position:absolute;left:3961;top:387;width:29;height:2" coordorigin="3961,387" coordsize="29,2">
              <v:shape style="position:absolute;left:3961;top:387;width:29;height:2" coordorigin="3961,387" coordsize="29,0" path="m3961,387l3989,387e" filled="false" stroked="true" strokeweight="1.44pt" strokecolor="#000000">
                <v:path arrowok="t"/>
              </v:shape>
            </v:group>
            <v:group style="position:absolute;left:3989;top:387;width:2382;height:2" coordorigin="3989,387" coordsize="2382,2">
              <v:shape style="position:absolute;left:3989;top:387;width:2382;height:2" coordorigin="3989,387" coordsize="2382,0" path="m3989,387l6371,387e" filled="false" stroked="true" strokeweight="1.44pt" strokecolor="#000000">
                <v:path arrowok="t"/>
              </v:shape>
            </v:group>
            <v:group style="position:absolute;left:6371;top:31;width:10;height:20" coordorigin="6371,31" coordsize="10,20">
              <v:shape style="position:absolute;left:6371;top:31;width:10;height:20" coordorigin="6371,31" coordsize="10,20" path="m6371,50l6380,50,6380,31,6371,31,6371,50xe" filled="true" fillcolor="#000000" stroked="false">
                <v:path arrowok="t"/>
                <v:fill type="solid"/>
              </v:shape>
            </v:group>
            <v:group style="position:absolute;left:6371;top:50;width:10;height:20" coordorigin="6371,50" coordsize="10,20">
              <v:shape style="position:absolute;left:6371;top:50;width:10;height:20" coordorigin="6371,50" coordsize="10,20" path="m6371,70l6380,70,6380,50,6371,50,6371,70xe" filled="true" fillcolor="#000000" stroked="false">
                <v:path arrowok="t"/>
                <v:fill type="solid"/>
              </v:shape>
            </v:group>
            <v:group style="position:absolute;left:6371;top:70;width:10;height:20" coordorigin="6371,70" coordsize="10,20">
              <v:shape style="position:absolute;left:6371;top:70;width:10;height:20" coordorigin="6371,70" coordsize="10,20" path="m6371,89l6380,89,6380,70,6371,70,6371,89xe" filled="true" fillcolor="#000000" stroked="false">
                <v:path arrowok="t"/>
                <v:fill type="solid"/>
              </v:shape>
            </v:group>
            <v:group style="position:absolute;left:6371;top:89;width:10;height:20" coordorigin="6371,89" coordsize="10,20">
              <v:shape style="position:absolute;left:6371;top:89;width:10;height:20" coordorigin="6371,89" coordsize="10,20" path="m6371,108l6380,108,6380,89,6371,89,6371,108xe" filled="true" fillcolor="#000000" stroked="false">
                <v:path arrowok="t"/>
                <v:fill type="solid"/>
              </v:shape>
            </v:group>
            <v:group style="position:absolute;left:6371;top:108;width:10;height:20" coordorigin="6371,108" coordsize="10,20">
              <v:shape style="position:absolute;left:6371;top:108;width:10;height:20" coordorigin="6371,108" coordsize="10,20" path="m6371,128l6380,128,6380,108,6371,108,6371,128xe" filled="true" fillcolor="#000000" stroked="false">
                <v:path arrowok="t"/>
                <v:fill type="solid"/>
              </v:shape>
            </v:group>
            <v:group style="position:absolute;left:6371;top:128;width:10;height:20" coordorigin="6371,128" coordsize="10,20">
              <v:shape style="position:absolute;left:6371;top:128;width:10;height:20" coordorigin="6371,128" coordsize="10,20" path="m6371,147l6380,147,6380,128,6371,128,6371,147xe" filled="true" fillcolor="#000000" stroked="false">
                <v:path arrowok="t"/>
                <v:fill type="solid"/>
              </v:shape>
            </v:group>
            <v:group style="position:absolute;left:6371;top:147;width:10;height:20" coordorigin="6371,147" coordsize="10,20">
              <v:shape style="position:absolute;left:6371;top:147;width:10;height:20" coordorigin="6371,147" coordsize="10,20" path="m6371,166l6380,166,6380,147,6371,147,6371,166xe" filled="true" fillcolor="#000000" stroked="false">
                <v:path arrowok="t"/>
                <v:fill type="solid"/>
              </v:shape>
            </v:group>
            <v:group style="position:absolute;left:6371;top:166;width:10;height:20" coordorigin="6371,166" coordsize="10,20">
              <v:shape style="position:absolute;left:6371;top:166;width:10;height:20" coordorigin="6371,166" coordsize="10,20" path="m6371,185l6380,185,6380,166,6371,166,6371,185xe" filled="true" fillcolor="#000000" stroked="false">
                <v:path arrowok="t"/>
                <v:fill type="solid"/>
              </v:shape>
            </v:group>
            <v:group style="position:absolute;left:6371;top:185;width:10;height:20" coordorigin="6371,185" coordsize="10,20">
              <v:shape style="position:absolute;left:6371;top:185;width:10;height:20" coordorigin="6371,185" coordsize="10,20" path="m6371,204l6380,204,6380,185,6371,185,6371,204xe" filled="true" fillcolor="#000000" stroked="false">
                <v:path arrowok="t"/>
                <v:fill type="solid"/>
              </v:shape>
            </v:group>
            <v:group style="position:absolute;left:6371;top:204;width:10;height:20" coordorigin="6371,204" coordsize="10,20">
              <v:shape style="position:absolute;left:6371;top:204;width:10;height:20" coordorigin="6371,204" coordsize="10,20" path="m6371,224l6380,224,6380,204,6371,204,6371,224xe" filled="true" fillcolor="#000000" stroked="false">
                <v:path arrowok="t"/>
                <v:fill type="solid"/>
              </v:shape>
            </v:group>
            <v:group style="position:absolute;left:6371;top:224;width:10;height:20" coordorigin="6371,224" coordsize="10,20">
              <v:shape style="position:absolute;left:6371;top:224;width:10;height:20" coordorigin="6371,224" coordsize="10,20" path="m6371,243l6380,243,6380,224,6371,224,6371,243xe" filled="true" fillcolor="#000000" stroked="false">
                <v:path arrowok="t"/>
                <v:fill type="solid"/>
              </v:shape>
            </v:group>
            <v:group style="position:absolute;left:6371;top:243;width:10;height:20" coordorigin="6371,243" coordsize="10,20">
              <v:shape style="position:absolute;left:6371;top:243;width:10;height:20" coordorigin="6371,243" coordsize="10,20" path="m6371,262l6380,262,6380,243,6371,243,6371,262xe" filled="true" fillcolor="#000000" stroked="false">
                <v:path arrowok="t"/>
                <v:fill type="solid"/>
              </v:shape>
            </v:group>
            <v:group style="position:absolute;left:6371;top:262;width:10;height:20" coordorigin="6371,262" coordsize="10,20">
              <v:shape style="position:absolute;left:6371;top:262;width:10;height:20" coordorigin="6371,262" coordsize="10,20" path="m6371,281l6380,281,6380,262,6371,262,6371,281xe" filled="true" fillcolor="#000000" stroked="false">
                <v:path arrowok="t"/>
                <v:fill type="solid"/>
              </v:shape>
            </v:group>
            <v:group style="position:absolute;left:6371;top:281;width:10;height:20" coordorigin="6371,281" coordsize="10,20">
              <v:shape style="position:absolute;left:6371;top:281;width:10;height:20" coordorigin="6371,281" coordsize="10,20" path="m6371,300l6380,300,6380,281,6371,281,6371,300xe" filled="true" fillcolor="#000000" stroked="false">
                <v:path arrowok="t"/>
                <v:fill type="solid"/>
              </v:shape>
            </v:group>
            <v:group style="position:absolute;left:6371;top:300;width:10;height:20" coordorigin="6371,300" coordsize="10,20">
              <v:shape style="position:absolute;left:6371;top:300;width:10;height:20" coordorigin="6371,300" coordsize="10,20" path="m6371,320l6380,320,6380,300,6371,300,6371,320xe" filled="true" fillcolor="#000000" stroked="false">
                <v:path arrowok="t"/>
                <v:fill type="solid"/>
              </v:shape>
            </v:group>
            <v:group style="position:absolute;left:6371;top:320;width:10;height:20" coordorigin="6371,320" coordsize="10,20">
              <v:shape style="position:absolute;left:6371;top:320;width:10;height:20" coordorigin="6371,320" coordsize="10,20" path="m6371,339l6380,339,6380,320,6371,320,6371,339xe" filled="true" fillcolor="#000000" stroked="false">
                <v:path arrowok="t"/>
                <v:fill type="solid"/>
              </v:shape>
            </v:group>
            <v:group style="position:absolute;left:6371;top:339;width:10;height:20" coordorigin="6371,339" coordsize="10,20">
              <v:shape style="position:absolute;left:6371;top:339;width:10;height:20" coordorigin="6371,339" coordsize="10,20" path="m6371,358l6380,358,6380,339,6371,339,6371,358xe" filled="true" fillcolor="#000000" stroked="false">
                <v:path arrowok="t"/>
                <v:fill type="solid"/>
              </v:shape>
            </v:group>
            <v:group style="position:absolute;left:6371;top:365;width:10;height:2" coordorigin="6371,365" coordsize="10,2">
              <v:shape style="position:absolute;left:6371;top:365;width:10;height:2" coordorigin="6371,365" coordsize="10,0" path="m6371,365l6380,365e" filled="false" stroked="true" strokeweight=".71997pt" strokecolor="#000000">
                <v:path arrowok="t"/>
              </v:shape>
            </v:group>
            <v:group style="position:absolute;left:6371;top:387;width:29;height:2" coordorigin="6371,387" coordsize="29,2">
              <v:shape style="position:absolute;left:6371;top:387;width:29;height:2" coordorigin="6371,387" coordsize="29,0" path="m6371,387l6399,387e" filled="false" stroked="true" strokeweight="1.44pt" strokecolor="#000000">
                <v:path arrowok="t"/>
              </v:shape>
            </v:group>
            <v:group style="position:absolute;left:6399;top:387;width:2245;height:2" coordorigin="6399,387" coordsize="2245,2">
              <v:shape style="position:absolute;left:6399;top:387;width:2245;height:2" coordorigin="6399,387" coordsize="2245,0" path="m6399,387l8644,387e" filled="false" stroked="true" strokeweight="1.44pt" strokecolor="#000000">
                <v:path arrowok="t"/>
              </v:shape>
              <v:shape style="position:absolute;left:6899;top:53;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8,986,120.60</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60" w:right="1120"/>
        </w:sectPr>
      </w:pPr>
    </w:p>
    <w:p>
      <w:pPr>
        <w:pStyle w:val="Heading2"/>
        <w:spacing w:line="240" w:lineRule="auto"/>
        <w:ind w:left="238" w:right="-16"/>
        <w:jc w:val="left"/>
        <w:rPr>
          <w:b w:val="0"/>
          <w:bCs w:val="0"/>
        </w:rPr>
      </w:pPr>
      <w:r>
        <w:rPr>
          <w:rFonts w:ascii="宋体" w:hAnsi="宋体" w:cs="宋体" w:eastAsia="宋体" w:hint="default"/>
        </w:rPr>
        <w:t>(2).</w:t>
      </w:r>
      <w:r>
        <w:rPr>
          <w:rFonts w:ascii="宋体" w:hAnsi="宋体" w:cs="宋体" w:eastAsia="宋体" w:hint="default"/>
          <w:spacing w:val="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74" w:lineRule="exact" w:before="42"/>
        <w:ind w:left="238" w:right="-16"/>
        <w:jc w:val="left"/>
      </w:pPr>
      <w:r>
        <w:rPr/>
        <w:t>本公司受托管理</w:t>
      </w:r>
      <w:r>
        <w:rPr>
          <w:rFonts w:ascii="宋体" w:hAnsi="宋体" w:cs="宋体" w:eastAsia="宋体" w:hint="default"/>
        </w:rPr>
        <w:t>/</w:t>
      </w:r>
      <w:r>
        <w:rPr/>
        <w:t>承包情况表：</w:t>
      </w:r>
    </w:p>
    <w:p>
      <w:pPr>
        <w:pStyle w:val="BodyText"/>
        <w:spacing w:line="272" w:lineRule="exact" w:before="27"/>
        <w:ind w:left="238" w:right="1220"/>
        <w:jc w:val="left"/>
      </w:pPr>
      <w:r>
        <w:rPr/>
        <w:t>□适用</w:t>
      </w:r>
      <w:r>
        <w:rPr>
          <w:spacing w:val="-2"/>
        </w:rPr>
        <w:t> </w:t>
      </w:r>
      <w:r>
        <w:rPr/>
        <w:t>√不适用</w:t>
      </w:r>
      <w:r>
        <w:rPr>
          <w:w w:val="100"/>
        </w:rPr>
        <w:t> </w:t>
      </w:r>
      <w:r>
        <w:rPr>
          <w:spacing w:val="-2"/>
        </w:rPr>
        <w:t>关联托管</w:t>
      </w:r>
      <w:r>
        <w:rPr>
          <w:rFonts w:ascii="宋体" w:hAnsi="宋体" w:cs="宋体" w:eastAsia="宋体" w:hint="default"/>
          <w:spacing w:val="-2"/>
        </w:rPr>
        <w:t>/</w:t>
      </w:r>
      <w:r>
        <w:rPr>
          <w:spacing w:val="-2"/>
        </w:rPr>
        <w:t>承包情况说明</w:t>
      </w:r>
    </w:p>
    <w:p>
      <w:pPr>
        <w:pStyle w:val="BodyText"/>
        <w:spacing w:line="272" w:lineRule="exact" w:before="1"/>
        <w:ind w:left="238" w:right="1220"/>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72" w:lineRule="exact" w:before="1"/>
        <w:ind w:left="238" w:right="1220"/>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left="238" w:right="-16"/>
        <w:jc w:val="left"/>
      </w:pPr>
      <w:r>
        <w:rPr/>
        <w:t>□适用</w:t>
      </w:r>
      <w:r>
        <w:rPr>
          <w:spacing w:val="-1"/>
        </w:rPr>
        <w:t> </w:t>
      </w:r>
      <w:r>
        <w:rPr/>
        <w:t>√不适用</w:t>
      </w:r>
    </w:p>
    <w:p>
      <w:pPr>
        <w:pStyle w:val="Heading2"/>
        <w:spacing w:line="240" w:lineRule="auto" w:before="50"/>
        <w:ind w:left="238" w:right="-16"/>
        <w:jc w:val="left"/>
        <w:rPr>
          <w:b w:val="0"/>
          <w:bCs w:val="0"/>
        </w:rPr>
      </w:pPr>
      <w:r>
        <w:rPr>
          <w:rFonts w:ascii="宋体" w:hAnsi="宋体" w:cs="宋体" w:eastAsia="宋体" w:hint="default"/>
        </w:rPr>
        <w:t>(3).</w:t>
      </w:r>
      <w:r>
        <w:rPr>
          <w:rFonts w:ascii="宋体" w:hAnsi="宋体" w:cs="宋体" w:eastAsia="宋体" w:hint="default"/>
          <w:spacing w:val="9"/>
        </w:rPr>
        <w:t> </w:t>
      </w:r>
      <w:r>
        <w:rPr/>
        <w:t>关联租赁情况</w:t>
      </w:r>
      <w:r>
        <w:rPr>
          <w:b w:val="0"/>
          <w:bCs w:val="0"/>
        </w:rPr>
      </w:r>
    </w:p>
    <w:p>
      <w:pPr>
        <w:pStyle w:val="BodyText"/>
        <w:spacing w:line="273" w:lineRule="exact" w:before="64"/>
        <w:ind w:left="238" w:right="-16"/>
        <w:jc w:val="left"/>
      </w:pPr>
      <w:r>
        <w:rPr/>
        <w:t>本公司作为出租方：</w:t>
      </w:r>
    </w:p>
    <w:p>
      <w:pPr>
        <w:pStyle w:val="BodyText"/>
        <w:spacing w:line="273" w:lineRule="exact"/>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56"/>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5195" w:space="1327"/>
            <w:col w:w="270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435"/>
        <w:gridCol w:w="1416"/>
        <w:gridCol w:w="1985"/>
        <w:gridCol w:w="2060"/>
      </w:tblGrid>
      <w:tr>
        <w:trPr>
          <w:trHeight w:val="34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本期确认的租赁收入</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5"/>
              <w:jc w:val="right"/>
              <w:rPr>
                <w:rFonts w:ascii="宋体" w:hAnsi="宋体" w:cs="宋体" w:eastAsia="宋体" w:hint="default"/>
                <w:sz w:val="21"/>
                <w:szCs w:val="21"/>
              </w:rPr>
            </w:pPr>
            <w:r>
              <w:rPr>
                <w:rFonts w:ascii="宋体" w:hAnsi="宋体" w:cs="宋体" w:eastAsia="宋体" w:hint="default"/>
                <w:spacing w:val="-1"/>
                <w:sz w:val="21"/>
                <w:szCs w:val="21"/>
              </w:rPr>
              <w:t>上期确认的租赁收入</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深圳中科金证科技有限公司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609,577.20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764,096.66</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深圳市盈通数据服务股份有限公司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258,557.28</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519,263.68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478,950.95</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211,933.37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45,369.90</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617,349.05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286,857.12</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234,567.96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38,533.34</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290,095.20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2,482,786.46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1,872,365.25</w:t>
            </w:r>
          </w:p>
        </w:tc>
      </w:tr>
    </w:tbl>
    <w:p>
      <w:pPr>
        <w:pStyle w:val="BodyText"/>
        <w:spacing w:line="239" w:lineRule="exact"/>
        <w:ind w:left="238" w:right="0"/>
        <w:jc w:val="left"/>
      </w:pPr>
      <w:r>
        <w:rPr/>
        <w:t>本公司作为承租方：</w:t>
      </w:r>
    </w:p>
    <w:p>
      <w:pPr>
        <w:pStyle w:val="BodyText"/>
        <w:spacing w:line="240" w:lineRule="auto"/>
        <w:ind w:left="238" w:right="7087"/>
        <w:jc w:val="left"/>
      </w:pPr>
      <w:r>
        <w:rPr/>
        <w:t>□适用</w:t>
      </w:r>
      <w:r>
        <w:rPr>
          <w:spacing w:val="-2"/>
        </w:rPr>
        <w:t> </w:t>
      </w:r>
      <w:r>
        <w:rPr/>
        <w:t>√不适用</w:t>
      </w:r>
      <w:r>
        <w:rPr>
          <w:w w:val="100"/>
        </w:rPr>
        <w:t> </w:t>
      </w:r>
      <w:r>
        <w:rPr>
          <w:spacing w:val="-2"/>
        </w:rPr>
        <w:t>关联租赁情况说明</w:t>
      </w:r>
    </w:p>
    <w:p>
      <w:pPr>
        <w:pStyle w:val="BodyText"/>
        <w:spacing w:line="271" w:lineRule="exact"/>
        <w:ind w:left="238" w:right="0"/>
        <w:jc w:val="left"/>
      </w:pPr>
      <w:r>
        <w:rPr/>
        <w:t>□适用</w:t>
      </w:r>
      <w:r>
        <w:rPr>
          <w:spacing w:val="-1"/>
        </w:rPr>
        <w:t> </w:t>
      </w:r>
      <w:r>
        <w:rPr/>
        <w:t>√不适用</w:t>
      </w:r>
    </w:p>
    <w:p>
      <w:pPr>
        <w:pStyle w:val="Heading2"/>
        <w:spacing w:line="240" w:lineRule="auto" w:before="52"/>
        <w:ind w:left="238" w:right="0"/>
        <w:jc w:val="left"/>
        <w:rPr>
          <w:b w:val="0"/>
          <w:bCs w:val="0"/>
        </w:rPr>
      </w:pPr>
      <w:r>
        <w:rPr>
          <w:rFonts w:ascii="宋体" w:hAnsi="宋体" w:cs="宋体" w:eastAsia="宋体" w:hint="default"/>
        </w:rPr>
        <w:t>(4).</w:t>
      </w:r>
      <w:r>
        <w:rPr>
          <w:rFonts w:ascii="宋体" w:hAnsi="宋体" w:cs="宋体" w:eastAsia="宋体" w:hint="default"/>
          <w:spacing w:val="9"/>
        </w:rPr>
        <w:t> </w:t>
      </w:r>
      <w:r>
        <w:rPr/>
        <w:t>关联担保情况</w:t>
      </w:r>
      <w:r>
        <w:rPr>
          <w:b w:val="0"/>
          <w:bCs w:val="0"/>
        </w:rPr>
      </w:r>
    </w:p>
    <w:p>
      <w:pPr>
        <w:pStyle w:val="BodyText"/>
        <w:spacing w:line="274" w:lineRule="exact" w:before="61"/>
        <w:ind w:left="238" w:right="0"/>
        <w:jc w:val="left"/>
      </w:pPr>
      <w:r>
        <w:rPr/>
        <w:t>本公司作为担保方</w:t>
      </w:r>
    </w:p>
    <w:p>
      <w:pPr>
        <w:pStyle w:val="BodyText"/>
        <w:spacing w:line="272" w:lineRule="exact" w:before="27"/>
        <w:ind w:left="238" w:right="7087"/>
        <w:jc w:val="left"/>
      </w:pPr>
      <w:r>
        <w:rPr/>
        <w:t>□适用</w:t>
      </w:r>
      <w:r>
        <w:rPr>
          <w:spacing w:val="-2"/>
        </w:rPr>
        <w:t> </w:t>
      </w:r>
      <w:r>
        <w:rPr/>
        <w:t>√不适用</w:t>
      </w:r>
      <w:r>
        <w:rPr>
          <w:w w:val="100"/>
        </w:rPr>
        <w:t> </w:t>
      </w:r>
      <w:r>
        <w:rPr>
          <w:spacing w:val="-1"/>
        </w:rPr>
        <w:t>本公司作为被担保方</w:t>
      </w:r>
    </w:p>
    <w:p>
      <w:pPr>
        <w:pStyle w:val="BodyText"/>
        <w:spacing w:line="272" w:lineRule="exact" w:before="1"/>
        <w:ind w:left="238" w:right="7087"/>
        <w:jc w:val="left"/>
      </w:pPr>
      <w:r>
        <w:rPr/>
        <w:t>□适用</w:t>
      </w:r>
      <w:r>
        <w:rPr>
          <w:spacing w:val="-2"/>
        </w:rPr>
        <w:t> </w:t>
      </w:r>
      <w:r>
        <w:rPr/>
        <w:t>√不适用</w:t>
      </w:r>
      <w:r>
        <w:rPr>
          <w:w w:val="100"/>
        </w:rPr>
        <w:t> </w:t>
      </w:r>
      <w:r>
        <w:rPr>
          <w:spacing w:val="-2"/>
        </w:rPr>
        <w:t>关联担保情况说明</w:t>
      </w:r>
    </w:p>
    <w:p>
      <w:pPr>
        <w:pStyle w:val="BodyText"/>
        <w:spacing w:line="249" w:lineRule="exact"/>
        <w:ind w:left="238" w:right="0"/>
        <w:jc w:val="left"/>
      </w:pPr>
      <w:r>
        <w:rPr/>
        <w:t>□适用</w:t>
      </w:r>
      <w:r>
        <w:rPr>
          <w:spacing w:val="-1"/>
        </w:rPr>
        <w:t> </w:t>
      </w:r>
      <w:r>
        <w:rPr/>
        <w:t>√不适用</w:t>
      </w:r>
    </w:p>
    <w:p>
      <w:pPr>
        <w:pStyle w:val="Heading2"/>
        <w:spacing w:line="240" w:lineRule="auto" w:before="50"/>
        <w:ind w:left="238" w:right="0"/>
        <w:jc w:val="left"/>
        <w:rPr>
          <w:b w:val="0"/>
          <w:bCs w:val="0"/>
        </w:rPr>
      </w:pPr>
      <w:r>
        <w:rPr>
          <w:rFonts w:ascii="宋体" w:hAnsi="宋体" w:cs="宋体" w:eastAsia="宋体" w:hint="default"/>
        </w:rPr>
        <w:t>(5).</w:t>
      </w:r>
      <w:r>
        <w:rPr>
          <w:rFonts w:ascii="宋体" w:hAnsi="宋体" w:cs="宋体" w:eastAsia="宋体" w:hint="default"/>
          <w:spacing w:val="10"/>
        </w:rPr>
        <w:t> </w:t>
      </w:r>
      <w:r>
        <w:rPr/>
        <w:t>关联方资金拆借</w:t>
      </w:r>
      <w:r>
        <w:rPr>
          <w:b w:val="0"/>
          <w:bCs w:val="0"/>
        </w:rPr>
      </w:r>
    </w:p>
    <w:p>
      <w:pPr>
        <w:pStyle w:val="BodyText"/>
        <w:spacing w:line="240" w:lineRule="auto" w:before="64"/>
        <w:ind w:left="238" w:right="0"/>
        <w:jc w:val="left"/>
      </w:pPr>
      <w:r>
        <w:rPr/>
        <w:t>□适用</w:t>
      </w:r>
      <w:r>
        <w:rPr>
          <w:spacing w:val="-1"/>
        </w:rPr>
        <w:t> </w:t>
      </w:r>
      <w:r>
        <w:rPr/>
        <w:t>√不适用</w:t>
      </w:r>
    </w:p>
    <w:p>
      <w:pPr>
        <w:pStyle w:val="Heading2"/>
        <w:spacing w:line="240" w:lineRule="auto" w:before="50"/>
        <w:ind w:left="238" w:right="0"/>
        <w:jc w:val="left"/>
        <w:rPr>
          <w:b w:val="0"/>
          <w:bCs w:val="0"/>
        </w:rPr>
      </w:pPr>
      <w:r>
        <w:rPr>
          <w:rFonts w:ascii="宋体" w:hAnsi="宋体" w:cs="宋体" w:eastAsia="宋体" w:hint="default"/>
        </w:rPr>
        <w:t>(6).</w:t>
      </w:r>
      <w:r>
        <w:rPr>
          <w:rFonts w:ascii="宋体" w:hAnsi="宋体" w:cs="宋体" w:eastAsia="宋体" w:hint="default"/>
          <w:spacing w:val="10"/>
        </w:rPr>
        <w:t> </w:t>
      </w:r>
      <w:r>
        <w:rPr/>
        <w:t>关联方资产转让、债务重组情况</w:t>
      </w:r>
      <w:r>
        <w:rPr>
          <w:b w:val="0"/>
          <w:bCs w:val="0"/>
        </w:rPr>
      </w:r>
    </w:p>
    <w:p>
      <w:pPr>
        <w:pStyle w:val="BodyText"/>
        <w:spacing w:line="240" w:lineRule="auto" w:before="64"/>
        <w:ind w:left="238" w:right="0"/>
        <w:jc w:val="left"/>
      </w:pPr>
      <w:r>
        <w:rPr/>
        <w:t>□适用</w:t>
      </w:r>
      <w:r>
        <w:rPr>
          <w:spacing w:val="-1"/>
        </w:rPr>
        <w:t> </w:t>
      </w:r>
      <w:r>
        <w:rPr/>
        <w:t>√不适用</w:t>
      </w:r>
    </w:p>
    <w:p>
      <w:pPr>
        <w:pStyle w:val="Heading2"/>
        <w:spacing w:line="240" w:lineRule="auto" w:before="50"/>
        <w:ind w:left="238" w:right="0"/>
        <w:jc w:val="left"/>
        <w:rPr>
          <w:b w:val="0"/>
          <w:bCs w:val="0"/>
        </w:rPr>
      </w:pPr>
      <w:r>
        <w:rPr>
          <w:rFonts w:ascii="宋体" w:hAnsi="宋体" w:cs="宋体" w:eastAsia="宋体" w:hint="default"/>
        </w:rPr>
        <w:t>(7).</w:t>
      </w:r>
      <w:r>
        <w:rPr>
          <w:rFonts w:ascii="宋体" w:hAnsi="宋体" w:cs="宋体" w:eastAsia="宋体" w:hint="default"/>
          <w:spacing w:val="9"/>
        </w:rPr>
        <w:t> </w:t>
      </w:r>
      <w:r>
        <w:rPr/>
        <w:t>关键管理人员报酬</w:t>
      </w:r>
      <w:r>
        <w:rPr>
          <w:b w:val="0"/>
          <w:bCs w:val="0"/>
        </w:rPr>
      </w:r>
    </w:p>
    <w:p>
      <w:pPr>
        <w:pStyle w:val="BodyText"/>
        <w:spacing w:line="240" w:lineRule="auto" w:before="64"/>
        <w:ind w:left="238" w:right="0"/>
        <w:jc w:val="left"/>
      </w:pPr>
      <w:r>
        <w:rPr/>
        <w:t>□适用</w:t>
      </w:r>
      <w:r>
        <w:rPr>
          <w:spacing w:val="-1"/>
        </w:rPr>
        <w:t> </w:t>
      </w:r>
      <w:r>
        <w:rPr/>
        <w:t>√不适用</w:t>
      </w:r>
    </w:p>
    <w:p>
      <w:pPr>
        <w:pStyle w:val="Heading2"/>
        <w:spacing w:line="240" w:lineRule="auto" w:before="52"/>
        <w:ind w:left="238" w:right="0"/>
        <w:jc w:val="left"/>
        <w:rPr>
          <w:b w:val="0"/>
          <w:bCs w:val="0"/>
        </w:rPr>
      </w:pPr>
      <w:r>
        <w:rPr>
          <w:rFonts w:ascii="宋体" w:hAnsi="宋体" w:cs="宋体" w:eastAsia="宋体" w:hint="default"/>
        </w:rPr>
        <w:t>(8).</w:t>
      </w:r>
      <w:r>
        <w:rPr>
          <w:rFonts w:ascii="宋体" w:hAnsi="宋体" w:cs="宋体" w:eastAsia="宋体" w:hint="default"/>
          <w:spacing w:val="9"/>
        </w:rPr>
        <w:t> </w:t>
      </w:r>
      <w:r>
        <w:rPr/>
        <w:t>其他关联交易</w:t>
      </w:r>
      <w:r>
        <w:rPr>
          <w:b w:val="0"/>
          <w:bCs w:val="0"/>
        </w:rPr>
      </w:r>
    </w:p>
    <w:p>
      <w:pPr>
        <w:pStyle w:val="BodyText"/>
        <w:tabs>
          <w:tab w:pos="1080" w:val="left" w:leader="none"/>
        </w:tabs>
        <w:spacing w:line="240" w:lineRule="auto" w:before="61"/>
        <w:ind w:left="238" w:right="0"/>
        <w:jc w:val="left"/>
      </w:pPr>
      <w:r>
        <w:rPr>
          <w:spacing w:val="-1"/>
        </w:rPr>
        <w:t>√适用</w:t>
        <w:tab/>
      </w:r>
      <w:r>
        <w:rPr>
          <w:spacing w:val="-2"/>
        </w:rPr>
        <w:t>□不适用</w:t>
      </w:r>
    </w:p>
    <w:p>
      <w:pPr>
        <w:spacing w:after="0" w:line="240" w:lineRule="auto"/>
        <w:jc w:val="left"/>
        <w:sectPr>
          <w:type w:val="continuous"/>
          <w:pgSz w:w="11910" w:h="16840"/>
          <w:pgMar w:top="1120" w:bottom="1380" w:left="1560" w:right="112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t>本公司出资人民币 </w:t>
      </w:r>
      <w:r>
        <w:rPr>
          <w:rFonts w:ascii="宋体" w:hAnsi="宋体" w:cs="宋体" w:eastAsia="宋体" w:hint="default"/>
        </w:rPr>
        <w:t>2000</w:t>
      </w:r>
      <w:r>
        <w:rPr>
          <w:rFonts w:ascii="宋体" w:hAnsi="宋体" w:cs="宋体" w:eastAsia="宋体" w:hint="default"/>
          <w:spacing w:val="-4"/>
        </w:rPr>
        <w:t> </w:t>
      </w:r>
      <w:r>
        <w:rPr/>
        <w:t>万元购买山东晶芯能源科技有限公司（以下简称“山东晶芯”）所</w:t>
      </w:r>
    </w:p>
    <w:p>
      <w:pPr>
        <w:pStyle w:val="BodyText"/>
        <w:spacing w:line="240" w:lineRule="auto" w:before="39"/>
        <w:ind w:left="138" w:right="0"/>
        <w:jc w:val="left"/>
        <w:rPr>
          <w:rFonts w:ascii="宋体" w:hAnsi="宋体" w:cs="宋体" w:eastAsia="宋体" w:hint="default"/>
        </w:rPr>
      </w:pPr>
      <w:r>
        <w:rPr/>
        <w:t>持有的参与银座集团超市门店基础照明节能改造项目所形成的三年（ </w:t>
      </w:r>
      <w:r>
        <w:rPr>
          <w:rFonts w:ascii="宋体" w:hAnsi="宋体" w:cs="宋体" w:eastAsia="宋体" w:hint="default"/>
        </w:rPr>
        <w:t>2016 </w:t>
      </w:r>
      <w:r>
        <w:rPr/>
        <w:t>年 </w:t>
      </w:r>
      <w:r>
        <w:rPr>
          <w:rFonts w:ascii="宋体" w:hAnsi="宋体" w:cs="宋体" w:eastAsia="宋体" w:hint="default"/>
        </w:rPr>
        <w:t>3 </w:t>
      </w:r>
      <w:r>
        <w:rPr/>
        <w:t>月 </w:t>
      </w:r>
      <w:r>
        <w:rPr>
          <w:rFonts w:ascii="宋体" w:hAnsi="宋体" w:cs="宋体" w:eastAsia="宋体" w:hint="default"/>
        </w:rPr>
        <w:t>-2019 </w:t>
      </w:r>
      <w:r>
        <w:rPr/>
        <w:t>年</w:t>
      </w:r>
      <w:r>
        <w:rPr>
          <w:spacing w:val="-4"/>
        </w:rPr>
        <w:t> </w:t>
      </w:r>
      <w:r>
        <w:rPr>
          <w:rFonts w:ascii="宋体" w:hAnsi="宋体" w:cs="宋体" w:eastAsia="宋体" w:hint="default"/>
        </w:rPr>
        <w:t>2</w:t>
      </w:r>
    </w:p>
    <w:p>
      <w:pPr>
        <w:pStyle w:val="BodyText"/>
        <w:spacing w:line="240" w:lineRule="auto" w:before="37"/>
        <w:ind w:left="138" w:right="158"/>
        <w:jc w:val="left"/>
      </w:pPr>
      <w:r>
        <w:rPr/>
        <w:t>月）节能效益分享权。按照协议约定，本期计提节能改造项目收益金额为</w:t>
      </w:r>
      <w:r>
        <w:rPr>
          <w:spacing w:val="-57"/>
        </w:rPr>
        <w:t> </w:t>
      </w:r>
      <w:r>
        <w:rPr>
          <w:rFonts w:ascii="宋体" w:hAnsi="宋体" w:cs="宋体" w:eastAsia="宋体" w:hint="default"/>
        </w:rPr>
        <w:t>860</w:t>
      </w:r>
      <w:r>
        <w:rPr>
          <w:rFonts w:ascii="宋体" w:hAnsi="宋体" w:cs="宋体" w:eastAsia="宋体" w:hint="default"/>
          <w:spacing w:val="-56"/>
        </w:rPr>
        <w:t> </w:t>
      </w:r>
      <w:r>
        <w:rPr/>
        <w:t>万元。</w:t>
      </w:r>
    </w:p>
    <w:p>
      <w:pPr>
        <w:pStyle w:val="BodyText"/>
        <w:spacing w:line="273" w:lineRule="auto" w:before="39"/>
        <w:ind w:left="138" w:right="150" w:firstLine="419"/>
        <w:jc w:val="both"/>
      </w:pPr>
      <w:r>
        <w:rPr/>
        <w:t>本公司之子公司深圳市睿服科技有限公司于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日由本公司和深圳市金锐联投资</w:t>
      </w:r>
      <w:r>
        <w:rPr>
          <w:w w:val="100"/>
        </w:rPr>
        <w:t> </w:t>
      </w:r>
      <w:r>
        <w:rPr>
          <w:spacing w:val="-7"/>
        </w:rPr>
        <w:t>企业（有限合伙）共同投资设立。因深圳市金锐联投资企业（有限合伙）中有本公司监事刘雄任，</w:t>
      </w:r>
      <w:r>
        <w:rPr>
          <w:spacing w:val="-14"/>
        </w:rPr>
        <w:t> </w:t>
      </w:r>
      <w:r>
        <w:rPr>
          <w:spacing w:val="-14"/>
        </w:rPr>
      </w:r>
      <w:r>
        <w:rPr/>
        <w:t>根据《上海证券交易所股票上市规则》的相关规定，本次对外投资属于关联交易。</w:t>
      </w:r>
    </w:p>
    <w:p>
      <w:pPr>
        <w:pStyle w:val="Heading2"/>
        <w:spacing w:line="283" w:lineRule="auto" w:before="61"/>
        <w:ind w:left="138" w:right="6377"/>
        <w:jc w:val="left"/>
        <w:rPr>
          <w:b w:val="0"/>
          <w:bCs w:val="0"/>
        </w:rPr>
      </w:pPr>
      <w:r>
        <w:rPr>
          <w:rFonts w:ascii="宋体" w:hAnsi="宋体" w:cs="宋体" w:eastAsia="宋体" w:hint="default"/>
        </w:rPr>
        <w:t>6</w:t>
      </w:r>
      <w:r>
        <w:rPr/>
        <w:t>、</w:t>
      </w:r>
      <w:r>
        <w:rPr>
          <w:spacing w:val="-60"/>
        </w:rPr>
        <w:t> </w:t>
      </w:r>
      <w:r>
        <w:rPr/>
        <w:t>关联方应收应付款项</w:t>
      </w:r>
      <w:r>
        <w:rPr>
          <w:w w:val="99"/>
        </w:rPr>
        <w:t> </w:t>
      </w:r>
      <w:r>
        <w:rPr>
          <w:rFonts w:ascii="宋体" w:hAnsi="宋体" w:cs="宋体" w:eastAsia="宋体" w:hint="default"/>
        </w:rPr>
        <w:t>(1).</w:t>
      </w:r>
      <w:r>
        <w:rPr>
          <w:rFonts w:ascii="宋体" w:hAnsi="宋体" w:cs="宋体" w:eastAsia="宋体" w:hint="default"/>
          <w:spacing w:val="11"/>
        </w:rPr>
        <w:t> </w:t>
      </w:r>
      <w:r>
        <w:rPr/>
        <w:t>应收项目</w:t>
      </w:r>
      <w:r>
        <w:rPr>
          <w:b w:val="0"/>
          <w:bCs w:val="0"/>
        </w:rPr>
      </w:r>
    </w:p>
    <w:p>
      <w:pPr>
        <w:pStyle w:val="BodyText"/>
        <w:tabs>
          <w:tab w:pos="980" w:val="left" w:leader="none"/>
        </w:tabs>
        <w:spacing w:line="240" w:lineRule="auto" w:before="21"/>
        <w:ind w:left="138" w:right="158"/>
        <w:jc w:val="left"/>
      </w:pPr>
      <w:r>
        <w:rPr>
          <w:spacing w:val="-1"/>
        </w:rPr>
        <w:t>√适用</w:t>
        <w:tab/>
      </w:r>
      <w:r>
        <w:rPr>
          <w:spacing w:val="-2"/>
        </w:rPr>
        <w:t>□不适用</w:t>
      </w:r>
    </w:p>
    <w:p>
      <w:pPr>
        <w:pStyle w:val="BodyText"/>
        <w:tabs>
          <w:tab w:pos="946" w:val="left" w:leader="none"/>
        </w:tabs>
        <w:spacing w:line="271" w:lineRule="exact"/>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33"/>
        <w:gridCol w:w="2372"/>
        <w:gridCol w:w="1323"/>
        <w:gridCol w:w="1109"/>
        <w:gridCol w:w="1321"/>
        <w:gridCol w:w="1339"/>
      </w:tblGrid>
      <w:tr>
        <w:trPr>
          <w:trHeight w:val="281"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08"/>
              <w:ind w:left="29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33" w:type="dxa"/>
            <w:vMerge/>
            <w:tcBorders>
              <w:left w:val="single" w:sz="4" w:space="0" w:color="000000"/>
              <w:bottom w:val="single" w:sz="4" w:space="0" w:color="000000"/>
              <w:right w:val="single" w:sz="4" w:space="0" w:color="000000"/>
            </w:tcBorders>
          </w:tcPr>
          <w:p>
            <w:pPr/>
          </w:p>
        </w:tc>
        <w:tc>
          <w:tcPr>
            <w:tcW w:w="2372"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7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59,789.27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2,989.46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30,224.80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1,511.24</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深圳市丽海弘金资产管理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1,643.62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82.18</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2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2,150,000.00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107,500.00</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4"/>
              <w:jc w:val="left"/>
              <w:rPr>
                <w:rFonts w:ascii="宋体" w:hAnsi="宋体" w:cs="宋体" w:eastAsia="宋体" w:hint="default"/>
                <w:sz w:val="21"/>
                <w:szCs w:val="21"/>
              </w:rPr>
            </w:pPr>
            <w:r>
              <w:rPr>
                <w:rFonts w:ascii="宋体" w:hAnsi="宋体" w:cs="宋体" w:eastAsia="宋体" w:hint="default"/>
                <w:w w:val="100"/>
                <w:sz w:val="21"/>
                <w:szCs w:val="21"/>
              </w:rPr>
              <w:t>兴业</w:t>
            </w:r>
            <w:r>
              <w:rPr>
                <w:rFonts w:ascii="宋体" w:hAnsi="宋体" w:cs="宋体" w:eastAsia="宋体" w:hint="default"/>
                <w:spacing w:val="-3"/>
                <w:w w:val="100"/>
                <w:sz w:val="21"/>
                <w:szCs w:val="21"/>
              </w:rPr>
              <w:t>数</w:t>
            </w:r>
            <w:r>
              <w:rPr>
                <w:rFonts w:ascii="宋体" w:hAnsi="宋体" w:cs="宋体" w:eastAsia="宋体" w:hint="default"/>
                <w:w w:val="100"/>
                <w:sz w:val="21"/>
                <w:szCs w:val="21"/>
              </w:rPr>
              <w:t>字</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服</w:t>
            </w:r>
            <w:r>
              <w:rPr>
                <w:rFonts w:ascii="宋体" w:hAnsi="宋体" w:cs="宋体" w:eastAsia="宋体" w:hint="default"/>
                <w:spacing w:val="-106"/>
                <w:w w:val="100"/>
                <w:sz w:val="21"/>
                <w:szCs w:val="21"/>
              </w:rPr>
              <w:t>务</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48"/>
                <w:w w:val="100"/>
                <w:sz w:val="21"/>
                <w:szCs w:val="21"/>
              </w:rPr>
              <w:t>）</w:t>
            </w:r>
            <w:r>
              <w:rPr>
                <w:rFonts w:ascii="宋体" w:hAnsi="宋体" w:cs="宋体" w:eastAsia="宋体" w:hint="default"/>
                <w:w w:val="100"/>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3,067,158.02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153,357.90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武汉无线飞翔科技有限公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3,575,000.00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178,750.00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深圳市隆通电子商务有限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580,000.00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29,000.00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7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深圳市金证前海金融科技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107,477.67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5,373.88</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24,645.85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1,232.29</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2"/>
        <w:spacing w:line="240" w:lineRule="auto"/>
        <w:ind w:left="138" w:right="-12"/>
        <w:jc w:val="left"/>
        <w:rPr>
          <w:b w:val="0"/>
          <w:bCs w:val="0"/>
        </w:rPr>
      </w:pPr>
      <w:r>
        <w:rPr>
          <w:rFonts w:ascii="宋体" w:hAnsi="宋体" w:cs="宋体" w:eastAsia="宋体" w:hint="default"/>
        </w:rPr>
        <w:t>(2).</w:t>
      </w:r>
      <w:r>
        <w:rPr>
          <w:rFonts w:ascii="宋体" w:hAnsi="宋体" w:cs="宋体" w:eastAsia="宋体" w:hint="default"/>
          <w:spacing w:val="11"/>
        </w:rPr>
        <w:t> </w:t>
      </w:r>
      <w:r>
        <w:rPr/>
        <w:t>应付项目</w:t>
      </w:r>
      <w:r>
        <w:rPr>
          <w:b w:val="0"/>
          <w:bCs w:val="0"/>
        </w:rPr>
      </w:r>
    </w:p>
    <w:p>
      <w:pPr>
        <w:pStyle w:val="BodyText"/>
        <w:tabs>
          <w:tab w:pos="980" w:val="left" w:leader="none"/>
        </w:tabs>
        <w:spacing w:line="240" w:lineRule="auto" w:before="64"/>
        <w:ind w:left="1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084" w:val="left" w:leader="none"/>
        </w:tabs>
        <w:spacing w:line="240" w:lineRule="auto" w:before="152"/>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1821" w:space="4912"/>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41"/>
        <w:gridCol w:w="4463"/>
        <w:gridCol w:w="1700"/>
        <w:gridCol w:w="1493"/>
      </w:tblGrid>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46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深圳中科金证科技有限公司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66,225,761.09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5,738,415.00</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427,350.41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712,488.60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4,189,625.45</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46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2,382.57</w:t>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450,000.00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446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兴业数字金融服务（上海）股份有限公司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264,150.94</w:t>
            </w:r>
          </w:p>
        </w:tc>
      </w:tr>
    </w:tbl>
    <w:p>
      <w:pPr>
        <w:pStyle w:val="BodyText"/>
        <w:spacing w:line="240" w:lineRule="auto" w:before="86"/>
        <w:ind w:left="558" w:right="158"/>
        <w:jc w:val="left"/>
      </w:pPr>
      <w:r>
        <w:rPr/>
        <w:t>（</w:t>
      </w:r>
      <w:r>
        <w:rPr>
          <w:rFonts w:ascii="宋体" w:hAnsi="宋体" w:cs="宋体" w:eastAsia="宋体" w:hint="default"/>
        </w:rPr>
        <w:t>3</w:t>
      </w:r>
      <w:r>
        <w:rPr/>
        <w:t>）本公司其他应收款、其他应付款发生额</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r>
        <w:rPr/>
        <w:pict>
          <v:shape style="position:absolute;margin-left:130.100006pt;margin-top:77.639984pt;width:.48pt;height:.12pt;mso-position-horizontal-relative:page;mso-position-vertical-relative:page;z-index:-939256" type="#_x0000_t75" stroked="false">
            <v:imagedata r:id="rId141" o:title=""/>
          </v:shape>
        </w:pict>
      </w:r>
      <w:r>
        <w:rPr/>
        <w:pict>
          <v:shape style="position:absolute;margin-left:260.929993pt;margin-top:77.639984pt;width:.47998pt;height:.12pt;mso-position-horizontal-relative:page;mso-position-vertical-relative:page;z-index:-939232" type="#_x0000_t75" stroked="false">
            <v:imagedata r:id="rId141" o:title=""/>
          </v:shape>
        </w:pict>
      </w:r>
      <w:r>
        <w:rPr/>
        <w:pict>
          <v:shape style="position:absolute;margin-left:329.950012pt;margin-top:77.639984pt;width:.48001pt;height:.12pt;mso-position-horizontal-relative:page;mso-position-vertical-relative:page;z-index:-939208" type="#_x0000_t75" stroked="false">
            <v:imagedata r:id="rId141" o:title=""/>
          </v:shape>
        </w:pict>
      </w:r>
      <w:r>
        <w:rPr/>
        <w:pict>
          <v:shape style="position:absolute;margin-left:398.829987pt;margin-top:77.639984pt;width:.48001pt;height:.12pt;mso-position-horizontal-relative:page;mso-position-vertical-relative:page;z-index:-939184" type="#_x0000_t75" stroked="false">
            <v:imagedata r:id="rId141" o:title=""/>
          </v:shape>
        </w:pict>
      </w:r>
      <w:r>
        <w:rPr/>
        <w:pict>
          <v:shape style="position:absolute;margin-left:467.859985pt;margin-top:77.639984pt;width:.48001pt;height:.12pt;mso-position-horizontal-relative:page;mso-position-vertical-relative:page;z-index:-939160" type="#_x0000_t75" stroked="false">
            <v:imagedata r:id="rId141" o:title=""/>
          </v:shape>
        </w:pict>
      </w: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931"/>
        <w:gridCol w:w="2617"/>
        <w:gridCol w:w="1380"/>
        <w:gridCol w:w="1378"/>
        <w:gridCol w:w="1381"/>
        <w:gridCol w:w="1378"/>
      </w:tblGrid>
      <w:tr>
        <w:trPr>
          <w:trHeight w:val="488" w:hRule="exact"/>
        </w:trPr>
        <w:tc>
          <w:tcPr>
            <w:tcW w:w="931" w:type="dxa"/>
            <w:tcBorders>
              <w:top w:val="single" w:sz="12" w:space="0" w:color="000000"/>
              <w:left w:val="nil" w:sz="6" w:space="0" w:color="auto"/>
              <w:bottom w:val="nil" w:sz="6" w:space="0" w:color="auto"/>
              <w:right w:val="single" w:sz="4" w:space="0" w:color="000000"/>
            </w:tcBorders>
          </w:tcPr>
          <w:p>
            <w:pPr>
              <w:pStyle w:val="TableParagraph"/>
              <w:spacing w:line="207"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项目名</w:t>
            </w:r>
          </w:p>
          <w:p>
            <w:pPr>
              <w:pStyle w:val="TableParagraph"/>
              <w:spacing w:line="234" w:lineRule="exact"/>
              <w:ind w:left="16"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261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0"/>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80" w:type="dxa"/>
            <w:tcBorders>
              <w:top w:val="single" w:sz="12" w:space="0" w:color="000000"/>
              <w:left w:val="single" w:sz="4" w:space="0" w:color="000000"/>
              <w:bottom w:val="nil" w:sz="6" w:space="0" w:color="auto"/>
              <w:right w:val="single" w:sz="4" w:space="0" w:color="000000"/>
            </w:tcBorders>
          </w:tcPr>
          <w:p>
            <w:pPr>
              <w:pStyle w:val="TableParagraph"/>
              <w:spacing w:line="208" w:lineRule="exact"/>
              <w:ind w:left="3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78" w:type="dxa"/>
            <w:tcBorders>
              <w:top w:val="single" w:sz="12" w:space="0" w:color="000000"/>
              <w:left w:val="single" w:sz="4" w:space="0" w:color="000000"/>
              <w:bottom w:val="nil" w:sz="6" w:space="0" w:color="auto"/>
              <w:right w:val="single" w:sz="4" w:space="0" w:color="000000"/>
            </w:tcBorders>
          </w:tcPr>
          <w:p>
            <w:pPr>
              <w:pStyle w:val="TableParagraph"/>
              <w:spacing w:line="208" w:lineRule="exact"/>
              <w:ind w:left="23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8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0"/>
              <w:ind w:left="23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78" w:type="dxa"/>
            <w:tcBorders>
              <w:top w:val="single" w:sz="12" w:space="0" w:color="000000"/>
              <w:left w:val="single" w:sz="4" w:space="0" w:color="000000"/>
              <w:bottom w:val="nil" w:sz="6" w:space="0" w:color="auto"/>
              <w:right w:val="nil" w:sz="6" w:space="0" w:color="auto"/>
            </w:tcBorders>
          </w:tcPr>
          <w:p>
            <w:pPr>
              <w:pStyle w:val="TableParagraph"/>
              <w:spacing w:line="240" w:lineRule="auto" w:before="90"/>
              <w:ind w:left="3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6" w:hRule="exact"/>
        </w:trPr>
        <w:tc>
          <w:tcPr>
            <w:tcW w:w="931"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261"/>
              <w:jc w:val="left"/>
              <w:rPr>
                <w:rFonts w:ascii="宋体" w:hAnsi="宋体" w:cs="宋体" w:eastAsia="宋体" w:hint="default"/>
                <w:sz w:val="18"/>
                <w:szCs w:val="18"/>
              </w:rPr>
            </w:pPr>
            <w:r>
              <w:rPr>
                <w:rFonts w:ascii="宋体" w:hAnsi="宋体" w:cs="宋体" w:eastAsia="宋体" w:hint="default"/>
                <w:sz w:val="18"/>
                <w:szCs w:val="18"/>
              </w:rPr>
              <w:t>其他应 收款</w:t>
            </w:r>
          </w:p>
        </w:tc>
        <w:tc>
          <w:tcPr>
            <w:tcW w:w="2617"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103" w:right="161"/>
              <w:jc w:val="left"/>
              <w:rPr>
                <w:rFonts w:ascii="宋体" w:hAnsi="宋体" w:cs="宋体" w:eastAsia="宋体" w:hint="default"/>
                <w:sz w:val="18"/>
                <w:szCs w:val="18"/>
              </w:rPr>
            </w:pPr>
            <w:r>
              <w:rPr>
                <w:rFonts w:ascii="宋体" w:hAnsi="宋体" w:cs="宋体" w:eastAsia="宋体" w:hint="default"/>
                <w:sz w:val="18"/>
                <w:szCs w:val="18"/>
              </w:rPr>
              <w:t>深圳市金证前海金融科技有限 公司</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3"/>
              <w:jc w:val="right"/>
              <w:rPr>
                <w:rFonts w:ascii="Arial Narrow" w:hAnsi="Arial Narrow" w:cs="Arial Narrow" w:eastAsia="Arial Narrow" w:hint="default"/>
                <w:sz w:val="18"/>
                <w:szCs w:val="18"/>
              </w:rPr>
            </w:pPr>
            <w:r>
              <w:rPr>
                <w:rFonts w:ascii="Arial Narrow"/>
                <w:spacing w:val="-1"/>
                <w:sz w:val="18"/>
              </w:rPr>
              <w:t>107,477.67</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2"/>
              <w:jc w:val="right"/>
              <w:rPr>
                <w:rFonts w:ascii="Arial Narrow" w:hAnsi="Arial Narrow" w:cs="Arial Narrow" w:eastAsia="Arial Narrow" w:hint="default"/>
                <w:sz w:val="18"/>
                <w:szCs w:val="18"/>
              </w:rPr>
            </w:pPr>
            <w:r>
              <w:rPr>
                <w:rFonts w:ascii="Arial Narrow"/>
                <w:spacing w:val="-1"/>
                <w:sz w:val="18"/>
              </w:rPr>
              <w:t>799,600.43</w:t>
            </w:r>
          </w:p>
        </w:tc>
        <w:tc>
          <w:tcPr>
            <w:tcW w:w="138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3"/>
              <w:jc w:val="right"/>
              <w:rPr>
                <w:rFonts w:ascii="Arial Narrow" w:hAnsi="Arial Narrow" w:cs="Arial Narrow" w:eastAsia="Arial Narrow" w:hint="default"/>
                <w:sz w:val="18"/>
                <w:szCs w:val="18"/>
              </w:rPr>
            </w:pPr>
            <w:r>
              <w:rPr>
                <w:rFonts w:ascii="Arial Narrow"/>
                <w:spacing w:val="-1"/>
                <w:sz w:val="18"/>
              </w:rPr>
              <w:t>907,078.10</w:t>
            </w:r>
          </w:p>
        </w:tc>
        <w:tc>
          <w:tcPr>
            <w:tcW w:w="1378"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07"/>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r>
      <w:tr>
        <w:trPr>
          <w:trHeight w:val="478" w:hRule="exact"/>
        </w:trPr>
        <w:tc>
          <w:tcPr>
            <w:tcW w:w="931"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261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58"/>
              <w:jc w:val="center"/>
              <w:rPr>
                <w:rFonts w:ascii="宋体" w:hAnsi="宋体" w:cs="宋体" w:eastAsia="宋体" w:hint="default"/>
                <w:sz w:val="18"/>
                <w:szCs w:val="18"/>
              </w:rPr>
            </w:pPr>
            <w:r>
              <w:rPr>
                <w:rFonts w:ascii="宋体" w:hAnsi="宋体" w:cs="宋体" w:eastAsia="宋体" w:hint="default"/>
                <w:sz w:val="18"/>
                <w:szCs w:val="18"/>
              </w:rPr>
              <w:t>深圳市丽海弘金科技有限公司</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3"/>
              <w:jc w:val="right"/>
              <w:rPr>
                <w:rFonts w:ascii="Arial Narrow" w:hAnsi="Arial Narrow" w:cs="Arial Narrow" w:eastAsia="Arial Narrow" w:hint="default"/>
                <w:sz w:val="18"/>
                <w:szCs w:val="18"/>
              </w:rPr>
            </w:pPr>
            <w:r>
              <w:rPr>
                <w:rFonts w:ascii="Arial Narrow"/>
                <w:spacing w:val="-1"/>
                <w:sz w:val="18"/>
              </w:rPr>
              <w:t>-2,382.57</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2"/>
              <w:jc w:val="right"/>
              <w:rPr>
                <w:rFonts w:ascii="Arial Narrow" w:hAnsi="Arial Narrow" w:cs="Arial Narrow" w:eastAsia="Arial Narrow" w:hint="default"/>
                <w:sz w:val="18"/>
                <w:szCs w:val="18"/>
              </w:rPr>
            </w:pPr>
            <w:r>
              <w:rPr>
                <w:rFonts w:ascii="Arial Narrow"/>
                <w:spacing w:val="-1"/>
                <w:sz w:val="18"/>
              </w:rPr>
              <w:t>189,816.53</w:t>
            </w:r>
          </w:p>
        </w:tc>
        <w:tc>
          <w:tcPr>
            <w:tcW w:w="1381"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3"/>
              <w:jc w:val="right"/>
              <w:rPr>
                <w:rFonts w:ascii="Arial Narrow" w:hAnsi="Arial Narrow" w:cs="Arial Narrow" w:eastAsia="Arial Narrow" w:hint="default"/>
                <w:sz w:val="18"/>
                <w:szCs w:val="18"/>
              </w:rPr>
            </w:pPr>
            <w:r>
              <w:rPr>
                <w:rFonts w:ascii="Arial Narrow"/>
                <w:spacing w:val="-1"/>
                <w:sz w:val="18"/>
              </w:rPr>
              <w:t>162,788.11</w:t>
            </w:r>
          </w:p>
        </w:tc>
        <w:tc>
          <w:tcPr>
            <w:tcW w:w="1378"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105"/>
              <w:jc w:val="right"/>
              <w:rPr>
                <w:rFonts w:ascii="Arial Narrow" w:hAnsi="Arial Narrow" w:cs="Arial Narrow" w:eastAsia="Arial Narrow" w:hint="default"/>
                <w:sz w:val="18"/>
                <w:szCs w:val="18"/>
              </w:rPr>
            </w:pPr>
            <w:r>
              <w:rPr>
                <w:rFonts w:ascii="Arial Narrow"/>
                <w:spacing w:val="-1"/>
                <w:sz w:val="18"/>
              </w:rPr>
              <w:t>24,645.85</w:t>
            </w:r>
          </w:p>
        </w:tc>
      </w:tr>
      <w:tr>
        <w:trPr>
          <w:trHeight w:val="488" w:hRule="exact"/>
        </w:trPr>
        <w:tc>
          <w:tcPr>
            <w:tcW w:w="931" w:type="dxa"/>
            <w:tcBorders>
              <w:top w:val="nil" w:sz="6" w:space="0" w:color="auto"/>
              <w:left w:val="nil" w:sz="6" w:space="0" w:color="auto"/>
              <w:bottom w:val="single" w:sz="12"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付款</w:t>
            </w:r>
          </w:p>
        </w:tc>
        <w:tc>
          <w:tcPr>
            <w:tcW w:w="26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58"/>
              <w:jc w:val="center"/>
              <w:rPr>
                <w:rFonts w:ascii="宋体" w:hAnsi="宋体" w:cs="宋体" w:eastAsia="宋体" w:hint="default"/>
                <w:sz w:val="18"/>
                <w:szCs w:val="18"/>
              </w:rPr>
            </w:pPr>
            <w:r>
              <w:rPr>
                <w:rFonts w:ascii="宋体" w:hAnsi="宋体" w:cs="宋体" w:eastAsia="宋体" w:hint="default"/>
                <w:sz w:val="18"/>
                <w:szCs w:val="18"/>
              </w:rPr>
              <w:t>深圳市星网信通科技有限公司</w:t>
            </w:r>
          </w:p>
        </w:tc>
        <w:tc>
          <w:tcPr>
            <w:tcW w:w="13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450,000.00</w:t>
            </w:r>
          </w:p>
        </w:tc>
        <w:tc>
          <w:tcPr>
            <w:tcW w:w="13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3"/>
              <w:jc w:val="right"/>
              <w:rPr>
                <w:rFonts w:ascii="Arial Narrow" w:hAnsi="Arial Narrow" w:cs="Arial Narrow" w:eastAsia="Arial Narrow" w:hint="default"/>
                <w:sz w:val="18"/>
                <w:szCs w:val="18"/>
              </w:rPr>
            </w:pPr>
            <w:r>
              <w:rPr>
                <w:rFonts w:ascii="Arial Narrow"/>
                <w:spacing w:val="-2"/>
                <w:sz w:val="18"/>
              </w:rPr>
              <w:t>---</w:t>
            </w:r>
            <w:r>
              <w:rPr>
                <w:rFonts w:ascii="Arial Narrow"/>
                <w:sz w:val="18"/>
              </w:rPr>
            </w:r>
          </w:p>
        </w:tc>
        <w:tc>
          <w:tcPr>
            <w:tcW w:w="13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35"/>
              <w:ind w:right="105"/>
              <w:jc w:val="right"/>
              <w:rPr>
                <w:rFonts w:ascii="Arial Narrow" w:hAnsi="Arial Narrow" w:cs="Arial Narrow" w:eastAsia="Arial Narrow" w:hint="default"/>
                <w:sz w:val="18"/>
                <w:szCs w:val="18"/>
              </w:rPr>
            </w:pPr>
            <w:r>
              <w:rPr>
                <w:rFonts w:ascii="Arial Narrow"/>
                <w:spacing w:val="-1"/>
                <w:sz w:val="18"/>
              </w:rPr>
              <w:t>450,000.00</w:t>
            </w:r>
          </w:p>
        </w:tc>
      </w:tr>
    </w:tbl>
    <w:p>
      <w:pPr>
        <w:spacing w:line="240" w:lineRule="auto" w:before="6"/>
        <w:rPr>
          <w:rFonts w:ascii="宋体" w:hAnsi="宋体" w:cs="宋体" w:eastAsia="宋体" w:hint="default"/>
          <w:sz w:val="20"/>
          <w:szCs w:val="20"/>
        </w:rPr>
      </w:pPr>
    </w:p>
    <w:p>
      <w:pPr>
        <w:pStyle w:val="Heading2"/>
        <w:spacing w:line="240" w:lineRule="auto"/>
        <w:ind w:left="238" w:right="215"/>
        <w:jc w:val="left"/>
        <w:rPr>
          <w:b w:val="0"/>
          <w:bCs w:val="0"/>
        </w:rPr>
      </w:pPr>
      <w:r>
        <w:rPr/>
        <w:pict>
          <v:group style="position:absolute;margin-left:84.503998pt;margin-top:-86.444382pt;width:452.5pt;height:.5pt;mso-position-horizontal-relative:page;mso-position-vertical-relative:paragraph;z-index:-939136" coordorigin="1690,-1729" coordsize="9050,10">
            <v:shape style="position:absolute;left:1690;top:-1729;width:912;height:10" type="#_x0000_t75" stroked="false">
              <v:imagedata r:id="rId143" o:title=""/>
            </v:shape>
            <v:shape style="position:absolute;left:2597;top:-1729;width:2621;height:10" type="#_x0000_t75" stroked="false">
              <v:imagedata r:id="rId144" o:title=""/>
            </v:shape>
            <v:shape style="position:absolute;left:5214;top:-1729;width:5526;height:10" type="#_x0000_t75" stroked="false">
              <v:imagedata r:id="rId145" o:title=""/>
            </v:shape>
            <w10:wrap type="none"/>
          </v:group>
        </w:pict>
      </w:r>
      <w:r>
        <w:rPr/>
        <w:pict>
          <v:group style="position:absolute;margin-left:84.503998pt;margin-top:-62.564381pt;width:452.5pt;height:.5pt;mso-position-horizontal-relative:page;mso-position-vertical-relative:paragraph;z-index:-939112" coordorigin="1690,-1251" coordsize="9050,10">
            <v:shape style="position:absolute;left:1690;top:-1251;width:912;height:10" type="#_x0000_t75" stroked="false">
              <v:imagedata r:id="rId143" o:title=""/>
            </v:shape>
            <v:shape style="position:absolute;left:2597;top:-1251;width:2621;height:10" type="#_x0000_t75" stroked="false">
              <v:imagedata r:id="rId146" o:title=""/>
            </v:shape>
            <v:shape style="position:absolute;left:5214;top:-1251;width:5526;height:10" type="#_x0000_t75" stroked="false">
              <v:imagedata r:id="rId147" o:title=""/>
            </v:shape>
            <w10:wrap type="none"/>
          </v:group>
        </w:pict>
      </w:r>
      <w:r>
        <w:rPr/>
        <w:pict>
          <v:group style="position:absolute;margin-left:84.503998pt;margin-top:-38.684380pt;width:452.5pt;height:.5pt;mso-position-horizontal-relative:page;mso-position-vertical-relative:paragraph;z-index:-939088" coordorigin="1690,-774" coordsize="9050,10">
            <v:shape style="position:absolute;left:1690;top:-774;width:912;height:10" type="#_x0000_t75" stroked="false">
              <v:imagedata r:id="rId143" o:title=""/>
            </v:shape>
            <v:shape style="position:absolute;left:2597;top:-774;width:2621;height:10" type="#_x0000_t75" stroked="false">
              <v:imagedata r:id="rId146" o:title=""/>
            </v:shape>
            <v:shape style="position:absolute;left:5214;top:-774;width:5526;height:10" type="#_x0000_t75" stroked="false">
              <v:imagedata r:id="rId147" o:title=""/>
            </v:shape>
            <w10:wrap type="none"/>
          </v:group>
        </w:pict>
      </w:r>
      <w:r>
        <w:rPr>
          <w:rFonts w:ascii="宋体" w:hAnsi="宋体" w:cs="宋体" w:eastAsia="宋体" w:hint="default"/>
        </w:rPr>
        <w:t>7</w:t>
      </w:r>
      <w:r>
        <w:rPr/>
        <w:t>、</w:t>
      </w:r>
      <w:r>
        <w:rPr>
          <w:spacing w:val="-60"/>
        </w:rPr>
        <w:t> </w:t>
      </w:r>
      <w:r>
        <w:rPr/>
        <w:t>关联方承诺</w:t>
      </w:r>
      <w:r>
        <w:rPr>
          <w:b w:val="0"/>
          <w:bCs w:val="0"/>
        </w:rPr>
      </w:r>
    </w:p>
    <w:p>
      <w:pPr>
        <w:pStyle w:val="BodyText"/>
        <w:tabs>
          <w:tab w:pos="1080" w:val="left" w:leader="none"/>
        </w:tabs>
        <w:spacing w:line="240" w:lineRule="auto" w:before="61"/>
        <w:ind w:left="238" w:right="215"/>
        <w:jc w:val="left"/>
      </w:pPr>
      <w:r>
        <w:rPr>
          <w:spacing w:val="-1"/>
        </w:rPr>
        <w:t>□适用</w:t>
        <w:tab/>
      </w:r>
      <w:r>
        <w:rPr>
          <w:spacing w:val="-2"/>
        </w:rPr>
        <w:t>√不适用</w:t>
      </w:r>
    </w:p>
    <w:p>
      <w:pPr>
        <w:spacing w:before="52"/>
        <w:ind w:left="238" w:right="215" w:firstLine="0"/>
        <w:jc w:val="left"/>
        <w:rPr>
          <w:rFonts w:ascii="宋体" w:hAnsi="宋体" w:cs="宋体" w:eastAsia="宋体" w:hint="default"/>
          <w:sz w:val="24"/>
          <w:szCs w:val="24"/>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3"/>
          <w:sz w:val="20"/>
          <w:szCs w:val="20"/>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080" w:val="left" w:leader="none"/>
        </w:tabs>
        <w:spacing w:line="240" w:lineRule="auto" w:before="62"/>
        <w:ind w:left="238" w:right="215"/>
        <w:jc w:val="left"/>
      </w:pPr>
      <w:r>
        <w:rPr>
          <w:spacing w:val="-1"/>
        </w:rPr>
        <w:t>□适用</w:t>
        <w:tab/>
      </w:r>
      <w:r>
        <w:rPr>
          <w:spacing w:val="-2"/>
        </w:rPr>
        <w:t>√不适用</w:t>
      </w:r>
    </w:p>
    <w:p>
      <w:pPr>
        <w:pStyle w:val="Heading2"/>
        <w:spacing w:line="240" w:lineRule="auto" w:before="52"/>
        <w:ind w:left="238" w:right="215"/>
        <w:jc w:val="left"/>
        <w:rPr>
          <w:b w:val="0"/>
          <w:bCs w:val="0"/>
        </w:rPr>
      </w:pPr>
      <w:r>
        <w:rPr/>
        <w:t>十三、</w:t>
      </w:r>
      <w:r>
        <w:rPr>
          <w:spacing w:val="-5"/>
        </w:rPr>
        <w:t> </w:t>
      </w:r>
      <w:r>
        <w:rPr/>
        <w:t>股份支付</w:t>
      </w:r>
      <w:r>
        <w:rPr>
          <w:b w:val="0"/>
          <w:bCs w:val="0"/>
        </w:rPr>
      </w:r>
    </w:p>
    <w:p>
      <w:pPr>
        <w:pStyle w:val="Heading2"/>
        <w:spacing w:line="240" w:lineRule="auto" w:before="58"/>
        <w:ind w:left="238" w:right="215"/>
        <w:jc w:val="left"/>
        <w:rPr>
          <w:b w:val="0"/>
          <w:bCs w:val="0"/>
        </w:rPr>
      </w:pPr>
      <w:r>
        <w:rPr>
          <w:rFonts w:ascii="宋体" w:hAnsi="宋体" w:cs="宋体" w:eastAsia="宋体" w:hint="default"/>
        </w:rPr>
        <w:t>1</w:t>
      </w:r>
      <w:r>
        <w:rPr/>
        <w:t>、</w:t>
      </w:r>
      <w:r>
        <w:rPr>
          <w:spacing w:val="-61"/>
        </w:rPr>
        <w:t> </w:t>
      </w:r>
      <w:r>
        <w:rPr/>
        <w:t>股份支付总体情况</w:t>
      </w:r>
      <w:r>
        <w:rPr>
          <w:b w:val="0"/>
          <w:bCs w:val="0"/>
        </w:rPr>
      </w:r>
    </w:p>
    <w:p>
      <w:pPr>
        <w:pStyle w:val="BodyText"/>
        <w:spacing w:line="240" w:lineRule="auto" w:before="61"/>
        <w:ind w:left="238" w:right="215"/>
        <w:jc w:val="left"/>
      </w:pPr>
      <w:r>
        <w:rPr/>
        <w:t>□适用</w:t>
      </w:r>
      <w:r>
        <w:rPr>
          <w:spacing w:val="-1"/>
        </w:rPr>
        <w:t> </w:t>
      </w:r>
      <w:r>
        <w:rPr/>
        <w:t>√不适用</w:t>
      </w:r>
    </w:p>
    <w:p>
      <w:pPr>
        <w:pStyle w:val="Heading2"/>
        <w:spacing w:line="240" w:lineRule="auto" w:before="52"/>
        <w:ind w:left="238" w:right="215"/>
        <w:jc w:val="left"/>
        <w:rPr>
          <w:b w:val="0"/>
          <w:bCs w:val="0"/>
        </w:rPr>
      </w:pPr>
      <w:r>
        <w:rPr>
          <w:rFonts w:ascii="宋体" w:hAnsi="宋体" w:cs="宋体" w:eastAsia="宋体" w:hint="default"/>
        </w:rPr>
        <w:t>2</w:t>
      </w:r>
      <w:r>
        <w:rPr/>
        <w:t>、</w:t>
      </w:r>
      <w:r>
        <w:rPr>
          <w:spacing w:val="-61"/>
        </w:rPr>
        <w:t> </w:t>
      </w:r>
      <w:r>
        <w:rPr/>
        <w:t>以权益结算的股份支付情况</w:t>
      </w:r>
      <w:r>
        <w:rPr>
          <w:b w:val="0"/>
          <w:bCs w:val="0"/>
        </w:rPr>
      </w:r>
    </w:p>
    <w:p>
      <w:pPr>
        <w:pStyle w:val="BodyText"/>
        <w:spacing w:line="240" w:lineRule="auto" w:before="61"/>
        <w:ind w:left="238" w:right="215"/>
        <w:jc w:val="left"/>
      </w:pPr>
      <w:r>
        <w:rPr/>
        <w:t>□适用</w:t>
      </w:r>
      <w:r>
        <w:rPr>
          <w:spacing w:val="-1"/>
        </w:rPr>
        <w:t> </w:t>
      </w:r>
      <w:r>
        <w:rPr/>
        <w:t>√不适用</w:t>
      </w:r>
    </w:p>
    <w:p>
      <w:pPr>
        <w:pStyle w:val="Heading2"/>
        <w:spacing w:line="240" w:lineRule="auto" w:before="52"/>
        <w:ind w:left="238" w:right="215"/>
        <w:jc w:val="left"/>
        <w:rPr>
          <w:b w:val="0"/>
          <w:bCs w:val="0"/>
        </w:rPr>
      </w:pPr>
      <w:r>
        <w:rPr>
          <w:rFonts w:ascii="宋体" w:hAnsi="宋体" w:cs="宋体" w:eastAsia="宋体" w:hint="default"/>
        </w:rPr>
        <w:t>3</w:t>
      </w:r>
      <w:r>
        <w:rPr/>
        <w:t>、</w:t>
      </w:r>
      <w:r>
        <w:rPr>
          <w:spacing w:val="-61"/>
        </w:rPr>
        <w:t> </w:t>
      </w:r>
      <w:r>
        <w:rPr/>
        <w:t>以现金结算的股份支付情况</w:t>
      </w:r>
      <w:r>
        <w:rPr>
          <w:b w:val="0"/>
          <w:bCs w:val="0"/>
        </w:rPr>
      </w:r>
    </w:p>
    <w:p>
      <w:pPr>
        <w:pStyle w:val="BodyText"/>
        <w:spacing w:line="240" w:lineRule="auto" w:before="64"/>
        <w:ind w:left="238" w:right="215"/>
        <w:jc w:val="left"/>
      </w:pPr>
      <w:r>
        <w:rPr/>
        <w:t>□适用</w:t>
      </w:r>
      <w:r>
        <w:rPr>
          <w:spacing w:val="-1"/>
        </w:rPr>
        <w:t> </w:t>
      </w:r>
      <w:r>
        <w:rPr/>
        <w:t>√不适用</w:t>
      </w:r>
    </w:p>
    <w:p>
      <w:pPr>
        <w:pStyle w:val="Heading2"/>
        <w:spacing w:line="240" w:lineRule="auto" w:before="50"/>
        <w:ind w:left="238" w:right="215"/>
        <w:jc w:val="left"/>
        <w:rPr>
          <w:b w:val="0"/>
          <w:bCs w:val="0"/>
        </w:rPr>
      </w:pPr>
      <w:r>
        <w:rPr>
          <w:rFonts w:ascii="宋体" w:hAnsi="宋体" w:cs="宋体" w:eastAsia="宋体" w:hint="default"/>
        </w:rPr>
        <w:t>4</w:t>
      </w:r>
      <w:r>
        <w:rPr/>
        <w:t>、</w:t>
      </w:r>
      <w:r>
        <w:rPr>
          <w:spacing w:val="-61"/>
        </w:rPr>
        <w:t> </w:t>
      </w:r>
      <w:r>
        <w:rPr/>
        <w:t>股份支付的修改、终止情况</w:t>
      </w:r>
      <w:r>
        <w:rPr>
          <w:b w:val="0"/>
          <w:bCs w:val="0"/>
        </w:rPr>
      </w:r>
    </w:p>
    <w:p>
      <w:pPr>
        <w:pStyle w:val="BodyText"/>
        <w:tabs>
          <w:tab w:pos="1080" w:val="left" w:leader="none"/>
        </w:tabs>
        <w:spacing w:line="240" w:lineRule="auto" w:before="64"/>
        <w:ind w:left="238" w:right="215"/>
        <w:jc w:val="left"/>
      </w:pPr>
      <w:r>
        <w:rPr>
          <w:spacing w:val="-1"/>
        </w:rPr>
        <w:t>□适用</w:t>
        <w:tab/>
      </w:r>
      <w:r>
        <w:rPr>
          <w:spacing w:val="-2"/>
        </w:rPr>
        <w:t>√不适用</w:t>
      </w:r>
    </w:p>
    <w:p>
      <w:pPr>
        <w:pStyle w:val="Heading2"/>
        <w:spacing w:line="240" w:lineRule="auto" w:before="50"/>
        <w:ind w:left="238" w:right="215"/>
        <w:jc w:val="left"/>
        <w:rPr>
          <w:b w:val="0"/>
          <w:bCs w:val="0"/>
        </w:rPr>
      </w:pPr>
      <w:r>
        <w:rPr>
          <w:rFonts w:ascii="宋体" w:hAnsi="宋体" w:cs="宋体" w:eastAsia="宋体" w:hint="default"/>
        </w:rPr>
        <w:t>5</w:t>
      </w:r>
      <w:r>
        <w:rPr/>
        <w:t>、</w:t>
      </w:r>
      <w:r>
        <w:rPr>
          <w:spacing w:val="-57"/>
        </w:rPr>
        <w:t> </w:t>
      </w:r>
      <w:r>
        <w:rPr/>
        <w:t>其他</w:t>
      </w:r>
      <w:r>
        <w:rPr>
          <w:b w:val="0"/>
          <w:bCs w:val="0"/>
        </w:rPr>
      </w:r>
    </w:p>
    <w:p>
      <w:pPr>
        <w:pStyle w:val="BodyText"/>
        <w:tabs>
          <w:tab w:pos="1080" w:val="left" w:leader="none"/>
        </w:tabs>
        <w:spacing w:line="240" w:lineRule="auto" w:before="64"/>
        <w:ind w:left="238" w:right="215"/>
        <w:jc w:val="left"/>
      </w:pPr>
      <w:r>
        <w:rPr>
          <w:spacing w:val="-1"/>
        </w:rPr>
        <w:t>□适用</w:t>
        <w:tab/>
      </w:r>
      <w:r>
        <w:rPr>
          <w:spacing w:val="-2"/>
        </w:rPr>
        <w:t>√不适用</w:t>
      </w:r>
    </w:p>
    <w:p>
      <w:pPr>
        <w:pStyle w:val="Heading2"/>
        <w:spacing w:line="283" w:lineRule="auto" w:before="50"/>
        <w:ind w:left="238" w:right="6504"/>
        <w:jc w:val="left"/>
        <w:rPr>
          <w:b w:val="0"/>
          <w:bCs w:val="0"/>
        </w:rPr>
      </w:pPr>
      <w:r>
        <w:rPr/>
        <w:t>十四、</w:t>
      </w:r>
      <w:r>
        <w:rPr>
          <w:spacing w:val="-6"/>
        </w:rPr>
        <w:t> </w:t>
      </w:r>
      <w:r>
        <w:rPr/>
        <w:t>承诺及或有事项</w:t>
      </w:r>
      <w:r>
        <w:rPr>
          <w:w w:val="99"/>
        </w:rPr>
        <w:t> </w:t>
      </w:r>
      <w:r>
        <w:rPr>
          <w:rFonts w:ascii="宋体" w:hAnsi="宋体" w:cs="宋体" w:eastAsia="宋体" w:hint="default"/>
        </w:rPr>
        <w:t>1</w:t>
      </w:r>
      <w:r>
        <w:rPr/>
        <w:t>、</w:t>
      </w:r>
      <w:r>
        <w:rPr>
          <w:spacing w:val="-61"/>
        </w:rPr>
        <w:t> </w:t>
      </w:r>
      <w:r>
        <w:rPr/>
        <w:t>重要承诺事项</w:t>
      </w:r>
      <w:r>
        <w:rPr>
          <w:b w:val="0"/>
          <w:bCs w:val="0"/>
        </w:rPr>
      </w:r>
    </w:p>
    <w:p>
      <w:pPr>
        <w:pStyle w:val="BodyText"/>
        <w:spacing w:line="272" w:lineRule="exact" w:before="48"/>
        <w:ind w:left="238" w:right="4395"/>
        <w:jc w:val="left"/>
      </w:pPr>
      <w:r>
        <w:rPr/>
        <w:t>√适用</w:t>
      </w:r>
      <w:r>
        <w:rPr>
          <w:spacing w:val="-2"/>
        </w:rPr>
        <w:t> </w:t>
      </w:r>
      <w:r>
        <w:rPr/>
        <w:t>□不适用</w:t>
      </w:r>
      <w:r>
        <w:rPr>
          <w:w w:val="100"/>
        </w:rPr>
        <w:t> </w:t>
      </w:r>
      <w:r>
        <w:rPr>
          <w:spacing w:val="-2"/>
        </w:rPr>
        <w:t>资产负债表日存在的对外重要承诺、性质、金额</w:t>
      </w:r>
    </w:p>
    <w:p>
      <w:pPr>
        <w:pStyle w:val="BodyText"/>
        <w:spacing w:line="276" w:lineRule="exact"/>
        <w:ind w:left="658" w:right="123"/>
        <w:jc w:val="left"/>
      </w:pPr>
      <w:r>
        <w:rPr>
          <w:rFonts w:ascii="Calibri" w:hAnsi="Calibri" w:cs="Calibri" w:eastAsia="Calibri" w:hint="default"/>
        </w:rPr>
        <w:t>2015 </w:t>
      </w:r>
      <w:r>
        <w:rPr>
          <w:rFonts w:ascii="Calibri" w:hAnsi="Calibri" w:cs="Calibri" w:eastAsia="Calibri" w:hint="default"/>
          <w:spacing w:val="15"/>
        </w:rPr>
        <w:t> </w:t>
      </w:r>
      <w:r>
        <w:rPr>
          <w:spacing w:val="-3"/>
        </w:rPr>
        <w:t>年度本公司重大资产重组购买北京联龙博通电子商务技术有限公司（以下简称“联龙博</w:t>
      </w:r>
    </w:p>
    <w:p>
      <w:pPr>
        <w:pStyle w:val="BodyText"/>
        <w:spacing w:line="240" w:lineRule="auto" w:before="106"/>
        <w:ind w:left="238" w:right="123"/>
        <w:jc w:val="left"/>
      </w:pPr>
      <w:r>
        <w:rPr>
          <w:w w:val="100"/>
        </w:rPr>
        <w:t>通</w:t>
      </w:r>
      <w:r>
        <w:rPr>
          <w:spacing w:val="-106"/>
          <w:w w:val="100"/>
        </w:rPr>
        <w:t>”</w:t>
      </w:r>
      <w:r>
        <w:rPr>
          <w:spacing w:val="-77"/>
          <w:w w:val="100"/>
        </w:rPr>
        <w:t>）</w:t>
      </w:r>
      <w:r>
        <w:rPr>
          <w:rFonts w:ascii="Calibri" w:hAnsi="Calibri" w:cs="Calibri" w:eastAsia="Calibri" w:hint="default"/>
          <w:spacing w:val="-2"/>
          <w:w w:val="100"/>
        </w:rPr>
        <w:t>1</w:t>
      </w:r>
      <w:r>
        <w:rPr>
          <w:rFonts w:ascii="Calibri" w:hAnsi="Calibri" w:cs="Calibri" w:eastAsia="Calibri" w:hint="default"/>
          <w:w w:val="100"/>
        </w:rPr>
        <w:t>0</w:t>
      </w:r>
      <w:r>
        <w:rPr>
          <w:rFonts w:ascii="Calibri" w:hAnsi="Calibri" w:cs="Calibri" w:eastAsia="Calibri" w:hint="default"/>
          <w:spacing w:val="-2"/>
          <w:w w:val="100"/>
        </w:rPr>
        <w:t>0</w:t>
      </w:r>
      <w:r>
        <w:rPr>
          <w:rFonts w:ascii="Calibri" w:hAnsi="Calibri" w:cs="Calibri" w:eastAsia="Calibri" w:hint="default"/>
          <w:w w:val="100"/>
        </w:rPr>
        <w:t>%</w:t>
      </w:r>
      <w:r>
        <w:rPr>
          <w:spacing w:val="-3"/>
          <w:w w:val="100"/>
        </w:rPr>
        <w:t>的</w:t>
      </w:r>
      <w:r>
        <w:rPr>
          <w:w w:val="100"/>
        </w:rPr>
        <w:t>股</w:t>
      </w:r>
      <w:r>
        <w:rPr>
          <w:spacing w:val="-3"/>
          <w:w w:val="100"/>
        </w:rPr>
        <w:t>权</w:t>
      </w:r>
      <w:r>
        <w:rPr>
          <w:spacing w:val="-77"/>
          <w:w w:val="100"/>
        </w:rPr>
        <w:t>，</w:t>
      </w:r>
      <w:r>
        <w:rPr>
          <w:w w:val="100"/>
        </w:rPr>
        <w:t>购</w:t>
      </w:r>
      <w:r>
        <w:rPr>
          <w:spacing w:val="-3"/>
          <w:w w:val="100"/>
        </w:rPr>
        <w:t>买的</w:t>
      </w:r>
      <w:r>
        <w:rPr>
          <w:w w:val="100"/>
        </w:rPr>
        <w:t>联龙</w:t>
      </w:r>
      <w:r>
        <w:rPr>
          <w:spacing w:val="-3"/>
          <w:w w:val="100"/>
        </w:rPr>
        <w:t>博</w:t>
      </w:r>
      <w:r>
        <w:rPr>
          <w:w w:val="100"/>
        </w:rPr>
        <w:t>通</w:t>
      </w:r>
      <w:r>
        <w:rPr>
          <w:spacing w:val="-55"/>
        </w:rPr>
        <w:t> </w:t>
      </w:r>
      <w:r>
        <w:rPr>
          <w:rFonts w:ascii="Calibri" w:hAnsi="Calibri" w:cs="Calibri" w:eastAsia="Calibri" w:hint="default"/>
          <w:w w:val="100"/>
        </w:rPr>
        <w:t>1</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2"/>
          <w:w w:val="100"/>
        </w:rPr>
        <w:t>%</w:t>
      </w:r>
      <w:r>
        <w:rPr>
          <w:w w:val="100"/>
        </w:rPr>
        <w:t>股</w:t>
      </w:r>
      <w:r>
        <w:rPr>
          <w:spacing w:val="-3"/>
          <w:w w:val="100"/>
        </w:rPr>
        <w:t>权</w:t>
      </w:r>
      <w:r>
        <w:rPr>
          <w:w w:val="100"/>
        </w:rPr>
        <w:t>于</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5</w:t>
      </w:r>
      <w:r>
        <w:rPr>
          <w:rFonts w:ascii="Calibri" w:hAnsi="Calibri" w:cs="Calibri" w:eastAsia="Calibri" w:hint="default"/>
          <w:spacing w:val="6"/>
        </w:rPr>
        <w:t> </w:t>
      </w:r>
      <w:r>
        <w:rPr>
          <w:w w:val="100"/>
        </w:rPr>
        <w:t>年</w:t>
      </w:r>
      <w:r>
        <w:rPr>
          <w:spacing w:val="-55"/>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6"/>
        </w:rPr>
        <w:t> </w:t>
      </w:r>
      <w:r>
        <w:rPr>
          <w:w w:val="100"/>
        </w:rPr>
        <w:t>月</w:t>
      </w:r>
      <w:r>
        <w:rPr>
          <w:spacing w:val="-55"/>
        </w:rPr>
        <w:t> </w:t>
      </w:r>
      <w:r>
        <w:rPr>
          <w:rFonts w:ascii="Calibri" w:hAnsi="Calibri" w:cs="Calibri" w:eastAsia="Calibri" w:hint="default"/>
          <w:spacing w:val="-2"/>
          <w:w w:val="100"/>
        </w:rPr>
        <w:t>2</w:t>
      </w:r>
      <w:r>
        <w:rPr>
          <w:rFonts w:ascii="Calibri" w:hAnsi="Calibri" w:cs="Calibri" w:eastAsia="Calibri" w:hint="default"/>
          <w:w w:val="100"/>
        </w:rPr>
        <w:t>3</w:t>
      </w:r>
      <w:r>
        <w:rPr>
          <w:rFonts w:ascii="Calibri" w:hAnsi="Calibri" w:cs="Calibri" w:eastAsia="Calibri" w:hint="default"/>
          <w:spacing w:val="6"/>
        </w:rPr>
        <w:t> </w:t>
      </w:r>
      <w:r>
        <w:rPr>
          <w:spacing w:val="-3"/>
          <w:w w:val="100"/>
        </w:rPr>
        <w:t>日</w:t>
      </w:r>
      <w:r>
        <w:rPr>
          <w:w w:val="100"/>
        </w:rPr>
        <w:t>办</w:t>
      </w:r>
      <w:r>
        <w:rPr>
          <w:spacing w:val="-3"/>
          <w:w w:val="100"/>
        </w:rPr>
        <w:t>理</w:t>
      </w:r>
      <w:r>
        <w:rPr>
          <w:w w:val="100"/>
        </w:rPr>
        <w:t>交</w:t>
      </w:r>
      <w:r>
        <w:rPr>
          <w:spacing w:val="-3"/>
          <w:w w:val="100"/>
        </w:rPr>
        <w:t>接</w:t>
      </w:r>
      <w:r>
        <w:rPr>
          <w:w w:val="100"/>
        </w:rPr>
        <w:t>过户</w:t>
      </w:r>
      <w:r>
        <w:rPr>
          <w:spacing w:val="-3"/>
          <w:w w:val="100"/>
        </w:rPr>
        <w:t>至</w:t>
      </w:r>
      <w:r>
        <w:rPr>
          <w:w w:val="100"/>
        </w:rPr>
        <w:t>本</w:t>
      </w:r>
      <w:r>
        <w:rPr>
          <w:spacing w:val="-3"/>
          <w:w w:val="100"/>
        </w:rPr>
        <w:t>公</w:t>
      </w:r>
      <w:r>
        <w:rPr>
          <w:w w:val="100"/>
        </w:rPr>
        <w:t>司</w:t>
      </w:r>
      <w:r>
        <w:rPr>
          <w:spacing w:val="-3"/>
          <w:w w:val="100"/>
        </w:rPr>
        <w:t>名</w:t>
      </w:r>
      <w:r>
        <w:rPr>
          <w:w w:val="100"/>
        </w:rPr>
        <w:t>下，</w:t>
      </w:r>
    </w:p>
    <w:p>
      <w:pPr>
        <w:pStyle w:val="BodyText"/>
        <w:spacing w:line="240" w:lineRule="auto" w:before="107"/>
        <w:ind w:left="238" w:right="123"/>
        <w:jc w:val="left"/>
      </w:pPr>
      <w:r>
        <w:rPr/>
        <w:t>自</w:t>
      </w:r>
      <w:r>
        <w:rPr>
          <w:spacing w:val="-37"/>
        </w:rPr>
        <w:t> </w:t>
      </w:r>
      <w:r>
        <w:rPr>
          <w:rFonts w:ascii="Calibri" w:hAnsi="Calibri" w:cs="Calibri" w:eastAsia="Calibri" w:hint="default"/>
        </w:rPr>
        <w:t>2015</w:t>
      </w:r>
      <w:r>
        <w:rPr>
          <w:rFonts w:ascii="Calibri" w:hAnsi="Calibri" w:cs="Calibri" w:eastAsia="Calibri" w:hint="default"/>
          <w:spacing w:val="22"/>
        </w:rPr>
        <w:t> </w:t>
      </w:r>
      <w:r>
        <w:rPr/>
        <w:t>年</w:t>
      </w:r>
      <w:r>
        <w:rPr>
          <w:spacing w:val="-37"/>
        </w:rPr>
        <w:t> </w:t>
      </w:r>
      <w:r>
        <w:rPr>
          <w:rFonts w:ascii="Calibri" w:hAnsi="Calibri" w:cs="Calibri" w:eastAsia="Calibri" w:hint="default"/>
        </w:rPr>
        <w:t>12</w:t>
      </w:r>
      <w:r>
        <w:rPr>
          <w:rFonts w:ascii="Calibri" w:hAnsi="Calibri" w:cs="Calibri" w:eastAsia="Calibri" w:hint="default"/>
          <w:spacing w:val="22"/>
        </w:rPr>
        <w:t> </w:t>
      </w:r>
      <w:r>
        <w:rPr/>
        <w:t>月</w:t>
      </w:r>
      <w:r>
        <w:rPr>
          <w:spacing w:val="-39"/>
        </w:rPr>
        <w:t> </w:t>
      </w:r>
      <w:r>
        <w:rPr>
          <w:rFonts w:ascii="Calibri" w:hAnsi="Calibri" w:cs="Calibri" w:eastAsia="Calibri" w:hint="default"/>
        </w:rPr>
        <w:t>23</w:t>
      </w:r>
      <w:r>
        <w:rPr>
          <w:rFonts w:ascii="Calibri" w:hAnsi="Calibri" w:cs="Calibri" w:eastAsia="Calibri" w:hint="default"/>
          <w:spacing w:val="19"/>
        </w:rPr>
        <w:t> </w:t>
      </w:r>
      <w:r>
        <w:rPr/>
        <w:t>日联龙博通纳入本公司合并范围。按照协议约定，本次交易标的股权价格为</w:t>
      </w:r>
    </w:p>
    <w:p>
      <w:pPr>
        <w:pStyle w:val="BodyText"/>
        <w:spacing w:line="240" w:lineRule="auto" w:before="106"/>
        <w:ind w:left="238" w:right="123"/>
        <w:jc w:val="left"/>
      </w:pPr>
      <w:r>
        <w:rPr>
          <w:rFonts w:ascii="Calibri" w:hAnsi="Calibri" w:cs="Calibri" w:eastAsia="Calibri" w:hint="default"/>
        </w:rPr>
        <w:t>53,000 </w:t>
      </w:r>
      <w:r>
        <w:rPr>
          <w:spacing w:val="-3"/>
        </w:rPr>
        <w:t>万元，该对价由基本对价和浮动对价组成，其中基本对价为 </w:t>
      </w:r>
      <w:r>
        <w:rPr>
          <w:rFonts w:ascii="Calibri" w:hAnsi="Calibri" w:cs="Calibri" w:eastAsia="Calibri" w:hint="default"/>
        </w:rPr>
        <w:t>36,000</w:t>
      </w:r>
      <w:r>
        <w:rPr>
          <w:rFonts w:ascii="Calibri" w:hAnsi="Calibri" w:cs="Calibri" w:eastAsia="Calibri" w:hint="default"/>
          <w:spacing w:val="6"/>
        </w:rPr>
        <w:t> </w:t>
      </w:r>
      <w:r>
        <w:rPr>
          <w:spacing w:val="-4"/>
        </w:rPr>
        <w:t>万元，浮动对价上限为</w:t>
      </w:r>
    </w:p>
    <w:p>
      <w:pPr>
        <w:pStyle w:val="BodyText"/>
        <w:spacing w:line="240" w:lineRule="auto" w:before="108"/>
        <w:ind w:left="238" w:right="123"/>
        <w:jc w:val="left"/>
      </w:pPr>
      <w:r>
        <w:rPr>
          <w:rFonts w:ascii="Calibri" w:hAnsi="Calibri" w:cs="Calibri" w:eastAsia="Calibri" w:hint="default"/>
        </w:rPr>
        <w:t>17,000</w:t>
      </w:r>
      <w:r>
        <w:rPr>
          <w:rFonts w:ascii="Calibri" w:hAnsi="Calibri" w:cs="Calibri" w:eastAsia="Calibri" w:hint="default"/>
          <w:spacing w:val="9"/>
        </w:rPr>
        <w:t> </w:t>
      </w:r>
      <w:r>
        <w:rPr/>
        <w:t>万元，截止</w:t>
      </w:r>
      <w:r>
        <w:rPr>
          <w:spacing w:val="-51"/>
        </w:rPr>
        <w:t> </w:t>
      </w:r>
      <w:r>
        <w:rPr>
          <w:rFonts w:ascii="Calibri" w:hAnsi="Calibri" w:cs="Calibri" w:eastAsia="Calibri" w:hint="default"/>
        </w:rPr>
        <w:t>2017</w:t>
      </w:r>
      <w:r>
        <w:rPr>
          <w:rFonts w:ascii="Calibri" w:hAnsi="Calibri" w:cs="Calibri" w:eastAsia="Calibri" w:hint="default"/>
          <w:spacing w:val="7"/>
        </w:rPr>
        <w:t> </w:t>
      </w:r>
      <w:r>
        <w:rPr/>
        <w:t>年</w:t>
      </w:r>
      <w:r>
        <w:rPr>
          <w:spacing w:val="-50"/>
        </w:rPr>
        <w:t> </w:t>
      </w:r>
      <w:r>
        <w:rPr>
          <w:rFonts w:ascii="Calibri" w:hAnsi="Calibri" w:cs="Calibri" w:eastAsia="Calibri" w:hint="default"/>
        </w:rPr>
        <w:t>12</w:t>
      </w:r>
      <w:r>
        <w:rPr>
          <w:rFonts w:ascii="Calibri" w:hAnsi="Calibri" w:cs="Calibri" w:eastAsia="Calibri" w:hint="default"/>
          <w:spacing w:val="6"/>
        </w:rPr>
        <w:t> </w:t>
      </w:r>
      <w:r>
        <w:rPr/>
        <w:t>月</w:t>
      </w:r>
      <w:r>
        <w:rPr>
          <w:spacing w:val="-50"/>
        </w:rPr>
        <w:t> </w:t>
      </w:r>
      <w:r>
        <w:rPr>
          <w:rFonts w:ascii="Calibri" w:hAnsi="Calibri" w:cs="Calibri" w:eastAsia="Calibri" w:hint="default"/>
        </w:rPr>
        <w:t>31</w:t>
      </w:r>
      <w:r>
        <w:rPr>
          <w:rFonts w:ascii="Calibri" w:hAnsi="Calibri" w:cs="Calibri" w:eastAsia="Calibri" w:hint="default"/>
          <w:spacing w:val="6"/>
        </w:rPr>
        <w:t> </w:t>
      </w:r>
      <w:r>
        <w:rPr/>
        <w:t>日本公司已经按照协议支付基本对价</w:t>
      </w:r>
      <w:r>
        <w:rPr>
          <w:spacing w:val="-51"/>
        </w:rPr>
        <w:t> </w:t>
      </w:r>
      <w:r>
        <w:rPr>
          <w:rFonts w:ascii="Calibri" w:hAnsi="Calibri" w:cs="Calibri" w:eastAsia="Calibri" w:hint="default"/>
        </w:rPr>
        <w:t>3.24</w:t>
      </w:r>
      <w:r>
        <w:rPr>
          <w:rFonts w:ascii="Calibri" w:hAnsi="Calibri" w:cs="Calibri" w:eastAsia="Calibri" w:hint="default"/>
          <w:spacing w:val="9"/>
        </w:rPr>
        <w:t> </w:t>
      </w:r>
      <w:r>
        <w:rPr/>
        <w:t>亿元，第一期浮动</w:t>
      </w:r>
    </w:p>
    <w:p>
      <w:pPr>
        <w:pStyle w:val="BodyText"/>
        <w:spacing w:line="240" w:lineRule="auto" w:before="106"/>
        <w:ind w:left="238" w:right="123"/>
        <w:jc w:val="left"/>
      </w:pPr>
      <w:r>
        <w:rPr/>
        <w:t>对价</w:t>
      </w:r>
      <w:r>
        <w:rPr>
          <w:spacing w:val="-47"/>
        </w:rPr>
        <w:t> </w:t>
      </w:r>
      <w:r>
        <w:rPr>
          <w:rFonts w:ascii="Calibri" w:hAnsi="Calibri" w:cs="Calibri" w:eastAsia="Calibri" w:hint="default"/>
        </w:rPr>
        <w:t>40,834,049.30</w:t>
      </w:r>
      <w:r>
        <w:rPr>
          <w:rFonts w:ascii="Calibri" w:hAnsi="Calibri" w:cs="Calibri" w:eastAsia="Calibri" w:hint="default"/>
          <w:spacing w:val="13"/>
        </w:rPr>
        <w:t> </w:t>
      </w:r>
      <w:r>
        <w:rPr/>
        <w:t>元。按收购协议约定，当联龙博通截至</w:t>
      </w:r>
      <w:r>
        <w:rPr>
          <w:spacing w:val="-47"/>
        </w:rPr>
        <w:t> </w:t>
      </w:r>
      <w:r>
        <w:rPr>
          <w:rFonts w:ascii="Calibri" w:hAnsi="Calibri" w:cs="Calibri" w:eastAsia="Calibri" w:hint="default"/>
        </w:rPr>
        <w:t>2017</w:t>
      </w:r>
      <w:r>
        <w:rPr>
          <w:rFonts w:ascii="Calibri" w:hAnsi="Calibri" w:cs="Calibri" w:eastAsia="Calibri" w:hint="default"/>
          <w:spacing w:val="14"/>
        </w:rPr>
        <w:t> </w:t>
      </w:r>
      <w:r>
        <w:rPr/>
        <w:t>年期末累计实际盈利数超过截至</w:t>
      </w:r>
    </w:p>
    <w:p>
      <w:pPr>
        <w:pStyle w:val="BodyText"/>
        <w:spacing w:line="240" w:lineRule="auto" w:before="106"/>
        <w:ind w:left="238" w:right="123"/>
        <w:jc w:val="left"/>
      </w:pPr>
      <w:r>
        <w:rPr>
          <w:rFonts w:ascii="Calibri" w:hAnsi="Calibri" w:cs="Calibri" w:eastAsia="Calibri" w:hint="default"/>
        </w:rPr>
        <w:t>2017 </w:t>
      </w:r>
      <w:r>
        <w:rPr/>
        <w:t>年期末累计基本对价承诺盈利数时，需要计算第二期浮动对价，按照协议以截止 </w:t>
      </w:r>
      <w:r>
        <w:rPr>
          <w:rFonts w:ascii="Calibri" w:hAnsi="Calibri" w:cs="Calibri" w:eastAsia="Calibri" w:hint="default"/>
        </w:rPr>
        <w:t>2017</w:t>
      </w:r>
      <w:r>
        <w:rPr>
          <w:rFonts w:ascii="Calibri" w:hAnsi="Calibri" w:cs="Calibri" w:eastAsia="Calibri" w:hint="default"/>
          <w:spacing w:val="3"/>
        </w:rPr>
        <w:t> </w:t>
      </w:r>
      <w:r>
        <w:rPr>
          <w:spacing w:val="-3"/>
        </w:rPr>
        <w:t>年底</w:t>
      </w:r>
      <w:r>
        <w:rPr/>
      </w:r>
    </w:p>
    <w:p>
      <w:pPr>
        <w:pStyle w:val="BodyText"/>
        <w:spacing w:line="240" w:lineRule="auto" w:before="106"/>
        <w:ind w:left="238" w:right="215"/>
        <w:jc w:val="left"/>
      </w:pPr>
      <w:r>
        <w:rPr/>
        <w:t>累计实际盈利数计算需支付第二期浮动对价</w:t>
      </w:r>
      <w:r>
        <w:rPr>
          <w:spacing w:val="-58"/>
        </w:rPr>
        <w:t> </w:t>
      </w:r>
      <w:r>
        <w:rPr>
          <w:rFonts w:ascii="Calibri" w:hAnsi="Calibri" w:cs="Calibri" w:eastAsia="Calibri" w:hint="default"/>
        </w:rPr>
        <w:t>14,815,961.08</w:t>
      </w:r>
      <w:r>
        <w:rPr>
          <w:rFonts w:ascii="Calibri" w:hAnsi="Calibri" w:cs="Calibri" w:eastAsia="Calibri" w:hint="default"/>
          <w:spacing w:val="1"/>
        </w:rPr>
        <w:t> </w:t>
      </w:r>
      <w:r>
        <w:rPr/>
        <w:t>元。</w:t>
      </w:r>
    </w:p>
    <w:p>
      <w:pPr>
        <w:pStyle w:val="BodyText"/>
        <w:spacing w:line="249" w:lineRule="auto" w:before="106"/>
        <w:ind w:left="238" w:right="123" w:firstLine="427"/>
        <w:jc w:val="left"/>
      </w:pPr>
      <w:r>
        <w:rPr/>
        <w:t>除存在上述承诺事项外，截止</w:t>
      </w:r>
      <w:r>
        <w:rPr>
          <w:spacing w:val="-39"/>
        </w:rPr>
        <w:t> </w:t>
      </w:r>
      <w:r>
        <w:rPr>
          <w:rFonts w:ascii="Calibri" w:hAnsi="Calibri" w:cs="Calibri" w:eastAsia="Calibri" w:hint="default"/>
        </w:rPr>
        <w:t>2017</w:t>
      </w:r>
      <w:r>
        <w:rPr>
          <w:rFonts w:ascii="Calibri" w:hAnsi="Calibri" w:cs="Calibri" w:eastAsia="Calibri" w:hint="default"/>
          <w:spacing w:val="19"/>
        </w:rPr>
        <w:t> </w:t>
      </w:r>
      <w:r>
        <w:rPr/>
        <w:t>年</w:t>
      </w:r>
      <w:r>
        <w:rPr>
          <w:spacing w:val="-37"/>
        </w:rPr>
        <w:t> </w:t>
      </w:r>
      <w:r>
        <w:rPr>
          <w:rFonts w:ascii="Calibri" w:hAnsi="Calibri" w:cs="Calibri" w:eastAsia="Calibri" w:hint="default"/>
        </w:rPr>
        <w:t>12</w:t>
      </w:r>
      <w:r>
        <w:rPr>
          <w:rFonts w:ascii="Calibri" w:hAnsi="Calibri" w:cs="Calibri" w:eastAsia="Calibri" w:hint="default"/>
          <w:spacing w:val="19"/>
        </w:rPr>
        <w:t> </w:t>
      </w:r>
      <w:r>
        <w:rPr/>
        <w:t>月</w:t>
      </w:r>
      <w:r>
        <w:rPr>
          <w:spacing w:val="-36"/>
        </w:rPr>
        <w:t> </w:t>
      </w:r>
      <w:r>
        <w:rPr>
          <w:rFonts w:ascii="Calibri" w:hAnsi="Calibri" w:cs="Calibri" w:eastAsia="Calibri" w:hint="default"/>
        </w:rPr>
        <w:t>31</w:t>
      </w:r>
      <w:r>
        <w:rPr>
          <w:rFonts w:ascii="Calibri" w:hAnsi="Calibri" w:cs="Calibri" w:eastAsia="Calibri" w:hint="default"/>
          <w:spacing w:val="19"/>
        </w:rPr>
        <w:t> </w:t>
      </w:r>
      <w:r>
        <w:rPr/>
        <w:t>日，本公司无其他应披露未披露的重大承诺</w:t>
      </w:r>
      <w:r>
        <w:rPr>
          <w:w w:val="100"/>
        </w:rPr>
        <w:t> </w:t>
      </w:r>
      <w:r>
        <w:rPr/>
        <w:t>事项。</w:t>
      </w:r>
    </w:p>
    <w:p>
      <w:pPr>
        <w:pStyle w:val="Heading2"/>
        <w:spacing w:line="240" w:lineRule="auto" w:before="82"/>
        <w:ind w:left="238" w:right="215"/>
        <w:jc w:val="left"/>
        <w:rPr>
          <w:b w:val="0"/>
          <w:bCs w:val="0"/>
        </w:rPr>
      </w:pPr>
      <w:r>
        <w:rPr>
          <w:rFonts w:ascii="宋体" w:hAnsi="宋体" w:cs="宋体" w:eastAsia="宋体" w:hint="default"/>
        </w:rPr>
        <w:t>2</w:t>
      </w:r>
      <w:r>
        <w:rPr/>
        <w:t>、</w:t>
      </w:r>
      <w:r>
        <w:rPr>
          <w:spacing w:val="-59"/>
        </w:rPr>
        <w:t> </w:t>
      </w:r>
      <w:r>
        <w:rPr/>
        <w:t>或有事项</w:t>
      </w:r>
      <w:r>
        <w:rPr>
          <w:b w:val="0"/>
          <w:bCs w:val="0"/>
        </w:rPr>
      </w:r>
    </w:p>
    <w:p>
      <w:pPr>
        <w:pStyle w:val="Heading2"/>
        <w:spacing w:line="240" w:lineRule="auto" w:before="58"/>
        <w:ind w:left="238" w:right="215"/>
        <w:jc w:val="left"/>
        <w:rPr>
          <w:b w:val="0"/>
          <w:bCs w:val="0"/>
        </w:rPr>
      </w:pPr>
      <w:r>
        <w:rPr>
          <w:rFonts w:ascii="宋体" w:hAnsi="宋体" w:cs="宋体" w:eastAsia="宋体" w:hint="default"/>
        </w:rPr>
        <w:t>(1).</w:t>
      </w:r>
      <w:r>
        <w:rPr>
          <w:rFonts w:ascii="宋体" w:hAnsi="宋体" w:cs="宋体" w:eastAsia="宋体" w:hint="default"/>
          <w:spacing w:val="9"/>
        </w:rPr>
        <w:t> </w:t>
      </w:r>
      <w:r>
        <w:rPr/>
        <w:t>资产负债表日存在的重要或有事项</w:t>
      </w:r>
      <w:r>
        <w:rPr>
          <w:b w:val="0"/>
          <w:bCs w:val="0"/>
        </w:rPr>
      </w:r>
    </w:p>
    <w:p>
      <w:pPr>
        <w:pStyle w:val="BodyText"/>
        <w:tabs>
          <w:tab w:pos="1080" w:val="left" w:leader="none"/>
        </w:tabs>
        <w:spacing w:line="240" w:lineRule="auto" w:before="64"/>
        <w:ind w:left="238" w:right="215"/>
        <w:jc w:val="left"/>
      </w:pPr>
      <w:r>
        <w:rPr>
          <w:spacing w:val="-1"/>
        </w:rPr>
        <w:t>√适用</w:t>
        <w:tab/>
      </w:r>
      <w:r>
        <w:rPr>
          <w:spacing w:val="-2"/>
        </w:rPr>
        <w:t>□不适用</w:t>
      </w:r>
    </w:p>
    <w:p>
      <w:pPr>
        <w:spacing w:after="0" w:line="240" w:lineRule="auto"/>
        <w:jc w:val="left"/>
        <w:sectPr>
          <w:footerReference w:type="default" r:id="rId142"/>
          <w:pgSz w:w="11910" w:h="16840"/>
          <w:pgMar w:footer="1195" w:header="882" w:top="1120" w:bottom="1380" w:left="1560" w:right="1060"/>
        </w:sectPr>
      </w:pPr>
    </w:p>
    <w:p>
      <w:pPr>
        <w:spacing w:line="240" w:lineRule="auto" w:before="1"/>
        <w:rPr>
          <w:rFonts w:ascii="宋体" w:hAnsi="宋体" w:cs="宋体" w:eastAsia="宋体" w:hint="default"/>
          <w:sz w:val="25"/>
          <w:szCs w:val="25"/>
        </w:rPr>
      </w:pPr>
    </w:p>
    <w:p>
      <w:pPr>
        <w:pStyle w:val="Heading4"/>
        <w:spacing w:line="240" w:lineRule="auto" w:before="36"/>
        <w:ind w:left="558" w:right="101"/>
        <w:jc w:val="left"/>
        <w:rPr>
          <w:b w:val="0"/>
          <w:bCs w:val="0"/>
        </w:rPr>
      </w:pPr>
      <w:r>
        <w:rPr/>
        <w:pict>
          <v:shape style="position:absolute;margin-left:94.944pt;margin-top:24.023687pt;width:430.9pt;height:356pt;mso-position-horizontal-relative:page;mso-position-vertical-relative:paragraph;z-index:4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7"/>
                    <w:gridCol w:w="1843"/>
                    <w:gridCol w:w="1136"/>
                    <w:gridCol w:w="991"/>
                    <w:gridCol w:w="2221"/>
                  </w:tblGrid>
                  <w:tr>
                    <w:trPr>
                      <w:trHeight w:val="329" w:hRule="exact"/>
                    </w:trPr>
                    <w:tc>
                      <w:tcPr>
                        <w:tcW w:w="2427"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590" w:right="0"/>
                          <w:jc w:val="left"/>
                          <w:rPr>
                            <w:rFonts w:ascii="宋体" w:hAnsi="宋体" w:cs="宋体" w:eastAsia="宋体" w:hint="default"/>
                            <w:sz w:val="18"/>
                            <w:szCs w:val="18"/>
                          </w:rPr>
                        </w:pPr>
                        <w:r>
                          <w:rPr>
                            <w:rFonts w:ascii="宋体" w:hAnsi="宋体" w:cs="宋体" w:eastAsia="宋体" w:hint="default"/>
                            <w:sz w:val="18"/>
                            <w:szCs w:val="18"/>
                          </w:rPr>
                          <w:t>被担保单位名称</w:t>
                        </w:r>
                      </w:p>
                    </w:tc>
                    <w:tc>
                      <w:tcPr>
                        <w:tcW w:w="1843" w:type="dxa"/>
                        <w:tcBorders>
                          <w:top w:val="single" w:sz="12" w:space="0" w:color="000000"/>
                          <w:left w:val="single" w:sz="4" w:space="0" w:color="000000"/>
                          <w:bottom w:val="nil" w:sz="6" w:space="0" w:color="auto"/>
                          <w:right w:val="single" w:sz="4" w:space="0" w:color="000000"/>
                        </w:tcBorders>
                      </w:tcPr>
                      <w:p>
                        <w:pPr>
                          <w:pStyle w:val="TableParagraph"/>
                          <w:spacing w:line="205" w:lineRule="exact"/>
                          <w:ind w:left="196" w:right="0"/>
                          <w:jc w:val="left"/>
                          <w:rPr>
                            <w:rFonts w:ascii="宋体" w:hAnsi="宋体" w:cs="宋体" w:eastAsia="宋体" w:hint="default"/>
                            <w:sz w:val="18"/>
                            <w:szCs w:val="18"/>
                          </w:rPr>
                        </w:pPr>
                        <w:r>
                          <w:rPr>
                            <w:rFonts w:ascii="宋体" w:hAnsi="宋体" w:cs="宋体" w:eastAsia="宋体" w:hint="default"/>
                            <w:sz w:val="18"/>
                            <w:szCs w:val="18"/>
                          </w:rPr>
                          <w:t>提供担保单位名称</w:t>
                        </w:r>
                      </w:p>
                    </w:tc>
                    <w:tc>
                      <w:tcPr>
                        <w:tcW w:w="113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203"/>
                          <w:jc w:val="right"/>
                          <w:rPr>
                            <w:rFonts w:ascii="宋体" w:hAnsi="宋体" w:cs="宋体" w:eastAsia="宋体" w:hint="default"/>
                            <w:sz w:val="18"/>
                            <w:szCs w:val="18"/>
                          </w:rPr>
                        </w:pPr>
                        <w:r>
                          <w:rPr>
                            <w:rFonts w:ascii="宋体" w:hAnsi="宋体" w:cs="宋体" w:eastAsia="宋体" w:hint="default"/>
                            <w:sz w:val="18"/>
                            <w:szCs w:val="18"/>
                          </w:rPr>
                          <w:t>担保事项</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3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221"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501"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exact" w:before="35"/>
                          <w:ind w:left="122" w:right="301"/>
                          <w:jc w:val="left"/>
                          <w:rPr>
                            <w:rFonts w:ascii="宋体" w:hAnsi="宋体" w:cs="宋体" w:eastAsia="宋体" w:hint="default"/>
                            <w:sz w:val="20"/>
                            <w:szCs w:val="20"/>
                          </w:rPr>
                        </w:pPr>
                        <w:r>
                          <w:rPr>
                            <w:rFonts w:ascii="宋体" w:hAnsi="宋体" w:cs="宋体" w:eastAsia="宋体" w:hint="default"/>
                            <w:sz w:val="20"/>
                            <w:szCs w:val="20"/>
                          </w:rPr>
                          <w:t>深圳市齐普生科技股份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6" w:right="0"/>
                          <w:jc w:val="left"/>
                          <w:rPr>
                            <w:rFonts w:ascii="宋体" w:hAnsi="宋体" w:cs="宋体" w:eastAsia="宋体" w:hint="default"/>
                            <w:sz w:val="18"/>
                            <w:szCs w:val="18"/>
                          </w:rPr>
                        </w:pP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日至</w:t>
                        </w:r>
                        <w:r>
                          <w:rPr>
                            <w:rFonts w:ascii="宋体" w:hAnsi="宋体" w:cs="宋体" w:eastAsia="宋体" w:hint="default"/>
                            <w:spacing w:val="-59"/>
                            <w:sz w:val="18"/>
                            <w:szCs w:val="18"/>
                          </w:rPr>
                          <w:t> </w:t>
                        </w:r>
                        <w:r>
                          <w:rPr>
                            <w:rFonts w:ascii="宋体" w:hAnsi="宋体" w:cs="宋体" w:eastAsia="宋体" w:hint="default"/>
                            <w:sz w:val="18"/>
                            <w:szCs w:val="18"/>
                          </w:rPr>
                          <w:t>2018</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65"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301"/>
                          <w:jc w:val="left"/>
                          <w:rPr>
                            <w:rFonts w:ascii="宋体" w:hAnsi="宋体" w:cs="宋体" w:eastAsia="宋体" w:hint="default"/>
                            <w:sz w:val="20"/>
                            <w:szCs w:val="20"/>
                          </w:rPr>
                        </w:pPr>
                        <w:r>
                          <w:rPr>
                            <w:rFonts w:ascii="宋体" w:hAnsi="宋体" w:cs="宋体" w:eastAsia="宋体" w:hint="default"/>
                            <w:sz w:val="20"/>
                            <w:szCs w:val="20"/>
                          </w:rPr>
                          <w:t>深圳市齐普生科技股份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6" w:right="0"/>
                          <w:jc w:val="left"/>
                          <w:rPr>
                            <w:rFonts w:ascii="宋体" w:hAnsi="宋体" w:cs="宋体" w:eastAsia="宋体" w:hint="default"/>
                            <w:sz w:val="18"/>
                            <w:szCs w:val="18"/>
                          </w:rPr>
                        </w:pP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17"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19</w:t>
                        </w:r>
                        <w:r>
                          <w:rPr>
                            <w:rFonts w:ascii="宋体" w:hAnsi="宋体" w:cs="宋体" w:eastAsia="宋体" w:hint="default"/>
                            <w:spacing w:val="-56"/>
                            <w:sz w:val="18"/>
                            <w:szCs w:val="18"/>
                          </w:rPr>
                          <w:t> </w:t>
                        </w:r>
                        <w:r>
                          <w:rPr>
                            <w:rFonts w:ascii="宋体" w:hAnsi="宋体" w:cs="宋体" w:eastAsia="宋体" w:hint="default"/>
                            <w:sz w:val="18"/>
                            <w:szCs w:val="18"/>
                          </w:rPr>
                          <w:t>日至</w:t>
                        </w:r>
                        <w:r>
                          <w:rPr>
                            <w:rFonts w:ascii="宋体" w:hAnsi="宋体" w:cs="宋体" w:eastAsia="宋体" w:hint="default"/>
                            <w:spacing w:val="-59"/>
                            <w:sz w:val="18"/>
                            <w:szCs w:val="18"/>
                          </w:rPr>
                          <w:t> </w:t>
                        </w:r>
                        <w:r>
                          <w:rPr>
                            <w:rFonts w:ascii="宋体" w:hAnsi="宋体" w:cs="宋体" w:eastAsia="宋体" w:hint="default"/>
                            <w:sz w:val="18"/>
                            <w:szCs w:val="18"/>
                          </w:rPr>
                          <w:t>2018</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85"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09"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深圳市齐普生科技股份</w:t>
                        </w:r>
                      </w:p>
                      <w:p>
                        <w:pPr>
                          <w:pStyle w:val="TableParagraph"/>
                          <w:tabs>
                            <w:tab w:pos="2431" w:val="left" w:leader="none"/>
                          </w:tabs>
                          <w:spacing w:line="251" w:lineRule="exact"/>
                          <w:ind w:left="14" w:right="-1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pacing w:val="8"/>
                            <w:sz w:val="20"/>
                            <w:szCs w:val="20"/>
                            <w:u w:val="single" w:color="000000"/>
                          </w:rPr>
                          <w:t> </w:t>
                        </w:r>
                        <w:r>
                          <w:rPr>
                            <w:rFonts w:ascii="宋体" w:hAnsi="宋体" w:cs="宋体" w:eastAsia="宋体" w:hint="default"/>
                            <w:sz w:val="20"/>
                            <w:szCs w:val="20"/>
                            <w:u w:val="single" w:color="000000"/>
                          </w:rPr>
                          <w:t>有限公司</w:t>
                          <w:tab/>
                        </w:r>
                        <w:r>
                          <w:rPr>
                            <w:rFonts w:ascii="宋体" w:hAnsi="宋体" w:cs="宋体" w:eastAsia="宋体" w:hint="default"/>
                            <w:sz w:val="20"/>
                            <w:szCs w:val="20"/>
                          </w:rPr>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6" w:right="0"/>
                          <w:jc w:val="left"/>
                          <w:rPr>
                            <w:rFonts w:ascii="宋体" w:hAnsi="宋体" w:cs="宋体" w:eastAsia="宋体" w:hint="default"/>
                            <w:sz w:val="18"/>
                            <w:szCs w:val="18"/>
                          </w:rPr>
                        </w:pP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single" w:sz="4" w:space="0" w:color="000000"/>
                          <w:right w:val="nil" w:sz="6" w:space="0" w:color="auto"/>
                        </w:tcBorders>
                      </w:tcPr>
                      <w:p>
                        <w:pPr>
                          <w:pStyle w:val="TableParagraph"/>
                          <w:spacing w:line="217"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28</w:t>
                        </w:r>
                        <w:r>
                          <w:rPr>
                            <w:rFonts w:ascii="宋体" w:hAnsi="宋体" w:cs="宋体" w:eastAsia="宋体" w:hint="default"/>
                            <w:spacing w:val="-56"/>
                            <w:sz w:val="18"/>
                            <w:szCs w:val="18"/>
                          </w:rPr>
                          <w:t> </w:t>
                        </w:r>
                        <w:r>
                          <w:rPr>
                            <w:rFonts w:ascii="宋体" w:hAnsi="宋体" w:cs="宋体" w:eastAsia="宋体" w:hint="default"/>
                            <w:sz w:val="18"/>
                            <w:szCs w:val="18"/>
                          </w:rPr>
                          <w:t>日至</w:t>
                        </w:r>
                        <w:r>
                          <w:rPr>
                            <w:rFonts w:ascii="宋体" w:hAnsi="宋体" w:cs="宋体" w:eastAsia="宋体" w:hint="default"/>
                            <w:spacing w:val="-59"/>
                            <w:sz w:val="18"/>
                            <w:szCs w:val="18"/>
                          </w:rPr>
                          <w:t> </w:t>
                        </w:r>
                        <w:r>
                          <w:rPr>
                            <w:rFonts w:ascii="宋体" w:hAnsi="宋体" w:cs="宋体" w:eastAsia="宋体" w:hint="default"/>
                            <w:sz w:val="18"/>
                            <w:szCs w:val="18"/>
                          </w:rPr>
                          <w:t>2018</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70"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exact" w:before="4"/>
                          <w:ind w:left="122" w:right="301"/>
                          <w:jc w:val="left"/>
                          <w:rPr>
                            <w:rFonts w:ascii="宋体" w:hAnsi="宋体" w:cs="宋体" w:eastAsia="宋体" w:hint="default"/>
                            <w:sz w:val="20"/>
                            <w:szCs w:val="20"/>
                          </w:rPr>
                        </w:pPr>
                        <w:r>
                          <w:rPr>
                            <w:rFonts w:ascii="宋体" w:hAnsi="宋体" w:cs="宋体" w:eastAsia="宋体" w:hint="default"/>
                            <w:sz w:val="20"/>
                            <w:szCs w:val="20"/>
                          </w:rPr>
                          <w:t>深圳市齐普生科技股份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Arial Narrow" w:hAnsi="Arial Narrow" w:cs="Arial Narrow" w:eastAsia="Arial Narrow" w:hint="default"/>
                            <w:sz w:val="18"/>
                            <w:szCs w:val="18"/>
                          </w:rPr>
                          <w:t>0.50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w:t>
                        </w:r>
                      </w:p>
                    </w:tc>
                    <w:tc>
                      <w:tcPr>
                        <w:tcW w:w="2221"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240" w:lineRule="auto" w:before="4"/>
                          <w:ind w:right="4"/>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68"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exact" w:before="2"/>
                          <w:ind w:left="122" w:right="301"/>
                          <w:jc w:val="left"/>
                          <w:rPr>
                            <w:rFonts w:ascii="宋体" w:hAnsi="宋体" w:cs="宋体" w:eastAsia="宋体" w:hint="default"/>
                            <w:sz w:val="20"/>
                            <w:szCs w:val="20"/>
                          </w:rPr>
                        </w:pPr>
                        <w:r>
                          <w:rPr>
                            <w:rFonts w:ascii="宋体" w:hAnsi="宋体" w:cs="宋体" w:eastAsia="宋体" w:hint="default"/>
                            <w:sz w:val="20"/>
                            <w:szCs w:val="20"/>
                          </w:rPr>
                          <w:t>深圳市齐普生科技股份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6" w:right="0"/>
                          <w:jc w:val="left"/>
                          <w:rPr>
                            <w:rFonts w:ascii="宋体" w:hAnsi="宋体" w:cs="宋体" w:eastAsia="宋体" w:hint="default"/>
                            <w:sz w:val="18"/>
                            <w:szCs w:val="18"/>
                          </w:rPr>
                        </w:pPr>
                        <w:r>
                          <w:rPr>
                            <w:rFonts w:ascii="Arial Narrow" w:hAnsi="Arial Narrow" w:cs="Arial Narrow" w:eastAsia="Arial Narrow" w:hint="default"/>
                            <w:sz w:val="18"/>
                            <w:szCs w:val="18"/>
                          </w:rPr>
                          <w:t>1.7</w:t>
                        </w:r>
                        <w:r>
                          <w:rPr>
                            <w:rFonts w:ascii="Arial Narrow" w:hAnsi="Arial Narrow" w:cs="Arial Narrow" w:eastAsia="Arial Narrow" w:hint="default"/>
                            <w:spacing w:val="3"/>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20"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16</w:t>
                        </w:r>
                        <w:r>
                          <w:rPr>
                            <w:rFonts w:ascii="宋体" w:hAnsi="宋体" w:cs="宋体" w:eastAsia="宋体" w:hint="default"/>
                            <w:spacing w:val="-56"/>
                            <w:sz w:val="18"/>
                            <w:szCs w:val="18"/>
                          </w:rPr>
                          <w:t> </w:t>
                        </w:r>
                        <w:r>
                          <w:rPr>
                            <w:rFonts w:ascii="宋体" w:hAnsi="宋体" w:cs="宋体" w:eastAsia="宋体" w:hint="default"/>
                            <w:sz w:val="18"/>
                            <w:szCs w:val="18"/>
                          </w:rPr>
                          <w:t>日至</w:t>
                        </w:r>
                        <w:r>
                          <w:rPr>
                            <w:rFonts w:ascii="宋体" w:hAnsi="宋体" w:cs="宋体" w:eastAsia="宋体" w:hint="default"/>
                            <w:spacing w:val="-59"/>
                            <w:sz w:val="18"/>
                            <w:szCs w:val="18"/>
                          </w:rPr>
                          <w:t> </w:t>
                        </w:r>
                        <w:r>
                          <w:rPr>
                            <w:rFonts w:ascii="宋体" w:hAnsi="宋体" w:cs="宋体" w:eastAsia="宋体" w:hint="default"/>
                            <w:sz w:val="18"/>
                            <w:szCs w:val="18"/>
                          </w:rPr>
                          <w:t>2018</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66"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301"/>
                          <w:jc w:val="left"/>
                          <w:rPr>
                            <w:rFonts w:ascii="宋体" w:hAnsi="宋体" w:cs="宋体" w:eastAsia="宋体" w:hint="default"/>
                            <w:sz w:val="20"/>
                            <w:szCs w:val="20"/>
                          </w:rPr>
                        </w:pPr>
                        <w:r>
                          <w:rPr>
                            <w:rFonts w:ascii="宋体" w:hAnsi="宋体" w:cs="宋体" w:eastAsia="宋体" w:hint="default"/>
                            <w:sz w:val="20"/>
                            <w:szCs w:val="20"/>
                          </w:rPr>
                          <w:t>深圳市齐普生科技股份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Arial Narrow" w:hAnsi="Arial Narrow" w:cs="Arial Narrow" w:eastAsia="Arial Narrow" w:hint="default"/>
                            <w:sz w:val="18"/>
                            <w:szCs w:val="18"/>
                          </w:rPr>
                          <w:t>0.40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18"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240" w:lineRule="auto" w:before="4"/>
                          <w:ind w:right="4"/>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65"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301"/>
                          <w:jc w:val="left"/>
                          <w:rPr>
                            <w:rFonts w:ascii="宋体" w:hAnsi="宋体" w:cs="宋体" w:eastAsia="宋体" w:hint="default"/>
                            <w:sz w:val="20"/>
                            <w:szCs w:val="20"/>
                          </w:rPr>
                        </w:pPr>
                        <w:r>
                          <w:rPr>
                            <w:rFonts w:ascii="宋体" w:hAnsi="宋体" w:cs="宋体" w:eastAsia="宋体" w:hint="default"/>
                            <w:sz w:val="20"/>
                            <w:szCs w:val="20"/>
                          </w:rPr>
                          <w:t>深圳市齐普生科技股份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Arial Narrow" w:hAnsi="Arial Narrow" w:cs="Arial Narrow" w:eastAsia="Arial Narrow" w:hint="default"/>
                            <w:sz w:val="18"/>
                            <w:szCs w:val="18"/>
                          </w:rPr>
                          <w:t>0.50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17"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日至</w:t>
                        </w:r>
                        <w:r>
                          <w:rPr>
                            <w:rFonts w:ascii="宋体" w:hAnsi="宋体" w:cs="宋体" w:eastAsia="宋体" w:hint="default"/>
                            <w:spacing w:val="-59"/>
                            <w:sz w:val="18"/>
                            <w:szCs w:val="18"/>
                          </w:rPr>
                          <w:t> </w:t>
                        </w:r>
                        <w:r>
                          <w:rPr>
                            <w:rFonts w:ascii="宋体" w:hAnsi="宋体" w:cs="宋体" w:eastAsia="宋体" w:hint="default"/>
                            <w:sz w:val="18"/>
                            <w:szCs w:val="18"/>
                          </w:rPr>
                          <w:t>2018</w:t>
                        </w:r>
                      </w:p>
                      <w:p>
                        <w:pPr>
                          <w:pStyle w:val="TableParagraph"/>
                          <w:spacing w:line="240" w:lineRule="auto" w:before="4"/>
                          <w:ind w:right="4"/>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85"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09"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深圳市齐普生科技股份</w:t>
                        </w:r>
                      </w:p>
                      <w:p>
                        <w:pPr>
                          <w:pStyle w:val="TableParagraph"/>
                          <w:tabs>
                            <w:tab w:pos="2431" w:val="left" w:leader="none"/>
                          </w:tabs>
                          <w:spacing w:line="251" w:lineRule="exact"/>
                          <w:ind w:left="14" w:right="-1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pacing w:val="8"/>
                            <w:sz w:val="20"/>
                            <w:szCs w:val="20"/>
                            <w:u w:val="single" w:color="000000"/>
                          </w:rPr>
                          <w:t> </w:t>
                        </w:r>
                        <w:r>
                          <w:rPr>
                            <w:rFonts w:ascii="宋体" w:hAnsi="宋体" w:cs="宋体" w:eastAsia="宋体" w:hint="default"/>
                            <w:sz w:val="20"/>
                            <w:szCs w:val="20"/>
                            <w:u w:val="single" w:color="000000"/>
                          </w:rPr>
                          <w:t>有限公司</w:t>
                          <w:tab/>
                        </w:r>
                        <w:r>
                          <w:rPr>
                            <w:rFonts w:ascii="宋体" w:hAnsi="宋体" w:cs="宋体" w:eastAsia="宋体" w:hint="default"/>
                            <w:sz w:val="20"/>
                            <w:szCs w:val="20"/>
                          </w:rPr>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Arial Narrow" w:hAnsi="Arial Narrow" w:cs="Arial Narrow" w:eastAsia="Arial Narrow" w:hint="default"/>
                            <w:sz w:val="18"/>
                            <w:szCs w:val="18"/>
                          </w:rPr>
                          <w:t>1.00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single" w:sz="4" w:space="0" w:color="000000"/>
                          <w:right w:val="nil" w:sz="6" w:space="0" w:color="auto"/>
                        </w:tcBorders>
                      </w:tcPr>
                      <w:p>
                        <w:pPr>
                          <w:pStyle w:val="TableParagraph"/>
                          <w:spacing w:line="217"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70"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exact" w:before="4"/>
                          <w:ind w:left="122" w:right="301"/>
                          <w:jc w:val="left"/>
                          <w:rPr>
                            <w:rFonts w:ascii="宋体" w:hAnsi="宋体" w:cs="宋体" w:eastAsia="宋体" w:hint="default"/>
                            <w:sz w:val="20"/>
                            <w:szCs w:val="20"/>
                          </w:rPr>
                        </w:pPr>
                        <w:r>
                          <w:rPr>
                            <w:rFonts w:ascii="宋体" w:hAnsi="宋体" w:cs="宋体" w:eastAsia="宋体" w:hint="default"/>
                            <w:sz w:val="20"/>
                            <w:szCs w:val="20"/>
                          </w:rPr>
                          <w:t>深圳市齐普生科技股份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Arial Narrow" w:hAnsi="Arial Narrow" w:cs="Arial Narrow" w:eastAsia="Arial Narrow" w:hint="default"/>
                            <w:sz w:val="18"/>
                            <w:szCs w:val="18"/>
                          </w:rPr>
                          <w:t>1.00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w:t>
                        </w:r>
                      </w:p>
                    </w:tc>
                    <w:tc>
                      <w:tcPr>
                        <w:tcW w:w="2221"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6</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日至</w:t>
                        </w:r>
                        <w:r>
                          <w:rPr>
                            <w:rFonts w:ascii="宋体" w:hAnsi="宋体" w:cs="宋体" w:eastAsia="宋体" w:hint="default"/>
                            <w:spacing w:val="-59"/>
                            <w:sz w:val="18"/>
                            <w:szCs w:val="18"/>
                          </w:rPr>
                          <w:t> </w:t>
                        </w:r>
                        <w:r>
                          <w:rPr>
                            <w:rFonts w:ascii="宋体" w:hAnsi="宋体" w:cs="宋体" w:eastAsia="宋体" w:hint="default"/>
                            <w:sz w:val="18"/>
                            <w:szCs w:val="18"/>
                          </w:rPr>
                          <w:t>2018</w:t>
                        </w:r>
                      </w:p>
                      <w:p>
                        <w:pPr>
                          <w:pStyle w:val="TableParagraph"/>
                          <w:spacing w:line="240" w:lineRule="auto" w:before="4"/>
                          <w:ind w:right="4"/>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65"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465" w:right="107" w:hanging="360"/>
                          <w:jc w:val="left"/>
                          <w:rPr>
                            <w:rFonts w:ascii="宋体" w:hAnsi="宋体" w:cs="宋体" w:eastAsia="宋体" w:hint="default"/>
                            <w:sz w:val="18"/>
                            <w:szCs w:val="18"/>
                          </w:rPr>
                        </w:pPr>
                        <w:r>
                          <w:rPr>
                            <w:rFonts w:ascii="宋体" w:hAnsi="宋体" w:cs="宋体" w:eastAsia="宋体" w:hint="default"/>
                            <w:sz w:val="18"/>
                            <w:szCs w:val="18"/>
                          </w:rPr>
                          <w:t>深圳市齐普生科技股 份有限公司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Arial Narrow" w:hAnsi="Arial Narrow" w:cs="Arial Narrow" w:eastAsia="Arial Narrow" w:hint="default"/>
                            <w:sz w:val="18"/>
                            <w:szCs w:val="18"/>
                          </w:rPr>
                          <w:t>3.00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17" w:lineRule="exact"/>
                          <w:ind w:left="31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40" w:lineRule="auto" w:before="4"/>
                          <w:ind w:left="36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68"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exact" w:before="2"/>
                          <w:ind w:left="465" w:right="107" w:hanging="360"/>
                          <w:jc w:val="left"/>
                          <w:rPr>
                            <w:rFonts w:ascii="宋体" w:hAnsi="宋体" w:cs="宋体" w:eastAsia="宋体" w:hint="default"/>
                            <w:sz w:val="18"/>
                            <w:szCs w:val="18"/>
                          </w:rPr>
                        </w:pPr>
                        <w:r>
                          <w:rPr>
                            <w:rFonts w:ascii="宋体" w:hAnsi="宋体" w:cs="宋体" w:eastAsia="宋体" w:hint="default"/>
                            <w:sz w:val="18"/>
                            <w:szCs w:val="18"/>
                          </w:rPr>
                          <w:t>深圳市齐普生科技股 份有限公司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Arial Narrow" w:hAnsi="Arial Narrow" w:cs="Arial Narrow" w:eastAsia="Arial Narrow" w:hint="default"/>
                            <w:sz w:val="18"/>
                            <w:szCs w:val="18"/>
                          </w:rPr>
                          <w:t>1.00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20"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65"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376" w:right="107" w:hanging="272"/>
                          <w:jc w:val="left"/>
                          <w:rPr>
                            <w:rFonts w:ascii="宋体" w:hAnsi="宋体" w:cs="宋体" w:eastAsia="宋体" w:hint="default"/>
                            <w:sz w:val="18"/>
                            <w:szCs w:val="18"/>
                          </w:rPr>
                        </w:pPr>
                        <w:r>
                          <w:rPr>
                            <w:rFonts w:ascii="宋体" w:hAnsi="宋体" w:cs="宋体" w:eastAsia="宋体" w:hint="default"/>
                            <w:sz w:val="18"/>
                            <w:szCs w:val="18"/>
                          </w:rPr>
                          <w:t>深圳市金证博泽科技 股份有限公司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Arial Narrow" w:hAnsi="Arial Narrow" w:cs="Arial Narrow" w:eastAsia="Arial Narrow" w:hint="default"/>
                            <w:sz w:val="18"/>
                            <w:szCs w:val="18"/>
                          </w:rPr>
                          <w:t>0.50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17" w:lineRule="exact"/>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240" w:lineRule="auto" w:before="4"/>
                          <w:ind w:right="4"/>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5"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485"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24" w:lineRule="exact" w:before="78"/>
                          <w:ind w:left="122" w:right="0"/>
                          <w:jc w:val="left"/>
                          <w:rPr>
                            <w:rFonts w:ascii="宋体" w:hAnsi="宋体" w:cs="宋体" w:eastAsia="宋体" w:hint="default"/>
                            <w:sz w:val="20"/>
                            <w:szCs w:val="20"/>
                          </w:rPr>
                        </w:pPr>
                        <w:r>
                          <w:rPr>
                            <w:rFonts w:ascii="宋体" w:hAnsi="宋体" w:cs="宋体" w:eastAsia="宋体" w:hint="default"/>
                            <w:sz w:val="20"/>
                            <w:szCs w:val="20"/>
                          </w:rPr>
                          <w:t>本公司</w:t>
                        </w:r>
                      </w:p>
                      <w:p>
                        <w:pPr>
                          <w:pStyle w:val="TableParagraph"/>
                          <w:tabs>
                            <w:tab w:pos="2422" w:val="left" w:leader="none"/>
                          </w:tabs>
                          <w:spacing w:line="169" w:lineRule="exact"/>
                          <w:ind w:left="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深圳市金证博泽科技</w:t>
                        </w:r>
                      </w:p>
                      <w:p>
                        <w:pPr>
                          <w:pStyle w:val="TableParagraph"/>
                          <w:tabs>
                            <w:tab w:pos="376" w:val="left" w:leader="none"/>
                            <w:tab w:pos="1843" w:val="left" w:leader="none"/>
                          </w:tabs>
                          <w:spacing w:line="240" w:lineRule="auto" w:before="4"/>
                          <w:ind w:left="-10"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股份有限公司</w:t>
                          <w:tab/>
                        </w:r>
                        <w:r>
                          <w:rPr>
                            <w:rFonts w:ascii="宋体" w:hAnsi="宋体" w:cs="宋体" w:eastAsia="宋体" w:hint="default"/>
                            <w:sz w:val="18"/>
                            <w:szCs w:val="18"/>
                          </w:rPr>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235" w:val="left" w:leader="none"/>
                            <w:tab w:pos="1601" w:val="left" w:leader="none"/>
                          </w:tabs>
                          <w:spacing w:line="240" w:lineRule="auto"/>
                          <w:ind w:left="-10" w:right="-620"/>
                          <w:jc w:val="left"/>
                          <w:rPr>
                            <w:rFonts w:ascii="宋体" w:hAnsi="宋体" w:cs="宋体" w:eastAsia="宋体" w:hint="default"/>
                            <w:sz w:val="18"/>
                            <w:szCs w:val="18"/>
                          </w:rPr>
                        </w:pPr>
                        <w:r>
                          <w:rPr>
                            <w:rFonts w:ascii="Arial Narrow" w:hAnsi="Arial Narrow" w:cs="Arial Narrow" w:eastAsia="Arial Narrow" w:hint="default"/>
                            <w:sz w:val="18"/>
                            <w:szCs w:val="18"/>
                          </w:rPr>
                        </w:r>
                        <w:r>
                          <w:rPr>
                            <w:rFonts w:ascii="Arial Narrow" w:hAnsi="Arial Narrow" w:cs="Arial Narrow" w:eastAsia="Arial Narrow" w:hint="default"/>
                            <w:sz w:val="18"/>
                            <w:szCs w:val="18"/>
                            <w:u w:val="single" w:color="000000"/>
                          </w:rPr>
                          <w:t> </w:t>
                          <w:tab/>
                          <w:t>0.60</w:t>
                        </w:r>
                        <w:r>
                          <w:rPr>
                            <w:rFonts w:ascii="Arial Narrow" w:hAnsi="Arial Narrow" w:cs="Arial Narrow" w:eastAsia="Arial Narrow" w:hint="default"/>
                            <w:spacing w:val="2"/>
                            <w:sz w:val="18"/>
                            <w:szCs w:val="18"/>
                            <w:u w:val="single" w:color="000000"/>
                          </w:rPr>
                          <w:t> </w:t>
                        </w:r>
                        <w:r>
                          <w:rPr>
                            <w:rFonts w:ascii="宋体" w:hAnsi="宋体" w:cs="宋体" w:eastAsia="宋体" w:hint="default"/>
                            <w:sz w:val="18"/>
                            <w:szCs w:val="18"/>
                            <w:u w:val="single" w:color="000000"/>
                          </w:rPr>
                          <w:t>亿</w:t>
                          <w:tab/>
                        </w:r>
                        <w:r>
                          <w:rPr>
                            <w:rFonts w:ascii="宋体" w:hAnsi="宋体" w:cs="宋体" w:eastAsia="宋体" w:hint="default"/>
                            <w:sz w:val="18"/>
                            <w:szCs w:val="18"/>
                          </w:rPr>
                        </w:r>
                      </w:p>
                    </w:tc>
                    <w:tc>
                      <w:tcPr>
                        <w:tcW w:w="2221" w:type="dxa"/>
                        <w:tcBorders>
                          <w:top w:val="nil" w:sz="6" w:space="0" w:color="auto"/>
                          <w:left w:val="single" w:sz="4" w:space="0" w:color="000000"/>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30</w:t>
                        </w:r>
                        <w:r>
                          <w:rPr>
                            <w:rFonts w:ascii="宋体" w:hAnsi="宋体" w:cs="宋体" w:eastAsia="宋体" w:hint="default"/>
                            <w:spacing w:val="-56"/>
                            <w:sz w:val="18"/>
                            <w:szCs w:val="18"/>
                          </w:rPr>
                          <w:t> </w:t>
                        </w:r>
                        <w:r>
                          <w:rPr>
                            <w:rFonts w:ascii="宋体" w:hAnsi="宋体" w:cs="宋体" w:eastAsia="宋体" w:hint="default"/>
                            <w:sz w:val="18"/>
                            <w:szCs w:val="18"/>
                          </w:rPr>
                          <w:t>日至</w:t>
                        </w:r>
                        <w:r>
                          <w:rPr>
                            <w:rFonts w:ascii="宋体" w:hAnsi="宋体" w:cs="宋体" w:eastAsia="宋体" w:hint="default"/>
                            <w:spacing w:val="-59"/>
                            <w:sz w:val="18"/>
                            <w:szCs w:val="18"/>
                          </w:rPr>
                          <w:t> </w:t>
                        </w:r>
                        <w:r>
                          <w:rPr>
                            <w:rFonts w:ascii="宋体" w:hAnsi="宋体" w:cs="宋体" w:eastAsia="宋体" w:hint="default"/>
                            <w:sz w:val="18"/>
                            <w:szCs w:val="18"/>
                          </w:rPr>
                          <w:t>2018</w:t>
                        </w:r>
                      </w:p>
                      <w:p>
                        <w:pPr>
                          <w:pStyle w:val="TableParagraph"/>
                          <w:tabs>
                            <w:tab w:pos="2215" w:val="left" w:leader="none"/>
                          </w:tabs>
                          <w:spacing w:line="240" w:lineRule="auto" w:before="4"/>
                          <w:ind w:left="6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w:t>
                        </w:r>
                        <w:r>
                          <w:rPr>
                            <w:rFonts w:ascii="宋体" w:hAnsi="宋体" w:cs="宋体" w:eastAsia="宋体" w:hint="default"/>
                            <w:spacing w:val="-45"/>
                            <w:sz w:val="18"/>
                            <w:szCs w:val="18"/>
                            <w:u w:val="single" w:color="000000"/>
                          </w:rPr>
                          <w:t> </w:t>
                        </w:r>
                        <w:r>
                          <w:rPr>
                            <w:rFonts w:ascii="宋体" w:hAnsi="宋体" w:cs="宋体" w:eastAsia="宋体" w:hint="default"/>
                            <w:sz w:val="18"/>
                            <w:szCs w:val="18"/>
                            <w:u w:val="single" w:color="000000"/>
                          </w:rPr>
                          <w:t>7</w:t>
                        </w:r>
                        <w:r>
                          <w:rPr>
                            <w:rFonts w:ascii="宋体" w:hAnsi="宋体" w:cs="宋体" w:eastAsia="宋体" w:hint="default"/>
                            <w:spacing w:val="-44"/>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7"/>
                            <w:sz w:val="18"/>
                            <w:szCs w:val="18"/>
                            <w:u w:val="single" w:color="000000"/>
                          </w:rPr>
                          <w:t> </w:t>
                        </w:r>
                        <w:r>
                          <w:rPr>
                            <w:rFonts w:ascii="宋体" w:hAnsi="宋体" w:cs="宋体" w:eastAsia="宋体" w:hint="default"/>
                            <w:sz w:val="18"/>
                            <w:szCs w:val="18"/>
                            <w:u w:val="single" w:color="000000"/>
                          </w:rPr>
                          <w:t>29</w:t>
                        </w:r>
                        <w:r>
                          <w:rPr>
                            <w:rFonts w:ascii="宋体" w:hAnsi="宋体" w:cs="宋体" w:eastAsia="宋体" w:hint="default"/>
                            <w:spacing w:val="-44"/>
                            <w:sz w:val="18"/>
                            <w:szCs w:val="18"/>
                            <w:u w:val="single" w:color="000000"/>
                          </w:rPr>
                          <w:t> </w:t>
                        </w:r>
                        <w:r>
                          <w:rPr>
                            <w:rFonts w:ascii="宋体" w:hAnsi="宋体" w:cs="宋体" w:eastAsia="宋体" w:hint="default"/>
                            <w:sz w:val="18"/>
                            <w:szCs w:val="18"/>
                            <w:u w:val="single" w:color="000000"/>
                          </w:rPr>
                          <w:t>日</w:t>
                          <w:tab/>
                        </w:r>
                        <w:r>
                          <w:rPr>
                            <w:rFonts w:ascii="宋体" w:hAnsi="宋体" w:cs="宋体" w:eastAsia="宋体" w:hint="default"/>
                            <w:sz w:val="18"/>
                            <w:szCs w:val="18"/>
                          </w:rPr>
                        </w:r>
                      </w:p>
                    </w:tc>
                  </w:tr>
                  <w:tr>
                    <w:trPr>
                      <w:trHeight w:val="360" w:hRule="exact"/>
                    </w:trPr>
                    <w:tc>
                      <w:tcPr>
                        <w:tcW w:w="2427" w:type="dxa"/>
                        <w:tcBorders>
                          <w:top w:val="nil" w:sz="6" w:space="0" w:color="auto"/>
                          <w:left w:val="nil" w:sz="6" w:space="0" w:color="auto"/>
                          <w:bottom w:val="single" w:sz="12" w:space="0" w:color="000000"/>
                          <w:right w:val="nil" w:sz="6" w:space="0" w:color="auto"/>
                        </w:tcBorders>
                      </w:tcPr>
                      <w:p>
                        <w:pP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nil" w:sz="6" w:space="0" w:color="auto"/>
                          <w:bottom w:val="single" w:sz="12" w:space="0" w:color="000000"/>
                          <w:right w:val="single" w:sz="4" w:space="0" w:color="000000"/>
                        </w:tcBorders>
                      </w:tcPr>
                      <w:p>
                        <w:pPr/>
                      </w:p>
                    </w:tc>
                    <w:tc>
                      <w:tcPr>
                        <w:tcW w:w="9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7"/>
                          <w:ind w:left="367" w:right="0"/>
                          <w:jc w:val="left"/>
                          <w:rPr>
                            <w:rFonts w:ascii="宋体" w:hAnsi="宋体" w:cs="宋体" w:eastAsia="宋体" w:hint="default"/>
                            <w:sz w:val="18"/>
                            <w:szCs w:val="18"/>
                          </w:rPr>
                        </w:pPr>
                        <w:r>
                          <w:rPr>
                            <w:rFonts w:ascii="Arial Narrow" w:hAnsi="Arial Narrow" w:cs="Arial Narrow" w:eastAsia="Arial Narrow" w:hint="default"/>
                            <w:sz w:val="18"/>
                            <w:szCs w:val="18"/>
                          </w:rPr>
                          <w:t>12.3</w:t>
                        </w:r>
                        <w:r>
                          <w:rPr>
                            <w:rFonts w:ascii="Arial Narrow" w:hAnsi="Arial Narrow" w:cs="Arial Narrow" w:eastAsia="Arial Narrow" w:hint="default"/>
                            <w:spacing w:val="2"/>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tc>
                  </w:tr>
                </w:tbl>
                <w:p>
                  <w:pPr/>
                </w:p>
              </w:txbxContent>
            </v:textbox>
            <w10:wrap type="none"/>
          </v:shape>
        </w:pict>
      </w:r>
      <w:r>
        <w:rPr/>
        <w:t>母子公司之间尚未到期的互相担保</w:t>
      </w:r>
      <w:r>
        <w:rPr>
          <w:b w:val="0"/>
          <w:bCs w:val="0"/>
        </w:rPr>
      </w:r>
    </w:p>
    <w:p>
      <w:pPr>
        <w:spacing w:line="240" w:lineRule="auto" w:before="2"/>
        <w:rPr>
          <w:rFonts w:ascii="宋体" w:hAnsi="宋体" w:cs="宋体" w:eastAsia="宋体" w:hint="default"/>
          <w:b/>
          <w:bCs/>
          <w:sz w:val="15"/>
          <w:szCs w:val="15"/>
        </w:rPr>
      </w:pPr>
    </w:p>
    <w:p>
      <w:pPr>
        <w:tabs>
          <w:tab w:pos="4504" w:val="left" w:leader="none"/>
          <w:tab w:pos="5639" w:val="left" w:leader="none"/>
          <w:tab w:pos="6631" w:val="left" w:leader="none"/>
        </w:tabs>
        <w:spacing w:line="20" w:lineRule="exact"/>
        <w:ind w:left="2661"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3" name="image87.png" descr=""/>
            <wp:cNvGraphicFramePr>
              <a:graphicFrameLocks noChangeAspect="1"/>
            </wp:cNvGraphicFramePr>
            <a:graphic>
              <a:graphicData uri="http://schemas.openxmlformats.org/drawingml/2006/picture">
                <pic:pic>
                  <pic:nvPicPr>
                    <pic:cNvPr id="4" name="image87.png"/>
                    <pic:cNvPicPr/>
                  </pic:nvPicPr>
                  <pic:blipFill>
                    <a:blip r:embed="rId149"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5" name="image87.png" descr=""/>
            <wp:cNvGraphicFramePr>
              <a:graphicFrameLocks noChangeAspect="1"/>
            </wp:cNvGraphicFramePr>
            <a:graphic>
              <a:graphicData uri="http://schemas.openxmlformats.org/drawingml/2006/picture">
                <pic:pic>
                  <pic:nvPicPr>
                    <pic:cNvPr id="6" name="image87.png"/>
                    <pic:cNvPicPr/>
                  </pic:nvPicPr>
                  <pic:blipFill>
                    <a:blip r:embed="rId149"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7" name="image87.png" descr=""/>
            <wp:cNvGraphicFramePr>
              <a:graphicFrameLocks noChangeAspect="1"/>
            </wp:cNvGraphicFramePr>
            <a:graphic>
              <a:graphicData uri="http://schemas.openxmlformats.org/drawingml/2006/picture">
                <pic:pic>
                  <pic:nvPicPr>
                    <pic:cNvPr id="8" name="image87.png"/>
                    <pic:cNvPicPr/>
                  </pic:nvPicPr>
                  <pic:blipFill>
                    <a:blip r:embed="rId149"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9" name="image87.png" descr=""/>
            <wp:cNvGraphicFramePr>
              <a:graphicFrameLocks noChangeAspect="1"/>
            </wp:cNvGraphicFramePr>
            <a:graphic>
              <a:graphicData uri="http://schemas.openxmlformats.org/drawingml/2006/picture">
                <pic:pic>
                  <pic:nvPicPr>
                    <pic:cNvPr id="10" name="image87.png"/>
                    <pic:cNvPicPr/>
                  </pic:nvPicPr>
                  <pic:blipFill>
                    <a:blip r:embed="rId149"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7"/>
        <w:rPr>
          <w:rFonts w:ascii="宋体" w:hAnsi="宋体" w:cs="宋体" w:eastAsia="宋体" w:hint="default"/>
          <w:b/>
          <w:bCs/>
          <w:sz w:val="24"/>
          <w:szCs w:val="24"/>
        </w:rPr>
      </w:pPr>
    </w:p>
    <w:p>
      <w:pPr>
        <w:spacing w:line="20" w:lineRule="exact"/>
        <w:ind w:left="253" w:right="0" w:firstLine="0"/>
        <w:rPr>
          <w:rFonts w:ascii="宋体" w:hAnsi="宋体" w:cs="宋体" w:eastAsia="宋体" w:hint="default"/>
          <w:sz w:val="2"/>
          <w:szCs w:val="2"/>
        </w:rPr>
      </w:pPr>
      <w:r>
        <w:rPr>
          <w:rFonts w:ascii="宋体" w:hAnsi="宋体" w:cs="宋体" w:eastAsia="宋体" w:hint="default"/>
          <w:sz w:val="2"/>
          <w:szCs w:val="2"/>
        </w:rPr>
        <w:pict>
          <v:group style="width:430.2pt;height:.5pt;mso-position-horizontal-relative:char;mso-position-vertical-relative:line" coordorigin="0,0" coordsize="8604,10">
            <v:shape style="position:absolute;left:0;top:0;width:2408;height:10" type="#_x0000_t75" stroked="false">
              <v:imagedata r:id="rId150" o:title=""/>
            </v:shape>
            <v:shape style="position:absolute;left:2403;top:0;width:1848;height:10" type="#_x0000_t75" stroked="false">
              <v:imagedata r:id="rId151" o:title=""/>
            </v:shape>
            <v:shape style="position:absolute;left:4246;top:0;width:1140;height:10" type="#_x0000_t75" stroked="false">
              <v:imagedata r:id="rId152" o:title=""/>
            </v:shape>
            <v:shape style="position:absolute;left:5382;top:0;width:996;height:10" type="#_x0000_t75" stroked="false">
              <v:imagedata r:id="rId153" o:title=""/>
            </v:shape>
            <v:shape style="position:absolute;left:6373;top:0;width:2230;height:10" type="#_x0000_t75" stroked="false">
              <v:imagedata r:id="rId154" o:title=""/>
            </v:shape>
          </v:group>
        </w:pict>
      </w:r>
      <w:r>
        <w:rPr>
          <w:rFonts w:ascii="宋体" w:hAnsi="宋体" w:cs="宋体" w:eastAsia="宋体" w:hint="default"/>
          <w:sz w:val="2"/>
          <w:szCs w:val="2"/>
        </w:rPr>
      </w:r>
    </w:p>
    <w:p>
      <w:pPr>
        <w:spacing w:line="240" w:lineRule="auto" w:before="7"/>
        <w:rPr>
          <w:rFonts w:ascii="宋体" w:hAnsi="宋体" w:cs="宋体" w:eastAsia="宋体" w:hint="default"/>
          <w:b/>
          <w:bCs/>
          <w:sz w:val="28"/>
          <w:szCs w:val="28"/>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155" o:title=""/>
            </v:shape>
            <v:shape style="position:absolute;left:2403;top:96;width:1848;height:10" type="#_x0000_t75" stroked="false">
              <v:imagedata r:id="rId156" o:title=""/>
            </v:shape>
            <v:shape style="position:absolute;left:4246;top:96;width:1140;height:10" type="#_x0000_t75" stroked="false">
              <v:imagedata r:id="rId157" o:title=""/>
            </v:shape>
            <v:shape style="position:absolute;left:5382;top:96;width:996;height:10" type="#_x0000_t75" stroked="false">
              <v:imagedata r:id="rId158" o:title=""/>
            </v:shape>
            <v:shape style="position:absolute;left:6373;top:96;width:2230;height:10" type="#_x0000_t75" stroked="false">
              <v:imagedata r:id="rId159"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b/>
          <w:bCs/>
          <w:sz w:val="29"/>
          <w:szCs w:val="29"/>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155" o:title=""/>
            </v:shape>
            <v:shape style="position:absolute;left:2403;top:96;width:1848;height:10" type="#_x0000_t75" stroked="false">
              <v:imagedata r:id="rId151" o:title=""/>
            </v:shape>
            <v:shape style="position:absolute;left:4246;top:96;width:1140;height:10" type="#_x0000_t75" stroked="false">
              <v:imagedata r:id="rId152" o:title=""/>
            </v:shape>
            <v:shape style="position:absolute;left:5382;top:96;width:996;height:10" type="#_x0000_t75" stroked="false">
              <v:imagedata r:id="rId153" o:title=""/>
            </v:shape>
            <v:shape style="position:absolute;left:6373;top:96;width:2230;height:10" type="#_x0000_t75" stroked="false">
              <v:imagedata r:id="rId154"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line="20" w:lineRule="exact"/>
        <w:ind w:left="6628"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 name="image98.png" descr=""/>
            <wp:cNvGraphicFramePr>
              <a:graphicFrameLocks noChangeAspect="1"/>
            </wp:cNvGraphicFramePr>
            <a:graphic>
              <a:graphicData uri="http://schemas.openxmlformats.org/drawingml/2006/picture">
                <pic:pic>
                  <pic:nvPicPr>
                    <pic:cNvPr id="12" name="image98.png"/>
                    <pic:cNvPicPr/>
                  </pic:nvPicPr>
                  <pic:blipFill>
                    <a:blip r:embed="rId16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spacing w:line="240" w:lineRule="auto" w:before="7"/>
        <w:rPr>
          <w:rFonts w:ascii="宋体" w:hAnsi="宋体" w:cs="宋体" w:eastAsia="宋体" w:hint="default"/>
          <w:b/>
          <w:bCs/>
          <w:sz w:val="28"/>
          <w:szCs w:val="28"/>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161" o:title=""/>
            </v:shape>
            <v:shape style="position:absolute;left:2403;top:96;width:1848;height:10" type="#_x0000_t75" stroked="false">
              <v:imagedata r:id="rId156" o:title=""/>
            </v:shape>
            <v:shape style="position:absolute;left:4246;top:96;width:1140;height:10" type="#_x0000_t75" stroked="false">
              <v:imagedata r:id="rId157" o:title=""/>
            </v:shape>
            <v:shape style="position:absolute;left:5382;top:96;width:996;height:10" type="#_x0000_t75" stroked="false">
              <v:imagedata r:id="rId158" o:title=""/>
            </v:shape>
            <v:shape style="position:absolute;left:6373;top:96;width:2230;height:10" type="#_x0000_t75" stroked="false">
              <v:imagedata r:id="rId159"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b/>
          <w:bCs/>
          <w:sz w:val="29"/>
          <w:szCs w:val="29"/>
        </w:rPr>
      </w:pPr>
    </w:p>
    <w:p>
      <w:pPr>
        <w:spacing w:line="108"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4pt;mso-position-horizontal-relative:char;mso-position-vertical-relative:line" coordorigin="0,0" coordsize="8604,108">
            <v:shape style="position:absolute;left:0;top:0;width:2427;height:108" type="#_x0000_t75" stroked="false">
              <v:imagedata r:id="rId162" o:title=""/>
            </v:shape>
            <v:shape style="position:absolute;left:2403;top:96;width:1858;height:12" type="#_x0000_t75" stroked="false">
              <v:imagedata r:id="rId163" o:title=""/>
            </v:shape>
            <v:shape style="position:absolute;left:4246;top:96;width:1150;height:12" type="#_x0000_t75" stroked="false">
              <v:imagedata r:id="rId164" o:title=""/>
            </v:shape>
            <v:shape style="position:absolute;left:5382;top:96;width:1006;height:12" type="#_x0000_t75" stroked="false">
              <v:imagedata r:id="rId165" o:title=""/>
            </v:shape>
            <v:shape style="position:absolute;left:6373;top:98;width:2230;height:10" type="#_x0000_t75" stroked="false">
              <v:imagedata r:id="rId154"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b/>
          <w:bCs/>
          <w:sz w:val="29"/>
          <w:szCs w:val="29"/>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166" o:title=""/>
            </v:shape>
            <v:shape style="position:absolute;left:2403;top:96;width:1848;height:10" type="#_x0000_t75" stroked="false">
              <v:imagedata r:id="rId151" o:title=""/>
            </v:shape>
            <v:shape style="position:absolute;left:4246;top:96;width:1140;height:10" type="#_x0000_t75" stroked="false">
              <v:imagedata r:id="rId152" o:title=""/>
            </v:shape>
            <v:shape style="position:absolute;left:5382;top:96;width:996;height:10" type="#_x0000_t75" stroked="false">
              <v:imagedata r:id="rId153" o:title=""/>
            </v:shape>
            <v:shape style="position:absolute;left:6373;top:96;width:2230;height:10" type="#_x0000_t75" stroked="false">
              <v:imagedata r:id="rId154"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b/>
          <w:bCs/>
          <w:sz w:val="29"/>
          <w:szCs w:val="29"/>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166" o:title=""/>
            </v:shape>
            <v:shape style="position:absolute;left:2403;top:96;width:1848;height:10" type="#_x0000_t75" stroked="false">
              <v:imagedata r:id="rId156" o:title=""/>
            </v:shape>
            <v:shape style="position:absolute;left:4246;top:96;width:1140;height:10" type="#_x0000_t75" stroked="false">
              <v:imagedata r:id="rId157" o:title=""/>
            </v:shape>
            <v:shape style="position:absolute;left:5382;top:96;width:996;height:10" type="#_x0000_t75" stroked="false">
              <v:imagedata r:id="rId158" o:title=""/>
            </v:shape>
            <v:shape style="position:absolute;left:6373;top:96;width:2230;height:10" type="#_x0000_t75" stroked="false">
              <v:imagedata r:id="rId15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line="20" w:lineRule="exact"/>
        <w:ind w:left="6628"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3" name="image98.png" descr=""/>
            <wp:cNvGraphicFramePr>
              <a:graphicFrameLocks noChangeAspect="1"/>
            </wp:cNvGraphicFramePr>
            <a:graphic>
              <a:graphicData uri="http://schemas.openxmlformats.org/drawingml/2006/picture">
                <pic:pic>
                  <pic:nvPicPr>
                    <pic:cNvPr id="14" name="image98.png"/>
                    <pic:cNvPicPr/>
                  </pic:nvPicPr>
                  <pic:blipFill>
                    <a:blip r:embed="rId16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spacing w:line="240" w:lineRule="auto" w:before="7"/>
        <w:rPr>
          <w:rFonts w:ascii="宋体" w:hAnsi="宋体" w:cs="宋体" w:eastAsia="宋体" w:hint="default"/>
          <w:b/>
          <w:bCs/>
          <w:sz w:val="28"/>
          <w:szCs w:val="28"/>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167" o:title=""/>
            </v:shape>
            <v:shape style="position:absolute;left:2403;top:96;width:1848;height:10" type="#_x0000_t75" stroked="false">
              <v:imagedata r:id="rId151" o:title=""/>
            </v:shape>
            <v:shape style="position:absolute;left:4246;top:96;width:1140;height:10" type="#_x0000_t75" stroked="false">
              <v:imagedata r:id="rId152" o:title=""/>
            </v:shape>
            <v:shape style="position:absolute;left:5382;top:96;width:996;height:10" type="#_x0000_t75" stroked="false">
              <v:imagedata r:id="rId153" o:title=""/>
            </v:shape>
            <v:shape style="position:absolute;left:6373;top:96;width:2230;height:10" type="#_x0000_t75" stroked="false">
              <v:imagedata r:id="rId154"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b/>
          <w:bCs/>
          <w:sz w:val="29"/>
          <w:szCs w:val="29"/>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167" o:title=""/>
            </v:shape>
            <v:shape style="position:absolute;left:2403;top:96;width:1848;height:10" type="#_x0000_t75" stroked="false">
              <v:imagedata r:id="rId156" o:title=""/>
            </v:shape>
            <v:shape style="position:absolute;left:4246;top:96;width:1140;height:10" type="#_x0000_t75" stroked="false">
              <v:imagedata r:id="rId157" o:title=""/>
            </v:shape>
            <v:shape style="position:absolute;left:5382;top:96;width:996;height:10" type="#_x0000_t75" stroked="false">
              <v:imagedata r:id="rId158" o:title=""/>
            </v:shape>
            <v:shape style="position:absolute;left:6373;top:96;width:2230;height:10" type="#_x0000_t75" stroked="false">
              <v:imagedata r:id="rId159"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b/>
          <w:bCs/>
          <w:sz w:val="29"/>
          <w:szCs w:val="29"/>
        </w:rPr>
      </w:pPr>
    </w:p>
    <w:p>
      <w:pPr>
        <w:spacing w:line="108"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4pt;mso-position-horizontal-relative:char;mso-position-vertical-relative:line" coordorigin="0,0" coordsize="8604,108">
            <v:shape style="position:absolute;left:0;top:0;width:2427;height:108" type="#_x0000_t75" stroked="false">
              <v:imagedata r:id="rId168" o:title=""/>
            </v:shape>
            <v:shape style="position:absolute;left:2403;top:96;width:1858;height:12" type="#_x0000_t75" stroked="false">
              <v:imagedata r:id="rId163" o:title=""/>
            </v:shape>
            <v:shape style="position:absolute;left:4246;top:96;width:1150;height:12" type="#_x0000_t75" stroked="false">
              <v:imagedata r:id="rId164" o:title=""/>
            </v:shape>
            <v:shape style="position:absolute;left:5382;top:96;width:1006;height:12" type="#_x0000_t75" stroked="false">
              <v:imagedata r:id="rId165" o:title=""/>
            </v:shape>
            <v:shape style="position:absolute;left:6373;top:98;width:2230;height:10" type="#_x0000_t75" stroked="false">
              <v:imagedata r:id="rId154"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b/>
          <w:bCs/>
          <w:sz w:val="29"/>
          <w:szCs w:val="29"/>
        </w:rPr>
      </w:pPr>
    </w:p>
    <w:p>
      <w:pPr>
        <w:spacing w:line="106"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169" o:title=""/>
            </v:shape>
            <v:shape style="position:absolute;left:2403;top:96;width:1848;height:10" type="#_x0000_t75" stroked="false">
              <v:imagedata r:id="rId156" o:title=""/>
            </v:shape>
            <v:shape style="position:absolute;left:4246;top:96;width:1140;height:10" type="#_x0000_t75" stroked="false">
              <v:imagedata r:id="rId157" o:title=""/>
            </v:shape>
            <v:shape style="position:absolute;left:5382;top:96;width:996;height:10" type="#_x0000_t75" stroked="false">
              <v:imagedata r:id="rId158" o:title=""/>
            </v:shape>
            <v:shape style="position:absolute;left:6373;top:96;width:2230;height:10" type="#_x0000_t75" stroked="false">
              <v:imagedata r:id="rId15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line="20" w:lineRule="exact"/>
        <w:ind w:left="6628"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5" name="image98.png" descr=""/>
            <wp:cNvGraphicFramePr>
              <a:graphicFrameLocks noChangeAspect="1"/>
            </wp:cNvGraphicFramePr>
            <a:graphic>
              <a:graphicData uri="http://schemas.openxmlformats.org/drawingml/2006/picture">
                <pic:pic>
                  <pic:nvPicPr>
                    <pic:cNvPr id="16" name="image98.png"/>
                    <pic:cNvPicPr/>
                  </pic:nvPicPr>
                  <pic:blipFill>
                    <a:blip r:embed="rId16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spacing w:line="240" w:lineRule="auto" w:before="11"/>
        <w:rPr>
          <w:rFonts w:ascii="宋体" w:hAnsi="宋体" w:cs="宋体" w:eastAsia="宋体" w:hint="default"/>
          <w:b/>
          <w:bCs/>
          <w:sz w:val="24"/>
          <w:szCs w:val="24"/>
        </w:rPr>
      </w:pPr>
    </w:p>
    <w:p>
      <w:pPr>
        <w:pStyle w:val="BodyText"/>
        <w:spacing w:line="240" w:lineRule="auto"/>
        <w:ind w:left="138" w:right="0"/>
        <w:jc w:val="left"/>
      </w:pPr>
      <w:r>
        <w:rPr/>
        <w:t>除存在上述或有事项外，截止</w:t>
      </w:r>
      <w:r>
        <w:rPr>
          <w:spacing w:val="-40"/>
        </w:rPr>
        <w:t> </w:t>
      </w:r>
      <w:r>
        <w:rPr>
          <w:rFonts w:ascii="Arial Narrow" w:hAnsi="Arial Narrow" w:cs="Arial Narrow" w:eastAsia="Arial Narrow" w:hint="default"/>
        </w:rPr>
        <w:t>2017</w:t>
      </w:r>
      <w:r>
        <w:rPr>
          <w:rFonts w:ascii="Arial Narrow" w:hAnsi="Arial Narrow" w:cs="Arial Narrow" w:eastAsia="Arial Narrow" w:hint="default"/>
          <w:spacing w:val="17"/>
        </w:rPr>
        <w:t> </w:t>
      </w:r>
      <w:r>
        <w:rPr/>
        <w:t>年</w:t>
      </w:r>
      <w:r>
        <w:rPr>
          <w:spacing w:val="-40"/>
        </w:rPr>
        <w:t> </w:t>
      </w:r>
      <w:r>
        <w:rPr>
          <w:rFonts w:ascii="Arial Narrow" w:hAnsi="Arial Narrow" w:cs="Arial Narrow" w:eastAsia="Arial Narrow" w:hint="default"/>
        </w:rPr>
        <w:t>12</w:t>
      </w:r>
      <w:r>
        <w:rPr>
          <w:rFonts w:ascii="Arial Narrow" w:hAnsi="Arial Narrow" w:cs="Arial Narrow" w:eastAsia="Arial Narrow" w:hint="default"/>
          <w:spacing w:val="17"/>
        </w:rPr>
        <w:t> </w:t>
      </w:r>
      <w:r>
        <w:rPr/>
        <w:t>月</w:t>
      </w:r>
      <w:r>
        <w:rPr>
          <w:spacing w:val="-40"/>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日，本公司无其他应披露未披露的重大或有事项。</w:t>
      </w:r>
    </w:p>
    <w:p>
      <w:pPr>
        <w:pStyle w:val="Heading2"/>
        <w:spacing w:line="240" w:lineRule="auto" w:before="38"/>
        <w:ind w:left="138" w:right="101"/>
        <w:jc w:val="left"/>
        <w:rPr>
          <w:b w:val="0"/>
          <w:bCs w:val="0"/>
        </w:rPr>
      </w:pPr>
      <w:r>
        <w:rPr>
          <w:rFonts w:ascii="宋体" w:hAnsi="宋体" w:cs="宋体" w:eastAsia="宋体" w:hint="default"/>
        </w:rPr>
        <w:t>(2).</w:t>
      </w:r>
      <w:r>
        <w:rPr>
          <w:rFonts w:ascii="宋体" w:hAnsi="宋体" w:cs="宋体" w:eastAsia="宋体" w:hint="default"/>
          <w:spacing w:val="7"/>
        </w:rPr>
        <w:t> </w:t>
      </w:r>
      <w:r>
        <w:rPr/>
        <w:t>公司没有需要披露的重要或有事项，也应予以说明：</w:t>
      </w:r>
      <w:r>
        <w:rPr>
          <w:b w:val="0"/>
          <w:bCs w:val="0"/>
        </w:rPr>
      </w:r>
    </w:p>
    <w:p>
      <w:pPr>
        <w:pStyle w:val="BodyText"/>
        <w:tabs>
          <w:tab w:pos="980" w:val="left" w:leader="none"/>
        </w:tabs>
        <w:spacing w:line="240" w:lineRule="auto" w:before="61"/>
        <w:ind w:left="138" w:right="101"/>
        <w:jc w:val="left"/>
      </w:pPr>
      <w:r>
        <w:rPr>
          <w:spacing w:val="-1"/>
        </w:rPr>
        <w:t>□适用</w:t>
        <w:tab/>
      </w:r>
      <w:r>
        <w:rPr>
          <w:spacing w:val="-2"/>
        </w:rPr>
        <w:t>√不适用</w:t>
      </w:r>
    </w:p>
    <w:p>
      <w:pPr>
        <w:pStyle w:val="Heading2"/>
        <w:spacing w:line="240" w:lineRule="auto" w:before="52"/>
        <w:ind w:left="138" w:right="101"/>
        <w:jc w:val="left"/>
        <w:rPr>
          <w:b w:val="0"/>
          <w:bCs w:val="0"/>
        </w:rPr>
      </w:pPr>
      <w:r>
        <w:rPr>
          <w:rFonts w:ascii="宋体" w:hAnsi="宋体" w:cs="宋体" w:eastAsia="宋体" w:hint="default"/>
        </w:rPr>
        <w:t>3</w:t>
      </w:r>
      <w:r>
        <w:rPr/>
        <w:t>、</w:t>
      </w:r>
      <w:r>
        <w:rPr>
          <w:spacing w:val="-57"/>
        </w:rPr>
        <w:t> </w:t>
      </w:r>
      <w:r>
        <w:rPr/>
        <w:t>其他</w:t>
      </w:r>
      <w:r>
        <w:rPr>
          <w:b w:val="0"/>
          <w:bCs w:val="0"/>
        </w:rPr>
      </w:r>
    </w:p>
    <w:p>
      <w:pPr>
        <w:pStyle w:val="BodyText"/>
        <w:tabs>
          <w:tab w:pos="980" w:val="left" w:leader="none"/>
        </w:tabs>
        <w:spacing w:line="240" w:lineRule="auto" w:before="64"/>
        <w:ind w:left="138" w:right="101"/>
        <w:jc w:val="left"/>
      </w:pPr>
      <w:r>
        <w:rPr>
          <w:spacing w:val="-1"/>
        </w:rPr>
        <w:t>□适用</w:t>
        <w:tab/>
      </w:r>
      <w:r>
        <w:rPr>
          <w:spacing w:val="-2"/>
        </w:rPr>
        <w:t>√不适用</w:t>
      </w:r>
    </w:p>
    <w:p>
      <w:pPr>
        <w:pStyle w:val="Heading2"/>
        <w:spacing w:line="240" w:lineRule="auto" w:before="50"/>
        <w:ind w:left="138" w:right="101"/>
        <w:jc w:val="left"/>
        <w:rPr>
          <w:b w:val="0"/>
          <w:bCs w:val="0"/>
        </w:rPr>
      </w:pPr>
      <w:r>
        <w:rPr/>
        <w:t>十五、</w:t>
      </w:r>
      <w:r>
        <w:rPr>
          <w:spacing w:val="-6"/>
        </w:rPr>
        <w:t> </w:t>
      </w:r>
      <w:r>
        <w:rPr/>
        <w:t>资产负债表日后事项</w:t>
      </w:r>
      <w:r>
        <w:rPr>
          <w:b w:val="0"/>
          <w:bCs w:val="0"/>
        </w:rPr>
      </w:r>
    </w:p>
    <w:p>
      <w:pPr>
        <w:pStyle w:val="Heading2"/>
        <w:spacing w:line="240" w:lineRule="auto" w:before="58"/>
        <w:ind w:left="138" w:right="101"/>
        <w:jc w:val="left"/>
        <w:rPr>
          <w:b w:val="0"/>
          <w:bCs w:val="0"/>
        </w:rPr>
      </w:pPr>
      <w:r>
        <w:rPr>
          <w:rFonts w:ascii="Calibri" w:hAnsi="Calibri" w:cs="Calibri" w:eastAsia="Calibri" w:hint="default"/>
        </w:rPr>
        <w:t>1</w:t>
      </w:r>
      <w:r>
        <w:rPr/>
        <w:t>、</w:t>
      </w:r>
      <w:r>
        <w:rPr>
          <w:spacing w:val="-62"/>
        </w:rPr>
        <w:t> </w:t>
      </w:r>
      <w:r>
        <w:rPr/>
        <w:t>重要的非调整事项</w:t>
      </w:r>
      <w:r>
        <w:rPr>
          <w:b w:val="0"/>
          <w:bCs w:val="0"/>
        </w:rPr>
      </w:r>
    </w:p>
    <w:p>
      <w:pPr>
        <w:pStyle w:val="BodyText"/>
        <w:spacing w:line="274" w:lineRule="exact" w:before="31"/>
        <w:ind w:left="138" w:right="101"/>
        <w:jc w:val="left"/>
      </w:pPr>
      <w:r>
        <w:rPr/>
        <w:t>□适用</w:t>
      </w:r>
      <w:r>
        <w:rPr>
          <w:spacing w:val="-1"/>
        </w:rPr>
        <w:t> </w:t>
      </w:r>
      <w:r>
        <w:rPr/>
        <w:t>√不适用</w:t>
      </w:r>
    </w:p>
    <w:p>
      <w:pPr>
        <w:pStyle w:val="BodyText"/>
        <w:spacing w:line="273" w:lineRule="auto"/>
        <w:ind w:left="138" w:right="210" w:firstLine="419"/>
        <w:jc w:val="both"/>
      </w:pPr>
      <w:r>
        <w:rPr>
          <w:rFonts w:ascii="宋体" w:hAnsi="宋体" w:cs="宋体" w:eastAsia="宋体" w:hint="default"/>
        </w:rPr>
        <w:t>1</w:t>
      </w:r>
      <w:r>
        <w:rPr/>
        <w:t>、根据本公司第六届董事会</w:t>
      </w:r>
      <w:r>
        <w:rPr>
          <w:spacing w:val="-56"/>
        </w:rPr>
        <w:t> </w:t>
      </w:r>
      <w:r>
        <w:rPr>
          <w:rFonts w:ascii="宋体" w:hAnsi="宋体" w:cs="宋体" w:eastAsia="宋体" w:hint="default"/>
        </w:rPr>
        <w:t>2018</w:t>
      </w:r>
      <w:r>
        <w:rPr>
          <w:rFonts w:ascii="宋体" w:hAnsi="宋体" w:cs="宋体" w:eastAsia="宋体" w:hint="default"/>
          <w:spacing w:val="-57"/>
        </w:rPr>
        <w:t> </w:t>
      </w:r>
      <w:r>
        <w:rPr/>
        <w:t>年第二次会议决议，本公司拟通过受让股份和增资的方式</w:t>
      </w:r>
      <w:r>
        <w:rPr>
          <w:w w:val="100"/>
        </w:rPr>
        <w:t> </w:t>
      </w:r>
      <w:r>
        <w:rPr/>
        <w:t>出资</w:t>
      </w:r>
      <w:r>
        <w:rPr>
          <w:spacing w:val="-35"/>
        </w:rPr>
        <w:t> </w:t>
      </w:r>
      <w:r>
        <w:rPr>
          <w:rFonts w:ascii="宋体" w:hAnsi="宋体" w:cs="宋体" w:eastAsia="宋体" w:hint="default"/>
        </w:rPr>
        <w:t>122,292,467</w:t>
      </w:r>
      <w:r>
        <w:rPr>
          <w:rFonts w:ascii="宋体" w:hAnsi="宋体" w:cs="宋体" w:eastAsia="宋体" w:hint="default"/>
          <w:spacing w:val="-35"/>
        </w:rPr>
        <w:t> </w:t>
      </w:r>
      <w:r>
        <w:rPr>
          <w:spacing w:val="-3"/>
        </w:rPr>
        <w:t>元取得优品财富管理股份有限公司（以下简称“优品财富”）</w:t>
      </w:r>
      <w:r>
        <w:rPr>
          <w:rFonts w:ascii="宋体" w:hAnsi="宋体" w:cs="宋体" w:eastAsia="宋体" w:hint="default"/>
          <w:spacing w:val="-3"/>
        </w:rPr>
        <w:t>35,845,649</w:t>
      </w:r>
      <w:r>
        <w:rPr>
          <w:rFonts w:ascii="宋体" w:hAnsi="宋体" w:cs="宋体" w:eastAsia="宋体" w:hint="default"/>
          <w:spacing w:val="-35"/>
        </w:rPr>
        <w:t> </w:t>
      </w:r>
      <w:r>
        <w:rPr>
          <w:spacing w:val="-3"/>
        </w:rPr>
        <w:t>股股</w:t>
      </w:r>
      <w:r>
        <w:rPr>
          <w:spacing w:val="-97"/>
        </w:rPr>
        <w:t> </w:t>
      </w:r>
      <w:r>
        <w:rPr/>
        <w:t>份，持股比例不低于</w:t>
      </w:r>
      <w:r>
        <w:rPr>
          <w:spacing w:val="-54"/>
        </w:rPr>
        <w:t> </w:t>
      </w:r>
      <w:r>
        <w:rPr>
          <w:rFonts w:ascii="宋体" w:hAnsi="宋体" w:cs="宋体" w:eastAsia="宋体" w:hint="default"/>
        </w:rPr>
        <w:t>20%</w:t>
      </w:r>
      <w:r>
        <w:rPr/>
        <w:t>。具体交易方案为：本公司出资</w:t>
      </w:r>
      <w:r>
        <w:rPr>
          <w:spacing w:val="-54"/>
        </w:rPr>
        <w:t> </w:t>
      </w:r>
      <w:r>
        <w:rPr>
          <w:rFonts w:ascii="宋体" w:hAnsi="宋体" w:cs="宋体" w:eastAsia="宋体" w:hint="default"/>
        </w:rPr>
        <w:t>5,400</w:t>
      </w:r>
      <w:r>
        <w:rPr>
          <w:rFonts w:ascii="宋体" w:hAnsi="宋体" w:cs="宋体" w:eastAsia="宋体" w:hint="default"/>
          <w:spacing w:val="-54"/>
        </w:rPr>
        <w:t> </w:t>
      </w:r>
      <w:r>
        <w:rPr/>
        <w:t>万元受让上海启朵投资管理有限</w:t>
      </w:r>
      <w:r>
        <w:rPr>
          <w:w w:val="100"/>
        </w:rPr>
        <w:t> </w:t>
      </w:r>
      <w:r>
        <w:rPr/>
        <w:t>公司（以下简称“上海启朵”）持有的优品财富</w:t>
      </w:r>
      <w:r>
        <w:rPr>
          <w:spacing w:val="-55"/>
        </w:rPr>
        <w:t> </w:t>
      </w:r>
      <w:r>
        <w:rPr>
          <w:rFonts w:ascii="宋体" w:hAnsi="宋体" w:cs="宋体" w:eastAsia="宋体" w:hint="default"/>
        </w:rPr>
        <w:t>1,836</w:t>
      </w:r>
      <w:r>
        <w:rPr>
          <w:rFonts w:ascii="宋体" w:hAnsi="宋体" w:cs="宋体" w:eastAsia="宋体" w:hint="default"/>
          <w:spacing w:val="-54"/>
        </w:rPr>
        <w:t> </w:t>
      </w:r>
      <w:r>
        <w:rPr/>
        <w:t>万股股份，受让股份比例</w:t>
      </w:r>
      <w:r>
        <w:rPr>
          <w:spacing w:val="-54"/>
        </w:rPr>
        <w:t> </w:t>
      </w:r>
      <w:r>
        <w:rPr>
          <w:rFonts w:ascii="宋体" w:hAnsi="宋体" w:cs="宋体" w:eastAsia="宋体" w:hint="default"/>
        </w:rPr>
        <w:t>12%</w:t>
      </w:r>
      <w:r>
        <w:rPr/>
        <w:t>；公司出资</w:t>
      </w:r>
      <w:r>
        <w:rPr>
          <w:w w:val="100"/>
        </w:rPr>
        <w:t> </w:t>
      </w:r>
      <w:r>
        <w:rPr>
          <w:rFonts w:ascii="宋体" w:hAnsi="宋体" w:cs="宋体" w:eastAsia="宋体" w:hint="default"/>
        </w:rPr>
        <w:t>68,292,467</w:t>
      </w:r>
      <w:r>
        <w:rPr>
          <w:rFonts w:ascii="宋体" w:hAnsi="宋体" w:cs="宋体" w:eastAsia="宋体" w:hint="default"/>
          <w:spacing w:val="-56"/>
        </w:rPr>
        <w:t> </w:t>
      </w:r>
      <w:r>
        <w:rPr/>
        <w:t>元认购优品财富新发行的</w:t>
      </w:r>
      <w:r>
        <w:rPr>
          <w:spacing w:val="-56"/>
        </w:rPr>
        <w:t> </w:t>
      </w:r>
      <w:r>
        <w:rPr>
          <w:rFonts w:ascii="宋体" w:hAnsi="宋体" w:cs="宋体" w:eastAsia="宋体" w:hint="default"/>
        </w:rPr>
        <w:t>17,485,649</w:t>
      </w:r>
      <w:r>
        <w:rPr>
          <w:rFonts w:ascii="宋体" w:hAnsi="宋体" w:cs="宋体" w:eastAsia="宋体" w:hint="default"/>
          <w:spacing w:val="-58"/>
        </w:rPr>
        <w:t> </w:t>
      </w:r>
      <w:r>
        <w:rPr/>
        <w:t>股股份；根据上述交易方案，最终公司以</w:t>
      </w:r>
    </w:p>
    <w:p>
      <w:pPr>
        <w:pStyle w:val="BodyText"/>
        <w:spacing w:line="240" w:lineRule="auto" w:before="7"/>
        <w:ind w:left="138" w:right="101"/>
        <w:jc w:val="left"/>
      </w:pPr>
      <w:r>
        <w:rPr>
          <w:rFonts w:ascii="宋体" w:hAnsi="宋体" w:cs="宋体" w:eastAsia="宋体" w:hint="default"/>
        </w:rPr>
        <w:t>122,292,467</w:t>
      </w:r>
      <w:r>
        <w:rPr>
          <w:rFonts w:ascii="宋体" w:hAnsi="宋体" w:cs="宋体" w:eastAsia="宋体" w:hint="default"/>
          <w:spacing w:val="-55"/>
        </w:rPr>
        <w:t> </w:t>
      </w:r>
      <w:r>
        <w:rPr/>
        <w:t>元取得优品财富</w:t>
      </w:r>
      <w:r>
        <w:rPr>
          <w:spacing w:val="-54"/>
        </w:rPr>
        <w:t> </w:t>
      </w:r>
      <w:r>
        <w:rPr>
          <w:rFonts w:ascii="宋体" w:hAnsi="宋体" w:cs="宋体" w:eastAsia="宋体" w:hint="default"/>
        </w:rPr>
        <w:t>35,845,649</w:t>
      </w:r>
      <w:r>
        <w:rPr>
          <w:rFonts w:ascii="宋体" w:hAnsi="宋体" w:cs="宋体" w:eastAsia="宋体" w:hint="default"/>
          <w:spacing w:val="-55"/>
        </w:rPr>
        <w:t> </w:t>
      </w:r>
      <w:r>
        <w:rPr/>
        <w:t>股股份，持股比例不低于</w:t>
      </w:r>
      <w:r>
        <w:rPr>
          <w:spacing w:val="-55"/>
        </w:rPr>
        <w:t> </w:t>
      </w:r>
      <w:r>
        <w:rPr>
          <w:rFonts w:ascii="宋体" w:hAnsi="宋体" w:cs="宋体" w:eastAsia="宋体" w:hint="default"/>
        </w:rPr>
        <w:t>20%</w:t>
      </w:r>
      <w:r>
        <w:rPr/>
        <w:t>。</w:t>
      </w:r>
    </w:p>
    <w:p>
      <w:pPr>
        <w:pStyle w:val="BodyText"/>
        <w:spacing w:line="273" w:lineRule="auto" w:before="39"/>
        <w:ind w:left="138" w:right="207" w:firstLine="419"/>
        <w:jc w:val="both"/>
      </w:pPr>
      <w:r>
        <w:rPr>
          <w:rFonts w:ascii="宋体" w:hAnsi="宋体" w:cs="宋体" w:eastAsia="宋体" w:hint="default"/>
        </w:rPr>
        <w:t>2</w:t>
      </w:r>
      <w:r>
        <w:rPr/>
        <w:t>、根据本公司第六届董事会</w:t>
      </w:r>
      <w:r>
        <w:rPr>
          <w:spacing w:val="-57"/>
        </w:rPr>
        <w:t> </w:t>
      </w:r>
      <w:r>
        <w:rPr>
          <w:rFonts w:ascii="宋体" w:hAnsi="宋体" w:cs="宋体" w:eastAsia="宋体" w:hint="default"/>
        </w:rPr>
        <w:t>2018</w:t>
      </w:r>
      <w:r>
        <w:rPr>
          <w:rFonts w:ascii="宋体" w:hAnsi="宋体" w:cs="宋体" w:eastAsia="宋体" w:hint="default"/>
          <w:spacing w:val="-57"/>
        </w:rPr>
        <w:t> </w:t>
      </w:r>
      <w:r>
        <w:rPr/>
        <w:t>年第三次会议决议，本公司拟与西藏金网亿创业投资管理</w:t>
      </w:r>
      <w:r>
        <w:rPr>
          <w:w w:val="100"/>
        </w:rPr>
        <w:t> </w:t>
      </w:r>
      <w:r>
        <w:rPr>
          <w:spacing w:val="-2"/>
        </w:rPr>
        <w:t>有限公司（以下简称“金网亿”）、深圳市合生创利投资管理中心（有限合伙）（以下简称“合</w:t>
      </w:r>
      <w:r>
        <w:rPr>
          <w:spacing w:val="-25"/>
        </w:rPr>
        <w:t> </w:t>
      </w:r>
      <w:r>
        <w:rPr>
          <w:spacing w:val="-25"/>
        </w:rPr>
      </w:r>
      <w:r>
        <w:rPr>
          <w:spacing w:val="-2"/>
        </w:rPr>
        <w:t>生创利”）、深圳市齐普生科技股份有限公司（以下简称“齐普生公司”）共同签订《深圳市齐</w:t>
      </w:r>
      <w:r>
        <w:rPr>
          <w:spacing w:val="-25"/>
        </w:rPr>
        <w:t> </w:t>
      </w:r>
      <w:r>
        <w:rPr>
          <w:spacing w:val="-25"/>
        </w:rPr>
      </w:r>
      <w:r>
        <w:rPr>
          <w:spacing w:val="-6"/>
        </w:rPr>
        <w:t>普生科技股份有限公司股份转让协议》，拟分别以</w:t>
      </w:r>
      <w:r>
        <w:rPr>
          <w:spacing w:val="-45"/>
        </w:rPr>
        <w:t> </w:t>
      </w:r>
      <w:r>
        <w:rPr>
          <w:rFonts w:ascii="宋体" w:hAnsi="宋体" w:cs="宋体" w:eastAsia="宋体" w:hint="default"/>
        </w:rPr>
        <w:t>23,724.00</w:t>
      </w:r>
      <w:r>
        <w:rPr>
          <w:rFonts w:ascii="宋体" w:hAnsi="宋体" w:cs="宋体" w:eastAsia="宋体" w:hint="default"/>
          <w:spacing w:val="-48"/>
        </w:rPr>
        <w:t> </w:t>
      </w:r>
      <w:r>
        <w:rPr/>
        <w:t>万元和</w:t>
      </w:r>
      <w:r>
        <w:rPr>
          <w:spacing w:val="-46"/>
        </w:rPr>
        <w:t> </w:t>
      </w:r>
      <w:r>
        <w:rPr>
          <w:rFonts w:ascii="宋体" w:hAnsi="宋体" w:cs="宋体" w:eastAsia="宋体" w:hint="default"/>
        </w:rPr>
        <w:t>5,580.46</w:t>
      </w:r>
      <w:r>
        <w:rPr>
          <w:rFonts w:ascii="宋体" w:hAnsi="宋体" w:cs="宋体" w:eastAsia="宋体" w:hint="default"/>
          <w:spacing w:val="-45"/>
        </w:rPr>
        <w:t> </w:t>
      </w:r>
      <w:r>
        <w:rPr/>
        <w:t>万元收购金网亿持</w:t>
      </w:r>
      <w:r>
        <w:rPr>
          <w:spacing w:val="-103"/>
        </w:rPr>
        <w:t> </w:t>
      </w:r>
      <w:r>
        <w:rPr>
          <w:spacing w:val="-103"/>
        </w:rPr>
      </w:r>
      <w:r>
        <w:rPr/>
        <w:t>有的齐普生公司</w:t>
      </w:r>
      <w:r>
        <w:rPr>
          <w:spacing w:val="-35"/>
        </w:rPr>
        <w:t> </w:t>
      </w:r>
      <w:r>
        <w:rPr>
          <w:rFonts w:ascii="宋体" w:hAnsi="宋体" w:cs="宋体" w:eastAsia="宋体" w:hint="default"/>
        </w:rPr>
        <w:t>5,414.4</w:t>
      </w:r>
      <w:r>
        <w:rPr>
          <w:rFonts w:ascii="宋体" w:hAnsi="宋体" w:cs="宋体" w:eastAsia="宋体" w:hint="default"/>
          <w:spacing w:val="-37"/>
        </w:rPr>
        <w:t> </w:t>
      </w:r>
      <w:r>
        <w:rPr>
          <w:spacing w:val="-3"/>
        </w:rPr>
        <w:t>万股股份（占齐普生公司总股本的</w:t>
      </w:r>
      <w:r>
        <w:rPr>
          <w:spacing w:val="-35"/>
        </w:rPr>
        <w:t> </w:t>
      </w:r>
      <w:r>
        <w:rPr>
          <w:rFonts w:ascii="宋体" w:hAnsi="宋体" w:cs="宋体" w:eastAsia="宋体" w:hint="default"/>
          <w:spacing w:val="-3"/>
        </w:rPr>
        <w:t>42.30%</w:t>
      </w:r>
      <w:r>
        <w:rPr>
          <w:spacing w:val="-3"/>
        </w:rPr>
        <w:t>）及合生创利持有的齐普生公</w:t>
      </w:r>
    </w:p>
    <w:p>
      <w:pPr>
        <w:spacing w:after="0" w:line="273" w:lineRule="auto"/>
        <w:jc w:val="both"/>
        <w:sectPr>
          <w:footerReference w:type="default" r:id="rId148"/>
          <w:pgSz w:w="11910" w:h="16840"/>
          <w:pgMar w:footer="1195" w:header="882" w:top="1120" w:bottom="1380" w:left="1660" w:right="1060"/>
          <w:pgNumType w:start="161"/>
        </w:sectPr>
      </w:pPr>
    </w:p>
    <w:p>
      <w:pPr>
        <w:spacing w:line="240" w:lineRule="auto" w:before="1"/>
        <w:rPr>
          <w:rFonts w:ascii="宋体" w:hAnsi="宋体" w:cs="宋体" w:eastAsia="宋体" w:hint="default"/>
          <w:sz w:val="25"/>
          <w:szCs w:val="25"/>
        </w:rPr>
      </w:pPr>
    </w:p>
    <w:p>
      <w:pPr>
        <w:pStyle w:val="BodyText"/>
        <w:spacing w:line="273" w:lineRule="auto" w:before="36"/>
        <w:ind w:right="215"/>
        <w:jc w:val="left"/>
      </w:pPr>
      <w:r>
        <w:rPr/>
        <w:t>司</w:t>
      </w:r>
      <w:r>
        <w:rPr>
          <w:spacing w:val="-54"/>
        </w:rPr>
        <w:t> </w:t>
      </w:r>
      <w:r>
        <w:rPr>
          <w:rFonts w:ascii="宋体" w:hAnsi="宋体" w:cs="宋体" w:eastAsia="宋体" w:hint="default"/>
        </w:rPr>
        <w:t>1,273.6</w:t>
      </w:r>
      <w:r>
        <w:rPr>
          <w:rFonts w:ascii="宋体" w:hAnsi="宋体" w:cs="宋体" w:eastAsia="宋体" w:hint="default"/>
          <w:spacing w:val="-56"/>
        </w:rPr>
        <w:t> </w:t>
      </w:r>
      <w:r>
        <w:rPr/>
        <w:t>万股股份（占齐普生公司总股本的</w:t>
      </w:r>
      <w:r>
        <w:rPr>
          <w:spacing w:val="-54"/>
        </w:rPr>
        <w:t> </w:t>
      </w:r>
      <w:r>
        <w:rPr>
          <w:rFonts w:ascii="宋体" w:hAnsi="宋体" w:cs="宋体" w:eastAsia="宋体" w:hint="default"/>
        </w:rPr>
        <w:t>9.95%</w:t>
      </w:r>
      <w:r>
        <w:rPr/>
        <w:t>），本次交易于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日经第二次</w:t>
      </w:r>
      <w:r>
        <w:rPr>
          <w:w w:val="100"/>
        </w:rPr>
        <w:t> </w:t>
      </w:r>
      <w:r>
        <w:rPr/>
        <w:t>临时股东大会决议通过。</w:t>
      </w: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9"/>
        <w:jc w:val="left"/>
        <w:rPr>
          <w:b w:val="0"/>
          <w:bCs w:val="0"/>
        </w:rPr>
      </w:pPr>
      <w:r>
        <w:rPr>
          <w:rFonts w:ascii="Calibri" w:hAnsi="Calibri" w:cs="Calibri" w:eastAsia="Calibri" w:hint="default"/>
        </w:rPr>
        <w:t>2</w:t>
      </w:r>
      <w:r>
        <w:rPr/>
        <w:t>、</w:t>
      </w:r>
      <w:r>
        <w:rPr>
          <w:spacing w:val="-62"/>
        </w:rPr>
        <w:t> </w:t>
      </w:r>
      <w:r>
        <w:rPr/>
        <w:t>利润分配情况</w:t>
      </w:r>
      <w:r>
        <w:rPr>
          <w:b w:val="0"/>
          <w:bCs w:val="0"/>
        </w:rPr>
      </w:r>
    </w:p>
    <w:p>
      <w:pPr>
        <w:pStyle w:val="BodyText"/>
        <w:spacing w:line="240" w:lineRule="auto" w:before="33"/>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480" w:val="left" w:leader="none"/>
        </w:tabs>
        <w:spacing w:line="240" w:lineRule="auto" w:before="152"/>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088" w:space="4223"/>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2,644.95</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19"/>
        <w:ind w:right="215"/>
        <w:jc w:val="left"/>
        <w:rPr>
          <w:b w:val="0"/>
          <w:bCs w:val="0"/>
        </w:rPr>
      </w:pPr>
      <w:r>
        <w:rPr>
          <w:rFonts w:ascii="Calibri" w:hAnsi="Calibri" w:cs="Calibri" w:eastAsia="Calibri" w:hint="default"/>
        </w:rPr>
        <w:t>3</w:t>
      </w:r>
      <w:r>
        <w:rPr/>
        <w:t>、</w:t>
      </w:r>
      <w:r>
        <w:rPr>
          <w:spacing w:val="-58"/>
        </w:rPr>
        <w:t> </w:t>
      </w:r>
      <w:r>
        <w:rPr/>
        <w:t>销售退回</w:t>
      </w:r>
      <w:r>
        <w:rPr>
          <w:b w:val="0"/>
          <w:bCs w:val="0"/>
        </w:rPr>
      </w:r>
    </w:p>
    <w:p>
      <w:pPr>
        <w:pStyle w:val="BodyText"/>
        <w:spacing w:line="240" w:lineRule="auto" w:before="33"/>
        <w:ind w:right="215"/>
        <w:jc w:val="left"/>
      </w:pPr>
      <w:r>
        <w:rPr/>
        <w:t>□适用</w:t>
      </w:r>
      <w:r>
        <w:rPr>
          <w:spacing w:val="-1"/>
        </w:rPr>
        <w:t> </w:t>
      </w:r>
      <w:r>
        <w:rPr/>
        <w:t>√不适用</w:t>
      </w:r>
    </w:p>
    <w:p>
      <w:pPr>
        <w:pStyle w:val="Heading2"/>
        <w:spacing w:line="240" w:lineRule="auto" w:before="50"/>
        <w:ind w:right="215"/>
        <w:jc w:val="left"/>
        <w:rPr>
          <w:b w:val="0"/>
          <w:bCs w:val="0"/>
        </w:rPr>
      </w:pPr>
      <w:r>
        <w:rPr>
          <w:rFonts w:ascii="Calibri" w:hAnsi="Calibri" w:cs="Calibri" w:eastAsia="Calibri" w:hint="default"/>
        </w:rPr>
        <w:t>4</w:t>
      </w:r>
      <w:r>
        <w:rPr/>
        <w:t>、</w:t>
      </w:r>
      <w:r>
        <w:rPr>
          <w:spacing w:val="-63"/>
        </w:rPr>
        <w:t> </w:t>
      </w:r>
      <w:r>
        <w:rPr/>
        <w:t>其他资产负债表日后事项说明</w:t>
      </w:r>
      <w:r>
        <w:rPr>
          <w:b w:val="0"/>
          <w:bCs w:val="0"/>
        </w:rPr>
      </w:r>
    </w:p>
    <w:p>
      <w:pPr>
        <w:tabs>
          <w:tab w:pos="1057" w:val="left" w:leader="none"/>
        </w:tabs>
        <w:spacing w:line="283" w:lineRule="auto" w:before="33"/>
        <w:ind w:left="218" w:right="6715" w:firstLine="0"/>
        <w:jc w:val="left"/>
        <w:rPr>
          <w:rFonts w:ascii="宋体" w:hAnsi="宋体" w:cs="宋体" w:eastAsia="宋体" w:hint="default"/>
          <w:sz w:val="24"/>
          <w:szCs w:val="24"/>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4"/>
          <w:szCs w:val="24"/>
        </w:rPr>
        <w:t>十六、</w:t>
      </w:r>
      <w:r>
        <w:rPr>
          <w:rFonts w:ascii="宋体" w:hAnsi="宋体" w:cs="宋体" w:eastAsia="宋体" w:hint="default"/>
          <w:b/>
          <w:bCs/>
          <w:spacing w:val="-6"/>
          <w:sz w:val="24"/>
          <w:szCs w:val="24"/>
        </w:rPr>
        <w:t> </w:t>
      </w:r>
      <w:r>
        <w:rPr>
          <w:rFonts w:ascii="宋体" w:hAnsi="宋体" w:cs="宋体" w:eastAsia="宋体" w:hint="default"/>
          <w:b/>
          <w:bCs/>
          <w:sz w:val="24"/>
          <w:szCs w:val="24"/>
        </w:rPr>
        <w:t>其他重要事项</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1"/>
          <w:sz w:val="24"/>
          <w:szCs w:val="24"/>
        </w:rPr>
        <w:t> </w:t>
      </w:r>
      <w:r>
        <w:rPr>
          <w:rFonts w:ascii="宋体" w:hAnsi="宋体" w:cs="宋体" w:eastAsia="宋体" w:hint="default"/>
          <w:b/>
          <w:bCs/>
          <w:sz w:val="24"/>
          <w:szCs w:val="24"/>
        </w:rPr>
        <w:t>前期会计差错更正</w:t>
      </w:r>
      <w:r>
        <w:rPr>
          <w:rFonts w:ascii="宋体" w:hAnsi="宋体" w:cs="宋体" w:eastAsia="宋体" w:hint="default"/>
          <w:b/>
          <w:bCs/>
          <w:w w:val="99"/>
          <w:sz w:val="24"/>
          <w:szCs w:val="24"/>
        </w:rPr>
        <w:t> </w:t>
      </w:r>
      <w:r>
        <w:rPr>
          <w:rFonts w:ascii="宋体" w:hAnsi="宋体" w:cs="宋体" w:eastAsia="宋体" w:hint="default"/>
          <w:b/>
          <w:bCs/>
          <w:sz w:val="24"/>
          <w:szCs w:val="24"/>
        </w:rPr>
        <w:t>(1).</w:t>
        <w:tab/>
      </w:r>
      <w:r>
        <w:rPr>
          <w:rFonts w:ascii="宋体" w:hAnsi="宋体" w:cs="宋体" w:eastAsia="宋体" w:hint="default"/>
          <w:b/>
          <w:bCs/>
          <w:sz w:val="24"/>
          <w:szCs w:val="24"/>
        </w:rPr>
        <w:t>追溯重述法</w:t>
      </w:r>
      <w:r>
        <w:rPr>
          <w:rFonts w:ascii="宋体" w:hAnsi="宋体" w:cs="宋体" w:eastAsia="宋体" w:hint="default"/>
          <w:sz w:val="24"/>
          <w:szCs w:val="24"/>
        </w:rPr>
      </w:r>
    </w:p>
    <w:p>
      <w:pPr>
        <w:pStyle w:val="BodyText"/>
        <w:spacing w:line="240" w:lineRule="auto" w:before="18"/>
        <w:ind w:right="215"/>
        <w:jc w:val="left"/>
      </w:pPr>
      <w:r>
        <w:rPr/>
        <w:t>□适用</w:t>
      </w:r>
      <w:r>
        <w:rPr>
          <w:spacing w:val="-1"/>
        </w:rPr>
        <w:t> </w:t>
      </w:r>
      <w:r>
        <w:rPr/>
        <w:t>√不适用</w:t>
      </w:r>
    </w:p>
    <w:p>
      <w:pPr>
        <w:pStyle w:val="Heading2"/>
        <w:tabs>
          <w:tab w:pos="1057" w:val="left" w:leader="none"/>
        </w:tabs>
        <w:spacing w:line="240" w:lineRule="auto" w:before="52"/>
        <w:ind w:right="215"/>
        <w:jc w:val="left"/>
        <w:rPr>
          <w:b w:val="0"/>
          <w:bCs w:val="0"/>
        </w:rPr>
      </w:pPr>
      <w:r>
        <w:rPr>
          <w:rFonts w:ascii="宋体" w:hAnsi="宋体" w:cs="宋体" w:eastAsia="宋体" w:hint="default"/>
        </w:rPr>
        <w:t>(2).</w:t>
        <w:tab/>
      </w:r>
      <w:r>
        <w:rPr/>
        <w:t>未来适用法</w:t>
      </w:r>
      <w:r>
        <w:rPr>
          <w:b w:val="0"/>
          <w:bCs w:val="0"/>
        </w:rPr>
      </w:r>
    </w:p>
    <w:p>
      <w:pPr>
        <w:pStyle w:val="BodyText"/>
        <w:spacing w:line="240" w:lineRule="auto" w:before="64"/>
        <w:ind w:right="215"/>
        <w:jc w:val="left"/>
      </w:pPr>
      <w:r>
        <w:rPr/>
        <w:t>□适用</w:t>
      </w:r>
      <w:r>
        <w:rPr>
          <w:spacing w:val="-1"/>
        </w:rPr>
        <w:t> </w:t>
      </w:r>
      <w:r>
        <w:rPr/>
        <w:t>√不适用</w:t>
      </w:r>
    </w:p>
    <w:p>
      <w:pPr>
        <w:pStyle w:val="Heading2"/>
        <w:spacing w:line="240" w:lineRule="auto" w:before="50"/>
        <w:ind w:right="215"/>
        <w:jc w:val="left"/>
        <w:rPr>
          <w:b w:val="0"/>
          <w:bCs w:val="0"/>
        </w:rPr>
      </w:pPr>
      <w:r>
        <w:rPr>
          <w:rFonts w:ascii="宋体" w:hAnsi="宋体" w:cs="宋体" w:eastAsia="宋体" w:hint="default"/>
        </w:rPr>
        <w:t>2</w:t>
      </w:r>
      <w:r>
        <w:rPr/>
        <w:t>、</w:t>
      </w:r>
      <w:r>
        <w:rPr>
          <w:spacing w:val="-59"/>
        </w:rPr>
        <w:t> </w:t>
      </w:r>
      <w:r>
        <w:rPr/>
        <w:t>债务重组</w:t>
      </w:r>
      <w:r>
        <w:rPr>
          <w:b w:val="0"/>
          <w:bCs w:val="0"/>
        </w:rPr>
      </w:r>
    </w:p>
    <w:p>
      <w:pPr>
        <w:pStyle w:val="BodyText"/>
        <w:spacing w:line="240" w:lineRule="auto" w:before="64"/>
        <w:ind w:right="215"/>
        <w:jc w:val="left"/>
      </w:pPr>
      <w:r>
        <w:rPr/>
        <w:t>□适用</w:t>
      </w:r>
      <w:r>
        <w:rPr>
          <w:spacing w:val="-1"/>
        </w:rPr>
        <w:t> </w:t>
      </w:r>
      <w:r>
        <w:rPr/>
        <w:t>√不适用</w:t>
      </w:r>
    </w:p>
    <w:p>
      <w:pPr>
        <w:pStyle w:val="Heading2"/>
        <w:spacing w:line="240" w:lineRule="auto" w:before="50"/>
        <w:ind w:right="215"/>
        <w:jc w:val="left"/>
        <w:rPr>
          <w:b w:val="0"/>
          <w:bCs w:val="0"/>
        </w:rPr>
      </w:pPr>
      <w:r>
        <w:rPr>
          <w:rFonts w:ascii="宋体" w:hAnsi="宋体" w:cs="宋体" w:eastAsia="宋体" w:hint="default"/>
        </w:rPr>
        <w:t>3</w:t>
      </w:r>
      <w:r>
        <w:rPr/>
        <w:t>、</w:t>
      </w:r>
      <w:r>
        <w:rPr>
          <w:spacing w:val="-59"/>
        </w:rPr>
        <w:t> </w:t>
      </w:r>
      <w:r>
        <w:rPr/>
        <w:t>资产置换</w:t>
      </w:r>
      <w:r>
        <w:rPr>
          <w:b w:val="0"/>
          <w:bCs w:val="0"/>
        </w:rPr>
      </w:r>
    </w:p>
    <w:p>
      <w:pPr>
        <w:pStyle w:val="Heading2"/>
        <w:spacing w:line="240" w:lineRule="auto" w:before="58"/>
        <w:ind w:right="215"/>
        <w:jc w:val="left"/>
        <w:rPr>
          <w:b w:val="0"/>
          <w:bCs w:val="0"/>
        </w:rPr>
      </w:pPr>
      <w:r>
        <w:rPr>
          <w:rFonts w:ascii="宋体" w:hAnsi="宋体" w:cs="宋体" w:eastAsia="宋体" w:hint="default"/>
        </w:rPr>
        <w:t>(1).</w:t>
      </w:r>
      <w:r>
        <w:rPr>
          <w:rFonts w:ascii="宋体" w:hAnsi="宋体" w:cs="宋体" w:eastAsia="宋体" w:hint="default"/>
          <w:spacing w:val="35"/>
        </w:rPr>
        <w:t> </w:t>
      </w:r>
      <w:r>
        <w:rPr/>
        <w:t>非货币性资产交换</w:t>
      </w:r>
      <w:r>
        <w:rPr>
          <w:b w:val="0"/>
          <w:bCs w:val="0"/>
        </w:rPr>
      </w:r>
    </w:p>
    <w:p>
      <w:pPr>
        <w:pStyle w:val="BodyText"/>
        <w:tabs>
          <w:tab w:pos="1060" w:val="left" w:leader="none"/>
        </w:tabs>
        <w:spacing w:line="240" w:lineRule="auto" w:before="141"/>
        <w:ind w:right="215"/>
        <w:jc w:val="left"/>
      </w:pPr>
      <w:r>
        <w:rPr>
          <w:spacing w:val="-1"/>
        </w:rPr>
        <w:t>□适用</w:t>
        <w:tab/>
      </w:r>
      <w:r>
        <w:rPr>
          <w:spacing w:val="-2"/>
        </w:rPr>
        <w:t>√不适用</w:t>
      </w:r>
    </w:p>
    <w:p>
      <w:pPr>
        <w:pStyle w:val="Heading2"/>
        <w:spacing w:line="240" w:lineRule="auto" w:before="62"/>
        <w:ind w:right="215"/>
        <w:jc w:val="left"/>
        <w:rPr>
          <w:b w:val="0"/>
          <w:bCs w:val="0"/>
        </w:rPr>
      </w:pPr>
      <w:r>
        <w:rPr>
          <w:rFonts w:ascii="宋体" w:hAnsi="宋体" w:cs="宋体" w:eastAsia="宋体" w:hint="default"/>
        </w:rPr>
        <w:t>(2).</w:t>
      </w:r>
      <w:r>
        <w:rPr>
          <w:rFonts w:ascii="宋体" w:hAnsi="宋体" w:cs="宋体" w:eastAsia="宋体" w:hint="default"/>
          <w:spacing w:val="35"/>
        </w:rPr>
        <w:t> </w:t>
      </w:r>
      <w:r>
        <w:rPr/>
        <w:t>其他资产置换</w:t>
      </w:r>
      <w:r>
        <w:rPr>
          <w:b w:val="0"/>
          <w:bCs w:val="0"/>
        </w:rPr>
      </w:r>
    </w:p>
    <w:p>
      <w:pPr>
        <w:pStyle w:val="BodyText"/>
        <w:tabs>
          <w:tab w:pos="1060" w:val="left" w:leader="none"/>
        </w:tabs>
        <w:spacing w:line="240" w:lineRule="auto" w:before="61"/>
        <w:ind w:right="215"/>
        <w:jc w:val="left"/>
      </w:pPr>
      <w:r>
        <w:rPr>
          <w:spacing w:val="-1"/>
        </w:rPr>
        <w:t>□适用</w:t>
        <w:tab/>
      </w:r>
      <w:r>
        <w:rPr>
          <w:spacing w:val="-2"/>
        </w:rPr>
        <w:t>√不适用</w:t>
      </w:r>
    </w:p>
    <w:p>
      <w:pPr>
        <w:pStyle w:val="Heading2"/>
        <w:spacing w:line="240" w:lineRule="auto" w:before="52"/>
        <w:ind w:right="215"/>
        <w:jc w:val="left"/>
        <w:rPr>
          <w:b w:val="0"/>
          <w:bCs w:val="0"/>
        </w:rPr>
      </w:pPr>
      <w:r>
        <w:rPr>
          <w:rFonts w:ascii="宋体" w:hAnsi="宋体" w:cs="宋体" w:eastAsia="宋体" w:hint="default"/>
        </w:rPr>
        <w:t>4</w:t>
      </w:r>
      <w:r>
        <w:rPr/>
        <w:t>、</w:t>
      </w:r>
      <w:r>
        <w:rPr>
          <w:spacing w:val="-59"/>
        </w:rPr>
        <w:t> </w:t>
      </w:r>
      <w:r>
        <w:rPr/>
        <w:t>年金计划</w:t>
      </w:r>
      <w:r>
        <w:rPr>
          <w:b w:val="0"/>
          <w:bCs w:val="0"/>
        </w:rPr>
      </w:r>
    </w:p>
    <w:p>
      <w:pPr>
        <w:pStyle w:val="BodyText"/>
        <w:spacing w:line="240" w:lineRule="auto" w:before="61"/>
        <w:ind w:right="215"/>
        <w:jc w:val="left"/>
      </w:pPr>
      <w:r>
        <w:rPr/>
        <w:t>□适用</w:t>
      </w:r>
      <w:r>
        <w:rPr>
          <w:spacing w:val="-1"/>
        </w:rPr>
        <w:t> </w:t>
      </w:r>
      <w:r>
        <w:rPr/>
        <w:t>√不适用</w:t>
      </w:r>
    </w:p>
    <w:p>
      <w:pPr>
        <w:pStyle w:val="Heading2"/>
        <w:spacing w:line="240" w:lineRule="auto" w:before="52"/>
        <w:ind w:right="215"/>
        <w:jc w:val="left"/>
        <w:rPr>
          <w:b w:val="0"/>
          <w:bCs w:val="0"/>
        </w:rPr>
      </w:pPr>
      <w:r>
        <w:rPr>
          <w:rFonts w:ascii="宋体" w:hAnsi="宋体" w:cs="宋体" w:eastAsia="宋体" w:hint="default"/>
        </w:rPr>
        <w:t>5</w:t>
      </w:r>
      <w:r>
        <w:rPr/>
        <w:t>、</w:t>
      </w:r>
      <w:r>
        <w:rPr>
          <w:spacing w:val="-59"/>
        </w:rPr>
        <w:t> </w:t>
      </w:r>
      <w:r>
        <w:rPr/>
        <w:t>终止经营</w:t>
      </w:r>
      <w:r>
        <w:rPr>
          <w:b w:val="0"/>
          <w:bCs w:val="0"/>
        </w:rPr>
      </w:r>
    </w:p>
    <w:p>
      <w:pPr>
        <w:pStyle w:val="BodyText"/>
        <w:spacing w:line="240" w:lineRule="auto" w:before="64"/>
        <w:ind w:right="215"/>
        <w:jc w:val="left"/>
      </w:pPr>
      <w:r>
        <w:rPr/>
        <w:t>□适用</w:t>
      </w:r>
      <w:r>
        <w:rPr>
          <w:spacing w:val="-1"/>
        </w:rPr>
        <w:t> </w:t>
      </w:r>
      <w:r>
        <w:rPr/>
        <w:t>√不适用</w:t>
      </w:r>
    </w:p>
    <w:p>
      <w:pPr>
        <w:pStyle w:val="Heading2"/>
        <w:spacing w:line="240" w:lineRule="auto" w:before="50"/>
        <w:ind w:right="215"/>
        <w:jc w:val="left"/>
        <w:rPr>
          <w:b w:val="0"/>
          <w:bCs w:val="0"/>
        </w:rPr>
      </w:pPr>
      <w:r>
        <w:rPr>
          <w:rFonts w:ascii="宋体" w:hAnsi="宋体" w:cs="宋体" w:eastAsia="宋体" w:hint="default"/>
        </w:rPr>
        <w:t>6</w:t>
      </w:r>
      <w:r>
        <w:rPr/>
        <w:t>、</w:t>
      </w:r>
      <w:r>
        <w:rPr>
          <w:spacing w:val="-59"/>
        </w:rPr>
        <w:t> </w:t>
      </w:r>
      <w:r>
        <w:rPr/>
        <w:t>分部信息</w:t>
      </w:r>
      <w:r>
        <w:rPr>
          <w:b w:val="0"/>
          <w:bCs w:val="0"/>
        </w:rPr>
      </w:r>
    </w:p>
    <w:p>
      <w:pPr>
        <w:pStyle w:val="Heading2"/>
        <w:spacing w:line="240" w:lineRule="auto" w:before="58"/>
        <w:ind w:right="215"/>
        <w:jc w:val="left"/>
        <w:rPr>
          <w:b w:val="0"/>
          <w:bCs w:val="0"/>
        </w:rPr>
      </w:pPr>
      <w:r>
        <w:rPr>
          <w:rFonts w:ascii="宋体" w:hAnsi="宋体" w:cs="宋体" w:eastAsia="宋体" w:hint="default"/>
        </w:rPr>
        <w:t>(1).</w:t>
      </w:r>
      <w:r>
        <w:rPr>
          <w:rFonts w:ascii="宋体" w:hAnsi="宋体" w:cs="宋体" w:eastAsia="宋体" w:hint="default"/>
          <w:spacing w:val="35"/>
        </w:rPr>
        <w:t> </w:t>
      </w:r>
      <w:r>
        <w:rPr/>
        <w:t>报告分部的确定依据与会计政策：</w:t>
      </w:r>
      <w:r>
        <w:rPr>
          <w:b w:val="0"/>
          <w:bCs w:val="0"/>
        </w:rPr>
      </w:r>
    </w:p>
    <w:p>
      <w:pPr>
        <w:pStyle w:val="BodyText"/>
        <w:tabs>
          <w:tab w:pos="1060" w:val="left" w:leader="none"/>
        </w:tabs>
        <w:spacing w:line="240" w:lineRule="auto" w:before="61"/>
        <w:ind w:right="215"/>
        <w:jc w:val="left"/>
      </w:pPr>
      <w:r>
        <w:rPr>
          <w:spacing w:val="-1"/>
        </w:rPr>
        <w:t>□适用</w:t>
        <w:tab/>
      </w:r>
      <w:r>
        <w:rPr>
          <w:spacing w:val="-2"/>
        </w:rPr>
        <w:t>√不适用</w:t>
      </w:r>
    </w:p>
    <w:p>
      <w:pPr>
        <w:pStyle w:val="Heading2"/>
        <w:spacing w:line="240" w:lineRule="auto" w:before="52"/>
        <w:ind w:right="215"/>
        <w:jc w:val="left"/>
        <w:rPr>
          <w:b w:val="0"/>
          <w:bCs w:val="0"/>
        </w:rPr>
      </w:pPr>
      <w:r>
        <w:rPr>
          <w:rFonts w:ascii="宋体" w:hAnsi="宋体" w:cs="宋体" w:eastAsia="宋体" w:hint="default"/>
        </w:rPr>
        <w:t>(2).</w:t>
      </w:r>
      <w:r>
        <w:rPr>
          <w:rFonts w:ascii="宋体" w:hAnsi="宋体" w:cs="宋体" w:eastAsia="宋体" w:hint="default"/>
          <w:spacing w:val="36"/>
        </w:rPr>
        <w:t> </w:t>
      </w:r>
      <w:r>
        <w:rPr/>
        <w:t>报告分部的财务信息</w:t>
      </w:r>
      <w:r>
        <w:rPr>
          <w:b w:val="0"/>
          <w:bCs w:val="0"/>
        </w:rPr>
      </w:r>
    </w:p>
    <w:p>
      <w:pPr>
        <w:pStyle w:val="Heading3"/>
        <w:tabs>
          <w:tab w:pos="1177" w:val="left" w:leader="none"/>
        </w:tabs>
        <w:spacing w:line="240" w:lineRule="auto" w:before="58"/>
        <w:ind w:right="215"/>
        <w:jc w:val="left"/>
      </w:pPr>
      <w:r>
        <w:rPr>
          <w:spacing w:val="-1"/>
        </w:rPr>
        <w:t>□适用</w:t>
        <w:tab/>
      </w:r>
      <w:r>
        <w:rPr/>
        <w:t>√不适用</w:t>
      </w:r>
    </w:p>
    <w:p>
      <w:pPr>
        <w:pStyle w:val="Heading2"/>
        <w:spacing w:line="312" w:lineRule="exact" w:before="86"/>
        <w:ind w:left="638" w:right="223" w:hanging="420"/>
        <w:jc w:val="left"/>
        <w:rPr>
          <w:b w:val="0"/>
          <w:bCs w:val="0"/>
        </w:rPr>
      </w:pPr>
      <w:r>
        <w:rPr>
          <w:rFonts w:ascii="宋体" w:hAnsi="宋体" w:cs="宋体" w:eastAsia="宋体" w:hint="default"/>
        </w:rPr>
        <w:t>(3).</w:t>
      </w:r>
      <w:r>
        <w:rPr>
          <w:rFonts w:ascii="宋体" w:hAnsi="宋体" w:cs="宋体" w:eastAsia="宋体" w:hint="default"/>
          <w:spacing w:val="28"/>
        </w:rPr>
        <w:t> </w:t>
      </w:r>
      <w:r>
        <w:rPr/>
        <w:t>公司无报告分部的，或者不能披露各报告分部的资产总额和负债总额的，应说</w:t>
      </w:r>
      <w:r>
        <w:rPr>
          <w:w w:val="99"/>
        </w:rPr>
        <w:t> </w:t>
      </w:r>
      <w:r>
        <w:rPr/>
        <w:t>明原因</w:t>
      </w:r>
      <w:r>
        <w:rPr>
          <w:b w:val="0"/>
          <w:bCs w:val="0"/>
        </w:rPr>
      </w:r>
    </w:p>
    <w:p>
      <w:pPr>
        <w:pStyle w:val="BodyText"/>
        <w:tabs>
          <w:tab w:pos="1060" w:val="left" w:leader="none"/>
        </w:tabs>
        <w:spacing w:line="240" w:lineRule="auto" w:before="35"/>
        <w:ind w:right="215"/>
        <w:jc w:val="left"/>
      </w:pPr>
      <w:r>
        <w:rPr>
          <w:spacing w:val="-1"/>
        </w:rPr>
        <w:t>□适用</w:t>
        <w:tab/>
      </w:r>
      <w:r>
        <w:rPr>
          <w:spacing w:val="-2"/>
        </w:rPr>
        <w:t>√不适用</w:t>
      </w:r>
    </w:p>
    <w:p>
      <w:pPr>
        <w:pStyle w:val="Heading2"/>
        <w:spacing w:line="240" w:lineRule="auto" w:before="50"/>
        <w:ind w:right="215"/>
        <w:jc w:val="left"/>
        <w:rPr>
          <w:b w:val="0"/>
          <w:bCs w:val="0"/>
        </w:rPr>
      </w:pPr>
      <w:r>
        <w:rPr>
          <w:rFonts w:ascii="宋体" w:hAnsi="宋体" w:cs="宋体" w:eastAsia="宋体" w:hint="default"/>
        </w:rPr>
        <w:t>(4).</w:t>
      </w:r>
      <w:r>
        <w:rPr>
          <w:rFonts w:ascii="宋体" w:hAnsi="宋体" w:cs="宋体" w:eastAsia="宋体" w:hint="default"/>
          <w:spacing w:val="36"/>
        </w:rPr>
        <w:t> </w:t>
      </w:r>
      <w:r>
        <w:rPr/>
        <w:t>其他说明：</w:t>
      </w:r>
      <w:r>
        <w:rPr>
          <w:b w:val="0"/>
          <w:bCs w:val="0"/>
        </w:rPr>
      </w:r>
    </w:p>
    <w:p>
      <w:pPr>
        <w:pStyle w:val="BodyText"/>
        <w:tabs>
          <w:tab w:pos="1060" w:val="left" w:leader="none"/>
        </w:tabs>
        <w:spacing w:line="240" w:lineRule="auto" w:before="64"/>
        <w:ind w:right="215"/>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ind w:left="138" w:right="101"/>
        <w:jc w:val="left"/>
        <w:rPr>
          <w:b w:val="0"/>
          <w:bCs w:val="0"/>
        </w:rPr>
      </w:pPr>
      <w:r>
        <w:rPr>
          <w:rFonts w:ascii="宋体" w:hAnsi="宋体" w:cs="宋体" w:eastAsia="宋体" w:hint="default"/>
        </w:rPr>
        <w:t>7</w:t>
      </w:r>
      <w:r>
        <w:rPr/>
        <w:t>、</w:t>
      </w:r>
      <w:r>
        <w:rPr>
          <w:spacing w:val="-61"/>
        </w:rPr>
        <w:t> </w:t>
      </w:r>
      <w:r>
        <w:rPr/>
        <w:t>其他对投资者决策有影响的重要交易和事项</w:t>
      </w:r>
      <w:r>
        <w:rPr>
          <w:b w:val="0"/>
          <w:bCs w:val="0"/>
        </w:rPr>
      </w:r>
    </w:p>
    <w:p>
      <w:pPr>
        <w:pStyle w:val="BodyText"/>
        <w:tabs>
          <w:tab w:pos="980" w:val="left" w:leader="none"/>
        </w:tabs>
        <w:spacing w:line="240" w:lineRule="auto" w:before="141"/>
        <w:ind w:left="138" w:right="101"/>
        <w:jc w:val="left"/>
      </w:pPr>
      <w:r>
        <w:rPr>
          <w:spacing w:val="-1"/>
        </w:rPr>
        <w:t>□适用</w:t>
        <w:tab/>
      </w:r>
      <w:r>
        <w:rPr>
          <w:spacing w:val="-2"/>
        </w:rPr>
        <w:t>√不适用</w:t>
      </w:r>
    </w:p>
    <w:p>
      <w:pPr>
        <w:pStyle w:val="Heading2"/>
        <w:spacing w:line="240" w:lineRule="auto" w:before="62"/>
        <w:ind w:left="138" w:right="101"/>
        <w:jc w:val="left"/>
        <w:rPr>
          <w:b w:val="0"/>
          <w:bCs w:val="0"/>
        </w:rPr>
      </w:pPr>
      <w:r>
        <w:rPr>
          <w:rFonts w:ascii="宋体" w:hAnsi="宋体" w:cs="宋体" w:eastAsia="宋体" w:hint="default"/>
        </w:rPr>
        <w:t>8</w:t>
      </w:r>
      <w:r>
        <w:rPr/>
        <w:t>、</w:t>
      </w:r>
      <w:r>
        <w:rPr>
          <w:spacing w:val="-57"/>
        </w:rPr>
        <w:t> </w:t>
      </w:r>
      <w:r>
        <w:rPr/>
        <w:t>其他</w:t>
      </w:r>
      <w:r>
        <w:rPr>
          <w:b w:val="0"/>
          <w:bCs w:val="0"/>
        </w:rPr>
      </w:r>
    </w:p>
    <w:p>
      <w:pPr>
        <w:pStyle w:val="BodyText"/>
        <w:tabs>
          <w:tab w:pos="980" w:val="left" w:leader="none"/>
        </w:tabs>
        <w:spacing w:line="273" w:lineRule="exact" w:before="64"/>
        <w:ind w:left="138" w:right="101"/>
        <w:jc w:val="left"/>
      </w:pPr>
      <w:r>
        <w:rPr>
          <w:spacing w:val="-1"/>
        </w:rPr>
        <w:t>√适用</w:t>
        <w:tab/>
      </w:r>
      <w:r>
        <w:rPr>
          <w:spacing w:val="-2"/>
        </w:rPr>
        <w:t>□不适用</w:t>
      </w:r>
    </w:p>
    <w:p>
      <w:pPr>
        <w:pStyle w:val="BodyText"/>
        <w:spacing w:line="273" w:lineRule="exact"/>
        <w:ind w:left="620" w:right="101"/>
        <w:jc w:val="left"/>
      </w:pPr>
      <w:r>
        <w:rPr>
          <w:spacing w:val="-3"/>
        </w:rPr>
        <w:t>（一）关于本公司与眉山市城市发展投资有限责任公司之间的基础设施建设项目（</w:t>
      </w:r>
      <w:r>
        <w:rPr>
          <w:rFonts w:ascii="宋体" w:hAnsi="宋体" w:cs="宋体" w:eastAsia="宋体" w:hint="default"/>
          <w:spacing w:val="-3"/>
        </w:rPr>
        <w:t>BT</w:t>
      </w:r>
      <w:r>
        <w:rPr>
          <w:spacing w:val="-3"/>
        </w:rPr>
        <w:t>）的情</w:t>
      </w:r>
      <w:r>
        <w:rPr/>
      </w:r>
    </w:p>
    <w:p>
      <w:pPr>
        <w:pStyle w:val="BodyText"/>
        <w:spacing w:line="240" w:lineRule="auto" w:before="39"/>
        <w:ind w:left="138" w:right="101"/>
        <w:jc w:val="left"/>
      </w:pPr>
      <w:r>
        <w:rPr>
          <w:w w:val="100"/>
        </w:rPr>
        <w:t>况</w:t>
      </w:r>
    </w:p>
    <w:p>
      <w:pPr>
        <w:pStyle w:val="BodyText"/>
        <w:spacing w:line="240" w:lineRule="auto" w:before="37"/>
        <w:ind w:left="558" w:right="101"/>
        <w:jc w:val="left"/>
      </w:pPr>
      <w:r>
        <w:rPr/>
        <w:t>本公司（以下简称“乙方”）与眉山市城市发展投资有限责任公司（以下简称“甲方”）分</w:t>
      </w:r>
    </w:p>
    <w:p>
      <w:pPr>
        <w:pStyle w:val="BodyText"/>
        <w:spacing w:line="273" w:lineRule="auto" w:before="39"/>
        <w:ind w:left="138" w:right="272"/>
        <w:jc w:val="both"/>
      </w:pPr>
      <w:r>
        <w:rPr/>
        <w:t>别于</w:t>
      </w:r>
      <w:r>
        <w:rPr>
          <w:spacing w:val="-54"/>
        </w:rPr>
        <w:t> </w:t>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w:t>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日签订《眉山市“两宋荣光”眉州大道改造工程项目</w:t>
      </w:r>
      <w:r>
        <w:rPr>
          <w:w w:val="100"/>
        </w:rPr>
        <w:t> </w:t>
      </w:r>
      <w:r>
        <w:rPr>
          <w:rFonts w:ascii="宋体" w:hAnsi="宋体" w:cs="宋体" w:eastAsia="宋体" w:hint="default"/>
        </w:rPr>
        <w:t>BT</w:t>
      </w:r>
      <w:r>
        <w:rPr>
          <w:rFonts w:ascii="宋体" w:hAnsi="宋体" w:cs="宋体" w:eastAsia="宋体" w:hint="default"/>
          <w:spacing w:val="-55"/>
        </w:rPr>
        <w:t> </w:t>
      </w:r>
      <w:r>
        <w:rPr/>
        <w:t>融资招商合同书》及《眉山市“两宋荣光”眉州大道改造工程“两桥一站”项目</w:t>
      </w:r>
      <w:r>
        <w:rPr>
          <w:spacing w:val="-54"/>
        </w:rPr>
        <w:t> </w:t>
      </w:r>
      <w:r>
        <w:rPr>
          <w:rFonts w:ascii="宋体" w:hAnsi="宋体" w:cs="宋体" w:eastAsia="宋体" w:hint="default"/>
        </w:rPr>
        <w:t>BT</w:t>
      </w:r>
      <w:r>
        <w:rPr>
          <w:rFonts w:ascii="宋体" w:hAnsi="宋体" w:cs="宋体" w:eastAsia="宋体" w:hint="default"/>
          <w:spacing w:val="-57"/>
        </w:rPr>
        <w:t> </w:t>
      </w:r>
      <w:r>
        <w:rPr/>
        <w:t>融资招商</w:t>
      </w:r>
      <w:r>
        <w:rPr>
          <w:w w:val="100"/>
        </w:rPr>
        <w:t> </w:t>
      </w:r>
      <w:r>
        <w:rPr/>
        <w:t>合同书》，合同部分约定事项如下：</w:t>
      </w:r>
    </w:p>
    <w:p>
      <w:pPr>
        <w:pStyle w:val="BodyText"/>
        <w:spacing w:line="273" w:lineRule="auto" w:before="8"/>
        <w:ind w:left="138" w:right="101" w:firstLine="419"/>
        <w:jc w:val="left"/>
      </w:pPr>
      <w:r>
        <w:rPr>
          <w:rFonts w:ascii="宋体" w:hAnsi="宋体" w:cs="宋体" w:eastAsia="宋体" w:hint="default"/>
          <w:spacing w:val="-4"/>
        </w:rPr>
        <w:t>1</w:t>
      </w:r>
      <w:r>
        <w:rPr>
          <w:spacing w:val="-4"/>
        </w:rPr>
        <w:t>．由乙方参与的项目：“两宋荣光”眉州大道西段、核心段改造工程以及眉州大道“两桥一</w:t>
      </w:r>
      <w:r>
        <w:rPr>
          <w:w w:val="100"/>
        </w:rPr>
        <w:t> </w:t>
      </w:r>
      <w:r>
        <w:rPr/>
        <w:t>站”改造工程。</w:t>
      </w:r>
    </w:p>
    <w:p>
      <w:pPr>
        <w:pStyle w:val="BodyText"/>
        <w:spacing w:line="240" w:lineRule="auto" w:before="7"/>
        <w:ind w:left="558" w:right="101"/>
        <w:jc w:val="left"/>
      </w:pPr>
      <w:r>
        <w:rPr>
          <w:rFonts w:ascii="宋体" w:hAnsi="宋体" w:cs="宋体" w:eastAsia="宋体" w:hint="default"/>
        </w:rPr>
        <w:t>2</w:t>
      </w:r>
      <w:r>
        <w:rPr/>
        <w:t>．项目概算总投资约为人民币</w:t>
      </w:r>
      <w:r>
        <w:rPr>
          <w:spacing w:val="-57"/>
        </w:rPr>
        <w:t> </w:t>
      </w:r>
      <w:r>
        <w:rPr>
          <w:rFonts w:ascii="宋体" w:hAnsi="宋体" w:cs="宋体" w:eastAsia="宋体" w:hint="default"/>
        </w:rPr>
        <w:t>5.98</w:t>
      </w:r>
      <w:r>
        <w:rPr>
          <w:rFonts w:ascii="宋体" w:hAnsi="宋体" w:cs="宋体" w:eastAsia="宋体" w:hint="default"/>
          <w:spacing w:val="-59"/>
        </w:rPr>
        <w:t> </w:t>
      </w:r>
      <w:r>
        <w:rPr/>
        <w:t>亿元，由乙方负责筹集工程建设项目所需的全部资金。</w:t>
      </w:r>
    </w:p>
    <w:p>
      <w:pPr>
        <w:pStyle w:val="BodyText"/>
        <w:spacing w:line="273" w:lineRule="auto" w:before="39"/>
        <w:ind w:left="138" w:right="208" w:firstLine="419"/>
        <w:jc w:val="both"/>
      </w:pPr>
      <w:r>
        <w:rPr>
          <w:rFonts w:ascii="宋体" w:hAnsi="宋体" w:cs="宋体" w:eastAsia="宋体" w:hint="default"/>
          <w:spacing w:val="-4"/>
        </w:rPr>
        <w:t>3</w:t>
      </w:r>
      <w:r>
        <w:rPr>
          <w:spacing w:val="-4"/>
        </w:rPr>
        <w:t>．乙方的投资回报：乙方参与的项目验收合格后由甲方负责回购。回购价款</w:t>
      </w:r>
      <w:r>
        <w:rPr>
          <w:rFonts w:ascii="宋体" w:hAnsi="宋体" w:cs="宋体" w:eastAsia="宋体" w:hint="default"/>
          <w:spacing w:val="-4"/>
        </w:rPr>
        <w:t>=</w:t>
      </w:r>
      <w:r>
        <w:rPr>
          <w:spacing w:val="-4"/>
        </w:rPr>
        <w:t>投资结算价款</w:t>
      </w:r>
      <w:r>
        <w:rPr>
          <w:rFonts w:ascii="宋体" w:hAnsi="宋体" w:cs="宋体" w:eastAsia="宋体" w:hint="default"/>
          <w:spacing w:val="-4"/>
        </w:rPr>
        <w:t>+</w:t>
      </w:r>
      <w:r>
        <w:rPr>
          <w:rFonts w:ascii="宋体" w:hAnsi="宋体" w:cs="宋体" w:eastAsia="宋体" w:hint="default"/>
          <w:w w:val="100"/>
        </w:rPr>
        <w:t> </w:t>
      </w:r>
      <w:r>
        <w:rPr>
          <w:spacing w:val="-3"/>
        </w:rPr>
        <w:t>投资回报金额</w:t>
      </w:r>
      <w:r>
        <w:rPr>
          <w:rFonts w:ascii="宋体" w:hAnsi="宋体" w:cs="宋体" w:eastAsia="宋体" w:hint="default"/>
          <w:spacing w:val="-3"/>
        </w:rPr>
        <w:t>+</w:t>
      </w:r>
      <w:r>
        <w:rPr>
          <w:spacing w:val="-3"/>
        </w:rPr>
        <w:t>资金占用费，本项目资金占用费以投资结算价款按年利率 </w:t>
      </w:r>
      <w:r>
        <w:rPr>
          <w:rFonts w:ascii="宋体" w:hAnsi="宋体" w:cs="宋体" w:eastAsia="宋体" w:hint="default"/>
          <w:spacing w:val="-3"/>
        </w:rPr>
        <w:t>10%</w:t>
      </w:r>
      <w:r>
        <w:rPr>
          <w:spacing w:val="-3"/>
        </w:rPr>
        <w:t>计取，投资回报以投</w:t>
      </w:r>
      <w:r>
        <w:rPr>
          <w:spacing w:val="-77"/>
        </w:rPr>
        <w:t> </w:t>
      </w:r>
      <w:r>
        <w:rPr>
          <w:spacing w:val="-77"/>
        </w:rPr>
      </w:r>
      <w:r>
        <w:rPr/>
        <w:t>资结算价款按</w:t>
      </w:r>
      <w:r>
        <w:rPr>
          <w:spacing w:val="-54"/>
        </w:rPr>
        <w:t> </w:t>
      </w:r>
      <w:r>
        <w:rPr>
          <w:rFonts w:ascii="宋体" w:hAnsi="宋体" w:cs="宋体" w:eastAsia="宋体" w:hint="default"/>
        </w:rPr>
        <w:t>15%/</w:t>
      </w:r>
      <w:r>
        <w:rPr/>
        <w:t>年计取。回购价款甲方按</w:t>
      </w:r>
      <w:r>
        <w:rPr>
          <w:spacing w:val="-53"/>
        </w:rPr>
        <w:t> </w:t>
      </w:r>
      <w:r>
        <w:rPr>
          <w:rFonts w:ascii="宋体" w:hAnsi="宋体" w:cs="宋体" w:eastAsia="宋体" w:hint="default"/>
        </w:rPr>
        <w:t>3</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次进行支付，第一次</w:t>
      </w:r>
      <w:r>
        <w:rPr>
          <w:spacing w:val="-54"/>
        </w:rPr>
        <w:t> </w:t>
      </w:r>
      <w:r>
        <w:rPr>
          <w:rFonts w:ascii="宋体" w:hAnsi="宋体" w:cs="宋体" w:eastAsia="宋体" w:hint="default"/>
        </w:rPr>
        <w:t>40%</w:t>
      </w:r>
      <w:r>
        <w:rPr/>
        <w:t>，第二次</w:t>
      </w:r>
      <w:r>
        <w:rPr>
          <w:spacing w:val="-53"/>
        </w:rPr>
        <w:t> </w:t>
      </w:r>
      <w:r>
        <w:rPr>
          <w:rFonts w:ascii="宋体" w:hAnsi="宋体" w:cs="宋体" w:eastAsia="宋体" w:hint="default"/>
        </w:rPr>
        <w:t>30%</w:t>
      </w:r>
      <w:r>
        <w:rPr/>
        <w:t>，第三</w:t>
      </w:r>
      <w:r>
        <w:rPr>
          <w:w w:val="100"/>
        </w:rPr>
        <w:t> 次</w:t>
      </w:r>
      <w:r>
        <w:rPr>
          <w:spacing w:val="-40"/>
          <w:w w:val="100"/>
        </w:rPr>
        <w:t> </w:t>
      </w:r>
      <w:r>
        <w:rPr>
          <w:rFonts w:ascii="宋体" w:hAnsi="宋体" w:cs="宋体" w:eastAsia="宋体" w:hint="default"/>
          <w:spacing w:val="-5"/>
          <w:w w:val="100"/>
        </w:rPr>
        <w:t>30%</w:t>
      </w:r>
      <w:r>
        <w:rPr>
          <w:spacing w:val="-5"/>
          <w:w w:val="100"/>
        </w:rPr>
        <w:t>。第一次回购时间为工程验收合格后三个月时支付投资结算价款的</w:t>
      </w:r>
      <w:r>
        <w:rPr>
          <w:spacing w:val="-40"/>
          <w:w w:val="100"/>
        </w:rPr>
        <w:t> </w:t>
      </w:r>
      <w:r>
        <w:rPr>
          <w:rFonts w:ascii="宋体" w:hAnsi="宋体" w:cs="宋体" w:eastAsia="宋体" w:hint="default"/>
          <w:spacing w:val="-2"/>
          <w:w w:val="100"/>
        </w:rPr>
        <w:t>40%</w:t>
      </w:r>
      <w:r>
        <w:rPr>
          <w:spacing w:val="-2"/>
          <w:w w:val="100"/>
        </w:rPr>
        <w:t>及投资回报和资金占</w:t>
      </w:r>
      <w:r>
        <w:rPr>
          <w:spacing w:val="-101"/>
          <w:w w:val="100"/>
        </w:rPr>
        <w:t> </w:t>
      </w:r>
      <w:r>
        <w:rPr>
          <w:spacing w:val="-101"/>
          <w:w w:val="100"/>
        </w:rPr>
      </w:r>
      <w:r>
        <w:rPr>
          <w:spacing w:val="-4"/>
        </w:rPr>
        <w:t>用费；第二期回购款时间为竣工验收之日起</w:t>
      </w:r>
      <w:r>
        <w:rPr>
          <w:spacing w:val="-47"/>
        </w:rPr>
        <w:t> </w:t>
      </w:r>
      <w:r>
        <w:rPr>
          <w:rFonts w:ascii="宋体" w:hAnsi="宋体" w:cs="宋体" w:eastAsia="宋体" w:hint="default"/>
        </w:rPr>
        <w:t>15</w:t>
      </w:r>
      <w:r>
        <w:rPr>
          <w:rFonts w:ascii="宋体" w:hAnsi="宋体" w:cs="宋体" w:eastAsia="宋体" w:hint="default"/>
          <w:spacing w:val="-47"/>
        </w:rPr>
        <w:t> </w:t>
      </w:r>
      <w:r>
        <w:rPr/>
        <w:t>个月内支付投资结算价款的</w:t>
      </w:r>
      <w:r>
        <w:rPr>
          <w:spacing w:val="-47"/>
        </w:rPr>
        <w:t> </w:t>
      </w:r>
      <w:r>
        <w:rPr>
          <w:rFonts w:ascii="宋体" w:hAnsi="宋体" w:cs="宋体" w:eastAsia="宋体" w:hint="default"/>
        </w:rPr>
        <w:t>30%</w:t>
      </w:r>
      <w:r>
        <w:rPr/>
        <w:t>及投资回报和资金</w:t>
      </w:r>
      <w:r>
        <w:rPr>
          <w:spacing w:val="-102"/>
        </w:rPr>
        <w:t> </w:t>
      </w:r>
      <w:r>
        <w:rPr>
          <w:spacing w:val="-102"/>
        </w:rPr>
      </w:r>
      <w:r>
        <w:rPr>
          <w:spacing w:val="-4"/>
        </w:rPr>
        <w:t>占用费；第三期回购款时间为竣工验收之日起</w:t>
      </w:r>
      <w:r>
        <w:rPr>
          <w:spacing w:val="-43"/>
        </w:rPr>
        <w:t> </w:t>
      </w:r>
      <w:r>
        <w:rPr>
          <w:rFonts w:ascii="宋体" w:hAnsi="宋体" w:cs="宋体" w:eastAsia="宋体" w:hint="default"/>
        </w:rPr>
        <w:t>27</w:t>
      </w:r>
      <w:r>
        <w:rPr>
          <w:rFonts w:ascii="宋体" w:hAnsi="宋体" w:cs="宋体" w:eastAsia="宋体" w:hint="default"/>
          <w:spacing w:val="-45"/>
        </w:rPr>
        <w:t> </w:t>
      </w:r>
      <w:r>
        <w:rPr/>
        <w:t>个月内支付投资结算价款的</w:t>
      </w:r>
      <w:r>
        <w:rPr>
          <w:spacing w:val="-45"/>
        </w:rPr>
        <w:t> </w:t>
      </w:r>
      <w:r>
        <w:rPr>
          <w:rFonts w:ascii="宋体" w:hAnsi="宋体" w:cs="宋体" w:eastAsia="宋体" w:hint="default"/>
        </w:rPr>
        <w:t>30%</w:t>
      </w:r>
      <w:r>
        <w:rPr/>
        <w:t>及投资回报和资</w:t>
      </w:r>
      <w:r>
        <w:rPr>
          <w:spacing w:val="-101"/>
        </w:rPr>
        <w:t> </w:t>
      </w:r>
      <w:r>
        <w:rPr>
          <w:spacing w:val="-101"/>
        </w:rPr>
      </w:r>
      <w:r>
        <w:rPr/>
        <w:t>金占用费。计算公式如下：</w:t>
      </w:r>
    </w:p>
    <w:p>
      <w:pPr>
        <w:pStyle w:val="BodyText"/>
        <w:spacing w:line="273" w:lineRule="auto" w:before="8"/>
        <w:ind w:left="558" w:right="101"/>
        <w:jc w:val="left"/>
        <w:rPr>
          <w:rFonts w:ascii="宋体" w:hAnsi="宋体" w:cs="宋体" w:eastAsia="宋体" w:hint="default"/>
        </w:rPr>
      </w:pPr>
      <w:r>
        <w:rPr/>
        <w:t>第一期回购款</w:t>
      </w:r>
      <w:r>
        <w:rPr>
          <w:rFonts w:ascii="宋体" w:hAnsi="宋体" w:cs="宋体" w:eastAsia="宋体" w:hint="default"/>
        </w:rPr>
        <w:t>=A</w:t>
      </w:r>
      <w:r>
        <w:rPr/>
        <w:t>×</w:t>
      </w:r>
      <w:r>
        <w:rPr>
          <w:rFonts w:ascii="宋体" w:hAnsi="宋体" w:cs="宋体" w:eastAsia="宋体" w:hint="default"/>
        </w:rPr>
        <w:t>40%+A</w:t>
      </w:r>
      <w:r>
        <w:rPr/>
        <w:t>×</w:t>
      </w:r>
      <w:r>
        <w:rPr>
          <w:rFonts w:ascii="宋体" w:hAnsi="宋体" w:cs="宋体" w:eastAsia="宋体" w:hint="default"/>
        </w:rPr>
        <w:t>10%</w:t>
      </w:r>
      <w:r>
        <w:rPr/>
        <w:t>×（</w:t>
      </w:r>
      <w:r>
        <w:rPr>
          <w:rFonts w:ascii="宋体" w:hAnsi="宋体" w:cs="宋体" w:eastAsia="宋体" w:hint="default"/>
        </w:rPr>
        <w:t>B/12</w:t>
      </w:r>
      <w:r>
        <w:rPr/>
        <w:t>）</w:t>
      </w:r>
      <w:r>
        <w:rPr>
          <w:rFonts w:ascii="宋体" w:hAnsi="宋体" w:cs="宋体" w:eastAsia="宋体" w:hint="default"/>
        </w:rPr>
        <w:t>+A</w:t>
      </w:r>
      <w:r>
        <w:rPr/>
        <w:t>×</w:t>
      </w:r>
      <w:r>
        <w:rPr>
          <w:rFonts w:ascii="宋体" w:hAnsi="宋体" w:cs="宋体" w:eastAsia="宋体" w:hint="default"/>
        </w:rPr>
        <w:t>40%</w:t>
      </w:r>
      <w:r>
        <w:rPr/>
        <w:t>×</w:t>
      </w:r>
      <w:r>
        <w:rPr>
          <w:rFonts w:ascii="宋体" w:hAnsi="宋体" w:cs="宋体" w:eastAsia="宋体" w:hint="default"/>
        </w:rPr>
        <w:t>15%</w:t>
      </w:r>
      <w:r>
        <w:rPr/>
        <w:t>×</w:t>
      </w:r>
      <w:r>
        <w:rPr>
          <w:rFonts w:ascii="宋体" w:hAnsi="宋体" w:cs="宋体" w:eastAsia="宋体" w:hint="default"/>
        </w:rPr>
        <w:t>(C/12)</w:t>
      </w:r>
      <w:r>
        <w:rPr>
          <w:rFonts w:ascii="宋体" w:hAnsi="宋体" w:cs="宋体" w:eastAsia="宋体" w:hint="default"/>
          <w:w w:val="100"/>
        </w:rPr>
        <w:t> </w:t>
      </w:r>
      <w:r>
        <w:rPr>
          <w:spacing w:val="-1"/>
        </w:rPr>
        <w:t>第二期回购款</w:t>
      </w:r>
      <w:r>
        <w:rPr>
          <w:rFonts w:ascii="宋体" w:hAnsi="宋体" w:cs="宋体" w:eastAsia="宋体" w:hint="default"/>
          <w:spacing w:val="-1"/>
        </w:rPr>
        <w:t>=A</w:t>
      </w:r>
      <w:r>
        <w:rPr>
          <w:spacing w:val="-1"/>
        </w:rPr>
        <w:t>×</w:t>
      </w:r>
      <w:r>
        <w:rPr>
          <w:rFonts w:ascii="宋体" w:hAnsi="宋体" w:cs="宋体" w:eastAsia="宋体" w:hint="default"/>
          <w:spacing w:val="-1"/>
        </w:rPr>
        <w:t>30%+A</w:t>
      </w:r>
      <w:r>
        <w:rPr>
          <w:spacing w:val="-1"/>
        </w:rPr>
        <w:t>×</w:t>
      </w:r>
      <w:r>
        <w:rPr>
          <w:rFonts w:ascii="宋体" w:hAnsi="宋体" w:cs="宋体" w:eastAsia="宋体" w:hint="default"/>
          <w:spacing w:val="-1"/>
        </w:rPr>
        <w:t>60%</w:t>
      </w:r>
      <w:r>
        <w:rPr>
          <w:spacing w:val="-1"/>
        </w:rPr>
        <w:t>×</w:t>
      </w:r>
      <w:r>
        <w:rPr>
          <w:rFonts w:ascii="宋体" w:hAnsi="宋体" w:cs="宋体" w:eastAsia="宋体" w:hint="default"/>
          <w:spacing w:val="-1"/>
        </w:rPr>
        <w:t>10%</w:t>
      </w:r>
      <w:r>
        <w:rPr>
          <w:spacing w:val="-1"/>
        </w:rPr>
        <w:t>×</w:t>
      </w:r>
      <w:r>
        <w:rPr>
          <w:rFonts w:ascii="宋体" w:hAnsi="宋体" w:cs="宋体" w:eastAsia="宋体" w:hint="default"/>
          <w:spacing w:val="-1"/>
        </w:rPr>
        <w:t>[(12+c)/12]+A</w:t>
      </w:r>
      <w:r>
        <w:rPr>
          <w:spacing w:val="-1"/>
        </w:rPr>
        <w:t>×</w:t>
      </w:r>
      <w:r>
        <w:rPr>
          <w:rFonts w:ascii="宋体" w:hAnsi="宋体" w:cs="宋体" w:eastAsia="宋体" w:hint="default"/>
          <w:spacing w:val="-1"/>
        </w:rPr>
        <w:t>60%</w:t>
      </w:r>
      <w:r>
        <w:rPr>
          <w:spacing w:val="-1"/>
        </w:rPr>
        <w:t>×</w:t>
      </w:r>
      <w:r>
        <w:rPr>
          <w:rFonts w:ascii="宋体" w:hAnsi="宋体" w:cs="宋体" w:eastAsia="宋体" w:hint="default"/>
          <w:spacing w:val="-1"/>
        </w:rPr>
        <w:t>15%</w:t>
      </w:r>
      <w:r>
        <w:rPr>
          <w:spacing w:val="-1"/>
        </w:rPr>
        <w:t>×</w:t>
      </w:r>
      <w:r>
        <w:rPr>
          <w:rFonts w:ascii="宋体" w:hAnsi="宋体" w:cs="宋体" w:eastAsia="宋体" w:hint="default"/>
          <w:spacing w:val="-1"/>
        </w:rPr>
        <w:t>[(12+C)/12]</w:t>
      </w:r>
      <w:r>
        <w:rPr>
          <w:rFonts w:ascii="宋体" w:hAnsi="宋体" w:cs="宋体" w:eastAsia="宋体" w:hint="default"/>
          <w:spacing w:val="-61"/>
        </w:rPr>
        <w:t> </w:t>
      </w:r>
      <w:r>
        <w:rPr>
          <w:rFonts w:ascii="宋体" w:hAnsi="宋体" w:cs="宋体" w:eastAsia="宋体" w:hint="default"/>
          <w:spacing w:val="-61"/>
        </w:rPr>
      </w:r>
      <w:r>
        <w:rPr>
          <w:spacing w:val="-1"/>
        </w:rPr>
        <w:t>第三期回购款</w:t>
      </w:r>
      <w:r>
        <w:rPr>
          <w:rFonts w:ascii="宋体" w:hAnsi="宋体" w:cs="宋体" w:eastAsia="宋体" w:hint="default"/>
          <w:spacing w:val="-1"/>
        </w:rPr>
        <w:t>=A</w:t>
      </w:r>
      <w:r>
        <w:rPr>
          <w:spacing w:val="-1"/>
        </w:rPr>
        <w:t>×</w:t>
      </w:r>
      <w:r>
        <w:rPr>
          <w:rFonts w:ascii="宋体" w:hAnsi="宋体" w:cs="宋体" w:eastAsia="宋体" w:hint="default"/>
          <w:spacing w:val="-1"/>
        </w:rPr>
        <w:t>30%+A</w:t>
      </w:r>
      <w:r>
        <w:rPr>
          <w:spacing w:val="-1"/>
        </w:rPr>
        <w:t>×</w:t>
      </w:r>
      <w:r>
        <w:rPr>
          <w:rFonts w:ascii="宋体" w:hAnsi="宋体" w:cs="宋体" w:eastAsia="宋体" w:hint="default"/>
          <w:spacing w:val="-1"/>
        </w:rPr>
        <w:t>30%</w:t>
      </w:r>
      <w:r>
        <w:rPr>
          <w:spacing w:val="-1"/>
        </w:rPr>
        <w:t>×</w:t>
      </w:r>
      <w:r>
        <w:rPr>
          <w:rFonts w:ascii="宋体" w:hAnsi="宋体" w:cs="宋体" w:eastAsia="宋体" w:hint="default"/>
          <w:spacing w:val="-1"/>
        </w:rPr>
        <w:t>10%</w:t>
      </w:r>
      <w:r>
        <w:rPr>
          <w:spacing w:val="-1"/>
        </w:rPr>
        <w:t>×</w:t>
      </w:r>
      <w:r>
        <w:rPr>
          <w:rFonts w:ascii="宋体" w:hAnsi="宋体" w:cs="宋体" w:eastAsia="宋体" w:hint="default"/>
          <w:spacing w:val="-1"/>
        </w:rPr>
        <w:t>[(24+c)/12]+A</w:t>
      </w:r>
      <w:r>
        <w:rPr>
          <w:spacing w:val="-1"/>
        </w:rPr>
        <w:t>×</w:t>
      </w:r>
      <w:r>
        <w:rPr>
          <w:rFonts w:ascii="宋体" w:hAnsi="宋体" w:cs="宋体" w:eastAsia="宋体" w:hint="default"/>
          <w:spacing w:val="-1"/>
        </w:rPr>
        <w:t>30%</w:t>
      </w:r>
      <w:r>
        <w:rPr>
          <w:spacing w:val="-1"/>
        </w:rPr>
        <w:t>×</w:t>
      </w:r>
      <w:r>
        <w:rPr>
          <w:rFonts w:ascii="宋体" w:hAnsi="宋体" w:cs="宋体" w:eastAsia="宋体" w:hint="default"/>
          <w:spacing w:val="-1"/>
        </w:rPr>
        <w:t>15%</w:t>
      </w:r>
      <w:r>
        <w:rPr>
          <w:spacing w:val="-1"/>
        </w:rPr>
        <w:t>×</w:t>
      </w:r>
      <w:r>
        <w:rPr>
          <w:rFonts w:ascii="宋体" w:hAnsi="宋体" w:cs="宋体" w:eastAsia="宋体" w:hint="default"/>
          <w:spacing w:val="-1"/>
        </w:rPr>
        <w:t>[(24+C)/12]</w:t>
      </w:r>
    </w:p>
    <w:p>
      <w:pPr>
        <w:pStyle w:val="BodyText"/>
        <w:spacing w:line="273" w:lineRule="auto" w:before="10"/>
        <w:ind w:left="558" w:right="2629"/>
        <w:jc w:val="left"/>
      </w:pPr>
      <w:r>
        <w:rPr>
          <w:rFonts w:ascii="宋体" w:hAnsi="宋体" w:cs="宋体" w:eastAsia="宋体" w:hint="default"/>
        </w:rPr>
        <w:t>A=</w:t>
      </w:r>
      <w:r>
        <w:rPr/>
        <w:t>投资结算价款（最终以眉山市政府审计的结算价款为准）</w:t>
      </w:r>
      <w:r>
        <w:rPr>
          <w:w w:val="100"/>
        </w:rPr>
        <w:t> </w:t>
      </w:r>
      <w:r>
        <w:rPr>
          <w:rFonts w:ascii="宋体" w:hAnsi="宋体" w:cs="宋体" w:eastAsia="宋体" w:hint="default"/>
        </w:rPr>
        <w:t>B=</w:t>
      </w:r>
      <w:r>
        <w:rPr/>
        <w:t>建设期，暂定</w:t>
      </w:r>
      <w:r>
        <w:rPr>
          <w:spacing w:val="-55"/>
        </w:rPr>
        <w:t> </w:t>
      </w:r>
      <w:r>
        <w:rPr>
          <w:rFonts w:ascii="宋体" w:hAnsi="宋体" w:cs="宋体" w:eastAsia="宋体" w:hint="default"/>
        </w:rPr>
        <w:t>18</w:t>
      </w:r>
      <w:r>
        <w:rPr>
          <w:rFonts w:ascii="宋体" w:hAnsi="宋体" w:cs="宋体" w:eastAsia="宋体" w:hint="default"/>
          <w:spacing w:val="-56"/>
        </w:rPr>
        <w:t> </w:t>
      </w:r>
      <w:r>
        <w:rPr/>
        <w:t>个月（非乙方原因造成的延误，建设期顺延）</w:t>
      </w:r>
    </w:p>
    <w:p>
      <w:pPr>
        <w:pStyle w:val="BodyText"/>
        <w:spacing w:line="273" w:lineRule="auto" w:before="10"/>
        <w:ind w:left="138" w:right="213" w:firstLine="419"/>
        <w:jc w:val="left"/>
      </w:pPr>
      <w:r>
        <w:rPr>
          <w:rFonts w:ascii="宋体" w:hAnsi="宋体" w:cs="宋体" w:eastAsia="宋体" w:hint="default"/>
        </w:rPr>
        <w:t>C=</w:t>
      </w:r>
      <w:r>
        <w:rPr/>
        <w:t>自竣工验收合格之日起至第一期回购日止（为</w:t>
      </w:r>
      <w:r>
        <w:rPr>
          <w:spacing w:val="-53"/>
        </w:rPr>
        <w:t> </w:t>
      </w:r>
      <w:r>
        <w:rPr>
          <w:rFonts w:ascii="宋体" w:hAnsi="宋体" w:cs="宋体" w:eastAsia="宋体" w:hint="default"/>
        </w:rPr>
        <w:t>3</w:t>
      </w:r>
      <w:r>
        <w:rPr>
          <w:rFonts w:ascii="宋体" w:hAnsi="宋体" w:cs="宋体" w:eastAsia="宋体" w:hint="default"/>
          <w:spacing w:val="-56"/>
        </w:rPr>
        <w:t> </w:t>
      </w:r>
      <w:r>
        <w:rPr/>
        <w:t>个月，若因甲方原因延时支付。则按延时</w:t>
      </w:r>
      <w:r>
        <w:rPr>
          <w:w w:val="100"/>
        </w:rPr>
        <w:t> </w:t>
      </w:r>
      <w:r>
        <w:rPr/>
        <w:t>的实际时间计算资金占用费及投资回报）</w:t>
      </w:r>
    </w:p>
    <w:p>
      <w:pPr>
        <w:pStyle w:val="BodyText"/>
        <w:spacing w:line="273" w:lineRule="auto" w:before="10"/>
        <w:ind w:left="138" w:right="208" w:firstLine="419"/>
        <w:jc w:val="right"/>
      </w:pPr>
      <w:r>
        <w:rPr>
          <w:rFonts w:ascii="宋体" w:hAnsi="宋体" w:cs="宋体" w:eastAsia="宋体" w:hint="default"/>
          <w:spacing w:val="-4"/>
        </w:rPr>
        <w:t>4</w:t>
      </w:r>
      <w:r>
        <w:rPr>
          <w:spacing w:val="-4"/>
        </w:rPr>
        <w:t>．对超出合同项目改造部分，根据眉山市人民政府审批同意新增眉州大道西段新增 </w:t>
      </w:r>
      <w:r>
        <w:rPr>
          <w:rFonts w:ascii="宋体" w:hAnsi="宋体" w:cs="宋体" w:eastAsia="宋体" w:hint="default"/>
        </w:rPr>
        <w:t>850</w:t>
      </w:r>
      <w:r>
        <w:rPr>
          <w:rFonts w:ascii="宋体" w:hAnsi="宋体" w:cs="宋体" w:eastAsia="宋体" w:hint="default"/>
          <w:spacing w:val="-52"/>
        </w:rPr>
        <w:t> </w:t>
      </w:r>
      <w:r>
        <w:rPr/>
        <w:t>米道</w:t>
      </w:r>
      <w:r>
        <w:rPr>
          <w:w w:val="100"/>
        </w:rPr>
        <w:t> </w:t>
      </w:r>
      <w:r>
        <w:rPr/>
        <w:t>路 </w:t>
      </w:r>
      <w:r>
        <w:rPr>
          <w:rFonts w:ascii="宋体" w:hAnsi="宋体" w:cs="宋体" w:eastAsia="宋体" w:hint="default"/>
        </w:rPr>
        <w:t>BT</w:t>
      </w:r>
      <w:r>
        <w:rPr>
          <w:rFonts w:ascii="宋体" w:hAnsi="宋体" w:cs="宋体" w:eastAsia="宋体" w:hint="default"/>
          <w:spacing w:val="-47"/>
        </w:rPr>
        <w:t> </w:t>
      </w:r>
      <w:r>
        <w:rPr>
          <w:spacing w:val="-4"/>
        </w:rPr>
        <w:t>项目、核心段与岷江二桥顺接段、岷江二桥东西岸河堤破除恢复加固新增配套工程，新增项</w:t>
      </w:r>
      <w:r>
        <w:rPr>
          <w:w w:val="100"/>
        </w:rPr>
        <w:t> </w:t>
      </w:r>
      <w:r>
        <w:rPr>
          <w:spacing w:val="-3"/>
        </w:rPr>
        <w:t>目以眉山市财务投资评审额作为签约合同投资额，签约合同投资额为 </w:t>
      </w:r>
      <w:r>
        <w:rPr>
          <w:rFonts w:ascii="宋体" w:hAnsi="宋体" w:cs="宋体" w:eastAsia="宋体" w:hint="default"/>
        </w:rPr>
        <w:t>108,653,759.33</w:t>
      </w:r>
      <w:r>
        <w:rPr>
          <w:rFonts w:ascii="宋体" w:hAnsi="宋体" w:cs="宋体" w:eastAsia="宋体" w:hint="default"/>
          <w:spacing w:val="-60"/>
        </w:rPr>
        <w:t> </w:t>
      </w:r>
      <w:r>
        <w:rPr>
          <w:spacing w:val="-11"/>
        </w:rPr>
        <w:t>元。新增项</w:t>
      </w:r>
      <w:r>
        <w:rPr>
          <w:w w:val="100"/>
        </w:rPr>
        <w:t> </w:t>
      </w:r>
      <w:r>
        <w:rPr>
          <w:spacing w:val="-2"/>
        </w:rPr>
        <w:t>目投资结算价款最终以眉山市审计局审计确认金额为准，项目投资回报计算方法与原合同一致。</w:t>
      </w:r>
      <w:r>
        <w:rPr>
          <w:spacing w:val="-52"/>
        </w:rPr>
        <w:t> </w:t>
      </w:r>
      <w:r>
        <w:rPr>
          <w:spacing w:val="-52"/>
        </w:rPr>
      </w:r>
      <w:r>
        <w:rPr>
          <w:rFonts w:ascii="宋体" w:hAnsi="宋体" w:cs="宋体" w:eastAsia="宋体" w:hint="default"/>
          <w:spacing w:val="-4"/>
        </w:rPr>
        <w:t>5</w:t>
      </w:r>
      <w:r>
        <w:rPr>
          <w:spacing w:val="-4"/>
        </w:rPr>
        <w:t>、本公司聘请江西建工第三建筑有限公司为眉州大道改造工程项目后续施工服务提供方，于</w:t>
      </w:r>
    </w:p>
    <w:p>
      <w:pPr>
        <w:pStyle w:val="BodyText"/>
        <w:spacing w:line="240" w:lineRule="auto" w:before="7"/>
        <w:ind w:left="138" w:right="0"/>
        <w:jc w:val="both"/>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日及</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3"/>
        </w:rPr>
        <w:t> </w:t>
      </w:r>
      <w:r>
        <w:rPr/>
        <w:t>日签订后续施工合同，合同金额分别为</w:t>
      </w:r>
      <w:r>
        <w:rPr>
          <w:spacing w:val="-53"/>
        </w:rPr>
        <w:t> </w:t>
      </w:r>
      <w:r>
        <w:rPr>
          <w:rFonts w:ascii="宋体" w:hAnsi="宋体" w:cs="宋体" w:eastAsia="宋体" w:hint="default"/>
        </w:rPr>
        <w:t>29,066,666.70</w:t>
      </w:r>
      <w:r>
        <w:rPr>
          <w:rFonts w:ascii="宋体" w:hAnsi="宋体" w:cs="宋体" w:eastAsia="宋体" w:hint="default"/>
          <w:spacing w:val="-53"/>
        </w:rPr>
        <w:t> </w:t>
      </w:r>
      <w:r>
        <w:rPr/>
        <w:t>和</w:t>
      </w:r>
    </w:p>
    <w:p>
      <w:pPr>
        <w:pStyle w:val="BodyText"/>
        <w:spacing w:line="273" w:lineRule="auto" w:before="39"/>
        <w:ind w:left="138" w:right="270"/>
        <w:jc w:val="both"/>
      </w:pPr>
      <w:r>
        <w:rPr>
          <w:rFonts w:ascii="宋体" w:hAnsi="宋体" w:cs="宋体" w:eastAsia="宋体" w:hint="default"/>
        </w:rPr>
        <w:t>39,600,000.00</w:t>
      </w:r>
      <w:r>
        <w:rPr>
          <w:rFonts w:ascii="宋体" w:hAnsi="宋体" w:cs="宋体" w:eastAsia="宋体" w:hint="default"/>
          <w:spacing w:val="-55"/>
        </w:rPr>
        <w:t> </w:t>
      </w:r>
      <w:r>
        <w:rPr/>
        <w:t>元。眉州大道改造工程项目后续施工服务于</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日经四川坤林建设项</w:t>
      </w:r>
      <w:r>
        <w:rPr>
          <w:w w:val="100"/>
        </w:rPr>
        <w:t> </w:t>
      </w:r>
      <w:r>
        <w:rPr/>
        <w:t>目管理有限公司出具结算审核报告。</w:t>
      </w:r>
    </w:p>
    <w:p>
      <w:pPr>
        <w:pStyle w:val="BodyText"/>
        <w:spacing w:line="240" w:lineRule="auto" w:before="10"/>
        <w:ind w:left="558" w:right="101"/>
        <w:jc w:val="left"/>
      </w:pPr>
      <w:r>
        <w:rPr>
          <w:rFonts w:ascii="宋体" w:hAnsi="宋体" w:cs="宋体" w:eastAsia="宋体" w:hint="default"/>
        </w:rPr>
        <w:t>6</w:t>
      </w:r>
      <w:r>
        <w:rPr/>
        <w:t>．截止审计报告批准报出日该</w:t>
      </w:r>
      <w:r>
        <w:rPr>
          <w:spacing w:val="-56"/>
        </w:rPr>
        <w:t> </w:t>
      </w:r>
      <w:r>
        <w:rPr>
          <w:rFonts w:ascii="宋体" w:hAnsi="宋体" w:cs="宋体" w:eastAsia="宋体" w:hint="default"/>
        </w:rPr>
        <w:t>BT</w:t>
      </w:r>
      <w:r>
        <w:rPr>
          <w:rFonts w:ascii="宋体" w:hAnsi="宋体" w:cs="宋体" w:eastAsia="宋体" w:hint="default"/>
          <w:spacing w:val="-56"/>
        </w:rPr>
        <w:t> </w:t>
      </w:r>
      <w:r>
        <w:rPr/>
        <w:t>项目的进展情况</w:t>
      </w:r>
    </w:p>
    <w:p>
      <w:pPr>
        <w:pStyle w:val="BodyText"/>
        <w:spacing w:line="273" w:lineRule="auto" w:before="37"/>
        <w:ind w:left="138" w:right="266" w:firstLine="419"/>
        <w:jc w:val="left"/>
      </w:pPr>
      <w:r>
        <w:rPr>
          <w:rFonts w:ascii="宋体" w:hAnsi="宋体" w:cs="宋体" w:eastAsia="宋体" w:hint="default"/>
        </w:rPr>
        <w:t>2014</w:t>
      </w:r>
      <w:r>
        <w:rPr>
          <w:rFonts w:ascii="宋体" w:hAnsi="宋体" w:cs="宋体" w:eastAsia="宋体" w:hint="default"/>
          <w:spacing w:val="-55"/>
        </w:rPr>
        <w:t> </w:t>
      </w:r>
      <w:r>
        <w:rPr/>
        <w:t>年度本公司就该</w:t>
      </w:r>
      <w:r>
        <w:rPr>
          <w:spacing w:val="-52"/>
        </w:rPr>
        <w:t> </w:t>
      </w:r>
      <w:r>
        <w:rPr>
          <w:rFonts w:ascii="宋体" w:hAnsi="宋体" w:cs="宋体" w:eastAsia="宋体" w:hint="default"/>
        </w:rPr>
        <w:t>BT</w:t>
      </w:r>
      <w:r>
        <w:rPr>
          <w:rFonts w:ascii="宋体" w:hAnsi="宋体" w:cs="宋体" w:eastAsia="宋体" w:hint="default"/>
          <w:spacing w:val="-55"/>
        </w:rPr>
        <w:t> </w:t>
      </w:r>
      <w:r>
        <w:rPr/>
        <w:t>项目已分期完工交付眉山市城市发展投资有限责任公司，截止审计</w:t>
      </w:r>
      <w:r>
        <w:rPr>
          <w:w w:val="100"/>
        </w:rPr>
        <w:t> </w:t>
      </w:r>
      <w:r>
        <w:rPr/>
        <w:t>报告批准报出日，眉山市审计局已陆续审计完毕并出具审计结算书。</w:t>
      </w:r>
    </w:p>
    <w:p>
      <w:pPr>
        <w:pStyle w:val="BodyText"/>
        <w:spacing w:line="240" w:lineRule="auto" w:before="7"/>
        <w:ind w:left="558" w:right="101"/>
        <w:jc w:val="left"/>
      </w:pPr>
      <w:r>
        <w:rPr>
          <w:rFonts w:ascii="宋体" w:hAnsi="宋体" w:cs="宋体" w:eastAsia="宋体" w:hint="default"/>
        </w:rPr>
        <w:t>7</w:t>
      </w:r>
      <w:r>
        <w:rPr/>
        <w:t>、根据四川唯实会计师事务所针对</w:t>
      </w:r>
      <w:r>
        <w:rPr>
          <w:spacing w:val="-54"/>
        </w:rPr>
        <w:t> </w:t>
      </w:r>
      <w:r>
        <w:rPr>
          <w:rFonts w:ascii="宋体" w:hAnsi="宋体" w:cs="宋体" w:eastAsia="宋体" w:hint="default"/>
        </w:rPr>
        <w:t>BT</w:t>
      </w:r>
      <w:r>
        <w:rPr>
          <w:rFonts w:ascii="宋体" w:hAnsi="宋体" w:cs="宋体" w:eastAsia="宋体" w:hint="default"/>
          <w:spacing w:val="-54"/>
        </w:rPr>
        <w:t> </w:t>
      </w:r>
      <w:r>
        <w:rPr/>
        <w:t>项目出具的审计报告，截止</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日，眉山</w:t>
      </w:r>
    </w:p>
    <w:p>
      <w:pPr>
        <w:pStyle w:val="BodyText"/>
        <w:spacing w:line="240" w:lineRule="auto" w:before="39"/>
        <w:ind w:left="138" w:right="0"/>
        <w:jc w:val="both"/>
      </w:pPr>
      <w:r>
        <w:rPr/>
        <w:t>市城市发展投资有限责任公司尚需要支付给本公司的本金及投资回报金额为</w:t>
      </w:r>
      <w:r>
        <w:rPr>
          <w:spacing w:val="-56"/>
        </w:rPr>
        <w:t> </w:t>
      </w:r>
      <w:r>
        <w:rPr>
          <w:rFonts w:ascii="宋体" w:hAnsi="宋体" w:cs="宋体" w:eastAsia="宋体" w:hint="default"/>
        </w:rPr>
        <w:t>72,059,220.62</w:t>
      </w:r>
      <w:r>
        <w:rPr>
          <w:rFonts w:ascii="宋体" w:hAnsi="宋体" w:cs="宋体" w:eastAsia="宋体" w:hint="default"/>
          <w:spacing w:val="-56"/>
        </w:rPr>
        <w:t> </w:t>
      </w:r>
      <w:r>
        <w:rPr/>
        <w:t>元。</w:t>
      </w:r>
    </w:p>
    <w:p>
      <w:pPr>
        <w:pStyle w:val="BodyText"/>
        <w:spacing w:line="240" w:lineRule="auto" w:before="37"/>
        <w:ind w:left="558" w:right="101"/>
        <w:jc w:val="left"/>
      </w:pPr>
      <w:r>
        <w:rPr>
          <w:rFonts w:ascii="宋体" w:hAnsi="宋体" w:cs="宋体" w:eastAsia="宋体" w:hint="default"/>
        </w:rPr>
        <w:t>8</w:t>
      </w:r>
      <w:r>
        <w:rPr/>
        <w:t>、截止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w:t>
      </w:r>
      <w:r>
        <w:rPr>
          <w:spacing w:val="-53"/>
        </w:rPr>
        <w:t> </w:t>
      </w:r>
      <w:r>
        <w:rPr>
          <w:rFonts w:ascii="宋体" w:hAnsi="宋体" w:cs="宋体" w:eastAsia="宋体" w:hint="default"/>
        </w:rPr>
        <w:t>BT</w:t>
      </w:r>
      <w:r>
        <w:rPr>
          <w:rFonts w:ascii="宋体" w:hAnsi="宋体" w:cs="宋体" w:eastAsia="宋体" w:hint="default"/>
          <w:spacing w:val="-53"/>
        </w:rPr>
        <w:t> </w:t>
      </w:r>
      <w:r>
        <w:rPr/>
        <w:t>项目工程支出、回购及确认的投资回报情况</w:t>
      </w:r>
    </w:p>
    <w:p>
      <w:pPr>
        <w:pStyle w:val="BodyText"/>
        <w:spacing w:line="240" w:lineRule="auto" w:before="40"/>
        <w:ind w:left="558" w:right="0"/>
        <w:jc w:val="left"/>
      </w:pPr>
      <w:r>
        <w:rPr/>
        <w:t>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日本公司按工程进度共支付该</w:t>
      </w:r>
      <w:r>
        <w:rPr>
          <w:spacing w:val="-55"/>
        </w:rPr>
        <w:t> </w:t>
      </w:r>
      <w:r>
        <w:rPr>
          <w:rFonts w:ascii="宋体" w:hAnsi="宋体" w:cs="宋体" w:eastAsia="宋体" w:hint="default"/>
        </w:rPr>
        <w:t>BT</w:t>
      </w:r>
      <w:r>
        <w:rPr>
          <w:rFonts w:ascii="宋体" w:hAnsi="宋体" w:cs="宋体" w:eastAsia="宋体" w:hint="default"/>
          <w:spacing w:val="-53"/>
        </w:rPr>
        <w:t> </w:t>
      </w:r>
      <w:r>
        <w:rPr/>
        <w:t>项目工程款合计</w:t>
      </w:r>
      <w:r>
        <w:rPr>
          <w:spacing w:val="-53"/>
        </w:rPr>
        <w:t> </w:t>
      </w:r>
      <w:r>
        <w:rPr>
          <w:rFonts w:ascii="宋体" w:hAnsi="宋体" w:cs="宋体" w:eastAsia="宋体" w:hint="default"/>
        </w:rPr>
        <w:t>904,668,953.30</w:t>
      </w:r>
      <w:r>
        <w:rPr>
          <w:rFonts w:ascii="宋体" w:hAnsi="宋体" w:cs="宋体" w:eastAsia="宋体" w:hint="default"/>
          <w:spacing w:val="-53"/>
        </w:rPr>
        <w:t> </w:t>
      </w:r>
      <w:r>
        <w:rPr/>
        <w:t>元。</w:t>
      </w:r>
    </w:p>
    <w:p>
      <w:pPr>
        <w:pStyle w:val="BodyText"/>
        <w:spacing w:line="240" w:lineRule="auto" w:before="37"/>
        <w:ind w:left="138" w:right="0"/>
        <w:jc w:val="both"/>
      </w:pPr>
      <w:r>
        <w:rPr/>
        <w:t>该项目工程总造价合计</w:t>
      </w:r>
      <w:r>
        <w:rPr>
          <w:spacing w:val="-55"/>
        </w:rPr>
        <w:t> </w:t>
      </w:r>
      <w:r>
        <w:rPr>
          <w:rFonts w:ascii="宋体" w:hAnsi="宋体" w:cs="宋体" w:eastAsia="宋体" w:hint="default"/>
        </w:rPr>
        <w:t>911,487,830.43</w:t>
      </w:r>
      <w:r>
        <w:rPr>
          <w:rFonts w:ascii="宋体" w:hAnsi="宋体" w:cs="宋体" w:eastAsia="宋体" w:hint="default"/>
          <w:spacing w:val="-58"/>
        </w:rPr>
        <w:t> </w:t>
      </w:r>
      <w:r>
        <w:rPr/>
        <w:t>元，其中：经眉山市审计局审计的工程结算造价合计</w:t>
      </w:r>
    </w:p>
    <w:p>
      <w:pPr>
        <w:spacing w:after="0" w:line="240"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rPr>
          <w:rFonts w:ascii="宋体" w:hAnsi="宋体" w:cs="宋体" w:eastAsia="宋体" w:hint="default"/>
        </w:rPr>
      </w:pPr>
      <w:r>
        <w:rPr>
          <w:rFonts w:ascii="宋体" w:hAnsi="宋体" w:cs="宋体" w:eastAsia="宋体" w:hint="default"/>
        </w:rPr>
        <w:t>842,821,163.73</w:t>
      </w:r>
      <w:r>
        <w:rPr>
          <w:rFonts w:ascii="宋体" w:hAnsi="宋体" w:cs="宋体" w:eastAsia="宋体" w:hint="default"/>
          <w:spacing w:val="-55"/>
        </w:rPr>
        <w:t> </w:t>
      </w:r>
      <w:r>
        <w:rPr/>
        <w:t>元，眉州大道改造工程项目后期施工服务成本合计</w:t>
      </w:r>
      <w:r>
        <w:rPr>
          <w:spacing w:val="-55"/>
        </w:rPr>
        <w:t> </w:t>
      </w:r>
      <w:r>
        <w:rPr>
          <w:rFonts w:ascii="宋体" w:hAnsi="宋体" w:cs="宋体" w:eastAsia="宋体" w:hint="default"/>
        </w:rPr>
        <w:t>68,666,666.70</w:t>
      </w:r>
      <w:r>
        <w:rPr>
          <w:rFonts w:ascii="宋体" w:hAnsi="宋体" w:cs="宋体" w:eastAsia="宋体" w:hint="default"/>
          <w:spacing w:val="-57"/>
        </w:rPr>
        <w:t> </w:t>
      </w:r>
      <w:r>
        <w:rPr/>
        <w:t>元。按各</w:t>
      </w:r>
      <w:r>
        <w:rPr>
          <w:spacing w:val="-57"/>
        </w:rPr>
        <w:t> </w:t>
      </w:r>
      <w:r>
        <w:rPr>
          <w:rFonts w:ascii="宋体" w:hAnsi="宋体" w:cs="宋体" w:eastAsia="宋体" w:hint="default"/>
        </w:rPr>
        <w:t>BT</w:t>
      </w:r>
    </w:p>
    <w:p>
      <w:pPr>
        <w:pStyle w:val="BodyText"/>
        <w:spacing w:line="240" w:lineRule="auto" w:before="39"/>
        <w:ind w:left="138" w:right="0"/>
        <w:jc w:val="both"/>
      </w:pPr>
      <w:r>
        <w:rPr/>
        <w:t>子项目开工及完工时间计算的建设期资金占用费合计</w:t>
      </w:r>
      <w:r>
        <w:rPr>
          <w:spacing w:val="-55"/>
        </w:rPr>
        <w:t> </w:t>
      </w:r>
      <w:r>
        <w:rPr>
          <w:rFonts w:ascii="宋体" w:hAnsi="宋体" w:cs="宋体" w:eastAsia="宋体" w:hint="default"/>
        </w:rPr>
        <w:t>78,061,965.36</w:t>
      </w:r>
      <w:r>
        <w:rPr>
          <w:rFonts w:ascii="宋体" w:hAnsi="宋体" w:cs="宋体" w:eastAsia="宋体" w:hint="default"/>
          <w:spacing w:val="-55"/>
        </w:rPr>
        <w:t> </w:t>
      </w:r>
      <w:r>
        <w:rPr/>
        <w:t>元；以项目工程总造价</w:t>
      </w:r>
    </w:p>
    <w:p>
      <w:pPr>
        <w:pStyle w:val="BodyText"/>
        <w:spacing w:line="240" w:lineRule="auto" w:before="37"/>
        <w:ind w:left="138" w:right="0"/>
        <w:jc w:val="both"/>
      </w:pPr>
      <w:r>
        <w:rPr>
          <w:rFonts w:ascii="宋体" w:hAnsi="宋体" w:cs="宋体" w:eastAsia="宋体" w:hint="default"/>
        </w:rPr>
        <w:t>911,487,830.43</w:t>
      </w:r>
      <w:r>
        <w:rPr>
          <w:rFonts w:ascii="宋体" w:hAnsi="宋体" w:cs="宋体" w:eastAsia="宋体" w:hint="default"/>
          <w:spacing w:val="2"/>
        </w:rPr>
        <w:t> </w:t>
      </w:r>
      <w:r>
        <w:rPr>
          <w:spacing w:val="-3"/>
        </w:rPr>
        <w:t>元作为长期应收款—回购期基数（待结算价款审计确认后再调整），按合同约定</w:t>
      </w:r>
    </w:p>
    <w:p>
      <w:pPr>
        <w:pStyle w:val="BodyText"/>
        <w:spacing w:line="240" w:lineRule="auto" w:before="39"/>
        <w:ind w:left="138" w:right="0"/>
        <w:jc w:val="both"/>
      </w:pPr>
      <w:r>
        <w:rPr/>
        <w:t>的回购进度及实际利率法确认截止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日回购期投资回报合计</w:t>
      </w:r>
      <w:r>
        <w:rPr>
          <w:spacing w:val="-53"/>
        </w:rPr>
        <w:t> </w:t>
      </w:r>
      <w:r>
        <w:rPr>
          <w:rFonts w:ascii="宋体" w:hAnsi="宋体" w:cs="宋体" w:eastAsia="宋体" w:hint="default"/>
        </w:rPr>
        <w:t>318,378,231.75</w:t>
      </w:r>
      <w:r>
        <w:rPr>
          <w:rFonts w:ascii="宋体" w:hAnsi="宋体" w:cs="宋体" w:eastAsia="宋体" w:hint="default"/>
          <w:spacing w:val="-55"/>
        </w:rPr>
        <w:t> </w:t>
      </w:r>
      <w:r>
        <w:rPr/>
        <w:t>元。</w:t>
      </w:r>
    </w:p>
    <w:p>
      <w:pPr>
        <w:pStyle w:val="BodyText"/>
        <w:spacing w:line="240" w:lineRule="auto" w:before="37"/>
        <w:ind w:left="558" w:right="0"/>
        <w:jc w:val="left"/>
      </w:pPr>
      <w:r>
        <w:rPr>
          <w:w w:val="100"/>
        </w:rPr>
        <w:t>截止</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日按</w:t>
      </w:r>
      <w:r>
        <w:rPr>
          <w:w w:val="100"/>
        </w:rPr>
        <w:t>照合</w:t>
      </w:r>
      <w:r>
        <w:rPr>
          <w:spacing w:val="-3"/>
          <w:w w:val="100"/>
        </w:rPr>
        <w:t>同</w:t>
      </w:r>
      <w:r>
        <w:rPr>
          <w:w w:val="100"/>
        </w:rPr>
        <w:t>确</w:t>
      </w:r>
      <w:r>
        <w:rPr>
          <w:spacing w:val="-3"/>
          <w:w w:val="100"/>
        </w:rPr>
        <w:t>认</w:t>
      </w:r>
      <w:r>
        <w:rPr>
          <w:w w:val="100"/>
        </w:rPr>
        <w:t>的</w:t>
      </w:r>
      <w:r>
        <w:rPr>
          <w:spacing w:val="-3"/>
          <w:w w:val="100"/>
        </w:rPr>
        <w:t>回</w:t>
      </w:r>
      <w:r>
        <w:rPr>
          <w:w w:val="100"/>
        </w:rPr>
        <w:t>购</w:t>
      </w:r>
      <w:r>
        <w:rPr>
          <w:spacing w:val="-3"/>
          <w:w w:val="100"/>
        </w:rPr>
        <w:t>价</w:t>
      </w:r>
      <w:r>
        <w:rPr>
          <w:w w:val="100"/>
        </w:rPr>
        <w:t>款</w:t>
      </w:r>
      <w:r>
        <w:rPr>
          <w:spacing w:val="-3"/>
          <w:w w:val="100"/>
        </w:rPr>
        <w:t>计</w:t>
      </w:r>
      <w:r>
        <w:rPr>
          <w:w w:val="100"/>
        </w:rPr>
        <w:t>算及</w:t>
      </w:r>
      <w:r>
        <w:rPr>
          <w:spacing w:val="-3"/>
          <w:w w:val="100"/>
        </w:rPr>
        <w:t>支</w:t>
      </w:r>
      <w:r>
        <w:rPr>
          <w:w w:val="100"/>
        </w:rPr>
        <w:t>付</w:t>
      </w:r>
      <w:r>
        <w:rPr>
          <w:spacing w:val="-3"/>
          <w:w w:val="100"/>
        </w:rPr>
        <w:t>方式</w:t>
      </w:r>
      <w:r>
        <w:rPr>
          <w:spacing w:val="-92"/>
          <w:w w:val="100"/>
        </w:rPr>
        <w:t>，</w:t>
      </w:r>
      <w:r>
        <w:rPr>
          <w:spacing w:val="-3"/>
          <w:w w:val="100"/>
        </w:rPr>
        <w:t>本</w:t>
      </w:r>
      <w:r>
        <w:rPr>
          <w:w w:val="100"/>
        </w:rPr>
        <w:t>公</w:t>
      </w:r>
      <w:r>
        <w:rPr>
          <w:spacing w:val="-3"/>
          <w:w w:val="100"/>
        </w:rPr>
        <w:t>司</w:t>
      </w:r>
      <w:r>
        <w:rPr>
          <w:w w:val="100"/>
        </w:rPr>
        <w:t>已</w:t>
      </w:r>
      <w:r>
        <w:rPr>
          <w:spacing w:val="-3"/>
          <w:w w:val="100"/>
        </w:rPr>
        <w:t>收</w:t>
      </w:r>
      <w:r>
        <w:rPr>
          <w:w w:val="100"/>
        </w:rPr>
        <w:t>到回</w:t>
      </w:r>
      <w:r>
        <w:rPr>
          <w:spacing w:val="-3"/>
          <w:w w:val="100"/>
        </w:rPr>
        <w:t>购</w:t>
      </w:r>
      <w:r>
        <w:rPr>
          <w:w w:val="100"/>
        </w:rPr>
        <w:t>款</w:t>
      </w:r>
      <w:r>
        <w:rPr>
          <w:spacing w:val="-3"/>
          <w:w w:val="100"/>
        </w:rPr>
        <w:t>合</w:t>
      </w:r>
      <w:r>
        <w:rPr>
          <w:w w:val="100"/>
        </w:rPr>
        <w:t>计</w:t>
      </w:r>
    </w:p>
    <w:p>
      <w:pPr>
        <w:pStyle w:val="BodyText"/>
        <w:spacing w:line="240" w:lineRule="auto" w:before="39"/>
        <w:ind w:left="138" w:right="0"/>
        <w:jc w:val="both"/>
        <w:rPr>
          <w:rFonts w:ascii="宋体" w:hAnsi="宋体" w:cs="宋体" w:eastAsia="宋体" w:hint="default"/>
        </w:rPr>
      </w:pPr>
      <w:r>
        <w:rPr>
          <w:rFonts w:ascii="宋体" w:hAnsi="宋体" w:cs="宋体" w:eastAsia="宋体" w:hint="default"/>
          <w:w w:val="100"/>
        </w:rPr>
        <w:t>1</w:t>
      </w:r>
      <w:r>
        <w:rPr>
          <w:rFonts w:ascii="宋体" w:hAnsi="宋体" w:cs="宋体" w:eastAsia="宋体" w:hint="default"/>
          <w:spacing w:val="-1"/>
          <w:w w:val="100"/>
        </w:rPr>
        <w:t>,</w:t>
      </w:r>
      <w:r>
        <w:rPr>
          <w:rFonts w:ascii="宋体" w:hAnsi="宋体" w:cs="宋体" w:eastAsia="宋体" w:hint="default"/>
          <w:w w:val="100"/>
        </w:rPr>
        <w:t>250</w:t>
      </w:r>
      <w:r>
        <w:rPr>
          <w:rFonts w:ascii="宋体" w:hAnsi="宋体" w:cs="宋体" w:eastAsia="宋体" w:hint="default"/>
          <w:spacing w:val="-3"/>
          <w:w w:val="100"/>
        </w:rPr>
        <w:t>,</w:t>
      </w:r>
      <w:r>
        <w:rPr>
          <w:rFonts w:ascii="宋体" w:hAnsi="宋体" w:cs="宋体" w:eastAsia="宋体" w:hint="default"/>
          <w:w w:val="100"/>
        </w:rPr>
        <w:t>008</w:t>
      </w:r>
      <w:r>
        <w:rPr>
          <w:rFonts w:ascii="宋体" w:hAnsi="宋体" w:cs="宋体" w:eastAsia="宋体" w:hint="default"/>
          <w:spacing w:val="-3"/>
          <w:w w:val="100"/>
        </w:rPr>
        <w:t>,</w:t>
      </w:r>
      <w:r>
        <w:rPr>
          <w:rFonts w:ascii="宋体" w:hAnsi="宋体" w:cs="宋体" w:eastAsia="宋体" w:hint="default"/>
          <w:w w:val="100"/>
        </w:rPr>
        <w:t>401</w:t>
      </w:r>
      <w:r>
        <w:rPr>
          <w:rFonts w:ascii="宋体" w:hAnsi="宋体" w:cs="宋体" w:eastAsia="宋体" w:hint="default"/>
          <w:spacing w:val="-3"/>
          <w:w w:val="100"/>
        </w:rPr>
        <w:t>.</w:t>
      </w:r>
      <w:r>
        <w:rPr>
          <w:rFonts w:ascii="宋体" w:hAnsi="宋体" w:cs="宋体" w:eastAsia="宋体" w:hint="default"/>
          <w:w w:val="100"/>
        </w:rPr>
        <w:t>46</w:t>
      </w:r>
      <w:r>
        <w:rPr>
          <w:rFonts w:ascii="宋体" w:hAnsi="宋体" w:cs="宋体" w:eastAsia="宋体" w:hint="default"/>
          <w:spacing w:val="-55"/>
        </w:rPr>
        <w:t> </w:t>
      </w:r>
      <w:r>
        <w:rPr>
          <w:w w:val="100"/>
        </w:rPr>
        <w:t>元</w:t>
      </w:r>
      <w:r>
        <w:rPr>
          <w:spacing w:val="-101"/>
          <w:w w:val="100"/>
        </w:rPr>
        <w:t>，</w:t>
      </w:r>
      <w:r>
        <w:rPr>
          <w:spacing w:val="-3"/>
          <w:w w:val="100"/>
        </w:rPr>
        <w:t>其</w:t>
      </w:r>
      <w:r>
        <w:rPr>
          <w:w w:val="100"/>
        </w:rPr>
        <w:t>中</w:t>
      </w:r>
      <w:r>
        <w:rPr>
          <w:spacing w:val="-101"/>
          <w:w w:val="100"/>
        </w:rPr>
        <w:t>：</w:t>
      </w:r>
      <w:r>
        <w:rPr>
          <w:spacing w:val="-3"/>
          <w:w w:val="100"/>
        </w:rPr>
        <w:t>工</w:t>
      </w:r>
      <w:r>
        <w:rPr>
          <w:w w:val="100"/>
        </w:rPr>
        <w:t>程</w:t>
      </w:r>
      <w:r>
        <w:rPr>
          <w:spacing w:val="-3"/>
          <w:w w:val="100"/>
        </w:rPr>
        <w:t>支</w:t>
      </w:r>
      <w:r>
        <w:rPr>
          <w:w w:val="100"/>
        </w:rPr>
        <w:t>出</w:t>
      </w:r>
      <w:r>
        <w:rPr>
          <w:spacing w:val="-3"/>
          <w:w w:val="100"/>
        </w:rPr>
        <w:t>本</w:t>
      </w:r>
      <w:r>
        <w:rPr>
          <w:w w:val="100"/>
        </w:rPr>
        <w:t>金</w:t>
      </w:r>
      <w:r>
        <w:rPr>
          <w:spacing w:val="-53"/>
        </w:rPr>
        <w:t> </w:t>
      </w:r>
      <w:r>
        <w:rPr>
          <w:rFonts w:ascii="宋体" w:hAnsi="宋体" w:cs="宋体" w:eastAsia="宋体" w:hint="default"/>
          <w:spacing w:val="-3"/>
          <w:w w:val="100"/>
        </w:rPr>
        <w:t>8</w:t>
      </w:r>
      <w:r>
        <w:rPr>
          <w:rFonts w:ascii="宋体" w:hAnsi="宋体" w:cs="宋体" w:eastAsia="宋体" w:hint="default"/>
          <w:w w:val="100"/>
        </w:rPr>
        <w:t>6</w:t>
      </w:r>
      <w:r>
        <w:rPr>
          <w:rFonts w:ascii="宋体" w:hAnsi="宋体" w:cs="宋体" w:eastAsia="宋体" w:hint="default"/>
          <w:spacing w:val="-1"/>
          <w:w w:val="100"/>
        </w:rPr>
        <w:t>0</w:t>
      </w:r>
      <w:r>
        <w:rPr>
          <w:rFonts w:ascii="宋体" w:hAnsi="宋体" w:cs="宋体" w:eastAsia="宋体" w:hint="default"/>
          <w:w w:val="100"/>
        </w:rPr>
        <w:t>,2</w:t>
      </w:r>
      <w:r>
        <w:rPr>
          <w:rFonts w:ascii="宋体" w:hAnsi="宋体" w:cs="宋体" w:eastAsia="宋体" w:hint="default"/>
          <w:spacing w:val="-3"/>
          <w:w w:val="100"/>
        </w:rPr>
        <w:t>86</w:t>
      </w:r>
      <w:r>
        <w:rPr>
          <w:rFonts w:ascii="宋体" w:hAnsi="宋体" w:cs="宋体" w:eastAsia="宋体" w:hint="default"/>
          <w:w w:val="100"/>
        </w:rPr>
        <w:t>,748.</w:t>
      </w:r>
      <w:r>
        <w:rPr>
          <w:rFonts w:ascii="宋体" w:hAnsi="宋体" w:cs="宋体" w:eastAsia="宋体" w:hint="default"/>
          <w:spacing w:val="-3"/>
          <w:w w:val="100"/>
        </w:rPr>
        <w:t>6</w:t>
      </w:r>
      <w:r>
        <w:rPr>
          <w:rFonts w:ascii="宋体" w:hAnsi="宋体" w:cs="宋体" w:eastAsia="宋体" w:hint="default"/>
          <w:w w:val="100"/>
        </w:rPr>
        <w:t>4</w:t>
      </w:r>
      <w:r>
        <w:rPr>
          <w:rFonts w:ascii="宋体" w:hAnsi="宋体" w:cs="宋体" w:eastAsia="宋体" w:hint="default"/>
          <w:spacing w:val="-53"/>
        </w:rPr>
        <w:t> </w:t>
      </w:r>
      <w:r>
        <w:rPr>
          <w:spacing w:val="-3"/>
          <w:w w:val="100"/>
        </w:rPr>
        <w:t>元</w:t>
      </w:r>
      <w:r>
        <w:rPr>
          <w:spacing w:val="-101"/>
          <w:w w:val="100"/>
        </w:rPr>
        <w:t>、</w:t>
      </w:r>
      <w:r>
        <w:rPr>
          <w:spacing w:val="-3"/>
          <w:w w:val="100"/>
        </w:rPr>
        <w:t>建</w:t>
      </w:r>
      <w:r>
        <w:rPr>
          <w:w w:val="100"/>
        </w:rPr>
        <w:t>设</w:t>
      </w:r>
      <w:r>
        <w:rPr>
          <w:spacing w:val="-3"/>
          <w:w w:val="100"/>
        </w:rPr>
        <w:t>期</w:t>
      </w:r>
      <w:r>
        <w:rPr>
          <w:w w:val="100"/>
        </w:rPr>
        <w:t>资</w:t>
      </w:r>
      <w:r>
        <w:rPr>
          <w:spacing w:val="-3"/>
          <w:w w:val="100"/>
        </w:rPr>
        <w:t>金占</w:t>
      </w:r>
      <w:r>
        <w:rPr>
          <w:w w:val="100"/>
        </w:rPr>
        <w:t>用费</w:t>
      </w:r>
      <w:r>
        <w:rPr>
          <w:spacing w:val="-53"/>
        </w:rPr>
        <w:t> </w:t>
      </w:r>
      <w:r>
        <w:rPr>
          <w:rFonts w:ascii="宋体" w:hAnsi="宋体" w:cs="宋体" w:eastAsia="宋体" w:hint="default"/>
          <w:spacing w:val="-3"/>
          <w:w w:val="100"/>
        </w:rPr>
        <w:t>7</w:t>
      </w:r>
      <w:r>
        <w:rPr>
          <w:rFonts w:ascii="宋体" w:hAnsi="宋体" w:cs="宋体" w:eastAsia="宋体" w:hint="default"/>
          <w:w w:val="100"/>
        </w:rPr>
        <w:t>8,0</w:t>
      </w:r>
      <w:r>
        <w:rPr>
          <w:rFonts w:ascii="宋体" w:hAnsi="宋体" w:cs="宋体" w:eastAsia="宋体" w:hint="default"/>
          <w:spacing w:val="-3"/>
          <w:w w:val="100"/>
        </w:rPr>
        <w:t>6</w:t>
      </w:r>
      <w:r>
        <w:rPr>
          <w:rFonts w:ascii="宋体" w:hAnsi="宋体" w:cs="宋体" w:eastAsia="宋体" w:hint="default"/>
          <w:w w:val="100"/>
        </w:rPr>
        <w:t>1,9</w:t>
      </w:r>
      <w:r>
        <w:rPr>
          <w:rFonts w:ascii="宋体" w:hAnsi="宋体" w:cs="宋体" w:eastAsia="宋体" w:hint="default"/>
          <w:spacing w:val="-3"/>
          <w:w w:val="100"/>
        </w:rPr>
        <w:t>6</w:t>
      </w:r>
      <w:r>
        <w:rPr>
          <w:rFonts w:ascii="宋体" w:hAnsi="宋体" w:cs="宋体" w:eastAsia="宋体" w:hint="default"/>
          <w:w w:val="100"/>
        </w:rPr>
        <w:t>5.36</w:t>
      </w:r>
    </w:p>
    <w:p>
      <w:pPr>
        <w:pStyle w:val="BodyText"/>
        <w:spacing w:line="240" w:lineRule="auto" w:before="37"/>
        <w:ind w:left="138" w:right="0"/>
        <w:jc w:val="both"/>
      </w:pPr>
      <w:r>
        <w:rPr/>
        <w:t>元、回购期投资回报</w:t>
      </w:r>
      <w:r>
        <w:rPr>
          <w:spacing w:val="-55"/>
        </w:rPr>
        <w:t> </w:t>
      </w:r>
      <w:r>
        <w:rPr>
          <w:rFonts w:ascii="宋体" w:hAnsi="宋体" w:cs="宋体" w:eastAsia="宋体" w:hint="default"/>
        </w:rPr>
        <w:t>311,659,687.46</w:t>
      </w:r>
      <w:r>
        <w:rPr>
          <w:rFonts w:ascii="宋体" w:hAnsi="宋体" w:cs="宋体" w:eastAsia="宋体" w:hint="default"/>
          <w:spacing w:val="-54"/>
        </w:rPr>
        <w:t> </w:t>
      </w:r>
      <w:r>
        <w:rPr>
          <w:spacing w:val="-3"/>
        </w:rPr>
        <w:t>元。</w:t>
      </w:r>
      <w:r>
        <w:rPr/>
      </w:r>
    </w:p>
    <w:p>
      <w:pPr>
        <w:pStyle w:val="BodyText"/>
        <w:spacing w:line="240" w:lineRule="auto" w:before="39"/>
        <w:ind w:left="558" w:right="158"/>
        <w:jc w:val="left"/>
      </w:pPr>
      <w:r>
        <w:rPr/>
        <w:t>（二）关于银座集团超市门店基础照明节能改造项目</w:t>
      </w:r>
    </w:p>
    <w:p>
      <w:pPr>
        <w:pStyle w:val="BodyText"/>
        <w:spacing w:line="240" w:lineRule="auto" w:before="37"/>
        <w:ind w:left="558" w:right="0"/>
        <w:jc w:val="left"/>
      </w:pPr>
      <w:r>
        <w:rPr/>
        <w:t>本公司出资人民币 </w:t>
      </w:r>
      <w:r>
        <w:rPr>
          <w:rFonts w:ascii="宋体" w:hAnsi="宋体" w:cs="宋体" w:eastAsia="宋体" w:hint="default"/>
        </w:rPr>
        <w:t>2000</w:t>
      </w:r>
      <w:r>
        <w:rPr>
          <w:rFonts w:ascii="宋体" w:hAnsi="宋体" w:cs="宋体" w:eastAsia="宋体" w:hint="default"/>
          <w:spacing w:val="-4"/>
        </w:rPr>
        <w:t> </w:t>
      </w:r>
      <w:r>
        <w:rPr/>
        <w:t>万元购买山东晶芯能源科技有限公司（以下简称“山东晶芯”）所</w:t>
      </w:r>
    </w:p>
    <w:p>
      <w:pPr>
        <w:pStyle w:val="BodyText"/>
        <w:spacing w:line="273" w:lineRule="auto" w:before="39"/>
        <w:ind w:left="138" w:right="152"/>
        <w:jc w:val="left"/>
      </w:pPr>
      <w:r>
        <w:rPr/>
        <w:t>持有的参与银座集团超市门店基础照明节能改造项目所形成的三年（ </w:t>
      </w:r>
      <w:r>
        <w:rPr>
          <w:rFonts w:ascii="宋体" w:hAnsi="宋体" w:cs="宋体" w:eastAsia="宋体" w:hint="default"/>
        </w:rPr>
        <w:t>2016 </w:t>
      </w:r>
      <w:r>
        <w:rPr/>
        <w:t>年 </w:t>
      </w:r>
      <w:r>
        <w:rPr>
          <w:rFonts w:ascii="宋体" w:hAnsi="宋体" w:cs="宋体" w:eastAsia="宋体" w:hint="default"/>
        </w:rPr>
        <w:t>3 </w:t>
      </w:r>
      <w:r>
        <w:rPr/>
        <w:t>月 </w:t>
      </w:r>
      <w:r>
        <w:rPr>
          <w:rFonts w:ascii="宋体" w:hAnsi="宋体" w:cs="宋体" w:eastAsia="宋体" w:hint="default"/>
        </w:rPr>
        <w:t>-2019 </w:t>
      </w:r>
      <w:r>
        <w:rPr/>
        <w:t>年</w:t>
      </w:r>
      <w:r>
        <w:rPr>
          <w:spacing w:val="-4"/>
        </w:rPr>
        <w:t> </w:t>
      </w:r>
      <w:r>
        <w:rPr>
          <w:rFonts w:ascii="宋体" w:hAnsi="宋体" w:cs="宋体" w:eastAsia="宋体" w:hint="default"/>
        </w:rPr>
        <w:t>2</w:t>
      </w:r>
      <w:r>
        <w:rPr>
          <w:rFonts w:ascii="宋体" w:hAnsi="宋体" w:cs="宋体" w:eastAsia="宋体" w:hint="default"/>
          <w:w w:val="100"/>
        </w:rPr>
        <w:t> </w:t>
      </w:r>
      <w:r>
        <w:rPr/>
        <w:t>月）节能效益分享权，合同部分约定事项如下：</w:t>
      </w:r>
    </w:p>
    <w:p>
      <w:pPr>
        <w:pStyle w:val="BodyText"/>
        <w:spacing w:line="273" w:lineRule="auto" w:before="10"/>
        <w:ind w:left="138" w:right="148" w:firstLine="419"/>
        <w:jc w:val="both"/>
      </w:pPr>
      <w:r>
        <w:rPr>
          <w:rFonts w:ascii="宋体" w:hAnsi="宋体" w:cs="宋体" w:eastAsia="宋体" w:hint="default"/>
          <w:spacing w:val="-4"/>
        </w:rPr>
        <w:t>1</w:t>
      </w:r>
      <w:r>
        <w:rPr>
          <w:spacing w:val="-4"/>
        </w:rPr>
        <w:t>、“银座集团超市门店基础照明节能改造项目”合同由山东晶芯与银座集团股份有限公司签</w:t>
      </w:r>
      <w:r>
        <w:rPr>
          <w:w w:val="100"/>
        </w:rPr>
        <w:t> </w:t>
      </w:r>
      <w:r>
        <w:rPr>
          <w:spacing w:val="-2"/>
        </w:rPr>
        <w:t>订，山东晶芯将节能效益分享权转移给本公司后，仍然负责项目的运作和管理，山东晶芯负责所</w:t>
      </w:r>
      <w:r>
        <w:rPr>
          <w:spacing w:val="-25"/>
        </w:rPr>
        <w:t> </w:t>
      </w:r>
      <w:r>
        <w:rPr>
          <w:spacing w:val="-25"/>
        </w:rPr>
      </w:r>
      <w:r>
        <w:rPr/>
        <w:t>转让的节能分享效益的收取及后期项目的维护，本公司同意按照所收取节能效益的</w:t>
      </w:r>
      <w:r>
        <w:rPr>
          <w:spacing w:val="-54"/>
        </w:rPr>
        <w:t> </w:t>
      </w:r>
      <w:r>
        <w:rPr>
          <w:rFonts w:ascii="宋体" w:hAnsi="宋体" w:cs="宋体" w:eastAsia="宋体" w:hint="default"/>
        </w:rPr>
        <w:t>40%</w:t>
      </w:r>
      <w:r>
        <w:rPr/>
        <w:t>作为乙方</w:t>
      </w:r>
      <w:r>
        <w:rPr>
          <w:w w:val="100"/>
        </w:rPr>
        <w:t> </w:t>
      </w:r>
      <w:r>
        <w:rPr/>
        <w:t>参与管理与运维的成本。</w:t>
      </w:r>
    </w:p>
    <w:p>
      <w:pPr>
        <w:pStyle w:val="BodyText"/>
        <w:spacing w:line="240" w:lineRule="auto" w:before="10"/>
        <w:ind w:left="558" w:right="0"/>
        <w:jc w:val="left"/>
      </w:pPr>
      <w:r>
        <w:rPr>
          <w:rFonts w:ascii="宋体" w:hAnsi="宋体" w:cs="宋体" w:eastAsia="宋体" w:hint="default"/>
        </w:rPr>
        <w:t>2</w:t>
      </w:r>
      <w:r>
        <w:rPr/>
        <w:t>、山东晶芯承诺所转让的银座集团节能效益分享权的</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3-8</w:t>
      </w:r>
      <w:r>
        <w:rPr>
          <w:rFonts w:ascii="宋体" w:hAnsi="宋体" w:cs="宋体" w:eastAsia="宋体" w:hint="default"/>
          <w:spacing w:val="-56"/>
        </w:rPr>
        <w:t> </w:t>
      </w:r>
      <w:r>
        <w:rPr/>
        <w:t>月节能收益不低于</w:t>
      </w:r>
      <w:r>
        <w:rPr>
          <w:spacing w:val="-53"/>
        </w:rPr>
        <w:t> </w:t>
      </w:r>
      <w:r>
        <w:rPr>
          <w:rFonts w:ascii="宋体" w:hAnsi="宋体" w:cs="宋体" w:eastAsia="宋体" w:hint="default"/>
        </w:rPr>
        <w:t>750</w:t>
      </w:r>
      <w:r>
        <w:rPr>
          <w:rFonts w:ascii="宋体" w:hAnsi="宋体" w:cs="宋体" w:eastAsia="宋体" w:hint="default"/>
          <w:spacing w:val="-56"/>
        </w:rPr>
        <w:t> </w:t>
      </w:r>
      <w:r>
        <w:rPr/>
        <w:t>万</w:t>
      </w:r>
    </w:p>
    <w:p>
      <w:pPr>
        <w:pStyle w:val="BodyText"/>
        <w:spacing w:line="273" w:lineRule="auto" w:before="37"/>
        <w:ind w:left="138" w:right="157"/>
        <w:jc w:val="both"/>
      </w:pPr>
      <w:r>
        <w:rPr/>
        <w:t>元，从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w:t>
      </w:r>
      <w:r>
        <w:rPr>
          <w:spacing w:val="-53"/>
        </w:rPr>
        <w:t> </w:t>
      </w:r>
      <w:r>
        <w:rPr>
          <w:rFonts w:ascii="宋体" w:hAnsi="宋体" w:cs="宋体" w:eastAsia="宋体" w:hint="default"/>
        </w:rPr>
        <w:t>2.5</w:t>
      </w:r>
      <w:r>
        <w:rPr>
          <w:rFonts w:ascii="宋体" w:hAnsi="宋体" w:cs="宋体" w:eastAsia="宋体" w:hint="default"/>
          <w:spacing w:val="-56"/>
        </w:rPr>
        <w:t> </w:t>
      </w:r>
      <w:r>
        <w:rPr/>
        <w:t>年内起每</w:t>
      </w:r>
      <w:r>
        <w:rPr>
          <w:spacing w:val="-54"/>
        </w:rPr>
        <w:t> </w:t>
      </w:r>
      <w:r>
        <w:rPr>
          <w:rFonts w:ascii="宋体" w:hAnsi="宋体" w:cs="宋体" w:eastAsia="宋体" w:hint="default"/>
        </w:rPr>
        <w:t>6</w:t>
      </w:r>
      <w:r>
        <w:rPr>
          <w:rFonts w:ascii="宋体" w:hAnsi="宋体" w:cs="宋体" w:eastAsia="宋体" w:hint="default"/>
          <w:spacing w:val="-54"/>
        </w:rPr>
        <w:t> </w:t>
      </w:r>
      <w:r>
        <w:rPr/>
        <w:t>个月收益不低于</w:t>
      </w:r>
      <w:r>
        <w:rPr>
          <w:spacing w:val="-54"/>
        </w:rPr>
        <w:t> </w:t>
      </w:r>
      <w:r>
        <w:rPr>
          <w:rFonts w:ascii="宋体" w:hAnsi="宋体" w:cs="宋体" w:eastAsia="宋体" w:hint="default"/>
        </w:rPr>
        <w:t>716.67</w:t>
      </w:r>
      <w:r>
        <w:rPr>
          <w:rFonts w:ascii="宋体" w:hAnsi="宋体" w:cs="宋体" w:eastAsia="宋体" w:hint="default"/>
          <w:spacing w:val="-54"/>
        </w:rPr>
        <w:t> </w:t>
      </w:r>
      <w:r>
        <w:rPr/>
        <w:t>万元，山东晶芯所转让的资产</w:t>
      </w:r>
      <w:r>
        <w:rPr>
          <w:w w:val="100"/>
        </w:rPr>
        <w:t> </w:t>
      </w:r>
      <w:r>
        <w:rPr>
          <w:spacing w:val="-2"/>
        </w:rPr>
        <w:t>节能效益低于承诺数时由山东晶芯补齐差额后支付给本公司。山东晶芯收到所属本公司的银座集</w:t>
      </w:r>
      <w:r>
        <w:rPr>
          <w:spacing w:val="-25"/>
        </w:rPr>
        <w:t> </w:t>
      </w:r>
      <w:r>
        <w:rPr>
          <w:spacing w:val="-25"/>
        </w:rPr>
      </w:r>
      <w:r>
        <w:rPr>
          <w:spacing w:val="-2"/>
        </w:rPr>
        <w:t>团的节能收益后，扣除</w:t>
      </w:r>
      <w:r>
        <w:rPr>
          <w:spacing w:val="23"/>
        </w:rPr>
        <w:t> </w:t>
      </w:r>
      <w:r>
        <w:rPr>
          <w:rFonts w:ascii="宋体" w:hAnsi="宋体" w:cs="宋体" w:eastAsia="宋体" w:hint="default"/>
          <w:spacing w:val="-2"/>
        </w:rPr>
        <w:t>40%</w:t>
      </w:r>
      <w:r>
        <w:rPr>
          <w:spacing w:val="-2"/>
        </w:rPr>
        <w:t>管理、运维成本支付给本公司，每半年结算一次。具体结算如下：</w:t>
      </w:r>
    </w:p>
    <w:p>
      <w:pPr>
        <w:pStyle w:val="BodyText"/>
        <w:spacing w:line="240" w:lineRule="auto" w:before="10"/>
        <w:ind w:left="558" w:right="158"/>
        <w:jc w:val="left"/>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日支付给节能净收益（山东晶芯扣除管理费后收益）不低于</w:t>
      </w:r>
      <w:r>
        <w:rPr>
          <w:spacing w:val="-54"/>
        </w:rPr>
        <w:t> </w:t>
      </w:r>
      <w:r>
        <w:rPr>
          <w:rFonts w:ascii="宋体" w:hAnsi="宋体" w:cs="宋体" w:eastAsia="宋体" w:hint="default"/>
        </w:rPr>
        <w:t>450</w:t>
      </w:r>
      <w:r>
        <w:rPr>
          <w:rFonts w:ascii="宋体" w:hAnsi="宋体" w:cs="宋体" w:eastAsia="宋体" w:hint="default"/>
          <w:spacing w:val="-53"/>
        </w:rPr>
        <w:t> </w:t>
      </w:r>
      <w:r>
        <w:rPr/>
        <w:t>万元；</w:t>
      </w:r>
      <w:r>
        <w:rPr>
          <w:rFonts w:ascii="宋体" w:hAnsi="宋体" w:cs="宋体" w:eastAsia="宋体" w:hint="default"/>
        </w:rPr>
        <w:t>2017</w:t>
      </w:r>
    </w:p>
    <w:p>
      <w:pPr>
        <w:pStyle w:val="BodyText"/>
        <w:spacing w:line="240" w:lineRule="auto" w:before="37"/>
        <w:ind w:left="138" w:right="0"/>
        <w:jc w:val="both"/>
      </w:pP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日前支付第二期节能净收益不低于</w:t>
      </w:r>
      <w:r>
        <w:rPr>
          <w:spacing w:val="-53"/>
        </w:rPr>
        <w:t> </w:t>
      </w:r>
      <w:r>
        <w:rPr>
          <w:rFonts w:ascii="宋体" w:hAnsi="宋体" w:cs="宋体" w:eastAsia="宋体" w:hint="default"/>
        </w:rPr>
        <w:t>430</w:t>
      </w:r>
      <w:r>
        <w:rPr>
          <w:rFonts w:ascii="宋体" w:hAnsi="宋体" w:cs="宋体" w:eastAsia="宋体" w:hint="default"/>
          <w:spacing w:val="-53"/>
        </w:rPr>
        <w:t> </w:t>
      </w:r>
      <w:r>
        <w:rPr>
          <w:spacing w:val="-7"/>
        </w:rPr>
        <w:t>万元；</w:t>
      </w:r>
      <w:r>
        <w:rPr>
          <w:rFonts w:ascii="宋体" w:hAnsi="宋体" w:cs="宋体" w:eastAsia="宋体" w:hint="default"/>
          <w:spacing w:val="-7"/>
        </w:rPr>
        <w:t>2017</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15</w:t>
      </w:r>
      <w:r>
        <w:rPr>
          <w:rFonts w:ascii="宋体" w:hAnsi="宋体" w:cs="宋体" w:eastAsia="宋体" w:hint="default"/>
          <w:spacing w:val="-53"/>
        </w:rPr>
        <w:t> </w:t>
      </w:r>
      <w:r>
        <w:rPr/>
        <w:t>日前支付第三期节能净收</w:t>
      </w:r>
    </w:p>
    <w:p>
      <w:pPr>
        <w:pStyle w:val="BodyText"/>
        <w:spacing w:line="240" w:lineRule="auto" w:before="40"/>
        <w:ind w:left="138" w:right="0"/>
        <w:jc w:val="both"/>
        <w:rPr>
          <w:rFonts w:ascii="宋体" w:hAnsi="宋体" w:cs="宋体" w:eastAsia="宋体" w:hint="default"/>
        </w:rPr>
      </w:pPr>
      <w:r>
        <w:rPr/>
        <w:t>益不低于</w:t>
      </w:r>
      <w:r>
        <w:rPr>
          <w:spacing w:val="-51"/>
        </w:rPr>
        <w:t> </w:t>
      </w:r>
      <w:r>
        <w:rPr>
          <w:rFonts w:ascii="宋体" w:hAnsi="宋体" w:cs="宋体" w:eastAsia="宋体" w:hint="default"/>
        </w:rPr>
        <w:t>430</w:t>
      </w:r>
      <w:r>
        <w:rPr>
          <w:rFonts w:ascii="宋体" w:hAnsi="宋体" w:cs="宋体" w:eastAsia="宋体" w:hint="default"/>
          <w:spacing w:val="-51"/>
        </w:rPr>
        <w:t> </w:t>
      </w:r>
      <w:r>
        <w:rPr>
          <w:spacing w:val="-5"/>
        </w:rPr>
        <w:t>万元；</w:t>
      </w:r>
      <w:r>
        <w:rPr>
          <w:rFonts w:ascii="宋体" w:hAnsi="宋体" w:cs="宋体" w:eastAsia="宋体" w:hint="default"/>
          <w:spacing w:val="-5"/>
        </w:rPr>
        <w:t>2018</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15</w:t>
      </w:r>
      <w:r>
        <w:rPr>
          <w:rFonts w:ascii="宋体" w:hAnsi="宋体" w:cs="宋体" w:eastAsia="宋体" w:hint="default"/>
          <w:spacing w:val="-54"/>
        </w:rPr>
        <w:t> </w:t>
      </w:r>
      <w:r>
        <w:rPr/>
        <w:t>日前支付第四期节能净收益不低于</w:t>
      </w:r>
      <w:r>
        <w:rPr>
          <w:spacing w:val="-51"/>
        </w:rPr>
        <w:t> </w:t>
      </w:r>
      <w:r>
        <w:rPr>
          <w:rFonts w:ascii="宋体" w:hAnsi="宋体" w:cs="宋体" w:eastAsia="宋体" w:hint="default"/>
        </w:rPr>
        <w:t>430</w:t>
      </w:r>
      <w:r>
        <w:rPr>
          <w:rFonts w:ascii="宋体" w:hAnsi="宋体" w:cs="宋体" w:eastAsia="宋体" w:hint="default"/>
          <w:spacing w:val="-51"/>
        </w:rPr>
        <w:t> </w:t>
      </w:r>
      <w:r>
        <w:rPr>
          <w:spacing w:val="-4"/>
        </w:rPr>
        <w:t>万元；</w:t>
      </w:r>
      <w:r>
        <w:rPr>
          <w:rFonts w:ascii="宋体" w:hAnsi="宋体" w:cs="宋体" w:eastAsia="宋体" w:hint="default"/>
          <w:spacing w:val="-4"/>
        </w:rPr>
        <w:t>2018</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r>
        <w:rPr>
          <w:spacing w:val="-51"/>
        </w:rPr>
        <w:t> </w:t>
      </w:r>
      <w:r>
        <w:rPr>
          <w:rFonts w:ascii="宋体" w:hAnsi="宋体" w:cs="宋体" w:eastAsia="宋体" w:hint="default"/>
        </w:rPr>
        <w:t>15</w:t>
      </w:r>
    </w:p>
    <w:p>
      <w:pPr>
        <w:pStyle w:val="BodyText"/>
        <w:spacing w:line="240" w:lineRule="auto" w:before="37"/>
        <w:ind w:left="138" w:right="0"/>
        <w:jc w:val="both"/>
        <w:rPr>
          <w:rFonts w:ascii="宋体" w:hAnsi="宋体" w:cs="宋体" w:eastAsia="宋体" w:hint="default"/>
        </w:rPr>
      </w:pPr>
      <w:r>
        <w:rPr/>
        <w:t>日前支付第五期节能净收益不低于</w:t>
      </w:r>
      <w:r>
        <w:rPr>
          <w:spacing w:val="-55"/>
        </w:rPr>
        <w:t> </w:t>
      </w:r>
      <w:r>
        <w:rPr>
          <w:rFonts w:ascii="宋体" w:hAnsi="宋体" w:cs="宋体" w:eastAsia="宋体" w:hint="default"/>
        </w:rPr>
        <w:t>430</w:t>
      </w:r>
      <w:r>
        <w:rPr>
          <w:rFonts w:ascii="宋体" w:hAnsi="宋体" w:cs="宋体" w:eastAsia="宋体" w:hint="default"/>
          <w:spacing w:val="-55"/>
        </w:rPr>
        <w:t> </w:t>
      </w:r>
      <w:r>
        <w:rPr/>
        <w:t>万元。山东晶芯向本公司支付前五期的节能净收益</w:t>
      </w:r>
      <w:r>
        <w:rPr>
          <w:spacing w:val="-54"/>
        </w:rPr>
        <w:t> </w:t>
      </w:r>
      <w:r>
        <w:rPr>
          <w:rFonts w:ascii="宋体" w:hAnsi="宋体" w:cs="宋体" w:eastAsia="宋体" w:hint="default"/>
        </w:rPr>
        <w:t>2170</w:t>
      </w:r>
    </w:p>
    <w:p>
      <w:pPr>
        <w:pStyle w:val="BodyText"/>
        <w:spacing w:line="273" w:lineRule="auto" w:before="39"/>
        <w:ind w:left="138" w:right="148"/>
        <w:jc w:val="both"/>
      </w:pPr>
      <w:r>
        <w:rPr>
          <w:spacing w:val="-6"/>
        </w:rPr>
        <w:t>万元后，可在半年内即在</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3</w:t>
      </w:r>
      <w:r>
        <w:rPr>
          <w:rFonts w:ascii="宋体" w:hAnsi="宋体" w:cs="宋体" w:eastAsia="宋体" w:hint="default"/>
          <w:spacing w:val="-49"/>
        </w:rPr>
        <w:t> </w:t>
      </w:r>
      <w:r>
        <w:rPr/>
        <w:t>月</w:t>
      </w:r>
      <w:r>
        <w:rPr>
          <w:spacing w:val="-51"/>
        </w:rPr>
        <w:t> </w:t>
      </w:r>
      <w:r>
        <w:rPr>
          <w:rFonts w:ascii="宋体" w:hAnsi="宋体" w:cs="宋体" w:eastAsia="宋体" w:hint="default"/>
        </w:rPr>
        <w:t>15</w:t>
      </w:r>
      <w:r>
        <w:rPr>
          <w:rFonts w:ascii="宋体" w:hAnsi="宋体" w:cs="宋体" w:eastAsia="宋体" w:hint="default"/>
          <w:spacing w:val="-51"/>
        </w:rPr>
        <w:t> </w:t>
      </w:r>
      <w:r>
        <w:rPr/>
        <w:t>日前决定是否以</w:t>
      </w:r>
      <w:r>
        <w:rPr>
          <w:spacing w:val="-49"/>
        </w:rPr>
        <w:t> </w:t>
      </w:r>
      <w:r>
        <w:rPr>
          <w:rFonts w:ascii="宋体" w:hAnsi="宋体" w:cs="宋体" w:eastAsia="宋体" w:hint="default"/>
        </w:rPr>
        <w:t>430</w:t>
      </w:r>
      <w:r>
        <w:rPr>
          <w:rFonts w:ascii="宋体" w:hAnsi="宋体" w:cs="宋体" w:eastAsia="宋体" w:hint="default"/>
          <w:spacing w:val="-49"/>
        </w:rPr>
        <w:t> </w:t>
      </w:r>
      <w:r>
        <w:rPr>
          <w:spacing w:val="-5"/>
        </w:rPr>
        <w:t>万元回购向本公司转让的原（</w:t>
      </w:r>
      <w:r>
        <w:rPr>
          <w:rFonts w:ascii="宋体" w:hAnsi="宋体" w:cs="宋体" w:eastAsia="宋体" w:hint="default"/>
          <w:spacing w:val="-5"/>
        </w:rPr>
        <w:t>91</w:t>
      </w:r>
      <w:r>
        <w:rPr>
          <w:rFonts w:ascii="宋体" w:hAnsi="宋体" w:cs="宋体" w:eastAsia="宋体" w:hint="default"/>
          <w:spacing w:val="9"/>
        </w:rPr>
        <w:t> </w:t>
      </w:r>
      <w:r>
        <w:rPr/>
        <w:t>家</w:t>
      </w:r>
      <w:r>
        <w:rPr>
          <w:w w:val="100"/>
        </w:rPr>
        <w:t> </w:t>
      </w:r>
      <w:r>
        <w:rPr>
          <w:spacing w:val="-2"/>
        </w:rPr>
        <w:t>门店）的节能效益分享权，山东晶芯购回后，本合同解除，上述所转让的（</w:t>
      </w:r>
      <w:r>
        <w:rPr>
          <w:rFonts w:ascii="宋体" w:hAnsi="宋体" w:cs="宋体" w:eastAsia="宋体" w:hint="default"/>
          <w:spacing w:val="-2"/>
        </w:rPr>
        <w:t>91</w:t>
      </w:r>
      <w:r>
        <w:rPr>
          <w:spacing w:val="-2"/>
        </w:rPr>
        <w:t>）家门店的节能收</w:t>
      </w:r>
      <w:r>
        <w:rPr>
          <w:spacing w:val="-26"/>
        </w:rPr>
        <w:t> </w:t>
      </w:r>
      <w:r>
        <w:rPr>
          <w:spacing w:val="-26"/>
        </w:rPr>
      </w:r>
      <w:r>
        <w:rPr>
          <w:spacing w:val="-2"/>
        </w:rPr>
        <w:t>益分享权返还山东晶芯所有。山东晶芯不选择购回，所属门店资产及节能收益仍归本公司所有，</w:t>
      </w:r>
      <w:r>
        <w:rPr>
          <w:spacing w:val="-25"/>
        </w:rPr>
        <w:t> </w:t>
      </w:r>
      <w:r>
        <w:rPr>
          <w:spacing w:val="-25"/>
        </w:rPr>
      </w:r>
      <w:r>
        <w:rPr/>
        <w:t>本公司第六期节能净收入按照山东晶芯承诺</w:t>
      </w:r>
      <w:r>
        <w:rPr>
          <w:spacing w:val="-55"/>
        </w:rPr>
        <w:t> </w:t>
      </w:r>
      <w:r>
        <w:rPr>
          <w:rFonts w:ascii="宋体" w:hAnsi="宋体" w:cs="宋体" w:eastAsia="宋体" w:hint="default"/>
        </w:rPr>
        <w:t>430</w:t>
      </w:r>
      <w:r>
        <w:rPr>
          <w:rFonts w:ascii="宋体" w:hAnsi="宋体" w:cs="宋体" w:eastAsia="宋体" w:hint="default"/>
          <w:spacing w:val="-55"/>
        </w:rPr>
        <w:t> </w:t>
      </w:r>
      <w:r>
        <w:rPr/>
        <w:t>万元收取，以后年度按以上结算模式结算。</w:t>
      </w:r>
    </w:p>
    <w:p>
      <w:pPr>
        <w:pStyle w:val="BodyText"/>
        <w:spacing w:line="240" w:lineRule="auto" w:before="10"/>
        <w:ind w:left="558" w:right="0"/>
        <w:jc w:val="left"/>
      </w:pPr>
      <w:r>
        <w:rPr>
          <w:spacing w:val="-3"/>
        </w:rPr>
        <w:t>根据合同约定，本公司购买的节能效益分享权</w:t>
      </w:r>
      <w:r>
        <w:rPr>
          <w:spacing w:val="-42"/>
        </w:rPr>
        <w:t> </w:t>
      </w:r>
      <w:r>
        <w:rPr>
          <w:rFonts w:ascii="宋体" w:hAnsi="宋体" w:cs="宋体" w:eastAsia="宋体" w:hint="default"/>
        </w:rPr>
        <w:t>2000</w:t>
      </w:r>
      <w:r>
        <w:rPr>
          <w:rFonts w:ascii="宋体" w:hAnsi="宋体" w:cs="宋体" w:eastAsia="宋体" w:hint="default"/>
          <w:spacing w:val="-45"/>
        </w:rPr>
        <w:t> </w:t>
      </w:r>
      <w:r>
        <w:rPr>
          <w:spacing w:val="-3"/>
        </w:rPr>
        <w:t>万元计入无形资产核算，同时在</w:t>
      </w:r>
      <w:r>
        <w:rPr>
          <w:spacing w:val="-43"/>
        </w:rPr>
        <w:t> </w:t>
      </w:r>
      <w:r>
        <w:rPr>
          <w:rFonts w:ascii="宋体" w:hAnsi="宋体" w:cs="宋体" w:eastAsia="宋体" w:hint="default"/>
        </w:rPr>
        <w:t>2016</w:t>
      </w:r>
      <w:r>
        <w:rPr>
          <w:rFonts w:ascii="宋体" w:hAnsi="宋体" w:cs="宋体" w:eastAsia="宋体" w:hint="default"/>
          <w:spacing w:val="21"/>
        </w:rPr>
        <w:t> </w:t>
      </w:r>
      <w:r>
        <w:rPr/>
        <w:t>年</w:t>
      </w:r>
    </w:p>
    <w:p>
      <w:pPr>
        <w:pStyle w:val="BodyText"/>
        <w:spacing w:line="240" w:lineRule="auto" w:before="37"/>
        <w:ind w:left="138" w:right="0"/>
        <w:jc w:val="both"/>
      </w:pPr>
      <w:r>
        <w:rPr>
          <w:rFonts w:ascii="宋体" w:hAnsi="宋体" w:cs="宋体" w:eastAsia="宋体" w:hint="default"/>
        </w:rPr>
        <w:t>3 </w:t>
      </w:r>
      <w:r>
        <w:rPr/>
        <w:t>月 </w:t>
      </w:r>
      <w:r>
        <w:rPr>
          <w:rFonts w:ascii="宋体" w:hAnsi="宋体" w:cs="宋体" w:eastAsia="宋体" w:hint="default"/>
        </w:rPr>
        <w:t>-2019</w:t>
      </w:r>
      <w:r>
        <w:rPr>
          <w:rFonts w:ascii="宋体" w:hAnsi="宋体" w:cs="宋体" w:eastAsia="宋体" w:hint="default"/>
          <w:spacing w:val="-2"/>
        </w:rPr>
        <w:t> </w:t>
      </w:r>
      <w:r>
        <w:rPr/>
        <w:t>年</w:t>
      </w:r>
      <w:r>
        <w:rPr>
          <w:spacing w:val="-2"/>
        </w:rPr>
        <w:t> </w:t>
      </w:r>
      <w:r>
        <w:rPr>
          <w:rFonts w:ascii="宋体" w:hAnsi="宋体" w:cs="宋体" w:eastAsia="宋体" w:hint="default"/>
        </w:rPr>
        <w:t>2 </w:t>
      </w:r>
      <w:r>
        <w:rPr/>
        <w:t>月期间内进行摊销。截止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日本公司已收到山东晶芯支付的节</w:t>
      </w:r>
    </w:p>
    <w:p>
      <w:pPr>
        <w:spacing w:line="302" w:lineRule="auto" w:before="39"/>
        <w:ind w:left="138" w:right="5008" w:firstLine="0"/>
        <w:jc w:val="left"/>
        <w:rPr>
          <w:rFonts w:ascii="宋体" w:hAnsi="宋体" w:cs="宋体" w:eastAsia="宋体" w:hint="default"/>
          <w:sz w:val="24"/>
          <w:szCs w:val="24"/>
        </w:rPr>
      </w:pPr>
      <w:r>
        <w:rPr>
          <w:rFonts w:ascii="宋体" w:hAnsi="宋体" w:cs="宋体" w:eastAsia="宋体" w:hint="default"/>
          <w:sz w:val="21"/>
          <w:szCs w:val="21"/>
        </w:rPr>
        <w:t>能改造项目累计净收益</w:t>
      </w:r>
      <w:r>
        <w:rPr>
          <w:rFonts w:ascii="宋体" w:hAnsi="宋体" w:cs="宋体" w:eastAsia="宋体" w:hint="default"/>
          <w:spacing w:val="-51"/>
          <w:sz w:val="21"/>
          <w:szCs w:val="21"/>
        </w:rPr>
        <w:t> </w:t>
      </w:r>
      <w:r>
        <w:rPr>
          <w:rFonts w:ascii="宋体" w:hAnsi="宋体" w:cs="宋体" w:eastAsia="宋体" w:hint="default"/>
          <w:sz w:val="21"/>
          <w:szCs w:val="21"/>
        </w:rPr>
        <w:t>1180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4"/>
          <w:szCs w:val="24"/>
        </w:rPr>
        <w:t>十七、</w:t>
      </w:r>
      <w:r>
        <w:rPr>
          <w:rFonts w:ascii="宋体" w:hAnsi="宋体" w:cs="宋体" w:eastAsia="宋体" w:hint="default"/>
          <w:b/>
          <w:bCs/>
          <w:spacing w:val="-7"/>
          <w:sz w:val="24"/>
          <w:szCs w:val="24"/>
        </w:rPr>
        <w:t> </w:t>
      </w:r>
      <w:r>
        <w:rPr>
          <w:rFonts w:ascii="宋体" w:hAnsi="宋体" w:cs="宋体" w:eastAsia="宋体" w:hint="default"/>
          <w:b/>
          <w:bCs/>
          <w:sz w:val="24"/>
          <w:szCs w:val="24"/>
        </w:rPr>
        <w:t>母公司财务报表主要项目注释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应收账款</w:t>
      </w:r>
      <w:r>
        <w:rPr>
          <w:rFonts w:ascii="宋体" w:hAnsi="宋体" w:cs="宋体" w:eastAsia="宋体" w:hint="default"/>
          <w:sz w:val="24"/>
          <w:szCs w:val="24"/>
        </w:rPr>
      </w:r>
    </w:p>
    <w:p>
      <w:pPr>
        <w:pStyle w:val="Heading2"/>
        <w:tabs>
          <w:tab w:pos="977" w:val="left" w:leader="none"/>
        </w:tabs>
        <w:spacing w:line="310" w:lineRule="exact" w:before="0"/>
        <w:ind w:left="279" w:right="158"/>
        <w:jc w:val="left"/>
        <w:rPr>
          <w:b w:val="0"/>
          <w:bCs w:val="0"/>
        </w:rPr>
      </w:pPr>
      <w:r>
        <w:rPr>
          <w:rFonts w:ascii="宋体" w:hAnsi="宋体" w:cs="宋体" w:eastAsia="宋体" w:hint="default"/>
        </w:rPr>
        <w:t>(1).</w:t>
        <w:tab/>
      </w:r>
      <w:r>
        <w:rPr/>
        <w:t>应收账款分类披露：</w:t>
      </w:r>
      <w:r>
        <w:rPr>
          <w:b w:val="0"/>
          <w:bCs w:val="0"/>
        </w:rPr>
      </w:r>
    </w:p>
    <w:p>
      <w:pPr>
        <w:pStyle w:val="BodyText"/>
        <w:spacing w:line="240" w:lineRule="auto" w:before="61"/>
        <w:ind w:left="138" w:right="0"/>
        <w:jc w:val="both"/>
      </w:pPr>
      <w:r>
        <w:rPr/>
        <w:t>√适用</w:t>
      </w:r>
      <w:r>
        <w:rPr>
          <w:spacing w:val="104"/>
        </w:rPr>
        <w:t> </w:t>
      </w:r>
      <w:r>
        <w:rPr/>
        <w:t>□不适用</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50"/>
        <w:gridCol w:w="850"/>
        <w:gridCol w:w="569"/>
        <w:gridCol w:w="710"/>
        <w:gridCol w:w="706"/>
        <w:gridCol w:w="718"/>
        <w:gridCol w:w="710"/>
        <w:gridCol w:w="446"/>
        <w:gridCol w:w="1071"/>
        <w:gridCol w:w="526"/>
        <w:gridCol w:w="1140"/>
      </w:tblGrid>
      <w:tr>
        <w:trPr>
          <w:trHeight w:val="283"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5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8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50" w:type="dxa"/>
            <w:vMerge/>
            <w:tcBorders>
              <w:left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6" w:right="25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6" w:right="67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6" w:hRule="exact"/>
        </w:trPr>
        <w:tc>
          <w:tcPr>
            <w:tcW w:w="1450"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10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35"/>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18"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24" w:right="95"/>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23" w:right="67"/>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40" w:type="dxa"/>
            <w:vMerge/>
            <w:tcBorders>
              <w:left w:val="single" w:sz="4" w:space="0" w:color="000000"/>
              <w:bottom w:val="single" w:sz="4" w:space="0" w:color="000000"/>
              <w:right w:val="single" w:sz="4" w:space="0" w:color="000000"/>
            </w:tcBorders>
          </w:tcPr>
          <w:p>
            <w:pPr/>
          </w:p>
        </w:tc>
      </w:tr>
      <w:tr>
        <w:trPr>
          <w:trHeight w:val="110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before="2"/>
              <w:ind w:left="26" w:right="148"/>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50"/>
        <w:gridCol w:w="850"/>
        <w:gridCol w:w="569"/>
        <w:gridCol w:w="710"/>
        <w:gridCol w:w="706"/>
        <w:gridCol w:w="718"/>
        <w:gridCol w:w="710"/>
        <w:gridCol w:w="446"/>
        <w:gridCol w:w="1071"/>
        <w:gridCol w:w="526"/>
        <w:gridCol w:w="1140"/>
      </w:tblGrid>
      <w:tr>
        <w:trPr>
          <w:trHeight w:val="110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148"/>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sz w:val="21"/>
              </w:rPr>
              <w:t>241,320</w:t>
            </w:r>
          </w:p>
          <w:p>
            <w:pPr>
              <w:pStyle w:val="TableParagraph"/>
              <w:spacing w:line="273" w:lineRule="exact"/>
              <w:ind w:left="26" w:right="0"/>
              <w:jc w:val="left"/>
              <w:rPr>
                <w:rFonts w:ascii="宋体" w:hAnsi="宋体" w:cs="宋体" w:eastAsia="宋体" w:hint="default"/>
                <w:sz w:val="21"/>
                <w:szCs w:val="21"/>
              </w:rPr>
            </w:pPr>
            <w:r>
              <w:rPr>
                <w:rFonts w:ascii="宋体"/>
                <w:sz w:val="21"/>
              </w:rPr>
              <w:t>,718.94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sz w:val="21"/>
              </w:rPr>
              <w:t>98.5</w:t>
            </w:r>
          </w:p>
          <w:p>
            <w:pPr>
              <w:pStyle w:val="TableParagraph"/>
              <w:spacing w:line="273" w:lineRule="exact"/>
              <w:ind w:left="26" w:right="0"/>
              <w:jc w:val="left"/>
              <w:rPr>
                <w:rFonts w:ascii="宋体" w:hAnsi="宋体" w:cs="宋体" w:eastAsia="宋体" w:hint="default"/>
                <w:sz w:val="21"/>
                <w:szCs w:val="21"/>
              </w:rPr>
            </w:pPr>
            <w:r>
              <w:rPr>
                <w:rFonts w:ascii="宋体"/>
                <w:w w:val="100"/>
                <w:sz w:val="21"/>
              </w:rPr>
              <w:t>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sz w:val="21"/>
              </w:rPr>
              <w:t>21,726</w:t>
            </w:r>
          </w:p>
          <w:p>
            <w:pPr>
              <w:pStyle w:val="TableParagraph"/>
              <w:spacing w:line="272" w:lineRule="exact"/>
              <w:ind w:left="26" w:right="0"/>
              <w:jc w:val="left"/>
              <w:rPr>
                <w:rFonts w:ascii="宋体" w:hAnsi="宋体" w:cs="宋体" w:eastAsia="宋体" w:hint="default"/>
                <w:sz w:val="21"/>
                <w:szCs w:val="21"/>
              </w:rPr>
            </w:pPr>
            <w:r>
              <w:rPr>
                <w:rFonts w:ascii="宋体"/>
                <w:sz w:val="21"/>
              </w:rPr>
              <w:t>,243.6</w:t>
            </w:r>
          </w:p>
          <w:p>
            <w:pPr>
              <w:pStyle w:val="TableParagraph"/>
              <w:spacing w:line="274" w:lineRule="exact"/>
              <w:ind w:left="26" w:right="0"/>
              <w:jc w:val="left"/>
              <w:rPr>
                <w:rFonts w:ascii="宋体" w:hAnsi="宋体" w:cs="宋体" w:eastAsia="宋体" w:hint="default"/>
                <w:sz w:val="21"/>
                <w:szCs w:val="21"/>
              </w:rPr>
            </w:pPr>
            <w:r>
              <w:rPr>
                <w:rFonts w:ascii="宋体"/>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9.00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sz w:val="21"/>
              </w:rPr>
              <w:t>219,59</w:t>
            </w:r>
          </w:p>
          <w:p>
            <w:pPr>
              <w:pStyle w:val="TableParagraph"/>
              <w:spacing w:line="272" w:lineRule="exact"/>
              <w:ind w:left="26" w:right="0"/>
              <w:jc w:val="left"/>
              <w:rPr>
                <w:rFonts w:ascii="宋体" w:hAnsi="宋体" w:cs="宋体" w:eastAsia="宋体" w:hint="default"/>
                <w:sz w:val="21"/>
                <w:szCs w:val="21"/>
              </w:rPr>
            </w:pPr>
            <w:r>
              <w:rPr>
                <w:rFonts w:ascii="宋体"/>
                <w:sz w:val="21"/>
              </w:rPr>
              <w:t>4,475.</w:t>
            </w:r>
          </w:p>
          <w:p>
            <w:pPr>
              <w:pStyle w:val="TableParagraph"/>
              <w:spacing w:line="274" w:lineRule="exact"/>
              <w:ind w:left="26" w:right="0"/>
              <w:jc w:val="left"/>
              <w:rPr>
                <w:rFonts w:ascii="宋体" w:hAnsi="宋体" w:cs="宋体" w:eastAsia="宋体" w:hint="default"/>
                <w:sz w:val="21"/>
                <w:szCs w:val="21"/>
              </w:rPr>
            </w:pPr>
            <w:r>
              <w:rPr>
                <w:rFonts w:ascii="宋体"/>
                <w:sz w:val="21"/>
              </w:rPr>
              <w:t>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sz w:val="21"/>
              </w:rPr>
              <w:t>201,42</w:t>
            </w:r>
          </w:p>
          <w:p>
            <w:pPr>
              <w:pStyle w:val="TableParagraph"/>
              <w:spacing w:line="272" w:lineRule="exact"/>
              <w:ind w:left="26" w:right="0"/>
              <w:jc w:val="left"/>
              <w:rPr>
                <w:rFonts w:ascii="宋体" w:hAnsi="宋体" w:cs="宋体" w:eastAsia="宋体" w:hint="default"/>
                <w:sz w:val="21"/>
                <w:szCs w:val="21"/>
              </w:rPr>
            </w:pPr>
            <w:r>
              <w:rPr>
                <w:rFonts w:ascii="宋体"/>
                <w:sz w:val="21"/>
              </w:rPr>
              <w:t>5,279.</w:t>
            </w:r>
          </w:p>
          <w:p>
            <w:pPr>
              <w:pStyle w:val="TableParagraph"/>
              <w:spacing w:line="274" w:lineRule="exact"/>
              <w:ind w:left="26" w:right="0"/>
              <w:jc w:val="left"/>
              <w:rPr>
                <w:rFonts w:ascii="宋体" w:hAnsi="宋体" w:cs="宋体" w:eastAsia="宋体" w:hint="default"/>
                <w:sz w:val="21"/>
                <w:szCs w:val="21"/>
              </w:rPr>
            </w:pPr>
            <w:r>
              <w:rPr>
                <w:rFonts w:ascii="宋体"/>
                <w:sz w:val="21"/>
              </w:rPr>
              <w:t>71</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sz w:val="21"/>
              </w:rPr>
              <w:t>97.</w:t>
            </w:r>
          </w:p>
          <w:p>
            <w:pPr>
              <w:pStyle w:val="TableParagraph"/>
              <w:spacing w:line="273" w:lineRule="exact"/>
              <w:ind w:left="24" w:right="0"/>
              <w:jc w:val="left"/>
              <w:rPr>
                <w:rFonts w:ascii="宋体" w:hAnsi="宋体" w:cs="宋体" w:eastAsia="宋体" w:hint="default"/>
                <w:sz w:val="21"/>
                <w:szCs w:val="21"/>
              </w:rPr>
            </w:pPr>
            <w:r>
              <w:rPr>
                <w:rFonts w:ascii="宋体"/>
                <w:sz w:val="21"/>
              </w:rPr>
              <w:t>79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sz w:val="21"/>
              </w:rPr>
              <w:t>19,346,24</w:t>
            </w:r>
          </w:p>
          <w:p>
            <w:pPr>
              <w:pStyle w:val="TableParagraph"/>
              <w:spacing w:line="273" w:lineRule="exact"/>
              <w:ind w:left="26" w:right="0"/>
              <w:jc w:val="left"/>
              <w:rPr>
                <w:rFonts w:ascii="宋体" w:hAnsi="宋体" w:cs="宋体" w:eastAsia="宋体" w:hint="default"/>
                <w:sz w:val="21"/>
                <w:szCs w:val="21"/>
              </w:rPr>
            </w:pPr>
            <w:r>
              <w:rPr>
                <w:rFonts w:ascii="宋体"/>
                <w:sz w:val="21"/>
              </w:rPr>
              <w:t>2.05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9.60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sz w:val="21"/>
              </w:rPr>
              <w:t>182,079,03</w:t>
            </w:r>
          </w:p>
          <w:p>
            <w:pPr>
              <w:pStyle w:val="TableParagraph"/>
              <w:spacing w:line="273" w:lineRule="exact"/>
              <w:ind w:left="26" w:right="0"/>
              <w:jc w:val="left"/>
              <w:rPr>
                <w:rFonts w:ascii="宋体" w:hAnsi="宋体" w:cs="宋体" w:eastAsia="宋体" w:hint="default"/>
                <w:sz w:val="21"/>
                <w:szCs w:val="21"/>
              </w:rPr>
            </w:pPr>
            <w:r>
              <w:rPr>
                <w:rFonts w:ascii="宋体"/>
                <w:sz w:val="21"/>
              </w:rPr>
              <w:t>7.66</w:t>
            </w:r>
          </w:p>
        </w:tc>
      </w:tr>
      <w:tr>
        <w:trPr>
          <w:trHeight w:val="110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148"/>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3,471,1</w:t>
            </w:r>
          </w:p>
          <w:p>
            <w:pPr>
              <w:pStyle w:val="TableParagraph"/>
              <w:spacing w:line="273" w:lineRule="exact"/>
              <w:ind w:left="26" w:right="0"/>
              <w:jc w:val="left"/>
              <w:rPr>
                <w:rFonts w:ascii="宋体" w:hAnsi="宋体" w:cs="宋体" w:eastAsia="宋体" w:hint="default"/>
                <w:sz w:val="21"/>
                <w:szCs w:val="21"/>
              </w:rPr>
            </w:pPr>
            <w:r>
              <w:rPr>
                <w:rFonts w:ascii="宋体"/>
                <w:sz w:val="21"/>
              </w:rPr>
              <w:t>15.06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1.42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3,471,</w:t>
            </w:r>
          </w:p>
          <w:p>
            <w:pPr>
              <w:pStyle w:val="TableParagraph"/>
              <w:spacing w:line="273" w:lineRule="exact"/>
              <w:ind w:left="26" w:right="0"/>
              <w:jc w:val="left"/>
              <w:rPr>
                <w:rFonts w:ascii="宋体" w:hAnsi="宋体" w:cs="宋体" w:eastAsia="宋体" w:hint="default"/>
                <w:sz w:val="21"/>
                <w:szCs w:val="21"/>
              </w:rPr>
            </w:pPr>
            <w:r>
              <w:rPr>
                <w:rFonts w:ascii="宋体"/>
                <w:sz w:val="21"/>
              </w:rPr>
              <w:t>115.06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4,555,</w:t>
            </w:r>
          </w:p>
          <w:p>
            <w:pPr>
              <w:pStyle w:val="TableParagraph"/>
              <w:spacing w:line="273" w:lineRule="exact"/>
              <w:ind w:left="26" w:right="0"/>
              <w:jc w:val="left"/>
              <w:rPr>
                <w:rFonts w:ascii="宋体" w:hAnsi="宋体" w:cs="宋体" w:eastAsia="宋体" w:hint="default"/>
                <w:sz w:val="21"/>
                <w:szCs w:val="21"/>
              </w:rPr>
            </w:pPr>
            <w:r>
              <w:rPr>
                <w:rFonts w:ascii="宋体"/>
                <w:sz w:val="21"/>
              </w:rPr>
              <w:t>835.98</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2.2</w:t>
            </w:r>
          </w:p>
          <w:p>
            <w:pPr>
              <w:pStyle w:val="TableParagraph"/>
              <w:spacing w:line="273" w:lineRule="exact"/>
              <w:ind w:left="24" w:right="0"/>
              <w:jc w:val="left"/>
              <w:rPr>
                <w:rFonts w:ascii="宋体" w:hAnsi="宋体" w:cs="宋体" w:eastAsia="宋体" w:hint="default"/>
                <w:sz w:val="21"/>
                <w:szCs w:val="21"/>
              </w:rPr>
            </w:pPr>
            <w:r>
              <w:rPr>
                <w:rFonts w:ascii="宋体"/>
                <w:w w:val="100"/>
                <w:sz w:val="21"/>
              </w:rPr>
              <w:t>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4,555,835</w:t>
            </w:r>
          </w:p>
          <w:p>
            <w:pPr>
              <w:pStyle w:val="TableParagraph"/>
              <w:spacing w:line="273" w:lineRule="exact"/>
              <w:ind w:left="26" w:right="0"/>
              <w:jc w:val="left"/>
              <w:rPr>
                <w:rFonts w:ascii="宋体" w:hAnsi="宋体" w:cs="宋体" w:eastAsia="宋体" w:hint="default"/>
                <w:sz w:val="21"/>
                <w:szCs w:val="21"/>
              </w:rPr>
            </w:pPr>
            <w:r>
              <w:rPr>
                <w:rFonts w:ascii="宋体"/>
                <w:sz w:val="21"/>
              </w:rPr>
              <w:t>.98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w:t>
            </w:r>
          </w:p>
          <w:p>
            <w:pPr>
              <w:pStyle w:val="TableParagraph"/>
              <w:spacing w:line="273" w:lineRule="exact"/>
              <w:ind w:left="23" w:right="0"/>
              <w:jc w:val="left"/>
              <w:rPr>
                <w:rFonts w:ascii="宋体" w:hAnsi="宋体" w:cs="宋体" w:eastAsia="宋体" w:hint="default"/>
                <w:sz w:val="21"/>
                <w:szCs w:val="21"/>
              </w:rPr>
            </w:pPr>
            <w:r>
              <w:rPr>
                <w:rFonts w:ascii="宋体"/>
                <w:sz w:val="21"/>
              </w:rPr>
              <w:t>00</w:t>
            </w: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244,791</w:t>
            </w:r>
          </w:p>
          <w:p>
            <w:pPr>
              <w:pStyle w:val="TableParagraph"/>
              <w:spacing w:line="273" w:lineRule="exact"/>
              <w:ind w:left="26" w:right="0"/>
              <w:jc w:val="left"/>
              <w:rPr>
                <w:rFonts w:ascii="宋体" w:hAnsi="宋体" w:cs="宋体" w:eastAsia="宋体" w:hint="default"/>
                <w:sz w:val="21"/>
                <w:szCs w:val="21"/>
              </w:rPr>
            </w:pPr>
            <w:r>
              <w:rPr>
                <w:rFonts w:ascii="宋体"/>
                <w:sz w:val="21"/>
              </w:rPr>
              <w:t>,834.00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100.</w:t>
            </w:r>
          </w:p>
          <w:p>
            <w:pPr>
              <w:pStyle w:val="TableParagraph"/>
              <w:spacing w:line="273" w:lineRule="exact"/>
              <w:ind w:left="26" w:right="0"/>
              <w:jc w:val="left"/>
              <w:rPr>
                <w:rFonts w:ascii="宋体" w:hAnsi="宋体" w:cs="宋体" w:eastAsia="宋体" w:hint="default"/>
                <w:sz w:val="21"/>
                <w:szCs w:val="21"/>
              </w:rPr>
            </w:pPr>
            <w:r>
              <w:rPr>
                <w:rFonts w:ascii="宋体"/>
                <w:sz w:val="21"/>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25,197</w:t>
            </w:r>
          </w:p>
          <w:p>
            <w:pPr>
              <w:pStyle w:val="TableParagraph"/>
              <w:spacing w:line="272" w:lineRule="exact"/>
              <w:ind w:left="26" w:right="0"/>
              <w:jc w:val="left"/>
              <w:rPr>
                <w:rFonts w:ascii="宋体" w:hAnsi="宋体" w:cs="宋体" w:eastAsia="宋体" w:hint="default"/>
                <w:sz w:val="21"/>
                <w:szCs w:val="21"/>
              </w:rPr>
            </w:pPr>
            <w:r>
              <w:rPr>
                <w:rFonts w:ascii="宋体"/>
                <w:sz w:val="21"/>
              </w:rPr>
              <w:t>,358.6</w:t>
            </w:r>
          </w:p>
          <w:p>
            <w:pPr>
              <w:pStyle w:val="TableParagraph"/>
              <w:spacing w:line="274" w:lineRule="exact"/>
              <w:ind w:left="26" w:right="0"/>
              <w:jc w:val="left"/>
              <w:rPr>
                <w:rFonts w:ascii="宋体" w:hAnsi="宋体" w:cs="宋体" w:eastAsia="宋体" w:hint="default"/>
                <w:sz w:val="21"/>
                <w:szCs w:val="21"/>
              </w:rPr>
            </w:pPr>
            <w:r>
              <w:rPr>
                <w:rFonts w:ascii="宋体"/>
                <w:w w:val="100"/>
                <w:sz w:val="21"/>
              </w:rPr>
              <w:t>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10.29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219,59</w:t>
            </w:r>
          </w:p>
          <w:p>
            <w:pPr>
              <w:pStyle w:val="TableParagraph"/>
              <w:spacing w:line="272" w:lineRule="exact"/>
              <w:ind w:left="26" w:right="0"/>
              <w:jc w:val="left"/>
              <w:rPr>
                <w:rFonts w:ascii="宋体" w:hAnsi="宋体" w:cs="宋体" w:eastAsia="宋体" w:hint="default"/>
                <w:sz w:val="21"/>
                <w:szCs w:val="21"/>
              </w:rPr>
            </w:pPr>
            <w:r>
              <w:rPr>
                <w:rFonts w:ascii="宋体"/>
                <w:sz w:val="21"/>
              </w:rPr>
              <w:t>4,475.</w:t>
            </w:r>
          </w:p>
          <w:p>
            <w:pPr>
              <w:pStyle w:val="TableParagraph"/>
              <w:spacing w:line="274" w:lineRule="exact"/>
              <w:ind w:left="26" w:right="0"/>
              <w:jc w:val="left"/>
              <w:rPr>
                <w:rFonts w:ascii="宋体" w:hAnsi="宋体" w:cs="宋体" w:eastAsia="宋体" w:hint="default"/>
                <w:sz w:val="21"/>
                <w:szCs w:val="21"/>
              </w:rPr>
            </w:pPr>
            <w:r>
              <w:rPr>
                <w:rFonts w:ascii="宋体"/>
                <w:sz w:val="21"/>
              </w:rPr>
              <w:t>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205,98</w:t>
            </w:r>
          </w:p>
          <w:p>
            <w:pPr>
              <w:pStyle w:val="TableParagraph"/>
              <w:spacing w:line="272" w:lineRule="exact"/>
              <w:ind w:left="26" w:right="0"/>
              <w:jc w:val="left"/>
              <w:rPr>
                <w:rFonts w:ascii="宋体" w:hAnsi="宋体" w:cs="宋体" w:eastAsia="宋体" w:hint="default"/>
                <w:sz w:val="21"/>
                <w:szCs w:val="21"/>
              </w:rPr>
            </w:pPr>
            <w:r>
              <w:rPr>
                <w:rFonts w:ascii="宋体"/>
                <w:sz w:val="21"/>
              </w:rPr>
              <w:t>1,115.</w:t>
            </w:r>
          </w:p>
          <w:p>
            <w:pPr>
              <w:pStyle w:val="TableParagraph"/>
              <w:spacing w:line="274" w:lineRule="exact"/>
              <w:ind w:left="26" w:right="0"/>
              <w:jc w:val="left"/>
              <w:rPr>
                <w:rFonts w:ascii="宋体" w:hAnsi="宋体" w:cs="宋体" w:eastAsia="宋体" w:hint="default"/>
                <w:sz w:val="21"/>
                <w:szCs w:val="21"/>
              </w:rPr>
            </w:pPr>
            <w:r>
              <w:rPr>
                <w:rFonts w:ascii="宋体"/>
                <w:sz w:val="21"/>
              </w:rPr>
              <w:t>69</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23,902,07</w:t>
            </w:r>
          </w:p>
          <w:p>
            <w:pPr>
              <w:pStyle w:val="TableParagraph"/>
              <w:spacing w:line="273" w:lineRule="exact"/>
              <w:ind w:left="26" w:right="0"/>
              <w:jc w:val="left"/>
              <w:rPr>
                <w:rFonts w:ascii="宋体" w:hAnsi="宋体" w:cs="宋体" w:eastAsia="宋体" w:hint="default"/>
                <w:sz w:val="21"/>
                <w:szCs w:val="21"/>
              </w:rPr>
            </w:pPr>
            <w:r>
              <w:rPr>
                <w:rFonts w:ascii="宋体"/>
                <w:sz w:val="21"/>
              </w:rPr>
              <w:t>8.03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182,079,03</w:t>
            </w:r>
          </w:p>
          <w:p>
            <w:pPr>
              <w:pStyle w:val="TableParagraph"/>
              <w:spacing w:line="273" w:lineRule="exact"/>
              <w:ind w:left="26" w:right="0"/>
              <w:jc w:val="left"/>
              <w:rPr>
                <w:rFonts w:ascii="宋体" w:hAnsi="宋体" w:cs="宋体" w:eastAsia="宋体" w:hint="default"/>
                <w:sz w:val="21"/>
                <w:szCs w:val="21"/>
              </w:rPr>
            </w:pPr>
            <w:r>
              <w:rPr>
                <w:rFonts w:ascii="宋体"/>
                <w:sz w:val="21"/>
              </w:rPr>
              <w:t>7.66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70"/>
          <w:pgSz w:w="11910" w:h="16840"/>
          <w:pgMar w:footer="1813" w:header="882" w:top="1120" w:bottom="2000" w:left="1580" w:right="1040"/>
          <w:pgNumType w:start="165"/>
        </w:sectPr>
      </w:pPr>
    </w:p>
    <w:p>
      <w:pPr>
        <w:pStyle w:val="BodyText"/>
        <w:spacing w:line="240" w:lineRule="auto" w:before="36"/>
        <w:ind w:right="0"/>
        <w:jc w:val="left"/>
      </w:pPr>
      <w:r>
        <w:rPr>
          <w:spacing w:val="-2"/>
        </w:rPr>
        <w:t>期末单项金额重大并单项计提坏账准备的应收账款：</w:t>
      </w:r>
    </w:p>
    <w:p>
      <w:pPr>
        <w:pStyle w:val="BodyText"/>
        <w:spacing w:line="290" w:lineRule="auto" w:before="56"/>
        <w:ind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177,404,969.50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8,870,248.46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27,215,588.96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2,177,247.12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25,571,107.41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5,114,221.48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11,129,053.07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5,564,526.54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241,320,718.94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21,726,243.60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w:t>
            </w:r>
          </w:p>
        </w:tc>
      </w:tr>
    </w:tbl>
    <w:p>
      <w:pPr>
        <w:pStyle w:val="BodyText"/>
        <w:spacing w:line="290" w:lineRule="auto" w:before="26"/>
        <w:ind w:right="3122"/>
        <w:jc w:val="left"/>
      </w:pPr>
      <w:r>
        <w:rPr/>
        <w:t>确定该组合依据的说明：</w:t>
      </w:r>
      <w:r>
        <w:rPr>
          <w:w w:val="100"/>
        </w:rPr>
        <w:t> </w:t>
      </w:r>
      <w:r>
        <w:rPr>
          <w:spacing w:val="-2"/>
        </w:rPr>
        <w:t>组合中，采用余额百分比法计提坏账准备的应收账款：</w:t>
      </w:r>
    </w:p>
    <w:p>
      <w:pPr>
        <w:pStyle w:val="BodyText"/>
        <w:spacing w:line="290" w:lineRule="auto" w:before="14"/>
        <w:ind w:right="3122"/>
        <w:jc w:val="left"/>
      </w:pPr>
      <w:r>
        <w:rPr/>
        <w:t>□适用</w:t>
      </w:r>
      <w:r>
        <w:rPr>
          <w:spacing w:val="-2"/>
        </w:rPr>
        <w:t> </w:t>
      </w:r>
      <w:r>
        <w:rPr/>
        <w:t>√不适用</w:t>
      </w:r>
      <w:r>
        <w:rPr>
          <w:w w:val="100"/>
        </w:rPr>
        <w:t> </w:t>
      </w:r>
      <w:r>
        <w:rPr>
          <w:spacing w:val="-2"/>
        </w:rPr>
        <w:t>组合中，采用其他方法计提坏账准备的应收账款：</w:t>
      </w:r>
    </w:p>
    <w:p>
      <w:pPr>
        <w:pStyle w:val="BodyText"/>
        <w:spacing w:line="240" w:lineRule="auto" w:before="15"/>
        <w:ind w:right="215"/>
        <w:jc w:val="left"/>
      </w:pPr>
      <w:r>
        <w:rPr/>
        <w:t>□适用</w:t>
      </w:r>
      <w:r>
        <w:rPr>
          <w:spacing w:val="-1"/>
        </w:rPr>
        <w:t> </w:t>
      </w:r>
      <w:r>
        <w:rPr/>
        <w:t>√不适用</w:t>
      </w:r>
    </w:p>
    <w:p>
      <w:pPr>
        <w:pStyle w:val="Heading2"/>
        <w:tabs>
          <w:tab w:pos="1057" w:val="left" w:leader="none"/>
        </w:tabs>
        <w:spacing w:line="240" w:lineRule="auto" w:before="50"/>
        <w:ind w:left="359" w:right="215"/>
        <w:jc w:val="left"/>
        <w:rPr>
          <w:b w:val="0"/>
          <w:bCs w:val="0"/>
        </w:rPr>
      </w:pPr>
      <w:r>
        <w:rPr>
          <w:rFonts w:ascii="宋体" w:hAnsi="宋体" w:cs="宋体" w:eastAsia="宋体" w:hint="default"/>
        </w:rPr>
        <w:t>(2).</w:t>
        <w:tab/>
      </w:r>
      <w:r>
        <w:rPr/>
        <w:t>本期计提、收回或转回的坏账准备情况：</w:t>
      </w:r>
      <w:r>
        <w:rPr>
          <w:b w:val="0"/>
          <w:bCs w:val="0"/>
        </w:rPr>
      </w:r>
    </w:p>
    <w:p>
      <w:pPr>
        <w:pStyle w:val="BodyText"/>
        <w:spacing w:line="240" w:lineRule="auto" w:before="64"/>
        <w:ind w:right="215"/>
        <w:jc w:val="left"/>
      </w:pPr>
      <w:r>
        <w:rPr/>
        <w:t>本期计提坏账准备金额</w:t>
      </w:r>
      <w:r>
        <w:rPr>
          <w:spacing w:val="-54"/>
        </w:rPr>
        <w:t> </w:t>
      </w:r>
      <w:r>
        <w:rPr>
          <w:rFonts w:ascii="宋体" w:hAnsi="宋体" w:cs="宋体" w:eastAsia="宋体" w:hint="default"/>
        </w:rPr>
        <w:t>1,295,280.63</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3" w:lineRule="exact"/>
        <w:ind w:right="215"/>
        <w:jc w:val="left"/>
      </w:pPr>
      <w:r>
        <w:rPr/>
        <w:t>其中本期坏账准备收回或转回金额重要的：</w:t>
      </w:r>
    </w:p>
    <w:p>
      <w:pPr>
        <w:pStyle w:val="BodyText"/>
        <w:spacing w:line="273" w:lineRule="exact"/>
        <w:ind w:right="215"/>
        <w:jc w:val="left"/>
      </w:pPr>
      <w:r>
        <w:rPr/>
        <w:t>□适用</w:t>
      </w:r>
      <w:r>
        <w:rPr>
          <w:spacing w:val="-1"/>
        </w:rPr>
        <w:t> </w:t>
      </w:r>
      <w:r>
        <w:rPr/>
        <w:t>√不适用</w:t>
      </w:r>
    </w:p>
    <w:p>
      <w:pPr>
        <w:pStyle w:val="Heading2"/>
        <w:tabs>
          <w:tab w:pos="698" w:val="left" w:leader="none"/>
        </w:tabs>
        <w:spacing w:line="240" w:lineRule="auto" w:before="52"/>
        <w:ind w:left="0" w:right="4734"/>
        <w:jc w:val="center"/>
        <w:rPr>
          <w:b w:val="0"/>
          <w:bCs w:val="0"/>
        </w:rPr>
      </w:pPr>
      <w:r>
        <w:rPr>
          <w:rFonts w:ascii="宋体" w:hAnsi="宋体" w:cs="宋体" w:eastAsia="宋体" w:hint="default"/>
        </w:rPr>
        <w:t>(3).</w:t>
        <w:tab/>
      </w:r>
      <w:r>
        <w:rPr/>
        <w:t>本期实际核销的应收账款情况</w:t>
      </w:r>
      <w:r>
        <w:rPr>
          <w:b w:val="0"/>
          <w:bCs w:val="0"/>
        </w:rPr>
      </w:r>
    </w:p>
    <w:p>
      <w:pPr>
        <w:pStyle w:val="BodyText"/>
        <w:spacing w:line="240" w:lineRule="auto" w:before="61"/>
        <w:ind w:right="5935"/>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right="215"/>
        <w:jc w:val="left"/>
      </w:pPr>
      <w:r>
        <w:rPr/>
        <w:t>□适用</w:t>
      </w:r>
      <w:r>
        <w:rPr>
          <w:spacing w:val="-1"/>
        </w:rPr>
        <w:t> </w:t>
      </w:r>
      <w:r>
        <w:rPr/>
        <w:t>√不适用</w:t>
      </w:r>
    </w:p>
    <w:p>
      <w:pPr>
        <w:pStyle w:val="Heading2"/>
        <w:tabs>
          <w:tab w:pos="1057" w:val="left" w:leader="none"/>
        </w:tabs>
        <w:spacing w:line="240" w:lineRule="auto" w:before="52"/>
        <w:ind w:left="359" w:right="215"/>
        <w:jc w:val="left"/>
        <w:rPr>
          <w:b w:val="0"/>
          <w:bCs w:val="0"/>
        </w:rPr>
      </w:pPr>
      <w:r>
        <w:rPr>
          <w:rFonts w:ascii="宋体" w:hAnsi="宋体" w:cs="宋体" w:eastAsia="宋体" w:hint="default"/>
        </w:rPr>
        <w:t>(4).</w:t>
        <w:tab/>
      </w:r>
      <w:r>
        <w:rPr/>
        <w:t>按欠款方归集的期末余额前五名的应收账款情况：</w:t>
      </w:r>
      <w:r>
        <w:rPr>
          <w:b w:val="0"/>
          <w:bCs w:val="0"/>
        </w:rPr>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15" w:type="dxa"/>
        <w:tblLayout w:type="fixed"/>
        <w:tblCellMar>
          <w:top w:w="0" w:type="dxa"/>
          <w:left w:w="0" w:type="dxa"/>
          <w:bottom w:w="0" w:type="dxa"/>
          <w:right w:w="0" w:type="dxa"/>
        </w:tblCellMar>
        <w:tblLook w:val="01E0"/>
      </w:tblPr>
      <w:tblGrid>
        <w:gridCol w:w="3440"/>
        <w:gridCol w:w="1805"/>
        <w:gridCol w:w="1654"/>
        <w:gridCol w:w="2105"/>
      </w:tblGrid>
      <w:tr>
        <w:trPr>
          <w:trHeight w:val="518" w:hRule="exact"/>
        </w:trPr>
        <w:tc>
          <w:tcPr>
            <w:tcW w:w="3440" w:type="dxa"/>
            <w:tcBorders>
              <w:top w:val="single" w:sz="12" w:space="0" w:color="000000"/>
              <w:left w:val="nil" w:sz="6" w:space="0" w:color="auto"/>
              <w:bottom w:val="nil" w:sz="6" w:space="0" w:color="auto"/>
              <w:right w:val="single" w:sz="4" w:space="0" w:color="000000"/>
            </w:tcBorders>
          </w:tcPr>
          <w:p>
            <w:pPr>
              <w:pStyle w:val="TableParagraph"/>
              <w:spacing w:line="240" w:lineRule="auto" w:before="90"/>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0"/>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54" w:type="dxa"/>
            <w:tcBorders>
              <w:top w:val="single" w:sz="12" w:space="0" w:color="000000"/>
              <w:left w:val="single" w:sz="4" w:space="0" w:color="000000"/>
              <w:bottom w:val="nil" w:sz="6" w:space="0" w:color="auto"/>
              <w:right w:val="single" w:sz="4" w:space="0" w:color="000000"/>
            </w:tcBorders>
          </w:tcPr>
          <w:p>
            <w:pPr>
              <w:pStyle w:val="TableParagraph"/>
              <w:spacing w:line="207" w:lineRule="exact"/>
              <w:ind w:left="256" w:right="0" w:hanging="65"/>
              <w:jc w:val="left"/>
              <w:rPr>
                <w:rFonts w:ascii="宋体" w:hAnsi="宋体" w:cs="宋体" w:eastAsia="宋体" w:hint="default"/>
                <w:sz w:val="18"/>
                <w:szCs w:val="18"/>
              </w:rPr>
            </w:pPr>
            <w:r>
              <w:rPr>
                <w:rFonts w:ascii="宋体" w:hAnsi="宋体" w:cs="宋体" w:eastAsia="宋体" w:hint="default"/>
                <w:sz w:val="18"/>
                <w:szCs w:val="18"/>
              </w:rPr>
              <w:t>占应收账款期末</w:t>
            </w:r>
          </w:p>
          <w:p>
            <w:pPr>
              <w:pStyle w:val="TableParagraph"/>
              <w:spacing w:line="247" w:lineRule="exact"/>
              <w:ind w:left="256" w:right="0"/>
              <w:jc w:val="left"/>
              <w:rPr>
                <w:rFonts w:ascii="Arial Narrow" w:hAnsi="Arial Narrow" w:cs="Arial Narrow" w:eastAsia="Arial Narrow" w:hint="default"/>
                <w:sz w:val="18"/>
                <w:szCs w:val="18"/>
              </w:rPr>
            </w:pPr>
            <w:r>
              <w:rPr>
                <w:rFonts w:ascii="宋体" w:hAnsi="宋体" w:cs="宋体" w:eastAsia="宋体" w:hint="default"/>
                <w:sz w:val="18"/>
                <w:szCs w:val="18"/>
              </w:rPr>
              <w:t>余额的比例</w:t>
            </w:r>
            <w:r>
              <w:rPr>
                <w:rFonts w:ascii="Arial Narrow" w:hAnsi="Arial Narrow" w:cs="Arial Narrow" w:eastAsia="Arial Narrow" w:hint="default"/>
                <w:sz w:val="18"/>
                <w:szCs w:val="18"/>
              </w:rPr>
              <w:t>(%)</w:t>
            </w:r>
          </w:p>
        </w:tc>
        <w:tc>
          <w:tcPr>
            <w:tcW w:w="2105" w:type="dxa"/>
            <w:tcBorders>
              <w:top w:val="single" w:sz="12" w:space="0" w:color="000000"/>
              <w:left w:val="single" w:sz="4" w:space="0" w:color="000000"/>
              <w:bottom w:val="nil" w:sz="6" w:space="0" w:color="auto"/>
              <w:right w:val="nil" w:sz="6" w:space="0" w:color="auto"/>
            </w:tcBorders>
          </w:tcPr>
          <w:p>
            <w:pPr>
              <w:pStyle w:val="TableParagraph"/>
              <w:spacing w:line="240" w:lineRule="auto" w:before="90"/>
              <w:ind w:left="41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224" w:hRule="exact"/>
        </w:trPr>
        <w:tc>
          <w:tcPr>
            <w:tcW w:w="3440"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湖南建工德顺电子科技有限公司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5"/>
              <w:jc w:val="right"/>
              <w:rPr>
                <w:rFonts w:ascii="Arial Narrow" w:hAnsi="Arial Narrow" w:cs="Arial Narrow" w:eastAsia="Arial Narrow" w:hint="default"/>
                <w:sz w:val="18"/>
                <w:szCs w:val="18"/>
              </w:rPr>
            </w:pPr>
            <w:r>
              <w:rPr>
                <w:rFonts w:ascii="Arial Narrow"/>
                <w:spacing w:val="-1"/>
                <w:sz w:val="18"/>
              </w:rPr>
              <w:t>17,995,000.00</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2"/>
              <w:jc w:val="right"/>
              <w:rPr>
                <w:rFonts w:ascii="Arial Narrow" w:hAnsi="Arial Narrow" w:cs="Arial Narrow" w:eastAsia="Arial Narrow" w:hint="default"/>
                <w:sz w:val="18"/>
                <w:szCs w:val="18"/>
              </w:rPr>
            </w:pPr>
            <w:r>
              <w:rPr>
                <w:rFonts w:ascii="Arial Narrow"/>
                <w:spacing w:val="-1"/>
                <w:sz w:val="18"/>
              </w:rPr>
              <w:t>7.35</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4"/>
              <w:jc w:val="right"/>
              <w:rPr>
                <w:rFonts w:ascii="Arial Narrow" w:hAnsi="Arial Narrow" w:cs="Arial Narrow" w:eastAsia="Arial Narrow" w:hint="default"/>
                <w:sz w:val="18"/>
                <w:szCs w:val="18"/>
              </w:rPr>
            </w:pPr>
            <w:r>
              <w:rPr>
                <w:rFonts w:ascii="Arial Narrow"/>
                <w:spacing w:val="-1"/>
                <w:sz w:val="18"/>
              </w:rPr>
              <w:t>899,750.00</w:t>
            </w:r>
          </w:p>
        </w:tc>
      </w:tr>
      <w:tr>
        <w:trPr>
          <w:trHeight w:val="369" w:hRule="exact"/>
        </w:trPr>
        <w:tc>
          <w:tcPr>
            <w:tcW w:w="3440"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10,450,750.00</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4.27</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551,097.50</w:t>
            </w:r>
          </w:p>
        </w:tc>
      </w:tr>
      <w:tr>
        <w:trPr>
          <w:trHeight w:val="82" w:hRule="exact"/>
        </w:trPr>
        <w:tc>
          <w:tcPr>
            <w:tcW w:w="3440"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44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中建电子工程有限公司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9,295,034.00</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3.80</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464,751.70</w:t>
            </w:r>
          </w:p>
        </w:tc>
      </w:tr>
      <w:tr>
        <w:trPr>
          <w:trHeight w:val="82" w:hRule="exact"/>
        </w:trPr>
        <w:tc>
          <w:tcPr>
            <w:tcW w:w="3440"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44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攀枝花市商业银行股份有限公司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7,529,626.27</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3.08</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376,481.31</w:t>
            </w:r>
          </w:p>
        </w:tc>
      </w:tr>
      <w:tr>
        <w:trPr>
          <w:trHeight w:val="82" w:hRule="exact"/>
        </w:trPr>
        <w:tc>
          <w:tcPr>
            <w:tcW w:w="3440"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44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渤海国际信托股份有限公司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7,222,496.00</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2.95</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510,828.49</w:t>
            </w:r>
          </w:p>
        </w:tc>
      </w:tr>
      <w:tr>
        <w:trPr>
          <w:trHeight w:val="355" w:hRule="exact"/>
        </w:trPr>
        <w:tc>
          <w:tcPr>
            <w:tcW w:w="3440"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52,492,906.27</w:t>
            </w:r>
          </w:p>
        </w:tc>
        <w:tc>
          <w:tcPr>
            <w:tcW w:w="16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21.45</w:t>
            </w:r>
          </w:p>
        </w:tc>
        <w:tc>
          <w:tcPr>
            <w:tcW w:w="2105"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2,802,909.00</w:t>
            </w:r>
          </w:p>
        </w:tc>
      </w:tr>
    </w:tbl>
    <w:p>
      <w:pPr>
        <w:spacing w:line="240" w:lineRule="auto" w:before="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813" w:top="1120" w:bottom="2000" w:left="1560" w:right="1120"/>
        </w:sectPr>
      </w:pPr>
    </w:p>
    <w:p>
      <w:pPr>
        <w:pStyle w:val="Heading2"/>
        <w:tabs>
          <w:tab w:pos="1077" w:val="left" w:leader="none"/>
        </w:tabs>
        <w:spacing w:line="240" w:lineRule="auto"/>
        <w:ind w:left="379" w:right="-18"/>
        <w:jc w:val="left"/>
        <w:rPr>
          <w:b w:val="0"/>
          <w:bCs w:val="0"/>
        </w:rPr>
      </w:pPr>
      <w:r>
        <w:rPr/>
        <w:pict>
          <v:group style="position:absolute;margin-left:84.503998pt;margin-top:-89.324348pt;width:449.5pt;height:5.05pt;mso-position-horizontal-relative:page;mso-position-vertical-relative:paragraph;z-index:-938656" coordorigin="1690,-1786" coordsize="8990,101">
            <v:shape style="position:absolute;left:1690;top:-1786;width:3440;height:101" type="#_x0000_t75" stroked="false">
              <v:imagedata r:id="rId38" o:title=""/>
            </v:shape>
            <v:shape style="position:absolute;left:5106;top:-1695;width:5574;height:10" type="#_x0000_t75" stroked="false">
              <v:imagedata r:id="rId171" o:title=""/>
            </v:shape>
            <w10:wrap type="none"/>
          </v:group>
        </w:pict>
      </w:r>
      <w:r>
        <w:rPr/>
        <w:pict>
          <v:group style="position:absolute;margin-left:84.503998pt;margin-top:-71.804344pt;width:449.5pt;height:5.05pt;mso-position-horizontal-relative:page;mso-position-vertical-relative:paragraph;z-index:-938632" coordorigin="1690,-1436" coordsize="8990,101">
            <v:shape style="position:absolute;left:1690;top:-1436;width:3440;height:101" type="#_x0000_t75" stroked="false">
              <v:imagedata r:id="rId42" o:title=""/>
            </v:shape>
            <v:shape style="position:absolute;left:5106;top:-1345;width:5574;height:10" type="#_x0000_t75" stroked="false">
              <v:imagedata r:id="rId171" o:title=""/>
            </v:shape>
            <w10:wrap type="none"/>
          </v:group>
        </w:pict>
      </w:r>
      <w:r>
        <w:rPr/>
        <w:pict>
          <v:group style="position:absolute;margin-left:84.503998pt;margin-top:-54.284405pt;width:449.5pt;height:5.05pt;mso-position-horizontal-relative:page;mso-position-vertical-relative:paragraph;z-index:-938608" coordorigin="1690,-1086" coordsize="8990,101">
            <v:shape style="position:absolute;left:1690;top:-1086;width:3440;height:101" type="#_x0000_t75" stroked="false">
              <v:imagedata r:id="rId42" o:title=""/>
            </v:shape>
            <v:shape style="position:absolute;left:5106;top:-994;width:5574;height:10" type="#_x0000_t75" stroked="false">
              <v:imagedata r:id="rId172" o:title=""/>
            </v:shape>
            <w10:wrap type="none"/>
          </v:group>
        </w:pict>
      </w:r>
      <w:r>
        <w:rPr/>
        <w:pict>
          <v:group style="position:absolute;margin-left:84.503998pt;margin-top:-36.764404pt;width:449.5pt;height:5.05pt;mso-position-horizontal-relative:page;mso-position-vertical-relative:paragraph;z-index:-938584" coordorigin="1690,-735" coordsize="8990,101">
            <v:shape style="position:absolute;left:1690;top:-735;width:3440;height:101" type="#_x0000_t75" stroked="false">
              <v:imagedata r:id="rId38" o:title=""/>
            </v:shape>
            <v:shape style="position:absolute;left:5106;top:-644;width:5574;height:10" type="#_x0000_t75" stroked="false">
              <v:imagedata r:id="rId171" o:title=""/>
            </v:shape>
            <w10:wrap type="none"/>
          </v:group>
        </w:pict>
      </w:r>
      <w:r>
        <w:rPr>
          <w:rFonts w:ascii="宋体" w:hAnsi="宋体" w:cs="宋体" w:eastAsia="宋体" w:hint="default"/>
        </w:rPr>
        <w:t>(5).</w:t>
        <w:tab/>
      </w:r>
      <w:r>
        <w:rPr/>
        <w:t>因金融资产转移而终止确认的应收账款：</w:t>
      </w:r>
      <w:r>
        <w:rPr>
          <w:b w:val="0"/>
          <w:bCs w:val="0"/>
        </w:rPr>
      </w:r>
    </w:p>
    <w:p>
      <w:pPr>
        <w:pStyle w:val="BodyText"/>
        <w:tabs>
          <w:tab w:pos="1080" w:val="left" w:leader="none"/>
        </w:tabs>
        <w:spacing w:line="240" w:lineRule="auto" w:before="64"/>
        <w:ind w:left="238" w:right="-18"/>
        <w:jc w:val="left"/>
      </w:pPr>
      <w:r>
        <w:rPr>
          <w:spacing w:val="-1"/>
        </w:rPr>
        <w:t>□适用</w:t>
        <w:tab/>
      </w:r>
      <w:r>
        <w:rPr>
          <w:spacing w:val="-2"/>
        </w:rPr>
        <w:t>√不适用</w:t>
      </w:r>
    </w:p>
    <w:p>
      <w:pPr>
        <w:pStyle w:val="Heading2"/>
        <w:tabs>
          <w:tab w:pos="1077" w:val="left" w:leader="none"/>
        </w:tabs>
        <w:spacing w:line="240" w:lineRule="auto" w:before="52"/>
        <w:ind w:left="379" w:right="-18"/>
        <w:jc w:val="left"/>
        <w:rPr>
          <w:b w:val="0"/>
          <w:bCs w:val="0"/>
        </w:rPr>
      </w:pPr>
      <w:r>
        <w:rPr>
          <w:rFonts w:ascii="宋体" w:hAnsi="宋体" w:cs="宋体" w:eastAsia="宋体" w:hint="default"/>
        </w:rPr>
        <w:t>(6).</w:t>
        <w:tab/>
      </w:r>
      <w:r>
        <w:rPr/>
        <w:t>转移应收账款且继续涉入形成的资产、负债金额：</w:t>
      </w:r>
      <w:r>
        <w:rPr>
          <w:b w:val="0"/>
          <w:bCs w:val="0"/>
        </w:rPr>
      </w:r>
    </w:p>
    <w:p>
      <w:pPr>
        <w:pStyle w:val="BodyText"/>
        <w:tabs>
          <w:tab w:pos="1080" w:val="left" w:leader="none"/>
        </w:tabs>
        <w:spacing w:line="240" w:lineRule="auto" w:before="61"/>
        <w:ind w:left="238" w:right="4458"/>
        <w:jc w:val="left"/>
      </w:pPr>
      <w:r>
        <w:rPr>
          <w:spacing w:val="-1"/>
        </w:rPr>
        <w:t>□适用</w:t>
        <w:tab/>
      </w:r>
      <w:r>
        <w:rPr>
          <w:spacing w:val="-2"/>
        </w:rPr>
        <w:t>√不适用</w:t>
      </w:r>
      <w:r>
        <w:rPr>
          <w:spacing w:val="-99"/>
        </w:rPr>
        <w:t> </w:t>
      </w:r>
      <w:r>
        <w:rPr>
          <w:spacing w:val="-99"/>
        </w:rPr>
      </w:r>
      <w:r>
        <w:rPr/>
        <w:t>其他说明：</w:t>
      </w:r>
    </w:p>
    <w:p>
      <w:pPr>
        <w:spacing w:line="285" w:lineRule="auto" w:before="0"/>
        <w:ind w:left="238" w:right="4494" w:firstLine="0"/>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Heading2"/>
        <w:spacing w:line="240" w:lineRule="auto" w:before="10"/>
        <w:ind w:left="238" w:right="-1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pStyle w:val="BodyText"/>
        <w:tabs>
          <w:tab w:pos="1080" w:val="left" w:leader="none"/>
        </w:tabs>
        <w:spacing w:line="240" w:lineRule="auto" w:before="64"/>
        <w:ind w:left="2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6381" w:space="141"/>
            <w:col w:w="2708"/>
          </w:cols>
        </w:sectPr>
      </w:pPr>
    </w:p>
    <w:p>
      <w:pPr>
        <w:spacing w:line="240" w:lineRule="auto" w:before="4"/>
        <w:rPr>
          <w:rFonts w:ascii="宋体" w:hAnsi="宋体" w:cs="宋体" w:eastAsia="宋体" w:hint="default"/>
          <w:sz w:val="2"/>
          <w:szCs w:val="2"/>
        </w:rPr>
      </w:pPr>
      <w:r>
        <w:rPr/>
        <w:pict>
          <v:shape style="position:absolute;margin-left:255.529999pt;margin-top:77.639984pt;width:.48pt;height:.12pt;mso-position-horizontal-relative:page;mso-position-vertical-relative:page;z-index:-938776" type="#_x0000_t75" stroked="false">
            <v:imagedata r:id="rId160" o:title=""/>
          </v:shape>
        </w:pict>
      </w:r>
      <w:r>
        <w:rPr/>
        <w:pict>
          <v:shape style="position:absolute;margin-left:345.790009pt;margin-top:77.639984pt;width:.48001pt;height:.12pt;mso-position-horizontal-relative:page;mso-position-vertical-relative:page;z-index:-938752" type="#_x0000_t75" stroked="false">
            <v:imagedata r:id="rId160" o:title=""/>
          </v:shape>
        </w:pict>
      </w:r>
      <w:r>
        <w:rPr/>
        <w:pict>
          <v:shape style="position:absolute;margin-left:428.470001pt;margin-top:77.639984pt;width:.48001pt;height:.12pt;mso-position-horizontal-relative:page;mso-position-vertical-relative:page;z-index:-938728" type="#_x0000_t75" stroked="false">
            <v:imagedata r:id="rId160" o:title=""/>
          </v:shape>
        </w:pict>
      </w:r>
      <w:r>
        <w:rPr/>
        <w:pict>
          <v:group style="position:absolute;margin-left:84.503998pt;margin-top:101.060005pt;width:449.5pt;height:.5pt;mso-position-horizontal-relative:page;mso-position-vertical-relative:page;z-index:-938704" coordorigin="1690,2021" coordsize="8990,10">
            <v:shape style="position:absolute;left:1690;top:2021;width:3421;height:10" type="#_x0000_t75" stroked="false">
              <v:imagedata r:id="rId173" o:title=""/>
            </v:shape>
            <v:shape style="position:absolute;left:5106;top:2021;width:5574;height:10" type="#_x0000_t75" stroked="false">
              <v:imagedata r:id="rId172" o:title=""/>
            </v:shape>
            <w10:wrap type="none"/>
          </v:group>
        </w:pict>
      </w:r>
      <w:r>
        <w:rPr/>
        <w:pict>
          <v:group style="position:absolute;margin-left:84.503998pt;margin-top:114.019966pt;width:449.5pt;height:5.05pt;mso-position-horizontal-relative:page;mso-position-vertical-relative:page;z-index:-938680" coordorigin="1690,2280" coordsize="8990,101">
            <v:shape style="position:absolute;left:1690;top:2280;width:3440;height:101" type="#_x0000_t75" stroked="false">
              <v:imagedata r:id="rId38" o:title=""/>
            </v:shape>
            <v:shape style="position:absolute;left:5106;top:2372;width:5574;height:10" type="#_x0000_t75" stroked="false">
              <v:imagedata r:id="rId171" o:title=""/>
            </v:shape>
            <w10:wrap type="none"/>
          </v:group>
        </w:pict>
      </w:r>
    </w:p>
    <w:tbl>
      <w:tblPr>
        <w:tblW w:w="0" w:type="auto"/>
        <w:jc w:val="left"/>
        <w:tblInd w:w="202" w:type="dxa"/>
        <w:tblLayout w:type="fixed"/>
        <w:tblCellMar>
          <w:top w:w="0" w:type="dxa"/>
          <w:left w:w="0" w:type="dxa"/>
          <w:bottom w:w="0" w:type="dxa"/>
          <w:right w:w="0" w:type="dxa"/>
        </w:tblCellMar>
        <w:tblLook w:val="01E0"/>
      </w:tblPr>
      <w:tblGrid>
        <w:gridCol w:w="1452"/>
        <w:gridCol w:w="850"/>
        <w:gridCol w:w="708"/>
        <w:gridCol w:w="706"/>
        <w:gridCol w:w="569"/>
        <w:gridCol w:w="855"/>
        <w:gridCol w:w="586"/>
        <w:gridCol w:w="686"/>
        <w:gridCol w:w="850"/>
        <w:gridCol w:w="710"/>
        <w:gridCol w:w="924"/>
      </w:tblGrid>
      <w:tr>
        <w:trPr>
          <w:trHeight w:val="293" w:hRule="exact"/>
        </w:trPr>
        <w:tc>
          <w:tcPr>
            <w:tcW w:w="14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6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452" w:type="dxa"/>
            <w:vMerge/>
            <w:tcBorders>
              <w:left w:val="single" w:sz="4" w:space="0" w:color="000000"/>
              <w:right w:val="single" w:sz="4" w:space="0" w:color="000000"/>
            </w:tcBorders>
          </w:tcPr>
          <w:p>
            <w:pP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211" w:right="20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247" w:right="2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6" w:hRule="exact"/>
        </w:trPr>
        <w:tc>
          <w:tcPr>
            <w:tcW w:w="145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1" w:right="13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2"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5" w:type="dxa"/>
            <w:vMerge/>
            <w:tcBorders>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7" w:right="12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6" w:right="31"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24" w:type="dxa"/>
            <w:vMerge/>
            <w:tcBorders>
              <w:left w:val="single" w:sz="4" w:space="0" w:color="000000"/>
              <w:bottom w:val="single" w:sz="4" w:space="0" w:color="000000"/>
              <w:right w:val="single" w:sz="4" w:space="0" w:color="000000"/>
            </w:tcBorders>
          </w:tcPr>
          <w:p>
            <w:pPr/>
          </w:p>
        </w:tc>
      </w:tr>
      <w:tr>
        <w:trPr>
          <w:trHeight w:val="109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ind w:left="26" w:right="151"/>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151"/>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 w:right="0"/>
              <w:jc w:val="center"/>
              <w:rPr>
                <w:rFonts w:ascii="宋体" w:hAnsi="宋体" w:cs="宋体" w:eastAsia="宋体" w:hint="default"/>
                <w:sz w:val="21"/>
                <w:szCs w:val="21"/>
              </w:rPr>
            </w:pPr>
            <w:r>
              <w:rPr>
                <w:rFonts w:ascii="宋体"/>
                <w:sz w:val="21"/>
              </w:rPr>
              <w:t>26,386,</w:t>
            </w:r>
          </w:p>
          <w:p>
            <w:pPr>
              <w:pStyle w:val="TableParagraph"/>
              <w:spacing w:line="273" w:lineRule="exact"/>
              <w:ind w:left="157" w:right="0"/>
              <w:jc w:val="center"/>
              <w:rPr>
                <w:rFonts w:ascii="宋体" w:hAnsi="宋体" w:cs="宋体" w:eastAsia="宋体" w:hint="default"/>
                <w:sz w:val="21"/>
                <w:szCs w:val="21"/>
              </w:rPr>
            </w:pPr>
            <w:r>
              <w:rPr>
                <w:rFonts w:ascii="宋体"/>
                <w:sz w:val="21"/>
              </w:rPr>
              <w:t>007.71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94.22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sz w:val="21"/>
              </w:rPr>
              <w:t>4,883,</w:t>
            </w:r>
          </w:p>
          <w:p>
            <w:pPr>
              <w:pStyle w:val="TableParagraph"/>
              <w:spacing w:line="273" w:lineRule="exact"/>
              <w:ind w:left="38" w:right="0"/>
              <w:jc w:val="left"/>
              <w:rPr>
                <w:rFonts w:ascii="宋体" w:hAnsi="宋体" w:cs="宋体" w:eastAsia="宋体" w:hint="default"/>
                <w:sz w:val="21"/>
                <w:szCs w:val="21"/>
              </w:rPr>
            </w:pPr>
            <w:r>
              <w:rPr>
                <w:rFonts w:ascii="宋体"/>
                <w:sz w:val="21"/>
              </w:rPr>
              <w:t>352.29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18.5</w:t>
            </w:r>
          </w:p>
          <w:p>
            <w:pPr>
              <w:pStyle w:val="TableParagraph"/>
              <w:spacing w:line="273" w:lineRule="exact"/>
              <w:ind w:right="24"/>
              <w:jc w:val="right"/>
              <w:rPr>
                <w:rFonts w:ascii="宋体" w:hAnsi="宋体" w:cs="宋体" w:eastAsia="宋体" w:hint="default"/>
                <w:sz w:val="21"/>
                <w:szCs w:val="21"/>
              </w:rPr>
            </w:pPr>
            <w:r>
              <w:rPr>
                <w:rFonts w:ascii="宋体"/>
                <w:w w:val="100"/>
                <w:sz w:val="21"/>
              </w:rPr>
              <w:t>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21,502,</w:t>
            </w:r>
          </w:p>
          <w:p>
            <w:pPr>
              <w:pStyle w:val="TableParagraph"/>
              <w:spacing w:line="273" w:lineRule="exact"/>
              <w:ind w:left="162" w:right="0"/>
              <w:jc w:val="center"/>
              <w:rPr>
                <w:rFonts w:ascii="宋体" w:hAnsi="宋体" w:cs="宋体" w:eastAsia="宋体" w:hint="default"/>
                <w:sz w:val="21"/>
                <w:szCs w:val="21"/>
              </w:rPr>
            </w:pPr>
            <w:r>
              <w:rPr>
                <w:rFonts w:ascii="宋体"/>
                <w:sz w:val="21"/>
              </w:rPr>
              <w:t>655.42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27,5</w:t>
            </w:r>
          </w:p>
          <w:p>
            <w:pPr>
              <w:pStyle w:val="TableParagraph"/>
              <w:spacing w:line="272" w:lineRule="exact"/>
              <w:ind w:left="129" w:right="0"/>
              <w:jc w:val="left"/>
              <w:rPr>
                <w:rFonts w:ascii="宋体" w:hAnsi="宋体" w:cs="宋体" w:eastAsia="宋体" w:hint="default"/>
                <w:sz w:val="21"/>
                <w:szCs w:val="21"/>
              </w:rPr>
            </w:pPr>
            <w:r>
              <w:rPr>
                <w:rFonts w:ascii="宋体"/>
                <w:sz w:val="21"/>
              </w:rPr>
              <w:t>21,8</w:t>
            </w:r>
          </w:p>
          <w:p>
            <w:pPr>
              <w:pStyle w:val="TableParagraph"/>
              <w:spacing w:line="272" w:lineRule="exact"/>
              <w:ind w:left="129" w:right="0"/>
              <w:jc w:val="left"/>
              <w:rPr>
                <w:rFonts w:ascii="宋体" w:hAnsi="宋体" w:cs="宋体" w:eastAsia="宋体" w:hint="default"/>
                <w:sz w:val="21"/>
                <w:szCs w:val="21"/>
              </w:rPr>
            </w:pPr>
            <w:r>
              <w:rPr>
                <w:rFonts w:ascii="宋体"/>
                <w:sz w:val="21"/>
              </w:rPr>
              <w:t>64.4</w:t>
            </w:r>
          </w:p>
          <w:p>
            <w:pPr>
              <w:pStyle w:val="TableParagraph"/>
              <w:spacing w:line="273" w:lineRule="exact"/>
              <w:ind w:right="24"/>
              <w:jc w:val="right"/>
              <w:rPr>
                <w:rFonts w:ascii="宋体" w:hAnsi="宋体" w:cs="宋体" w:eastAsia="宋体" w:hint="default"/>
                <w:sz w:val="21"/>
                <w:szCs w:val="21"/>
              </w:rPr>
            </w:pPr>
            <w:r>
              <w:rPr>
                <w:rFonts w:ascii="宋体"/>
                <w:w w:val="100"/>
                <w:sz w:val="21"/>
              </w:rPr>
              <w:t>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94.45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7,132,5</w:t>
            </w:r>
          </w:p>
          <w:p>
            <w:pPr>
              <w:pStyle w:val="TableParagraph"/>
              <w:spacing w:line="273" w:lineRule="exact"/>
              <w:ind w:left="287" w:right="0"/>
              <w:jc w:val="left"/>
              <w:rPr>
                <w:rFonts w:ascii="宋体" w:hAnsi="宋体" w:cs="宋体" w:eastAsia="宋体" w:hint="default"/>
                <w:sz w:val="21"/>
                <w:szCs w:val="21"/>
              </w:rPr>
            </w:pPr>
            <w:r>
              <w:rPr>
                <w:rFonts w:ascii="宋体"/>
                <w:sz w:val="21"/>
              </w:rPr>
              <w:t>05.38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25.92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sz w:val="21"/>
              </w:rPr>
              <w:t>20,389,3</w:t>
            </w:r>
          </w:p>
          <w:p>
            <w:pPr>
              <w:pStyle w:val="TableParagraph"/>
              <w:spacing w:line="273" w:lineRule="exact"/>
              <w:ind w:left="364" w:right="0"/>
              <w:jc w:val="left"/>
              <w:rPr>
                <w:rFonts w:ascii="宋体" w:hAnsi="宋体" w:cs="宋体" w:eastAsia="宋体" w:hint="default"/>
                <w:sz w:val="21"/>
                <w:szCs w:val="21"/>
              </w:rPr>
            </w:pPr>
            <w:r>
              <w:rPr>
                <w:rFonts w:ascii="宋体"/>
                <w:sz w:val="21"/>
              </w:rPr>
              <w:t>59.08</w:t>
            </w:r>
          </w:p>
        </w:tc>
      </w:tr>
      <w:tr>
        <w:trPr>
          <w:trHeight w:val="110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151"/>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1,617,4</w:t>
            </w:r>
          </w:p>
          <w:p>
            <w:pPr>
              <w:pStyle w:val="TableParagraph"/>
              <w:spacing w:line="273" w:lineRule="exact"/>
              <w:ind w:left="287" w:right="0"/>
              <w:jc w:val="left"/>
              <w:rPr>
                <w:rFonts w:ascii="宋体" w:hAnsi="宋体" w:cs="宋体" w:eastAsia="宋体" w:hint="default"/>
                <w:sz w:val="21"/>
                <w:szCs w:val="21"/>
              </w:rPr>
            </w:pPr>
            <w:r>
              <w:rPr>
                <w:rFonts w:ascii="宋体"/>
                <w:sz w:val="21"/>
              </w:rPr>
              <w:t>05.98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sz w:val="21"/>
              </w:rPr>
              <w:t>1,617,</w:t>
            </w:r>
          </w:p>
          <w:p>
            <w:pPr>
              <w:pStyle w:val="TableParagraph"/>
              <w:spacing w:line="273" w:lineRule="exact"/>
              <w:ind w:left="38" w:right="0"/>
              <w:jc w:val="left"/>
              <w:rPr>
                <w:rFonts w:ascii="宋体" w:hAnsi="宋体" w:cs="宋体" w:eastAsia="宋体" w:hint="default"/>
                <w:sz w:val="21"/>
                <w:szCs w:val="21"/>
              </w:rPr>
            </w:pPr>
            <w:r>
              <w:rPr>
                <w:rFonts w:ascii="宋体"/>
                <w:sz w:val="21"/>
              </w:rPr>
              <w:t>405.98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100.</w:t>
            </w:r>
          </w:p>
          <w:p>
            <w:pPr>
              <w:pStyle w:val="TableParagraph"/>
              <w:spacing w:line="273" w:lineRule="exact"/>
              <w:ind w:left="321"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1,61</w:t>
            </w:r>
          </w:p>
          <w:p>
            <w:pPr>
              <w:pStyle w:val="TableParagraph"/>
              <w:spacing w:line="272" w:lineRule="exact"/>
              <w:ind w:left="129" w:right="0"/>
              <w:jc w:val="left"/>
              <w:rPr>
                <w:rFonts w:ascii="宋体" w:hAnsi="宋体" w:cs="宋体" w:eastAsia="宋体" w:hint="default"/>
                <w:sz w:val="21"/>
                <w:szCs w:val="21"/>
              </w:rPr>
            </w:pPr>
            <w:r>
              <w:rPr>
                <w:rFonts w:ascii="宋体"/>
                <w:sz w:val="21"/>
              </w:rPr>
              <w:t>7,40</w:t>
            </w:r>
          </w:p>
          <w:p>
            <w:pPr>
              <w:pStyle w:val="TableParagraph"/>
              <w:spacing w:line="274" w:lineRule="exact"/>
              <w:ind w:left="129" w:right="0"/>
              <w:jc w:val="left"/>
              <w:rPr>
                <w:rFonts w:ascii="宋体" w:hAnsi="宋体" w:cs="宋体" w:eastAsia="宋体" w:hint="default"/>
                <w:sz w:val="21"/>
                <w:szCs w:val="21"/>
              </w:rPr>
            </w:pPr>
            <w:r>
              <w:rPr>
                <w:rFonts w:ascii="宋体"/>
                <w:sz w:val="21"/>
              </w:rPr>
              <w:t>5.98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1,617,4</w:t>
            </w:r>
          </w:p>
          <w:p>
            <w:pPr>
              <w:pStyle w:val="TableParagraph"/>
              <w:spacing w:line="273" w:lineRule="exact"/>
              <w:ind w:left="287" w:right="0"/>
              <w:jc w:val="left"/>
              <w:rPr>
                <w:rFonts w:ascii="宋体" w:hAnsi="宋体" w:cs="宋体" w:eastAsia="宋体" w:hint="default"/>
                <w:sz w:val="21"/>
                <w:szCs w:val="21"/>
              </w:rPr>
            </w:pPr>
            <w:r>
              <w:rPr>
                <w:rFonts w:ascii="宋体"/>
                <w:sz w:val="21"/>
              </w:rPr>
              <w:t>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4" w:right="0"/>
              <w:jc w:val="center"/>
              <w:rPr>
                <w:rFonts w:ascii="宋体" w:hAnsi="宋体" w:cs="宋体" w:eastAsia="宋体" w:hint="default"/>
                <w:sz w:val="21"/>
                <w:szCs w:val="21"/>
              </w:rPr>
            </w:pPr>
            <w:r>
              <w:rPr>
                <w:rFonts w:ascii="宋体"/>
                <w:sz w:val="21"/>
              </w:rPr>
              <w:t>28,003,</w:t>
            </w:r>
          </w:p>
          <w:p>
            <w:pPr>
              <w:pStyle w:val="TableParagraph"/>
              <w:spacing w:line="273" w:lineRule="exact"/>
              <w:ind w:left="157" w:right="0"/>
              <w:jc w:val="center"/>
              <w:rPr>
                <w:rFonts w:ascii="宋体" w:hAnsi="宋体" w:cs="宋体" w:eastAsia="宋体" w:hint="default"/>
                <w:sz w:val="21"/>
                <w:szCs w:val="21"/>
              </w:rPr>
            </w:pPr>
            <w:r>
              <w:rPr>
                <w:rFonts w:ascii="宋体"/>
                <w:sz w:val="21"/>
              </w:rPr>
              <w:t>413.69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100.00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sz w:val="21"/>
              </w:rPr>
              <w:t>6,500,</w:t>
            </w:r>
          </w:p>
          <w:p>
            <w:pPr>
              <w:pStyle w:val="TableParagraph"/>
              <w:spacing w:line="273" w:lineRule="exact"/>
              <w:ind w:left="38" w:right="0"/>
              <w:jc w:val="left"/>
              <w:rPr>
                <w:rFonts w:ascii="宋体" w:hAnsi="宋体" w:cs="宋体" w:eastAsia="宋体" w:hint="default"/>
                <w:sz w:val="21"/>
                <w:szCs w:val="21"/>
              </w:rPr>
            </w:pPr>
            <w:r>
              <w:rPr>
                <w:rFonts w:ascii="宋体"/>
                <w:sz w:val="21"/>
              </w:rPr>
              <w:t>758.27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23.2</w:t>
            </w:r>
          </w:p>
          <w:p>
            <w:pPr>
              <w:pStyle w:val="TableParagraph"/>
              <w:spacing w:line="273" w:lineRule="exact"/>
              <w:ind w:right="0"/>
              <w:jc w:val="center"/>
              <w:rPr>
                <w:rFonts w:ascii="宋体" w:hAnsi="宋体" w:cs="宋体" w:eastAsia="宋体" w:hint="default"/>
                <w:sz w:val="21"/>
                <w:szCs w:val="21"/>
              </w:rPr>
            </w:pPr>
            <w:r>
              <w:rPr>
                <w:rFonts w:ascii="宋体"/>
                <w:w w:val="100"/>
                <w:sz w:val="21"/>
              </w:rPr>
              <w:t>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9" w:right="0"/>
              <w:jc w:val="center"/>
              <w:rPr>
                <w:rFonts w:ascii="宋体" w:hAnsi="宋体" w:cs="宋体" w:eastAsia="宋体" w:hint="default"/>
                <w:sz w:val="21"/>
                <w:szCs w:val="21"/>
              </w:rPr>
            </w:pPr>
            <w:r>
              <w:rPr>
                <w:rFonts w:ascii="宋体"/>
                <w:sz w:val="21"/>
              </w:rPr>
              <w:t>21,502,</w:t>
            </w:r>
          </w:p>
          <w:p>
            <w:pPr>
              <w:pStyle w:val="TableParagraph"/>
              <w:spacing w:line="273" w:lineRule="exact"/>
              <w:ind w:left="162" w:right="0"/>
              <w:jc w:val="center"/>
              <w:rPr>
                <w:rFonts w:ascii="宋体" w:hAnsi="宋体" w:cs="宋体" w:eastAsia="宋体" w:hint="default"/>
                <w:sz w:val="21"/>
                <w:szCs w:val="21"/>
              </w:rPr>
            </w:pPr>
            <w:r>
              <w:rPr>
                <w:rFonts w:ascii="宋体"/>
                <w:sz w:val="21"/>
              </w:rPr>
              <w:t>655.42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29,1</w:t>
            </w:r>
          </w:p>
          <w:p>
            <w:pPr>
              <w:pStyle w:val="TableParagraph"/>
              <w:spacing w:line="272" w:lineRule="exact"/>
              <w:ind w:left="129" w:right="0"/>
              <w:jc w:val="left"/>
              <w:rPr>
                <w:rFonts w:ascii="宋体" w:hAnsi="宋体" w:cs="宋体" w:eastAsia="宋体" w:hint="default"/>
                <w:sz w:val="21"/>
                <w:szCs w:val="21"/>
              </w:rPr>
            </w:pPr>
            <w:r>
              <w:rPr>
                <w:rFonts w:ascii="宋体"/>
                <w:sz w:val="21"/>
              </w:rPr>
              <w:t>39,2</w:t>
            </w:r>
          </w:p>
          <w:p>
            <w:pPr>
              <w:pStyle w:val="TableParagraph"/>
              <w:spacing w:line="272" w:lineRule="exact"/>
              <w:ind w:left="129" w:right="0"/>
              <w:jc w:val="left"/>
              <w:rPr>
                <w:rFonts w:ascii="宋体" w:hAnsi="宋体" w:cs="宋体" w:eastAsia="宋体" w:hint="default"/>
                <w:sz w:val="21"/>
                <w:szCs w:val="21"/>
              </w:rPr>
            </w:pPr>
            <w:r>
              <w:rPr>
                <w:rFonts w:ascii="宋体"/>
                <w:sz w:val="21"/>
              </w:rPr>
              <w:t>70.4</w:t>
            </w:r>
          </w:p>
          <w:p>
            <w:pPr>
              <w:pStyle w:val="TableParagraph"/>
              <w:spacing w:line="273" w:lineRule="exact"/>
              <w:ind w:right="24"/>
              <w:jc w:val="right"/>
              <w:rPr>
                <w:rFonts w:ascii="宋体" w:hAnsi="宋体" w:cs="宋体" w:eastAsia="宋体" w:hint="default"/>
                <w:sz w:val="21"/>
                <w:szCs w:val="21"/>
              </w:rPr>
            </w:pPr>
            <w:r>
              <w:rPr>
                <w:rFonts w:ascii="宋体"/>
                <w:w w:val="100"/>
                <w:sz w:val="21"/>
              </w:rPr>
              <w:t>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sz w:val="21"/>
              </w:rPr>
              <w:t>8,749,9</w:t>
            </w:r>
          </w:p>
          <w:p>
            <w:pPr>
              <w:pStyle w:val="TableParagraph"/>
              <w:spacing w:line="273" w:lineRule="exact"/>
              <w:ind w:left="287" w:right="0"/>
              <w:jc w:val="left"/>
              <w:rPr>
                <w:rFonts w:ascii="宋体" w:hAnsi="宋体" w:cs="宋体" w:eastAsia="宋体" w:hint="default"/>
                <w:sz w:val="21"/>
                <w:szCs w:val="21"/>
              </w:rPr>
            </w:pPr>
            <w:r>
              <w:rPr>
                <w:rFonts w:ascii="宋体"/>
                <w:sz w:val="21"/>
              </w:rPr>
              <w:t>11.36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left"/>
              <w:rPr>
                <w:rFonts w:ascii="宋体" w:hAnsi="宋体" w:cs="宋体" w:eastAsia="宋体" w:hint="default"/>
                <w:sz w:val="21"/>
                <w:szCs w:val="21"/>
              </w:rPr>
            </w:pPr>
            <w:r>
              <w:rPr>
                <w:rFonts w:ascii="宋体"/>
                <w:sz w:val="21"/>
              </w:rPr>
              <w:t>20,389,3</w:t>
            </w:r>
          </w:p>
          <w:p>
            <w:pPr>
              <w:pStyle w:val="TableParagraph"/>
              <w:spacing w:line="273" w:lineRule="exact"/>
              <w:ind w:left="364" w:right="0"/>
              <w:jc w:val="left"/>
              <w:rPr>
                <w:rFonts w:ascii="宋体" w:hAnsi="宋体" w:cs="宋体" w:eastAsia="宋体" w:hint="default"/>
                <w:sz w:val="21"/>
                <w:szCs w:val="21"/>
              </w:rPr>
            </w:pPr>
            <w:r>
              <w:rPr>
                <w:rFonts w:ascii="宋体"/>
                <w:sz w:val="21"/>
              </w:rPr>
              <w:t>59.08</w:t>
            </w:r>
          </w:p>
        </w:tc>
      </w:tr>
    </w:tbl>
    <w:p>
      <w:pPr>
        <w:spacing w:line="240" w:lineRule="auto" w:before="12"/>
        <w:rPr>
          <w:rFonts w:ascii="宋体" w:hAnsi="宋体" w:cs="宋体" w:eastAsia="宋体" w:hint="default"/>
          <w:sz w:val="19"/>
          <w:szCs w:val="19"/>
        </w:rPr>
      </w:pPr>
    </w:p>
    <w:p>
      <w:pPr>
        <w:pStyle w:val="BodyText"/>
        <w:spacing w:line="240" w:lineRule="auto" w:before="36"/>
        <w:ind w:left="238" w:right="0"/>
        <w:jc w:val="left"/>
      </w:pPr>
      <w:r>
        <w:rPr/>
        <w:t>期末单项金额重大并单项计提坏账准备的其他应收款：</w:t>
      </w:r>
    </w:p>
    <w:p>
      <w:pPr>
        <w:pStyle w:val="BodyText"/>
        <w:spacing w:line="240" w:lineRule="auto" w:before="58"/>
        <w:ind w:left="238" w:right="0"/>
        <w:jc w:val="left"/>
      </w:pPr>
      <w:r>
        <w:rPr/>
        <w:t>□适用</w:t>
      </w:r>
      <w:r>
        <w:rPr>
          <w:spacing w:val="-1"/>
        </w:rPr>
        <w:t> </w:t>
      </w:r>
      <w:r>
        <w:rPr/>
        <w:t>√不适用</w:t>
      </w:r>
    </w:p>
    <w:p>
      <w:pPr>
        <w:pStyle w:val="Heading3"/>
        <w:spacing w:line="240" w:lineRule="auto" w:before="50"/>
        <w:ind w:left="238" w:right="0"/>
        <w:jc w:val="left"/>
      </w:pPr>
      <w:r>
        <w:rPr/>
        <w:t>组合中，按账龄分析法计提坏账准备的其他应收款：</w:t>
      </w:r>
    </w:p>
    <w:p>
      <w:pPr>
        <w:spacing w:after="0" w:line="240" w:lineRule="auto"/>
        <w:jc w:val="left"/>
        <w:sectPr>
          <w:type w:val="continuous"/>
          <w:pgSz w:w="11910" w:h="16840"/>
          <w:pgMar w:top="1120" w:bottom="1380" w:left="156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14,758,775.08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737,938.75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2,809,469.79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224,757.58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1,627,418.22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325,483.64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7,190,344.62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3,595,172.31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26,386,007.71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4,883,352.28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18.51</w:t>
            </w:r>
          </w:p>
        </w:tc>
      </w:tr>
    </w:tbl>
    <w:p>
      <w:pPr>
        <w:spacing w:after="0" w:line="241" w:lineRule="exact"/>
        <w:jc w:val="right"/>
        <w:rPr>
          <w:rFonts w:ascii="宋体" w:hAnsi="宋体" w:cs="宋体" w:eastAsia="宋体" w:hint="default"/>
          <w:sz w:val="21"/>
          <w:szCs w:val="21"/>
        </w:rPr>
        <w:sectPr>
          <w:footerReference w:type="default" r:id="rId174"/>
          <w:pgSz w:w="11910" w:h="16840"/>
          <w:pgMar w:footer="1195" w:header="882" w:top="1120" w:bottom="1380" w:left="1580" w:right="1040"/>
          <w:pgNumType w:start="167"/>
        </w:sectPr>
      </w:pPr>
    </w:p>
    <w:p>
      <w:pPr>
        <w:pStyle w:val="BodyText"/>
        <w:spacing w:line="241" w:lineRule="exact"/>
        <w:ind w:right="0"/>
        <w:jc w:val="left"/>
      </w:pPr>
      <w:r>
        <w:rPr/>
        <w:t>确定该组合依据的说明：</w:t>
      </w:r>
    </w:p>
    <w:p>
      <w:pPr>
        <w:pStyle w:val="BodyText"/>
        <w:spacing w:line="240" w:lineRule="auto" w:before="99"/>
        <w:ind w:right="0"/>
        <w:jc w:val="left"/>
      </w:pPr>
      <w:r>
        <w:rPr>
          <w:spacing w:val="-2"/>
        </w:rPr>
        <w:t>组合中，采用余额百分比法计提坏账准备的其他应收款：</w:t>
      </w:r>
    </w:p>
    <w:p>
      <w:pPr>
        <w:pStyle w:val="BodyText"/>
        <w:spacing w:line="290" w:lineRule="auto" w:before="56"/>
        <w:ind w:right="0"/>
        <w:jc w:val="left"/>
      </w:pPr>
      <w:r>
        <w:rPr/>
        <w:t>□适用</w:t>
      </w:r>
      <w:r>
        <w:rPr>
          <w:spacing w:val="-2"/>
        </w:rPr>
        <w:t> </w:t>
      </w:r>
      <w:r>
        <w:rPr/>
        <w:t>√不适用</w:t>
      </w:r>
      <w:r>
        <w:rPr>
          <w:w w:val="100"/>
        </w:rPr>
        <w:t> </w:t>
      </w:r>
      <w:r>
        <w:rPr>
          <w:spacing w:val="-2"/>
        </w:rPr>
        <w:t>组合中，采用其他方法计提坏账准备的其他应收款：</w:t>
      </w:r>
    </w:p>
    <w:p>
      <w:pPr>
        <w:pStyle w:val="BodyText"/>
        <w:tabs>
          <w:tab w:pos="1060" w:val="left" w:leader="none"/>
        </w:tabs>
        <w:spacing w:line="240" w:lineRule="auto" w:before="12"/>
        <w:ind w:right="0"/>
        <w:jc w:val="left"/>
      </w:pPr>
      <w:r>
        <w:rPr>
          <w:spacing w:val="-1"/>
        </w:rPr>
        <w:t>□适用</w:t>
        <w:tab/>
      </w:r>
      <w:r>
        <w:rPr>
          <w:spacing w:val="-2"/>
        </w:rPr>
        <w:t>√不适用</w:t>
      </w:r>
    </w:p>
    <w:p>
      <w:pPr>
        <w:pStyle w:val="Heading2"/>
        <w:spacing w:line="240" w:lineRule="auto" w:before="50"/>
        <w:ind w:right="0"/>
        <w:jc w:val="left"/>
        <w:rPr>
          <w:b w:val="0"/>
          <w:bCs w:val="0"/>
        </w:rPr>
      </w:pPr>
      <w:r>
        <w:rPr>
          <w:rFonts w:ascii="宋体" w:hAnsi="宋体" w:cs="宋体" w:eastAsia="宋体" w:hint="default"/>
        </w:rPr>
        <w:t>(2).</w:t>
      </w:r>
      <w:r>
        <w:rPr>
          <w:rFonts w:ascii="宋体" w:hAnsi="宋体" w:cs="宋体" w:eastAsia="宋体" w:hint="default"/>
          <w:spacing w:val="-4"/>
        </w:rPr>
        <w:t> </w:t>
      </w:r>
      <w:r>
        <w:rPr/>
        <w:t>本期计提、收回或转回的坏账准备情况：</w:t>
      </w:r>
      <w:r>
        <w:rPr>
          <w:b w:val="0"/>
          <w:bCs w:val="0"/>
        </w:rPr>
      </w:r>
    </w:p>
    <w:p>
      <w:pPr>
        <w:pStyle w:val="BodyText"/>
        <w:spacing w:line="355" w:lineRule="auto" w:before="64"/>
        <w:ind w:right="724"/>
        <w:jc w:val="left"/>
      </w:pPr>
      <w:r>
        <w:rPr/>
        <w:t>本期收回或转回坏账准备金额</w:t>
      </w:r>
      <w:r>
        <w:rPr>
          <w:spacing w:val="-53"/>
        </w:rPr>
        <w:t> </w:t>
      </w:r>
      <w:r>
        <w:rPr>
          <w:rFonts w:ascii="宋体" w:hAnsi="宋体" w:cs="宋体" w:eastAsia="宋体" w:hint="default"/>
        </w:rPr>
        <w:t>2,214,968.09</w:t>
      </w:r>
      <w:r>
        <w:rPr>
          <w:rFonts w:ascii="宋体" w:hAnsi="宋体" w:cs="宋体" w:eastAsia="宋体" w:hint="default"/>
          <w:spacing w:val="-55"/>
        </w:rPr>
        <w:t> </w:t>
      </w:r>
      <w:r>
        <w:rPr/>
        <w:t>元。</w:t>
      </w:r>
      <w:r>
        <w:rPr>
          <w:w w:val="100"/>
        </w:rPr>
        <w:t> </w:t>
      </w:r>
      <w:r>
        <w:rPr/>
        <w:t>其中本期坏账准备转回或收回金额重要的：</w:t>
      </w:r>
    </w:p>
    <w:p>
      <w:pPr>
        <w:pStyle w:val="BodyText"/>
        <w:spacing w:line="240" w:lineRule="auto" w:before="35"/>
        <w:ind w:right="0"/>
        <w:jc w:val="left"/>
      </w:pPr>
      <w:r>
        <w:rPr/>
        <w:t>□适用</w:t>
      </w:r>
      <w:r>
        <w:rPr>
          <w:spacing w:val="-1"/>
        </w:rPr>
        <w:t> </w:t>
      </w:r>
      <w:r>
        <w:rPr/>
        <w:t>√不适用</w:t>
      </w:r>
    </w:p>
    <w:p>
      <w:pPr>
        <w:pStyle w:val="Heading2"/>
        <w:spacing w:line="240" w:lineRule="auto" w:before="50"/>
        <w:ind w:right="0"/>
        <w:jc w:val="left"/>
        <w:rPr>
          <w:b w:val="0"/>
          <w:bCs w:val="0"/>
        </w:rPr>
      </w:pPr>
      <w:r>
        <w:rPr>
          <w:rFonts w:ascii="宋体" w:hAnsi="宋体" w:cs="宋体" w:eastAsia="宋体" w:hint="default"/>
        </w:rPr>
        <w:t>(3).</w:t>
      </w:r>
      <w:r>
        <w:rPr>
          <w:rFonts w:ascii="宋体" w:hAnsi="宋体" w:cs="宋体" w:eastAsia="宋体" w:hint="default"/>
          <w:spacing w:val="-2"/>
        </w:rPr>
        <w:t> </w:t>
      </w:r>
      <w:r>
        <w:rPr/>
        <w:t>本期实际核销的其他应收款情况</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75" w:space="104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Narrow" w:hAnsi="Arial Narrow" w:cs="Arial Narrow" w:eastAsia="Arial Narrow" w:hint="default"/>
                <w:sz w:val="18"/>
                <w:szCs w:val="18"/>
              </w:rPr>
            </w:pPr>
            <w:r>
              <w:rPr>
                <w:rFonts w:ascii="Arial Narrow"/>
                <w:spacing w:val="-1"/>
                <w:sz w:val="18"/>
              </w:rPr>
              <w:t>7,185.00</w:t>
            </w:r>
          </w:p>
        </w:tc>
      </w:tr>
    </w:tbl>
    <w:p>
      <w:pPr>
        <w:spacing w:line="240" w:lineRule="auto" w:before="7"/>
        <w:rPr>
          <w:rFonts w:ascii="宋体" w:hAnsi="宋体" w:cs="宋体" w:eastAsia="宋体" w:hint="default"/>
          <w:sz w:val="15"/>
          <w:szCs w:val="15"/>
        </w:rPr>
      </w:pPr>
    </w:p>
    <w:p>
      <w:pPr>
        <w:pStyle w:val="BodyText"/>
        <w:spacing w:line="273" w:lineRule="exact" w:before="36"/>
        <w:ind w:right="215"/>
        <w:jc w:val="left"/>
      </w:pPr>
      <w:r>
        <w:rPr/>
        <w:t>其中重要的其他应收款核销情况：</w:t>
      </w:r>
    </w:p>
    <w:p>
      <w:pPr>
        <w:pStyle w:val="BodyText"/>
        <w:spacing w:line="240" w:lineRule="auto"/>
        <w:ind w:right="5935"/>
        <w:jc w:val="left"/>
      </w:pPr>
      <w:r>
        <w:rPr/>
        <w:t>□适用</w:t>
      </w:r>
      <w:r>
        <w:rPr>
          <w:spacing w:val="-2"/>
        </w:rPr>
        <w:t> </w:t>
      </w:r>
      <w:r>
        <w:rPr/>
        <w:t>√不适用</w:t>
      </w:r>
      <w:r>
        <w:rPr>
          <w:w w:val="100"/>
        </w:rPr>
        <w:t> </w:t>
      </w:r>
      <w:r>
        <w:rPr>
          <w:spacing w:val="-2"/>
        </w:rPr>
        <w:t>其他应收款核销说明：</w:t>
      </w:r>
    </w:p>
    <w:p>
      <w:pPr>
        <w:pStyle w:val="BodyText"/>
        <w:tabs>
          <w:tab w:pos="1060" w:val="left" w:leader="none"/>
        </w:tabs>
        <w:spacing w:line="271" w:lineRule="exact"/>
        <w:ind w:right="215"/>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2"/>
        </w:rPr>
        <w:t> </w:t>
      </w:r>
      <w:r>
        <w:rPr/>
        <w:t>其他应收款按款项性质分类情况</w:t>
      </w:r>
      <w:r>
        <w:rPr>
          <w:b w:val="0"/>
          <w:bCs w:val="0"/>
        </w:rPr>
      </w:r>
    </w:p>
    <w:p>
      <w:pPr>
        <w:pStyle w:val="BodyText"/>
        <w:spacing w:line="240" w:lineRule="auto" w:before="64"/>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196" w:space="232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w:t>
            </w: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12,867,236.37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24,590,175.68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r>
              <w:rPr>
                <w:rFonts w:ascii="宋体" w:hAnsi="宋体" w:cs="宋体" w:eastAsia="宋体" w:hint="default"/>
                <w:sz w:val="21"/>
                <w:szCs w:val="21"/>
              </w:rPr>
              <w:t>\</w:t>
            </w:r>
            <w:r>
              <w:rPr>
                <w:rFonts w:ascii="宋体" w:hAnsi="宋体" w:cs="宋体" w:eastAsia="宋体" w:hint="default"/>
                <w:sz w:val="21"/>
                <w:szCs w:val="21"/>
              </w:rPr>
              <w:t>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1,174,000.00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843,367.78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12,352,667.21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3,042,147.48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1,629,510.11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663,579.50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28,023,413.69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29,139,270.44</w:t>
            </w:r>
          </w:p>
        </w:tc>
      </w:tr>
    </w:tbl>
    <w:p>
      <w:pPr>
        <w:spacing w:line="240" w:lineRule="auto" w:before="4"/>
        <w:rPr>
          <w:rFonts w:ascii="宋体" w:hAnsi="宋体" w:cs="宋体" w:eastAsia="宋体" w:hint="default"/>
          <w:sz w:val="20"/>
          <w:szCs w:val="20"/>
        </w:rPr>
      </w:pPr>
    </w:p>
    <w:p>
      <w:pPr>
        <w:pStyle w:val="Heading2"/>
        <w:spacing w:line="240" w:lineRule="auto"/>
        <w:ind w:right="215"/>
        <w:jc w:val="left"/>
        <w:rPr>
          <w:b w:val="0"/>
          <w:bCs w:val="0"/>
        </w:rPr>
      </w:pPr>
      <w:r>
        <w:rPr>
          <w:rFonts w:ascii="宋体" w:hAnsi="宋体" w:cs="宋体" w:eastAsia="宋体" w:hint="default"/>
        </w:rPr>
        <w:t>(5).</w:t>
      </w:r>
      <w:r>
        <w:rPr>
          <w:rFonts w:ascii="宋体" w:hAnsi="宋体" w:cs="宋体" w:eastAsia="宋体" w:hint="default"/>
          <w:spacing w:val="-5"/>
        </w:rPr>
        <w:t> </w:t>
      </w:r>
      <w:r>
        <w:rPr/>
        <w:t>按欠款方归集的期末余额前五名的其他应收款情况：</w:t>
      </w:r>
      <w:r>
        <w:rPr>
          <w:b w:val="0"/>
          <w:bCs w:val="0"/>
        </w:rPr>
      </w:r>
    </w:p>
    <w:p>
      <w:pPr>
        <w:pStyle w:val="BodyText"/>
        <w:spacing w:line="240" w:lineRule="auto" w:before="64"/>
        <w:ind w:right="21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4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18"/>
        <w:gridCol w:w="1383"/>
        <w:gridCol w:w="1500"/>
        <w:gridCol w:w="1121"/>
        <w:gridCol w:w="1541"/>
        <w:gridCol w:w="1332"/>
      </w:tblGrid>
      <w:tr>
        <w:trPr>
          <w:trHeight w:val="82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pacing w:val="-1"/>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398" w:right="24"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9" w:right="23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7"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中国（南京）软件谷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管理委员会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保证金</w:t>
            </w:r>
            <w:r>
              <w:rPr>
                <w:rFonts w:ascii="宋体" w:hAnsi="宋体" w:cs="宋体" w:eastAsia="宋体" w:hint="default"/>
                <w:spacing w:val="-2"/>
                <w:sz w:val="21"/>
                <w:szCs w:val="21"/>
              </w:rPr>
              <w:t>\</w:t>
            </w:r>
            <w:r>
              <w:rPr>
                <w:rFonts w:ascii="宋体" w:hAnsi="宋体" w:cs="宋体" w:eastAsia="宋体" w:hint="default"/>
                <w:spacing w:val="-2"/>
                <w:sz w:val="21"/>
                <w:szCs w:val="21"/>
              </w:rPr>
              <w:t>押金</w:t>
            </w:r>
            <w:r>
              <w:rPr>
                <w:rFonts w:ascii="宋体" w:hAnsi="宋体" w:cs="宋体" w:eastAsia="宋体" w:hint="default"/>
                <w:sz w:val="21"/>
                <w:szCs w:val="21"/>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17.84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2,500,000.00</w:t>
            </w:r>
          </w:p>
        </w:tc>
      </w:tr>
      <w:tr>
        <w:trPr>
          <w:trHeight w:val="82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永兴县城市基础设</w:t>
            </w:r>
          </w:p>
          <w:p>
            <w:pPr>
              <w:pStyle w:val="TableParagraph"/>
              <w:spacing w:line="240" w:lineRule="auto"/>
              <w:ind w:left="26" w:right="297"/>
              <w:jc w:val="left"/>
              <w:rPr>
                <w:rFonts w:ascii="宋体" w:hAnsi="宋体" w:cs="宋体" w:eastAsia="宋体" w:hint="default"/>
                <w:sz w:val="21"/>
                <w:szCs w:val="21"/>
              </w:rPr>
            </w:pPr>
            <w:r>
              <w:rPr>
                <w:rFonts w:ascii="宋体" w:hAnsi="宋体" w:cs="宋体" w:eastAsia="宋体" w:hint="default"/>
                <w:sz w:val="21"/>
                <w:szCs w:val="21"/>
              </w:rPr>
              <w:t>施建设投资有限公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保证金</w:t>
            </w:r>
            <w:r>
              <w:rPr>
                <w:rFonts w:ascii="宋体" w:hAnsi="宋体" w:cs="宋体" w:eastAsia="宋体" w:hint="default"/>
                <w:spacing w:val="-2"/>
                <w:sz w:val="21"/>
                <w:szCs w:val="21"/>
              </w:rPr>
              <w:t>\</w:t>
            </w:r>
            <w:r>
              <w:rPr>
                <w:rFonts w:ascii="宋体" w:hAnsi="宋体" w:cs="宋体" w:eastAsia="宋体" w:hint="default"/>
                <w:spacing w:val="-2"/>
                <w:sz w:val="21"/>
                <w:szCs w:val="21"/>
              </w:rPr>
              <w:t>押金</w:t>
            </w:r>
            <w:r>
              <w:rPr>
                <w:rFonts w:ascii="宋体" w:hAnsi="宋体" w:cs="宋体" w:eastAsia="宋体" w:hint="default"/>
                <w:sz w:val="21"/>
                <w:szCs w:val="21"/>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7.99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112,000.00</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天一证券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保证金</w:t>
            </w:r>
            <w:r>
              <w:rPr>
                <w:rFonts w:ascii="宋体" w:hAnsi="宋体" w:cs="宋体" w:eastAsia="宋体" w:hint="default"/>
                <w:spacing w:val="-2"/>
                <w:sz w:val="21"/>
                <w:szCs w:val="21"/>
              </w:rPr>
              <w:t>\</w:t>
            </w:r>
            <w:r>
              <w:rPr>
                <w:rFonts w:ascii="宋体" w:hAnsi="宋体" w:cs="宋体" w:eastAsia="宋体" w:hint="default"/>
                <w:spacing w:val="-2"/>
                <w:sz w:val="21"/>
                <w:szCs w:val="21"/>
              </w:rPr>
              <w:t>押金</w:t>
            </w:r>
            <w:r>
              <w:rPr>
                <w:rFonts w:ascii="宋体" w:hAnsi="宋体" w:cs="宋体" w:eastAsia="宋体" w:hint="default"/>
                <w:sz w:val="21"/>
                <w:szCs w:val="21"/>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1,617,405.98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5.77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1,617,405.98</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谢静</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员工备用金</w:t>
            </w:r>
            <w:r>
              <w:rPr>
                <w:rFonts w:ascii="宋体" w:hAnsi="宋体" w:cs="宋体" w:eastAsia="宋体" w:hint="default"/>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1,174,000.00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58,700.00</w:t>
            </w:r>
          </w:p>
        </w:tc>
      </w:tr>
      <w:tr>
        <w:trPr>
          <w:trHeight w:val="28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珠海市公安局</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保证金</w:t>
            </w:r>
            <w:r>
              <w:rPr>
                <w:rFonts w:ascii="宋体" w:hAnsi="宋体" w:cs="宋体" w:eastAsia="宋体" w:hint="default"/>
                <w:spacing w:val="-2"/>
                <w:sz w:val="21"/>
                <w:szCs w:val="21"/>
              </w:rPr>
              <w:t>\</w:t>
            </w:r>
            <w:r>
              <w:rPr>
                <w:rFonts w:ascii="宋体" w:hAnsi="宋体" w:cs="宋体" w:eastAsia="宋体" w:hint="default"/>
                <w:spacing w:val="-2"/>
                <w:sz w:val="21"/>
                <w:szCs w:val="21"/>
              </w:rPr>
              <w:t>押金</w:t>
            </w:r>
            <w:r>
              <w:rPr>
                <w:rFonts w:ascii="宋体" w:hAnsi="宋体" w:cs="宋体" w:eastAsia="宋体" w:hint="default"/>
                <w:sz w:val="21"/>
                <w:szCs w:val="21"/>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777,820.00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62,225.60</w:t>
            </w:r>
          </w:p>
        </w:tc>
      </w:tr>
      <w:tr>
        <w:trPr>
          <w:trHeight w:val="281"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10,809,225.98</w:t>
            </w:r>
          </w:p>
        </w:tc>
        <w:tc>
          <w:tcPr>
            <w:tcW w:w="112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38.57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4,350,331.58</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820"/>
        </w:sectPr>
      </w:pPr>
    </w:p>
    <w:p>
      <w:pPr>
        <w:pStyle w:val="Heading2"/>
        <w:spacing w:line="240" w:lineRule="auto"/>
        <w:ind w:right="-17"/>
        <w:jc w:val="left"/>
        <w:rPr>
          <w:b w:val="0"/>
          <w:bCs w:val="0"/>
        </w:rPr>
      </w:pPr>
      <w:r>
        <w:rPr>
          <w:rFonts w:ascii="宋体" w:hAnsi="宋体" w:cs="宋体" w:eastAsia="宋体" w:hint="default"/>
        </w:rPr>
        <w:t>(6).</w:t>
      </w:r>
      <w:r>
        <w:rPr>
          <w:rFonts w:ascii="宋体" w:hAnsi="宋体" w:cs="宋体" w:eastAsia="宋体" w:hint="default"/>
          <w:spacing w:val="-4"/>
        </w:rPr>
        <w:t> </w:t>
      </w:r>
      <w:r>
        <w:rPr/>
        <w:t>涉及政府补助的应收款项</w:t>
      </w:r>
      <w:r>
        <w:rPr>
          <w:b w:val="0"/>
          <w:bCs w:val="0"/>
        </w:rPr>
      </w:r>
    </w:p>
    <w:p>
      <w:pPr>
        <w:pStyle w:val="BodyText"/>
        <w:spacing w:line="240" w:lineRule="auto" w:before="64"/>
        <w:ind w:right="-17"/>
        <w:jc w:val="left"/>
      </w:pPr>
      <w:r>
        <w:rPr/>
        <w:t>□适用</w:t>
      </w:r>
      <w:r>
        <w:rPr>
          <w:spacing w:val="-1"/>
        </w:rPr>
        <w:t> </w:t>
      </w:r>
      <w:r>
        <w:rPr/>
        <w:t>√不适用</w:t>
      </w:r>
    </w:p>
    <w:p>
      <w:pPr>
        <w:pStyle w:val="Heading2"/>
        <w:spacing w:line="240" w:lineRule="auto" w:before="50"/>
        <w:ind w:right="-17"/>
        <w:jc w:val="left"/>
        <w:rPr>
          <w:b w:val="0"/>
          <w:bCs w:val="0"/>
        </w:rPr>
      </w:pPr>
      <w:r>
        <w:rPr>
          <w:rFonts w:ascii="宋体" w:hAnsi="宋体" w:cs="宋体" w:eastAsia="宋体" w:hint="default"/>
        </w:rPr>
        <w:t>(7).</w:t>
      </w:r>
      <w:r>
        <w:rPr>
          <w:rFonts w:ascii="宋体" w:hAnsi="宋体" w:cs="宋体" w:eastAsia="宋体" w:hint="default"/>
          <w:spacing w:val="-3"/>
        </w:rPr>
        <w:t> </w:t>
      </w:r>
      <w:r>
        <w:rPr/>
        <w:t>因金融资产转移而终止确认的其他应收款：</w:t>
      </w:r>
      <w:r>
        <w:rPr>
          <w:b w:val="0"/>
          <w:bCs w:val="0"/>
        </w:rPr>
      </w:r>
    </w:p>
    <w:p>
      <w:pPr>
        <w:pStyle w:val="BodyText"/>
        <w:tabs>
          <w:tab w:pos="1060" w:val="left" w:leader="none"/>
        </w:tabs>
        <w:spacing w:line="240" w:lineRule="auto" w:before="64"/>
        <w:ind w:right="-17"/>
        <w:jc w:val="left"/>
      </w:pPr>
      <w:r>
        <w:rPr>
          <w:spacing w:val="-1"/>
        </w:rPr>
        <w:t>□适用</w:t>
        <w:tab/>
      </w:r>
      <w:r>
        <w:rPr>
          <w:spacing w:val="-2"/>
        </w:rPr>
        <w:t>√不适用</w:t>
      </w:r>
    </w:p>
    <w:p>
      <w:pPr>
        <w:pStyle w:val="Heading2"/>
        <w:spacing w:line="240" w:lineRule="auto" w:before="50"/>
        <w:ind w:right="-17"/>
        <w:jc w:val="left"/>
        <w:rPr>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b w:val="0"/>
          <w:bCs w:val="0"/>
        </w:rPr>
      </w:r>
    </w:p>
    <w:p>
      <w:pPr>
        <w:pStyle w:val="BodyText"/>
        <w:tabs>
          <w:tab w:pos="1060" w:val="left" w:leader="none"/>
        </w:tabs>
        <w:spacing w:line="240" w:lineRule="auto" w:before="64"/>
        <w:ind w:right="4459"/>
        <w:jc w:val="left"/>
      </w:pPr>
      <w:r>
        <w:rPr>
          <w:spacing w:val="-1"/>
        </w:rPr>
        <w:t>□适用</w:t>
        <w:tab/>
      </w:r>
      <w:r>
        <w:rPr>
          <w:spacing w:val="-2"/>
        </w:rPr>
        <w:t>√不适用</w:t>
      </w:r>
      <w:r>
        <w:rPr>
          <w:spacing w:val="-99"/>
        </w:rPr>
        <w:t> </w:t>
      </w:r>
      <w:r>
        <w:rPr>
          <w:spacing w:val="-99"/>
        </w:rPr>
      </w:r>
      <w:r>
        <w:rPr/>
        <w:t>其他说明：</w:t>
      </w:r>
    </w:p>
    <w:p>
      <w:pPr>
        <w:tabs>
          <w:tab w:pos="1060" w:val="left" w:leader="none"/>
        </w:tabs>
        <w:spacing w:line="285" w:lineRule="auto" w:before="0"/>
        <w:ind w:left="218" w:right="4273" w:firstLine="0"/>
        <w:jc w:val="left"/>
        <w:rPr>
          <w:rFonts w:ascii="宋体" w:hAnsi="宋体" w:cs="宋体" w:eastAsia="宋体" w:hint="default"/>
          <w:sz w:val="24"/>
          <w:szCs w:val="24"/>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 </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spacing w:line="240" w:lineRule="auto" w:before="1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20"/>
          <w:cols w:num="2" w:equalWidth="0">
            <w:col w:w="6363" w:space="159"/>
            <w:col w:w="298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3"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826,774,867.78</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826,774,867.78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714,575,636.18</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714,575,636.18</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122,815,070.15</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122,815,070.15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77,503,312.28</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77,503,312.28</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949,589,937.93</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949,589,937.93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792,078,948.46</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792,078,948.46</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820"/>
        </w:sectPr>
      </w:pPr>
    </w:p>
    <w:p>
      <w:pPr>
        <w:pStyle w:val="Heading2"/>
        <w:spacing w:line="240" w:lineRule="auto"/>
        <w:ind w:right="-19"/>
        <w:jc w:val="left"/>
        <w:rPr>
          <w:b w:val="0"/>
          <w:bCs w:val="0"/>
        </w:rPr>
      </w:pPr>
      <w:r>
        <w:rPr>
          <w:rFonts w:ascii="宋体" w:hAnsi="宋体" w:cs="宋体" w:eastAsia="宋体" w:hint="default"/>
        </w:rPr>
        <w:t>(1)</w:t>
      </w:r>
      <w:r>
        <w:rPr>
          <w:rFonts w:ascii="宋体" w:hAnsi="宋体" w:cs="宋体" w:eastAsia="宋体" w:hint="default"/>
          <w:spacing w:val="-62"/>
        </w:rPr>
        <w:t> </w:t>
      </w:r>
      <w:r>
        <w:rPr/>
        <w:t>对子公司投资</w:t>
      </w:r>
      <w:r>
        <w:rPr>
          <w:b w:val="0"/>
          <w:bCs w:val="0"/>
        </w:rPr>
      </w:r>
    </w:p>
    <w:p>
      <w:pPr>
        <w:pStyle w:val="BodyText"/>
        <w:spacing w:line="240" w:lineRule="auto" w:before="64"/>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20"/>
          <w:cols w:num="2" w:equalWidth="0">
            <w:col w:w="2088" w:space="4434"/>
            <w:col w:w="29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277"/>
        <w:gridCol w:w="992"/>
        <w:gridCol w:w="1061"/>
        <w:gridCol w:w="1213"/>
        <w:gridCol w:w="900"/>
        <w:gridCol w:w="758"/>
      </w:tblGrid>
      <w:tr>
        <w:trPr>
          <w:trHeight w:val="109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4" w:right="171" w:hanging="210"/>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127"/>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63" w:right="161"/>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深圳市齐普生信息科技有限公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26,500,000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26,500,00</w:t>
            </w:r>
          </w:p>
          <w:p>
            <w:pPr>
              <w:pStyle w:val="TableParagraph"/>
              <w:spacing w:line="273" w:lineRule="exact"/>
              <w:ind w:left="679" w:right="0"/>
              <w:jc w:val="left"/>
              <w:rPr>
                <w:rFonts w:ascii="宋体" w:hAnsi="宋体" w:cs="宋体" w:eastAsia="宋体" w:hint="default"/>
                <w:sz w:val="21"/>
                <w:szCs w:val="21"/>
              </w:rPr>
            </w:pPr>
            <w:r>
              <w:rPr>
                <w:rFonts w:ascii="宋体"/>
                <w:sz w:val="21"/>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3,000,000</w:t>
            </w:r>
          </w:p>
          <w:p>
            <w:pPr>
              <w:pStyle w:val="TableParagraph"/>
              <w:spacing w:line="273" w:lineRule="exact"/>
              <w:ind w:left="785" w:right="0"/>
              <w:jc w:val="left"/>
              <w:rPr>
                <w:rFonts w:ascii="宋体" w:hAnsi="宋体" w:cs="宋体" w:eastAsia="宋体" w:hint="default"/>
                <w:sz w:val="21"/>
                <w:szCs w:val="21"/>
              </w:rPr>
            </w:pPr>
            <w:r>
              <w:rPr>
                <w:rFonts w:ascii="宋体"/>
                <w:sz w:val="21"/>
              </w:rPr>
              <w:t>.00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3,008,665.</w:t>
            </w:r>
          </w:p>
          <w:p>
            <w:pPr>
              <w:pStyle w:val="TableParagraph"/>
              <w:spacing w:line="274" w:lineRule="exact"/>
              <w:ind w:right="101"/>
              <w:jc w:val="right"/>
              <w:rPr>
                <w:rFonts w:ascii="宋体" w:hAnsi="宋体" w:cs="宋体" w:eastAsia="宋体" w:hint="default"/>
                <w:sz w:val="21"/>
                <w:szCs w:val="21"/>
              </w:rPr>
            </w:pPr>
            <w:r>
              <w:rPr>
                <w:rFonts w:ascii="宋体"/>
                <w:sz w:val="21"/>
              </w:rPr>
              <w:t>19</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3,008,665</w:t>
            </w:r>
          </w:p>
          <w:p>
            <w:pPr>
              <w:pStyle w:val="TableParagraph"/>
              <w:spacing w:line="274" w:lineRule="exact"/>
              <w:ind w:left="785" w:right="0"/>
              <w:jc w:val="left"/>
              <w:rPr>
                <w:rFonts w:ascii="宋体" w:hAnsi="宋体" w:cs="宋体" w:eastAsia="宋体" w:hint="default"/>
                <w:sz w:val="21"/>
                <w:szCs w:val="21"/>
              </w:rPr>
            </w:pPr>
            <w:r>
              <w:rPr>
                <w:rFonts w:ascii="宋体"/>
                <w:sz w:val="21"/>
              </w:rPr>
              <w:t>.19</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5"/>
        <w:gridCol w:w="1277"/>
        <w:gridCol w:w="992"/>
        <w:gridCol w:w="1061"/>
        <w:gridCol w:w="1213"/>
        <w:gridCol w:w="900"/>
        <w:gridCol w:w="758"/>
      </w:tblGrid>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15,743,140</w:t>
            </w:r>
          </w:p>
          <w:p>
            <w:pPr>
              <w:pStyle w:val="TableParagraph"/>
              <w:spacing w:line="273" w:lineRule="exact"/>
              <w:ind w:right="98"/>
              <w:jc w:val="right"/>
              <w:rPr>
                <w:rFonts w:ascii="宋体" w:hAnsi="宋体" w:cs="宋体" w:eastAsia="宋体" w:hint="default"/>
                <w:sz w:val="21"/>
                <w:szCs w:val="21"/>
              </w:rPr>
            </w:pPr>
            <w:r>
              <w:rPr>
                <w:rFonts w:ascii="宋体"/>
                <w:sz w:val="21"/>
              </w:rPr>
              <w:t>.40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sz w:val="21"/>
              </w:rPr>
              <w:t>15,743,14</w:t>
            </w:r>
          </w:p>
          <w:p>
            <w:pPr>
              <w:pStyle w:val="TableParagraph"/>
              <w:spacing w:line="273" w:lineRule="exact"/>
              <w:ind w:left="679" w:right="0"/>
              <w:jc w:val="left"/>
              <w:rPr>
                <w:rFonts w:ascii="宋体" w:hAnsi="宋体" w:cs="宋体" w:eastAsia="宋体" w:hint="default"/>
                <w:sz w:val="21"/>
                <w:szCs w:val="21"/>
              </w:rPr>
            </w:pPr>
            <w:r>
              <w:rPr>
                <w:rFonts w:ascii="宋体"/>
                <w:sz w:val="21"/>
              </w:rPr>
              <w:t>0.40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2,855,565.</w:t>
            </w:r>
          </w:p>
          <w:p>
            <w:pPr>
              <w:pStyle w:val="TableParagraph"/>
              <w:spacing w:line="273" w:lineRule="exact"/>
              <w:ind w:right="101"/>
              <w:jc w:val="right"/>
              <w:rPr>
                <w:rFonts w:ascii="宋体" w:hAnsi="宋体" w:cs="宋体" w:eastAsia="宋体" w:hint="default"/>
                <w:sz w:val="21"/>
                <w:szCs w:val="21"/>
              </w:rPr>
            </w:pPr>
            <w:r>
              <w:rPr>
                <w:rFonts w:ascii="宋体"/>
                <w:sz w:val="21"/>
              </w:rPr>
              <w:t>59</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2,855,565</w:t>
            </w:r>
          </w:p>
          <w:p>
            <w:pPr>
              <w:pStyle w:val="TableParagraph"/>
              <w:spacing w:line="273" w:lineRule="exact"/>
              <w:ind w:left="785" w:right="0"/>
              <w:jc w:val="left"/>
              <w:rPr>
                <w:rFonts w:ascii="宋体" w:hAnsi="宋体" w:cs="宋体" w:eastAsia="宋体" w:hint="default"/>
                <w:sz w:val="21"/>
                <w:szCs w:val="21"/>
              </w:rPr>
            </w:pPr>
            <w:r>
              <w:rPr>
                <w:rFonts w:ascii="宋体"/>
                <w:sz w:val="21"/>
              </w:rPr>
              <w:t>.59</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100,000,00</w:t>
            </w:r>
          </w:p>
          <w:p>
            <w:pPr>
              <w:pStyle w:val="TableParagraph"/>
              <w:spacing w:line="273" w:lineRule="exact"/>
              <w:ind w:left="743" w:right="0"/>
              <w:jc w:val="left"/>
              <w:rPr>
                <w:rFonts w:ascii="宋体" w:hAnsi="宋体" w:cs="宋体" w:eastAsia="宋体" w:hint="default"/>
                <w:sz w:val="21"/>
                <w:szCs w:val="21"/>
              </w:rPr>
            </w:pPr>
            <w:r>
              <w:rPr>
                <w:rFonts w:ascii="宋体"/>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2" w:right="0"/>
              <w:jc w:val="center"/>
              <w:rPr>
                <w:rFonts w:ascii="宋体" w:hAnsi="宋体" w:cs="宋体" w:eastAsia="宋体" w:hint="default"/>
                <w:sz w:val="21"/>
                <w:szCs w:val="21"/>
              </w:rPr>
            </w:pPr>
            <w:r>
              <w:rPr>
                <w:rFonts w:ascii="宋体"/>
                <w:sz w:val="21"/>
              </w:rPr>
              <w:t>88,000,</w:t>
            </w:r>
          </w:p>
          <w:p>
            <w:pPr>
              <w:pStyle w:val="TableParagraph"/>
              <w:spacing w:line="273" w:lineRule="exact"/>
              <w:ind w:left="145" w:right="0"/>
              <w:jc w:val="center"/>
              <w:rPr>
                <w:rFonts w:ascii="宋体" w:hAnsi="宋体" w:cs="宋体" w:eastAsia="宋体" w:hint="default"/>
                <w:sz w:val="21"/>
                <w:szCs w:val="21"/>
              </w:rPr>
            </w:pPr>
            <w:r>
              <w:rPr>
                <w:rFonts w:ascii="宋体"/>
                <w:sz w:val="21"/>
              </w:rPr>
              <w:t>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188,000,0</w:t>
            </w:r>
          </w:p>
          <w:p>
            <w:pPr>
              <w:pStyle w:val="TableParagraph"/>
              <w:spacing w:line="273" w:lineRule="exact"/>
              <w:ind w:left="573" w:right="0"/>
              <w:jc w:val="left"/>
              <w:rPr>
                <w:rFonts w:ascii="宋体" w:hAnsi="宋体" w:cs="宋体" w:eastAsia="宋体" w:hint="default"/>
                <w:sz w:val="21"/>
                <w:szCs w:val="21"/>
              </w:rPr>
            </w:pPr>
            <w:r>
              <w:rPr>
                <w:rFonts w:ascii="宋体"/>
                <w:sz w:val="21"/>
              </w:rPr>
              <w:t>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50,000,000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50,000,00</w:t>
            </w:r>
          </w:p>
          <w:p>
            <w:pPr>
              <w:pStyle w:val="TableParagraph"/>
              <w:spacing w:line="273" w:lineRule="exact"/>
              <w:ind w:left="679" w:right="0"/>
              <w:jc w:val="left"/>
              <w:rPr>
                <w:rFonts w:ascii="宋体" w:hAnsi="宋体" w:cs="宋体" w:eastAsia="宋体" w:hint="default"/>
                <w:sz w:val="21"/>
                <w:szCs w:val="21"/>
              </w:rPr>
            </w:pPr>
            <w:r>
              <w:rPr>
                <w:rFonts w:ascii="宋体"/>
                <w:sz w:val="21"/>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80,000,000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80,000,00</w:t>
            </w:r>
          </w:p>
          <w:p>
            <w:pPr>
              <w:pStyle w:val="TableParagraph"/>
              <w:spacing w:line="274" w:lineRule="exact"/>
              <w:ind w:left="679" w:right="0"/>
              <w:jc w:val="left"/>
              <w:rPr>
                <w:rFonts w:ascii="宋体" w:hAnsi="宋体" w:cs="宋体" w:eastAsia="宋体" w:hint="default"/>
                <w:sz w:val="21"/>
                <w:szCs w:val="21"/>
              </w:rPr>
            </w:pPr>
            <w:r>
              <w:rPr>
                <w:rFonts w:ascii="宋体"/>
                <w:sz w:val="21"/>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19,500,000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19,500,00</w:t>
            </w:r>
          </w:p>
          <w:p>
            <w:pPr>
              <w:pStyle w:val="TableParagraph"/>
              <w:spacing w:line="274" w:lineRule="exact"/>
              <w:ind w:left="679" w:right="0"/>
              <w:jc w:val="left"/>
              <w:rPr>
                <w:rFonts w:ascii="宋体" w:hAnsi="宋体" w:cs="宋体" w:eastAsia="宋体" w:hint="default"/>
                <w:sz w:val="21"/>
                <w:szCs w:val="21"/>
              </w:rPr>
            </w:pPr>
            <w:r>
              <w:rPr>
                <w:rFonts w:ascii="宋体"/>
                <w:sz w:val="21"/>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17,500,00</w:t>
            </w:r>
          </w:p>
          <w:p>
            <w:pPr>
              <w:pStyle w:val="TableParagraph"/>
              <w:spacing w:line="274" w:lineRule="exact"/>
              <w:ind w:left="679" w:right="0"/>
              <w:jc w:val="left"/>
              <w:rPr>
                <w:rFonts w:ascii="宋体" w:hAnsi="宋体" w:cs="宋体" w:eastAsia="宋体" w:hint="default"/>
                <w:sz w:val="21"/>
                <w:szCs w:val="21"/>
              </w:rPr>
            </w:pPr>
            <w:r>
              <w:rPr>
                <w:rFonts w:ascii="宋体"/>
                <w:sz w:val="21"/>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pacing w:val="-7"/>
                <w:sz w:val="21"/>
                <w:szCs w:val="21"/>
              </w:rPr>
              <w:t>人谷科技（北京）有限责任公司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18,000,000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18,000,00</w:t>
            </w:r>
          </w:p>
          <w:p>
            <w:pPr>
              <w:pStyle w:val="TableParagraph"/>
              <w:spacing w:line="274" w:lineRule="exact"/>
              <w:ind w:left="679" w:right="0"/>
              <w:jc w:val="left"/>
              <w:rPr>
                <w:rFonts w:ascii="宋体" w:hAnsi="宋体" w:cs="宋体" w:eastAsia="宋体" w:hint="default"/>
                <w:sz w:val="21"/>
                <w:szCs w:val="21"/>
              </w:rPr>
            </w:pPr>
            <w:r>
              <w:rPr>
                <w:rFonts w:ascii="宋体"/>
                <w:sz w:val="21"/>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5,400,0</w:t>
            </w:r>
          </w:p>
          <w:p>
            <w:pPr>
              <w:pStyle w:val="TableParagraph"/>
              <w:spacing w:line="273" w:lineRule="exact"/>
              <w:ind w:left="353" w:right="0"/>
              <w:jc w:val="left"/>
              <w:rPr>
                <w:rFonts w:ascii="宋体" w:hAnsi="宋体" w:cs="宋体" w:eastAsia="宋体" w:hint="default"/>
                <w:sz w:val="21"/>
                <w:szCs w:val="21"/>
              </w:rPr>
            </w:pPr>
            <w:r>
              <w:rPr>
                <w:rFonts w:ascii="宋体"/>
                <w:sz w:val="21"/>
              </w:rPr>
              <w:t>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12,600,00</w:t>
            </w:r>
          </w:p>
          <w:p>
            <w:pPr>
              <w:pStyle w:val="TableParagraph"/>
              <w:spacing w:line="273" w:lineRule="exact"/>
              <w:ind w:left="679" w:right="0"/>
              <w:jc w:val="left"/>
              <w:rPr>
                <w:rFonts w:ascii="宋体" w:hAnsi="宋体" w:cs="宋体" w:eastAsia="宋体" w:hint="default"/>
                <w:sz w:val="21"/>
                <w:szCs w:val="21"/>
              </w:rPr>
            </w:pPr>
            <w:r>
              <w:rPr>
                <w:rFonts w:ascii="宋体"/>
                <w:sz w:val="21"/>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360,000,00</w:t>
            </w:r>
          </w:p>
          <w:p>
            <w:pPr>
              <w:pStyle w:val="TableParagraph"/>
              <w:spacing w:line="273" w:lineRule="exact"/>
              <w:ind w:left="743" w:right="0"/>
              <w:jc w:val="left"/>
              <w:rPr>
                <w:rFonts w:ascii="宋体" w:hAnsi="宋体" w:cs="宋体" w:eastAsia="宋体" w:hint="default"/>
                <w:sz w:val="21"/>
                <w:szCs w:val="21"/>
              </w:rPr>
            </w:pPr>
            <w:r>
              <w:rPr>
                <w:rFonts w:ascii="宋体"/>
                <w:sz w:val="21"/>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360,000,0</w:t>
            </w:r>
          </w:p>
          <w:p>
            <w:pPr>
              <w:pStyle w:val="TableParagraph"/>
              <w:spacing w:line="273" w:lineRule="exact"/>
              <w:ind w:left="573" w:right="0"/>
              <w:jc w:val="left"/>
              <w:rPr>
                <w:rFonts w:ascii="宋体" w:hAnsi="宋体" w:cs="宋体" w:eastAsia="宋体" w:hint="default"/>
                <w:sz w:val="21"/>
                <w:szCs w:val="21"/>
              </w:rPr>
            </w:pPr>
            <w:r>
              <w:rPr>
                <w:rFonts w:ascii="宋体"/>
                <w:sz w:val="21"/>
              </w:rPr>
              <w:t>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1,868,265.</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341,730</w:t>
            </w:r>
          </w:p>
          <w:p>
            <w:pPr>
              <w:pStyle w:val="TableParagraph"/>
              <w:spacing w:line="273" w:lineRule="exact"/>
              <w:ind w:left="564" w:right="0"/>
              <w:jc w:val="left"/>
              <w:rPr>
                <w:rFonts w:ascii="宋体" w:hAnsi="宋体" w:cs="宋体" w:eastAsia="宋体" w:hint="default"/>
                <w:sz w:val="21"/>
                <w:szCs w:val="21"/>
              </w:rPr>
            </w:pPr>
            <w:r>
              <w:rPr>
                <w:rFonts w:ascii="宋体"/>
                <w:sz w:val="21"/>
              </w:rPr>
              <w:t>.60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2,209,995</w:t>
            </w:r>
          </w:p>
          <w:p>
            <w:pPr>
              <w:pStyle w:val="TableParagraph"/>
              <w:spacing w:line="273" w:lineRule="exact"/>
              <w:ind w:left="785" w:right="0"/>
              <w:jc w:val="left"/>
              <w:rPr>
                <w:rFonts w:ascii="宋体" w:hAnsi="宋体" w:cs="宋体" w:eastAsia="宋体" w:hint="default"/>
                <w:sz w:val="21"/>
                <w:szCs w:val="21"/>
              </w:rPr>
            </w:pPr>
            <w:r>
              <w:rPr>
                <w:rFonts w:ascii="宋体"/>
                <w:sz w:val="21"/>
              </w:rPr>
              <w:t>.60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5,000,000.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5,000,0</w:t>
            </w:r>
          </w:p>
          <w:p>
            <w:pPr>
              <w:pStyle w:val="TableParagraph"/>
              <w:spacing w:line="273" w:lineRule="exact"/>
              <w:ind w:left="353" w:right="0"/>
              <w:jc w:val="left"/>
              <w:rPr>
                <w:rFonts w:ascii="宋体" w:hAnsi="宋体" w:cs="宋体" w:eastAsia="宋体" w:hint="default"/>
                <w:sz w:val="21"/>
                <w:szCs w:val="21"/>
              </w:rPr>
            </w:pPr>
            <w:r>
              <w:rPr>
                <w:rFonts w:ascii="宋体"/>
                <w:sz w:val="21"/>
              </w:rPr>
              <w:t>01.00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10,000,00</w:t>
            </w:r>
          </w:p>
          <w:p>
            <w:pPr>
              <w:pStyle w:val="TableParagraph"/>
              <w:spacing w:line="273" w:lineRule="exact"/>
              <w:ind w:left="679" w:right="0"/>
              <w:jc w:val="left"/>
              <w:rPr>
                <w:rFonts w:ascii="宋体" w:hAnsi="宋体" w:cs="宋体" w:eastAsia="宋体" w:hint="default"/>
                <w:sz w:val="21"/>
                <w:szCs w:val="21"/>
              </w:rPr>
            </w:pPr>
            <w:r>
              <w:rPr>
                <w:rFonts w:ascii="宋体"/>
                <w:sz w:val="21"/>
              </w:rPr>
              <w:t>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3,900,000.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3,900,000</w:t>
            </w:r>
          </w:p>
          <w:p>
            <w:pPr>
              <w:pStyle w:val="TableParagraph"/>
              <w:spacing w:line="273" w:lineRule="exact"/>
              <w:ind w:left="785" w:right="0"/>
              <w:jc w:val="left"/>
              <w:rPr>
                <w:rFonts w:ascii="宋体" w:hAnsi="宋体" w:cs="宋体" w:eastAsia="宋体" w:hint="default"/>
                <w:sz w:val="21"/>
                <w:szCs w:val="21"/>
              </w:rPr>
            </w:pPr>
            <w:r>
              <w:rPr>
                <w:rFonts w:ascii="宋体"/>
                <w:sz w:val="21"/>
              </w:rPr>
              <w:t>.00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5,100,0</w:t>
            </w:r>
          </w:p>
          <w:p>
            <w:pPr>
              <w:pStyle w:val="TableParagraph"/>
              <w:spacing w:line="274" w:lineRule="exact"/>
              <w:ind w:left="353" w:right="0"/>
              <w:jc w:val="left"/>
              <w:rPr>
                <w:rFonts w:ascii="宋体" w:hAnsi="宋体" w:cs="宋体" w:eastAsia="宋体" w:hint="default"/>
                <w:sz w:val="21"/>
                <w:szCs w:val="21"/>
              </w:rPr>
            </w:pPr>
            <w:r>
              <w:rPr>
                <w:rFonts w:ascii="宋体"/>
                <w:sz w:val="21"/>
              </w:rPr>
              <w:t>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5,100,000</w:t>
            </w:r>
          </w:p>
          <w:p>
            <w:pPr>
              <w:pStyle w:val="TableParagraph"/>
              <w:spacing w:line="274" w:lineRule="exact"/>
              <w:ind w:left="785" w:right="0"/>
              <w:jc w:val="left"/>
              <w:rPr>
                <w:rFonts w:ascii="宋体" w:hAnsi="宋体" w:cs="宋体" w:eastAsia="宋体" w:hint="default"/>
                <w:sz w:val="21"/>
                <w:szCs w:val="21"/>
              </w:rPr>
            </w:pPr>
            <w:r>
              <w:rPr>
                <w:rFonts w:ascii="宋体"/>
                <w:sz w:val="21"/>
              </w:rPr>
              <w:t>.00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8,857,5</w:t>
            </w:r>
          </w:p>
          <w:p>
            <w:pPr>
              <w:pStyle w:val="TableParagraph"/>
              <w:spacing w:line="274" w:lineRule="exact"/>
              <w:ind w:left="353" w:right="0"/>
              <w:jc w:val="left"/>
              <w:rPr>
                <w:rFonts w:ascii="宋体" w:hAnsi="宋体" w:cs="宋体" w:eastAsia="宋体" w:hint="default"/>
                <w:sz w:val="21"/>
                <w:szCs w:val="21"/>
              </w:rPr>
            </w:pPr>
            <w:r>
              <w:rPr>
                <w:rFonts w:ascii="宋体"/>
                <w:sz w:val="21"/>
              </w:rPr>
              <w:t>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8,857,500</w:t>
            </w:r>
          </w:p>
          <w:p>
            <w:pPr>
              <w:pStyle w:val="TableParagraph"/>
              <w:spacing w:line="274" w:lineRule="exact"/>
              <w:ind w:left="785" w:right="0"/>
              <w:jc w:val="left"/>
              <w:rPr>
                <w:rFonts w:ascii="宋体" w:hAnsi="宋体" w:cs="宋体" w:eastAsia="宋体" w:hint="default"/>
                <w:sz w:val="21"/>
                <w:szCs w:val="21"/>
              </w:rPr>
            </w:pPr>
            <w:r>
              <w:rPr>
                <w:rFonts w:ascii="宋体"/>
                <w:sz w:val="21"/>
              </w:rPr>
              <w:t>.00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714,575,63</w:t>
            </w:r>
          </w:p>
          <w:p>
            <w:pPr>
              <w:pStyle w:val="TableParagraph"/>
              <w:spacing w:line="274" w:lineRule="exact"/>
              <w:ind w:left="743" w:right="0"/>
              <w:jc w:val="left"/>
              <w:rPr>
                <w:rFonts w:ascii="宋体" w:hAnsi="宋体" w:cs="宋体" w:eastAsia="宋体" w:hint="default"/>
                <w:sz w:val="21"/>
                <w:szCs w:val="21"/>
              </w:rPr>
            </w:pPr>
            <w:r>
              <w:rPr>
                <w:rFonts w:ascii="宋体"/>
                <w:sz w:val="21"/>
              </w:rPr>
              <w:t>6.18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112,699</w:t>
            </w:r>
          </w:p>
          <w:p>
            <w:pPr>
              <w:pStyle w:val="TableParagraph"/>
              <w:spacing w:line="274" w:lineRule="exact"/>
              <w:ind w:left="143" w:right="0"/>
              <w:jc w:val="left"/>
              <w:rPr>
                <w:rFonts w:ascii="宋体" w:hAnsi="宋体" w:cs="宋体" w:eastAsia="宋体" w:hint="default"/>
                <w:sz w:val="21"/>
                <w:szCs w:val="21"/>
              </w:rPr>
            </w:pPr>
            <w:r>
              <w:rPr>
                <w:rFonts w:ascii="宋体"/>
                <w:sz w:val="21"/>
              </w:rPr>
              <w:t>,231.60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826,774,8</w:t>
            </w:r>
          </w:p>
          <w:p>
            <w:pPr>
              <w:pStyle w:val="TableParagraph"/>
              <w:spacing w:line="274" w:lineRule="exact"/>
              <w:ind w:left="573" w:right="0"/>
              <w:jc w:val="left"/>
              <w:rPr>
                <w:rFonts w:ascii="宋体" w:hAnsi="宋体" w:cs="宋体" w:eastAsia="宋体" w:hint="default"/>
                <w:sz w:val="21"/>
                <w:szCs w:val="21"/>
              </w:rPr>
            </w:pPr>
            <w:r>
              <w:rPr>
                <w:rFonts w:ascii="宋体"/>
                <w:sz w:val="21"/>
              </w:rPr>
              <w:t>67.78</w:t>
            </w:r>
          </w:p>
        </w:tc>
        <w:tc>
          <w:tcPr>
            <w:tcW w:w="90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820"/>
        </w:sectPr>
      </w:pPr>
    </w:p>
    <w:p>
      <w:pPr>
        <w:pStyle w:val="Heading2"/>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62"/>
        </w:rPr>
        <w:t> </w:t>
      </w:r>
      <w:r>
        <w:rPr/>
        <w:t>对联营、合营企业投资</w:t>
      </w:r>
      <w:r>
        <w:rPr>
          <w:b w:val="0"/>
          <w:bCs w:val="0"/>
        </w:rPr>
      </w:r>
    </w:p>
    <w:p>
      <w:pPr>
        <w:pStyle w:val="BodyText"/>
        <w:spacing w:line="240" w:lineRule="auto" w:before="64"/>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20"/>
          <w:cols w:num="2" w:equalWidth="0">
            <w:col w:w="3053" w:space="3469"/>
            <w:col w:w="29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709"/>
        <w:gridCol w:w="852"/>
        <w:gridCol w:w="566"/>
        <w:gridCol w:w="638"/>
        <w:gridCol w:w="699"/>
        <w:gridCol w:w="701"/>
        <w:gridCol w:w="698"/>
        <w:gridCol w:w="699"/>
        <w:gridCol w:w="437"/>
        <w:gridCol w:w="672"/>
        <w:gridCol w:w="710"/>
      </w:tblGrid>
      <w:tr>
        <w:trPr>
          <w:trHeight w:val="24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647" w:right="648"/>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68" w:right="17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2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51" w:right="14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70" w:right="16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411" w:hRule="exact"/>
        </w:trPr>
        <w:tc>
          <w:tcPr>
            <w:tcW w:w="166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31" w:right="149"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87" w:right="187"/>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both"/>
              <w:rPr>
                <w:rFonts w:ascii="宋体" w:hAnsi="宋体" w:cs="宋体" w:eastAsia="宋体" w:hint="default"/>
                <w:sz w:val="18"/>
                <w:szCs w:val="18"/>
              </w:rPr>
            </w:pPr>
            <w:r>
              <w:rPr>
                <w:rFonts w:ascii="宋体" w:hAnsi="宋体" w:cs="宋体" w:eastAsia="宋体" w:hint="default"/>
                <w:sz w:val="18"/>
                <w:szCs w:val="18"/>
              </w:rPr>
              <w:t>权益</w:t>
            </w:r>
          </w:p>
          <w:p>
            <w:pPr>
              <w:pStyle w:val="TableParagraph"/>
              <w:spacing w:line="237" w:lineRule="auto"/>
              <w:ind w:left="134" w:right="132"/>
              <w:jc w:val="both"/>
              <w:rPr>
                <w:rFonts w:ascii="宋体" w:hAnsi="宋体" w:cs="宋体" w:eastAsia="宋体" w:hint="default"/>
                <w:sz w:val="18"/>
                <w:szCs w:val="18"/>
              </w:rPr>
            </w:pPr>
            <w:r>
              <w:rPr>
                <w:rFonts w:ascii="宋体" w:hAnsi="宋体" w:cs="宋体" w:eastAsia="宋体" w:hint="default"/>
                <w:sz w:val="18"/>
                <w:szCs w:val="18"/>
              </w:rPr>
              <w:t>法下 确认 的投 资损 益</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63" w:right="165"/>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3" w:right="167"/>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both"/>
              <w:rPr>
                <w:rFonts w:ascii="宋体" w:hAnsi="宋体" w:cs="宋体" w:eastAsia="宋体" w:hint="default"/>
                <w:sz w:val="18"/>
                <w:szCs w:val="18"/>
              </w:rPr>
            </w:pPr>
            <w:r>
              <w:rPr>
                <w:rFonts w:ascii="宋体" w:hAnsi="宋体" w:cs="宋体" w:eastAsia="宋体" w:hint="default"/>
                <w:sz w:val="18"/>
                <w:szCs w:val="18"/>
              </w:rPr>
              <w:t>宣告</w:t>
            </w:r>
          </w:p>
          <w:p>
            <w:pPr>
              <w:pStyle w:val="TableParagraph"/>
              <w:spacing w:line="237" w:lineRule="auto"/>
              <w:ind w:left="160" w:right="167"/>
              <w:jc w:val="both"/>
              <w:rPr>
                <w:rFonts w:ascii="宋体" w:hAnsi="宋体" w:cs="宋体" w:eastAsia="宋体" w:hint="default"/>
                <w:sz w:val="18"/>
                <w:szCs w:val="18"/>
              </w:rPr>
            </w:pPr>
            <w:r>
              <w:rPr>
                <w:rFonts w:ascii="宋体" w:hAnsi="宋体" w:cs="宋体" w:eastAsia="宋体" w:hint="default"/>
                <w:sz w:val="18"/>
                <w:szCs w:val="18"/>
              </w:rPr>
              <w:t>发放 现金 股利 或利 润</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3" w:right="164"/>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22" w:right="122"/>
              <w:jc w:val="left"/>
              <w:rPr>
                <w:rFonts w:ascii="宋体" w:hAnsi="宋体" w:cs="宋体" w:eastAsia="宋体" w:hint="default"/>
                <w:sz w:val="18"/>
                <w:szCs w:val="18"/>
              </w:rPr>
            </w:pPr>
            <w:r>
              <w:rPr>
                <w:rFonts w:ascii="宋体" w:hAnsi="宋体" w:cs="宋体" w:eastAsia="宋体" w:hint="default"/>
                <w:sz w:val="18"/>
                <w:szCs w:val="18"/>
              </w:rPr>
              <w:t>其 他</w:t>
            </w:r>
          </w:p>
        </w:tc>
        <w:tc>
          <w:tcPr>
            <w:tcW w:w="67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24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深圳中科金证科技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3,000</w:t>
            </w:r>
          </w:p>
          <w:p>
            <w:pPr>
              <w:pStyle w:val="TableParagraph"/>
              <w:spacing w:line="234" w:lineRule="exact"/>
              <w:ind w:left="144" w:right="0"/>
              <w:jc w:val="left"/>
              <w:rPr>
                <w:rFonts w:ascii="宋体" w:hAnsi="宋体" w:cs="宋体" w:eastAsia="宋体" w:hint="default"/>
                <w:sz w:val="18"/>
                <w:szCs w:val="18"/>
              </w:rPr>
            </w:pPr>
            <w:r>
              <w:rPr>
                <w:rFonts w:ascii="宋体"/>
                <w:sz w:val="18"/>
              </w:rPr>
              <w:t>,174.</w:t>
            </w:r>
          </w:p>
          <w:p>
            <w:pPr>
              <w:pStyle w:val="TableParagraph"/>
              <w:spacing w:line="240" w:lineRule="auto"/>
              <w:ind w:left="415" w:right="0"/>
              <w:jc w:val="left"/>
              <w:rPr>
                <w:rFonts w:ascii="宋体" w:hAnsi="宋体" w:cs="宋体" w:eastAsia="宋体" w:hint="default"/>
                <w:sz w:val="18"/>
                <w:szCs w:val="18"/>
              </w:rPr>
            </w:pPr>
            <w:r>
              <w:rPr>
                <w:rFonts w:ascii="宋体"/>
                <w:sz w:val="18"/>
              </w:rPr>
              <w:t>56</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3" w:right="0"/>
              <w:jc w:val="center"/>
              <w:rPr>
                <w:rFonts w:ascii="宋体" w:hAnsi="宋体" w:cs="宋体" w:eastAsia="宋体" w:hint="default"/>
                <w:sz w:val="18"/>
                <w:szCs w:val="18"/>
              </w:rPr>
            </w:pPr>
            <w:r>
              <w:rPr>
                <w:rFonts w:ascii="宋体"/>
                <w:sz w:val="18"/>
              </w:rPr>
              <w:t>651,</w:t>
            </w:r>
          </w:p>
          <w:p>
            <w:pPr>
              <w:pStyle w:val="TableParagraph"/>
              <w:spacing w:line="234" w:lineRule="exact"/>
              <w:ind w:left="63" w:right="0"/>
              <w:jc w:val="center"/>
              <w:rPr>
                <w:rFonts w:ascii="宋体" w:hAnsi="宋体" w:cs="宋体" w:eastAsia="宋体" w:hint="default"/>
                <w:sz w:val="18"/>
                <w:szCs w:val="18"/>
              </w:rPr>
            </w:pPr>
            <w:r>
              <w:rPr>
                <w:rFonts w:ascii="宋体"/>
                <w:sz w:val="18"/>
              </w:rPr>
              <w:t>257.</w:t>
            </w:r>
          </w:p>
          <w:p>
            <w:pPr>
              <w:pStyle w:val="TableParagraph"/>
              <w:spacing w:line="240" w:lineRule="auto"/>
              <w:ind w:left="244" w:right="0"/>
              <w:jc w:val="center"/>
              <w:rPr>
                <w:rFonts w:ascii="宋体" w:hAnsi="宋体" w:cs="宋体" w:eastAsia="宋体" w:hint="default"/>
                <w:sz w:val="18"/>
                <w:szCs w:val="18"/>
              </w:rPr>
            </w:pPr>
            <w:r>
              <w:rPr>
                <w:rFonts w:ascii="宋体"/>
                <w:sz w:val="18"/>
              </w:rPr>
              <w:t>21</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3,651</w:t>
            </w:r>
          </w:p>
          <w:p>
            <w:pPr>
              <w:pStyle w:val="TableParagraph"/>
              <w:spacing w:line="234" w:lineRule="exact"/>
              <w:ind w:left="107" w:right="0"/>
              <w:jc w:val="left"/>
              <w:rPr>
                <w:rFonts w:ascii="宋体" w:hAnsi="宋体" w:cs="宋体" w:eastAsia="宋体" w:hint="default"/>
                <w:sz w:val="18"/>
                <w:szCs w:val="18"/>
              </w:rPr>
            </w:pPr>
            <w:r>
              <w:rPr>
                <w:rFonts w:ascii="宋体"/>
                <w:sz w:val="18"/>
              </w:rPr>
              <w:t>,431.</w:t>
            </w:r>
          </w:p>
          <w:p>
            <w:pPr>
              <w:pStyle w:val="TableParagraph"/>
              <w:spacing w:line="240" w:lineRule="auto"/>
              <w:ind w:left="379" w:right="0"/>
              <w:jc w:val="left"/>
              <w:rPr>
                <w:rFonts w:ascii="宋体" w:hAnsi="宋体" w:cs="宋体" w:eastAsia="宋体" w:hint="default"/>
                <w:sz w:val="18"/>
                <w:szCs w:val="18"/>
              </w:rPr>
            </w:pPr>
            <w:r>
              <w:rPr>
                <w:rFonts w:ascii="宋体"/>
                <w:sz w:val="18"/>
              </w:rPr>
              <w:t>77</w:t>
            </w: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68"/>
        <w:gridCol w:w="709"/>
        <w:gridCol w:w="852"/>
        <w:gridCol w:w="566"/>
        <w:gridCol w:w="638"/>
        <w:gridCol w:w="699"/>
        <w:gridCol w:w="701"/>
        <w:gridCol w:w="698"/>
        <w:gridCol w:w="699"/>
        <w:gridCol w:w="437"/>
        <w:gridCol w:w="672"/>
        <w:gridCol w:w="710"/>
      </w:tblGrid>
      <w:tr>
        <w:trPr>
          <w:trHeight w:val="94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深圳市丽海弘金科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44" w:right="0"/>
              <w:jc w:val="left"/>
              <w:rPr>
                <w:rFonts w:ascii="宋体" w:hAnsi="宋体" w:cs="宋体" w:eastAsia="宋体" w:hint="default"/>
                <w:sz w:val="18"/>
                <w:szCs w:val="18"/>
              </w:rPr>
            </w:pPr>
            <w:r>
              <w:rPr>
                <w:rFonts w:ascii="宋体"/>
                <w:sz w:val="18"/>
              </w:rPr>
              <w:t>2,063</w:t>
            </w:r>
          </w:p>
          <w:p>
            <w:pPr>
              <w:pStyle w:val="TableParagraph"/>
              <w:spacing w:line="233" w:lineRule="exact"/>
              <w:ind w:left="144" w:right="0"/>
              <w:jc w:val="left"/>
              <w:rPr>
                <w:rFonts w:ascii="宋体" w:hAnsi="宋体" w:cs="宋体" w:eastAsia="宋体" w:hint="default"/>
                <w:sz w:val="18"/>
                <w:szCs w:val="18"/>
              </w:rPr>
            </w:pPr>
            <w:r>
              <w:rPr>
                <w:rFonts w:ascii="宋体"/>
                <w:sz w:val="18"/>
              </w:rPr>
              <w:t>,757.</w:t>
            </w:r>
          </w:p>
          <w:p>
            <w:pPr>
              <w:pStyle w:val="TableParagraph"/>
              <w:spacing w:line="234" w:lineRule="exact"/>
              <w:ind w:left="415" w:right="0"/>
              <w:jc w:val="left"/>
              <w:rPr>
                <w:rFonts w:ascii="宋体" w:hAnsi="宋体" w:cs="宋体" w:eastAsia="宋体" w:hint="default"/>
                <w:sz w:val="18"/>
                <w:szCs w:val="18"/>
              </w:rPr>
            </w:pPr>
            <w:r>
              <w:rPr>
                <w:rFonts w:ascii="宋体"/>
                <w:sz w:val="18"/>
              </w:rPr>
              <w:t>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 w:right="0"/>
              <w:jc w:val="center"/>
              <w:rPr>
                <w:rFonts w:ascii="宋体" w:hAnsi="宋体" w:cs="宋体" w:eastAsia="宋体" w:hint="default"/>
                <w:sz w:val="18"/>
                <w:szCs w:val="18"/>
              </w:rPr>
            </w:pPr>
            <w:r>
              <w:rPr>
                <w:rFonts w:ascii="宋体"/>
                <w:sz w:val="18"/>
              </w:rPr>
              <w:t>6,000,0</w:t>
            </w:r>
          </w:p>
          <w:p>
            <w:pPr>
              <w:pStyle w:val="TableParagraph"/>
              <w:spacing w:line="234" w:lineRule="exact"/>
              <w:ind w:left="185" w:right="0"/>
              <w:jc w:val="center"/>
              <w:rPr>
                <w:rFonts w:ascii="宋体" w:hAnsi="宋体" w:cs="宋体" w:eastAsia="宋体" w:hint="default"/>
                <w:sz w:val="18"/>
                <w:szCs w:val="18"/>
              </w:rPr>
            </w:pPr>
            <w:r>
              <w:rPr>
                <w:rFonts w:ascii="宋体"/>
                <w:sz w:val="18"/>
              </w:rPr>
              <w:t>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sz w:val="18"/>
              </w:rPr>
              <w:t>-5,0</w:t>
            </w:r>
          </w:p>
          <w:p>
            <w:pPr>
              <w:pStyle w:val="TableParagraph"/>
              <w:spacing w:line="233" w:lineRule="exact"/>
              <w:ind w:left="165" w:right="0"/>
              <w:jc w:val="left"/>
              <w:rPr>
                <w:rFonts w:ascii="宋体" w:hAnsi="宋体" w:cs="宋体" w:eastAsia="宋体" w:hint="default"/>
                <w:sz w:val="18"/>
                <w:szCs w:val="18"/>
              </w:rPr>
            </w:pPr>
            <w:r>
              <w:rPr>
                <w:rFonts w:ascii="宋体"/>
                <w:sz w:val="18"/>
              </w:rPr>
              <w:t>45,7</w:t>
            </w:r>
          </w:p>
          <w:p>
            <w:pPr>
              <w:pStyle w:val="TableParagraph"/>
              <w:spacing w:line="233" w:lineRule="exact"/>
              <w:ind w:left="165" w:right="0"/>
              <w:jc w:val="left"/>
              <w:rPr>
                <w:rFonts w:ascii="宋体" w:hAnsi="宋体" w:cs="宋体" w:eastAsia="宋体" w:hint="default"/>
                <w:sz w:val="18"/>
                <w:szCs w:val="18"/>
              </w:rPr>
            </w:pPr>
            <w:r>
              <w:rPr>
                <w:rFonts w:ascii="宋体"/>
                <w:sz w:val="18"/>
              </w:rPr>
              <w:t>13.6</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sz w:val="18"/>
              </w:rPr>
              <w:t>3,018</w:t>
            </w:r>
          </w:p>
          <w:p>
            <w:pPr>
              <w:pStyle w:val="TableParagraph"/>
              <w:spacing w:line="233" w:lineRule="exact"/>
              <w:ind w:left="107" w:right="0"/>
              <w:jc w:val="left"/>
              <w:rPr>
                <w:rFonts w:ascii="宋体" w:hAnsi="宋体" w:cs="宋体" w:eastAsia="宋体" w:hint="default"/>
                <w:sz w:val="18"/>
                <w:szCs w:val="18"/>
              </w:rPr>
            </w:pPr>
            <w:r>
              <w:rPr>
                <w:rFonts w:ascii="宋体"/>
                <w:sz w:val="18"/>
              </w:rPr>
              <w:t>,043.</w:t>
            </w:r>
          </w:p>
          <w:p>
            <w:pPr>
              <w:pStyle w:val="TableParagraph"/>
              <w:spacing w:line="234" w:lineRule="exact"/>
              <w:ind w:left="379" w:right="0"/>
              <w:jc w:val="left"/>
              <w:rPr>
                <w:rFonts w:ascii="宋体" w:hAnsi="宋体" w:cs="宋体" w:eastAsia="宋体" w:hint="default"/>
                <w:sz w:val="18"/>
                <w:szCs w:val="18"/>
              </w:rPr>
            </w:pPr>
            <w:r>
              <w:rPr>
                <w:rFonts w:ascii="宋体"/>
                <w:sz w:val="18"/>
              </w:rPr>
              <w:t>85</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贵州金证飞翔科技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198,2</w:t>
            </w:r>
          </w:p>
          <w:p>
            <w:pPr>
              <w:pStyle w:val="TableParagraph"/>
              <w:spacing w:line="234" w:lineRule="exact"/>
              <w:ind w:left="144" w:right="0"/>
              <w:jc w:val="left"/>
              <w:rPr>
                <w:rFonts w:ascii="宋体" w:hAnsi="宋体" w:cs="宋体" w:eastAsia="宋体" w:hint="default"/>
                <w:sz w:val="18"/>
                <w:szCs w:val="18"/>
              </w:rPr>
            </w:pPr>
            <w:r>
              <w:rPr>
                <w:rFonts w:ascii="宋体"/>
                <w:sz w:val="18"/>
              </w:rPr>
              <w:t>66.15</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-2,5</w:t>
            </w:r>
          </w:p>
          <w:p>
            <w:pPr>
              <w:pStyle w:val="TableParagraph"/>
              <w:spacing w:line="233" w:lineRule="exact"/>
              <w:ind w:right="100"/>
              <w:jc w:val="right"/>
              <w:rPr>
                <w:rFonts w:ascii="宋体" w:hAnsi="宋体" w:cs="宋体" w:eastAsia="宋体" w:hint="default"/>
                <w:sz w:val="18"/>
                <w:szCs w:val="18"/>
              </w:rPr>
            </w:pPr>
            <w:r>
              <w:rPr>
                <w:rFonts w:ascii="宋体"/>
                <w:sz w:val="18"/>
              </w:rPr>
              <w:t>36.2</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195,7</w:t>
            </w:r>
          </w:p>
          <w:p>
            <w:pPr>
              <w:pStyle w:val="TableParagraph"/>
              <w:spacing w:line="234" w:lineRule="exact"/>
              <w:ind w:left="107" w:right="0"/>
              <w:jc w:val="left"/>
              <w:rPr>
                <w:rFonts w:ascii="宋体" w:hAnsi="宋体" w:cs="宋体" w:eastAsia="宋体" w:hint="default"/>
                <w:sz w:val="18"/>
                <w:szCs w:val="18"/>
              </w:rPr>
            </w:pPr>
            <w:r>
              <w:rPr>
                <w:rFonts w:ascii="宋体"/>
                <w:sz w:val="18"/>
              </w:rPr>
              <w:t>29.91</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广州佳时达软件股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9,784</w:t>
            </w:r>
          </w:p>
          <w:p>
            <w:pPr>
              <w:pStyle w:val="TableParagraph"/>
              <w:spacing w:line="233" w:lineRule="exact"/>
              <w:ind w:left="144" w:right="0"/>
              <w:jc w:val="left"/>
              <w:rPr>
                <w:rFonts w:ascii="宋体" w:hAnsi="宋体" w:cs="宋体" w:eastAsia="宋体" w:hint="default"/>
                <w:sz w:val="18"/>
                <w:szCs w:val="18"/>
              </w:rPr>
            </w:pPr>
            <w:r>
              <w:rPr>
                <w:rFonts w:ascii="宋体"/>
                <w:sz w:val="18"/>
              </w:rPr>
              <w:t>,079.</w:t>
            </w:r>
          </w:p>
          <w:p>
            <w:pPr>
              <w:pStyle w:val="TableParagraph"/>
              <w:spacing w:line="234" w:lineRule="exact"/>
              <w:ind w:left="415" w:right="0"/>
              <w:jc w:val="left"/>
              <w:rPr>
                <w:rFonts w:ascii="宋体" w:hAnsi="宋体" w:cs="宋体" w:eastAsia="宋体" w:hint="default"/>
                <w:sz w:val="18"/>
                <w:szCs w:val="18"/>
              </w:rPr>
            </w:pPr>
            <w:r>
              <w:rPr>
                <w:rFonts w:ascii="宋体"/>
                <w:sz w:val="18"/>
              </w:rPr>
              <w:t>92</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52,3</w:t>
            </w:r>
          </w:p>
          <w:p>
            <w:pPr>
              <w:pStyle w:val="TableParagraph"/>
              <w:spacing w:line="233" w:lineRule="exact"/>
              <w:ind w:right="100"/>
              <w:jc w:val="right"/>
              <w:rPr>
                <w:rFonts w:ascii="宋体" w:hAnsi="宋体" w:cs="宋体" w:eastAsia="宋体" w:hint="default"/>
                <w:sz w:val="18"/>
                <w:szCs w:val="18"/>
              </w:rPr>
            </w:pPr>
            <w:r>
              <w:rPr>
                <w:rFonts w:ascii="宋体"/>
                <w:sz w:val="18"/>
              </w:rPr>
              <w:t>47.5</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9,836</w:t>
            </w:r>
          </w:p>
          <w:p>
            <w:pPr>
              <w:pStyle w:val="TableParagraph"/>
              <w:spacing w:line="233" w:lineRule="exact"/>
              <w:ind w:left="107" w:right="0"/>
              <w:jc w:val="left"/>
              <w:rPr>
                <w:rFonts w:ascii="宋体" w:hAnsi="宋体" w:cs="宋体" w:eastAsia="宋体" w:hint="default"/>
                <w:sz w:val="18"/>
                <w:szCs w:val="18"/>
              </w:rPr>
            </w:pPr>
            <w:r>
              <w:rPr>
                <w:rFonts w:ascii="宋体"/>
                <w:sz w:val="18"/>
              </w:rPr>
              <w:t>,427.</w:t>
            </w:r>
          </w:p>
          <w:p>
            <w:pPr>
              <w:pStyle w:val="TableParagraph"/>
              <w:spacing w:line="234" w:lineRule="exact"/>
              <w:ind w:left="379" w:right="0"/>
              <w:jc w:val="left"/>
              <w:rPr>
                <w:rFonts w:ascii="宋体" w:hAnsi="宋体" w:cs="宋体" w:eastAsia="宋体" w:hint="default"/>
                <w:sz w:val="18"/>
                <w:szCs w:val="18"/>
              </w:rPr>
            </w:pPr>
            <w:r>
              <w:rPr>
                <w:rFonts w:ascii="宋体"/>
                <w:sz w:val="18"/>
              </w:rPr>
              <w:t>48</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深圳市金证前海金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融科技有限公司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5,481</w:t>
            </w:r>
          </w:p>
          <w:p>
            <w:pPr>
              <w:pStyle w:val="TableParagraph"/>
              <w:spacing w:line="233" w:lineRule="exact"/>
              <w:ind w:left="144" w:right="0"/>
              <w:jc w:val="left"/>
              <w:rPr>
                <w:rFonts w:ascii="宋体" w:hAnsi="宋体" w:cs="宋体" w:eastAsia="宋体" w:hint="default"/>
                <w:sz w:val="18"/>
                <w:szCs w:val="18"/>
              </w:rPr>
            </w:pPr>
            <w:r>
              <w:rPr>
                <w:rFonts w:ascii="宋体"/>
                <w:sz w:val="18"/>
              </w:rPr>
              <w:t>,267.</w:t>
            </w:r>
          </w:p>
          <w:p>
            <w:pPr>
              <w:pStyle w:val="TableParagraph"/>
              <w:spacing w:line="234" w:lineRule="exact"/>
              <w:ind w:left="415" w:right="0"/>
              <w:jc w:val="left"/>
              <w:rPr>
                <w:rFonts w:ascii="宋体" w:hAnsi="宋体" w:cs="宋体" w:eastAsia="宋体" w:hint="default"/>
                <w:sz w:val="18"/>
                <w:szCs w:val="18"/>
              </w:rPr>
            </w:pPr>
            <w:r>
              <w:rPr>
                <w:rFonts w:ascii="宋体"/>
                <w:sz w:val="18"/>
              </w:rPr>
              <w:t>15</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-2,9</w:t>
            </w:r>
          </w:p>
          <w:p>
            <w:pPr>
              <w:pStyle w:val="TableParagraph"/>
              <w:spacing w:line="233" w:lineRule="exact"/>
              <w:ind w:left="165" w:right="0"/>
              <w:jc w:val="left"/>
              <w:rPr>
                <w:rFonts w:ascii="宋体" w:hAnsi="宋体" w:cs="宋体" w:eastAsia="宋体" w:hint="default"/>
                <w:sz w:val="18"/>
                <w:szCs w:val="18"/>
              </w:rPr>
            </w:pPr>
            <w:r>
              <w:rPr>
                <w:rFonts w:ascii="宋体"/>
                <w:sz w:val="18"/>
              </w:rPr>
              <w:t>62,0</w:t>
            </w:r>
          </w:p>
          <w:p>
            <w:pPr>
              <w:pStyle w:val="TableParagraph"/>
              <w:spacing w:line="234" w:lineRule="exact"/>
              <w:ind w:left="165" w:right="0"/>
              <w:jc w:val="left"/>
              <w:rPr>
                <w:rFonts w:ascii="宋体" w:hAnsi="宋体" w:cs="宋体" w:eastAsia="宋体" w:hint="default"/>
                <w:sz w:val="18"/>
                <w:szCs w:val="18"/>
              </w:rPr>
            </w:pPr>
            <w:r>
              <w:rPr>
                <w:rFonts w:ascii="宋体"/>
                <w:sz w:val="18"/>
              </w:rPr>
              <w:t>02.2</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2,519</w:t>
            </w:r>
          </w:p>
          <w:p>
            <w:pPr>
              <w:pStyle w:val="TableParagraph"/>
              <w:spacing w:line="233" w:lineRule="exact"/>
              <w:ind w:left="107" w:right="0"/>
              <w:jc w:val="left"/>
              <w:rPr>
                <w:rFonts w:ascii="宋体" w:hAnsi="宋体" w:cs="宋体" w:eastAsia="宋体" w:hint="default"/>
                <w:sz w:val="18"/>
                <w:szCs w:val="18"/>
              </w:rPr>
            </w:pPr>
            <w:r>
              <w:rPr>
                <w:rFonts w:ascii="宋体"/>
                <w:sz w:val="18"/>
              </w:rPr>
              <w:t>,264.</w:t>
            </w:r>
          </w:p>
          <w:p>
            <w:pPr>
              <w:pStyle w:val="TableParagraph"/>
              <w:spacing w:line="234" w:lineRule="exact"/>
              <w:ind w:left="379" w:right="0"/>
              <w:jc w:val="left"/>
              <w:rPr>
                <w:rFonts w:ascii="宋体" w:hAnsi="宋体" w:cs="宋体" w:eastAsia="宋体" w:hint="default"/>
                <w:sz w:val="18"/>
                <w:szCs w:val="18"/>
              </w:rPr>
            </w:pPr>
            <w:r>
              <w:rPr>
                <w:rFonts w:ascii="宋体"/>
                <w:sz w:val="18"/>
              </w:rPr>
              <w:t>92</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西安中沥电子商务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sz w:val="18"/>
              </w:rPr>
              <w:t>3,126</w:t>
            </w:r>
          </w:p>
          <w:p>
            <w:pPr>
              <w:pStyle w:val="TableParagraph"/>
              <w:spacing w:line="234" w:lineRule="exact"/>
              <w:ind w:left="144" w:right="0"/>
              <w:jc w:val="left"/>
              <w:rPr>
                <w:rFonts w:ascii="宋体" w:hAnsi="宋体" w:cs="宋体" w:eastAsia="宋体" w:hint="default"/>
                <w:sz w:val="18"/>
                <w:szCs w:val="18"/>
              </w:rPr>
            </w:pPr>
            <w:r>
              <w:rPr>
                <w:rFonts w:ascii="宋体"/>
                <w:sz w:val="18"/>
              </w:rPr>
              <w:t>,923.</w:t>
            </w:r>
          </w:p>
          <w:p>
            <w:pPr>
              <w:pStyle w:val="TableParagraph"/>
              <w:spacing w:line="240" w:lineRule="auto"/>
              <w:ind w:left="415" w:right="0"/>
              <w:jc w:val="left"/>
              <w:rPr>
                <w:rFonts w:ascii="宋体" w:hAnsi="宋体" w:cs="宋体" w:eastAsia="宋体" w:hint="default"/>
                <w:sz w:val="18"/>
                <w:szCs w:val="18"/>
              </w:rPr>
            </w:pPr>
            <w:r>
              <w:rPr>
                <w:rFonts w:ascii="宋体"/>
                <w:sz w:val="18"/>
              </w:rPr>
              <w:t>05</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 w:right="0"/>
              <w:jc w:val="center"/>
              <w:rPr>
                <w:rFonts w:ascii="宋体" w:hAnsi="宋体" w:cs="宋体" w:eastAsia="宋体" w:hint="default"/>
                <w:sz w:val="18"/>
                <w:szCs w:val="18"/>
              </w:rPr>
            </w:pPr>
            <w:r>
              <w:rPr>
                <w:rFonts w:ascii="宋体"/>
                <w:sz w:val="18"/>
              </w:rPr>
              <w:t>398,</w:t>
            </w:r>
          </w:p>
          <w:p>
            <w:pPr>
              <w:pStyle w:val="TableParagraph"/>
              <w:spacing w:line="234" w:lineRule="exact"/>
              <w:ind w:left="63" w:right="0"/>
              <w:jc w:val="center"/>
              <w:rPr>
                <w:rFonts w:ascii="宋体" w:hAnsi="宋体" w:cs="宋体" w:eastAsia="宋体" w:hint="default"/>
                <w:sz w:val="18"/>
                <w:szCs w:val="18"/>
              </w:rPr>
            </w:pPr>
            <w:r>
              <w:rPr>
                <w:rFonts w:ascii="宋体"/>
                <w:sz w:val="18"/>
              </w:rPr>
              <w:t>639.</w:t>
            </w:r>
          </w:p>
          <w:p>
            <w:pPr>
              <w:pStyle w:val="TableParagraph"/>
              <w:spacing w:line="240" w:lineRule="auto"/>
              <w:ind w:left="244" w:right="0"/>
              <w:jc w:val="center"/>
              <w:rPr>
                <w:rFonts w:ascii="宋体" w:hAnsi="宋体" w:cs="宋体" w:eastAsia="宋体" w:hint="default"/>
                <w:sz w:val="18"/>
                <w:szCs w:val="18"/>
              </w:rPr>
            </w:pPr>
            <w:r>
              <w:rPr>
                <w:rFonts w:ascii="宋体"/>
                <w:sz w:val="18"/>
              </w:rPr>
              <w:t>51</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520,9</w:t>
            </w:r>
          </w:p>
          <w:p>
            <w:pPr>
              <w:pStyle w:val="TableParagraph"/>
              <w:spacing w:line="234" w:lineRule="exact"/>
              <w:ind w:left="134" w:right="0"/>
              <w:jc w:val="left"/>
              <w:rPr>
                <w:rFonts w:ascii="宋体" w:hAnsi="宋体" w:cs="宋体" w:eastAsia="宋体" w:hint="default"/>
                <w:sz w:val="18"/>
                <w:szCs w:val="18"/>
              </w:rPr>
            </w:pPr>
            <w:r>
              <w:rPr>
                <w:rFonts w:ascii="宋体"/>
                <w:sz w:val="18"/>
              </w:rPr>
              <w:t>30.78</w:t>
            </w: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4,046</w:t>
            </w:r>
          </w:p>
          <w:p>
            <w:pPr>
              <w:pStyle w:val="TableParagraph"/>
              <w:spacing w:line="234" w:lineRule="exact"/>
              <w:ind w:left="107" w:right="0"/>
              <w:jc w:val="left"/>
              <w:rPr>
                <w:rFonts w:ascii="宋体" w:hAnsi="宋体" w:cs="宋体" w:eastAsia="宋体" w:hint="default"/>
                <w:sz w:val="18"/>
                <w:szCs w:val="18"/>
              </w:rPr>
            </w:pPr>
            <w:r>
              <w:rPr>
                <w:rFonts w:ascii="宋体"/>
                <w:sz w:val="18"/>
              </w:rPr>
              <w:t>,493.</w:t>
            </w:r>
          </w:p>
          <w:p>
            <w:pPr>
              <w:pStyle w:val="TableParagraph"/>
              <w:spacing w:line="240" w:lineRule="auto"/>
              <w:ind w:left="379" w:right="0"/>
              <w:jc w:val="left"/>
              <w:rPr>
                <w:rFonts w:ascii="宋体" w:hAnsi="宋体" w:cs="宋体" w:eastAsia="宋体" w:hint="default"/>
                <w:sz w:val="18"/>
                <w:szCs w:val="18"/>
              </w:rPr>
            </w:pPr>
            <w:r>
              <w:rPr>
                <w:rFonts w:ascii="宋体"/>
                <w:sz w:val="18"/>
              </w:rPr>
              <w:t>34</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兴业数字金融服务</w:t>
            </w:r>
          </w:p>
          <w:p>
            <w:pPr>
              <w:pStyle w:val="TableParagraph"/>
              <w:spacing w:line="232" w:lineRule="exact" w:before="23"/>
              <w:ind w:left="103" w:right="113"/>
              <w:jc w:val="left"/>
              <w:rPr>
                <w:rFonts w:ascii="宋体" w:hAnsi="宋体" w:cs="宋体" w:eastAsia="宋体" w:hint="default"/>
                <w:sz w:val="18"/>
                <w:szCs w:val="18"/>
              </w:rPr>
            </w:pPr>
            <w:r>
              <w:rPr>
                <w:rFonts w:ascii="宋体" w:hAnsi="宋体" w:cs="宋体" w:eastAsia="宋体" w:hint="default"/>
                <w:sz w:val="18"/>
                <w:szCs w:val="18"/>
              </w:rPr>
              <w:t>（上海）股份有限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center"/>
              <w:rPr>
                <w:rFonts w:ascii="宋体" w:hAnsi="宋体" w:cs="宋体" w:eastAsia="宋体" w:hint="default"/>
                <w:sz w:val="18"/>
                <w:szCs w:val="18"/>
              </w:rPr>
            </w:pPr>
            <w:r>
              <w:rPr>
                <w:rFonts w:ascii="宋体"/>
                <w:sz w:val="18"/>
              </w:rPr>
              <w:t>51,55</w:t>
            </w:r>
          </w:p>
          <w:p>
            <w:pPr>
              <w:pStyle w:val="TableParagraph"/>
              <w:spacing w:line="233" w:lineRule="exact"/>
              <w:ind w:left="40" w:right="0"/>
              <w:jc w:val="center"/>
              <w:rPr>
                <w:rFonts w:ascii="宋体" w:hAnsi="宋体" w:cs="宋体" w:eastAsia="宋体" w:hint="default"/>
                <w:sz w:val="18"/>
                <w:szCs w:val="18"/>
              </w:rPr>
            </w:pPr>
            <w:r>
              <w:rPr>
                <w:rFonts w:ascii="宋体"/>
                <w:sz w:val="18"/>
              </w:rPr>
              <w:t>8,070</w:t>
            </w:r>
          </w:p>
          <w:p>
            <w:pPr>
              <w:pStyle w:val="TableParagraph"/>
              <w:spacing w:line="234" w:lineRule="exact"/>
              <w:ind w:left="222" w:right="0"/>
              <w:jc w:val="center"/>
              <w:rPr>
                <w:rFonts w:ascii="宋体" w:hAnsi="宋体" w:cs="宋体" w:eastAsia="宋体" w:hint="default"/>
                <w:sz w:val="18"/>
                <w:szCs w:val="18"/>
              </w:rPr>
            </w:pPr>
            <w:r>
              <w:rPr>
                <w:rFonts w:ascii="宋体"/>
                <w:sz w:val="18"/>
              </w:rPr>
              <w:t>.93</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-2,2</w:t>
            </w:r>
          </w:p>
          <w:p>
            <w:pPr>
              <w:pStyle w:val="TableParagraph"/>
              <w:spacing w:line="233" w:lineRule="exact"/>
              <w:ind w:left="165" w:right="0"/>
              <w:jc w:val="left"/>
              <w:rPr>
                <w:rFonts w:ascii="宋体" w:hAnsi="宋体" w:cs="宋体" w:eastAsia="宋体" w:hint="default"/>
                <w:sz w:val="18"/>
                <w:szCs w:val="18"/>
              </w:rPr>
            </w:pPr>
            <w:r>
              <w:rPr>
                <w:rFonts w:ascii="宋体"/>
                <w:sz w:val="18"/>
              </w:rPr>
              <w:t>05,2</w:t>
            </w:r>
          </w:p>
          <w:p>
            <w:pPr>
              <w:pStyle w:val="TableParagraph"/>
              <w:spacing w:line="234" w:lineRule="exact"/>
              <w:ind w:left="165" w:right="0"/>
              <w:jc w:val="left"/>
              <w:rPr>
                <w:rFonts w:ascii="宋体" w:hAnsi="宋体" w:cs="宋体" w:eastAsia="宋体" w:hint="default"/>
                <w:sz w:val="18"/>
                <w:szCs w:val="18"/>
              </w:rPr>
            </w:pPr>
            <w:r>
              <w:rPr>
                <w:rFonts w:ascii="宋体"/>
                <w:sz w:val="18"/>
              </w:rPr>
              <w:t>94.4</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center"/>
              <w:rPr>
                <w:rFonts w:ascii="宋体" w:hAnsi="宋体" w:cs="宋体" w:eastAsia="宋体" w:hint="default"/>
                <w:sz w:val="18"/>
                <w:szCs w:val="18"/>
              </w:rPr>
            </w:pPr>
            <w:r>
              <w:rPr>
                <w:rFonts w:ascii="宋体"/>
                <w:sz w:val="18"/>
              </w:rPr>
              <w:t>49,35</w:t>
            </w:r>
          </w:p>
          <w:p>
            <w:pPr>
              <w:pStyle w:val="TableParagraph"/>
              <w:spacing w:line="233" w:lineRule="exact"/>
              <w:ind w:left="5" w:right="0"/>
              <w:jc w:val="center"/>
              <w:rPr>
                <w:rFonts w:ascii="宋体" w:hAnsi="宋体" w:cs="宋体" w:eastAsia="宋体" w:hint="default"/>
                <w:sz w:val="18"/>
                <w:szCs w:val="18"/>
              </w:rPr>
            </w:pPr>
            <w:r>
              <w:rPr>
                <w:rFonts w:ascii="宋体"/>
                <w:sz w:val="18"/>
              </w:rPr>
              <w:t>2,776</w:t>
            </w:r>
          </w:p>
          <w:p>
            <w:pPr>
              <w:pStyle w:val="TableParagraph"/>
              <w:spacing w:line="234" w:lineRule="exact"/>
              <w:ind w:left="187" w:right="0"/>
              <w:jc w:val="center"/>
              <w:rPr>
                <w:rFonts w:ascii="宋体" w:hAnsi="宋体" w:cs="宋体" w:eastAsia="宋体" w:hint="default"/>
                <w:sz w:val="18"/>
                <w:szCs w:val="18"/>
              </w:rPr>
            </w:pPr>
            <w:r>
              <w:rPr>
                <w:rFonts w:ascii="宋体"/>
                <w:sz w:val="18"/>
              </w:rPr>
              <w:t>.49</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山东晶芯能源科技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1,620</w:t>
            </w:r>
          </w:p>
          <w:p>
            <w:pPr>
              <w:pStyle w:val="TableParagraph"/>
              <w:spacing w:line="234" w:lineRule="exact"/>
              <w:ind w:left="144" w:right="0"/>
              <w:jc w:val="left"/>
              <w:rPr>
                <w:rFonts w:ascii="宋体" w:hAnsi="宋体" w:cs="宋体" w:eastAsia="宋体" w:hint="default"/>
                <w:sz w:val="18"/>
                <w:szCs w:val="18"/>
              </w:rPr>
            </w:pPr>
            <w:r>
              <w:rPr>
                <w:rFonts w:ascii="宋体"/>
                <w:sz w:val="18"/>
              </w:rPr>
              <w:t>,031.</w:t>
            </w:r>
          </w:p>
          <w:p>
            <w:pPr>
              <w:pStyle w:val="TableParagraph"/>
              <w:spacing w:line="240" w:lineRule="auto"/>
              <w:ind w:left="415" w:right="0"/>
              <w:jc w:val="left"/>
              <w:rPr>
                <w:rFonts w:ascii="宋体" w:hAnsi="宋体" w:cs="宋体" w:eastAsia="宋体" w:hint="default"/>
                <w:sz w:val="18"/>
                <w:szCs w:val="18"/>
              </w:rPr>
            </w:pPr>
            <w:r>
              <w:rPr>
                <w:rFonts w:ascii="宋体"/>
                <w:sz w:val="18"/>
              </w:rPr>
              <w:t>50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3" w:right="0"/>
              <w:jc w:val="center"/>
              <w:rPr>
                <w:rFonts w:ascii="宋体" w:hAnsi="宋体" w:cs="宋体" w:eastAsia="宋体" w:hint="default"/>
                <w:sz w:val="18"/>
                <w:szCs w:val="18"/>
              </w:rPr>
            </w:pPr>
            <w:r>
              <w:rPr>
                <w:rFonts w:ascii="宋体"/>
                <w:sz w:val="18"/>
              </w:rPr>
              <w:t>168,</w:t>
            </w:r>
          </w:p>
          <w:p>
            <w:pPr>
              <w:pStyle w:val="TableParagraph"/>
              <w:spacing w:line="234" w:lineRule="exact"/>
              <w:ind w:left="63" w:right="0"/>
              <w:jc w:val="center"/>
              <w:rPr>
                <w:rFonts w:ascii="宋体" w:hAnsi="宋体" w:cs="宋体" w:eastAsia="宋体" w:hint="default"/>
                <w:sz w:val="18"/>
                <w:szCs w:val="18"/>
              </w:rPr>
            </w:pPr>
            <w:r>
              <w:rPr>
                <w:rFonts w:ascii="宋体"/>
                <w:sz w:val="18"/>
              </w:rPr>
              <w:t>097.</w:t>
            </w:r>
          </w:p>
          <w:p>
            <w:pPr>
              <w:pStyle w:val="TableParagraph"/>
              <w:spacing w:line="240" w:lineRule="auto"/>
              <w:ind w:left="244" w:right="0"/>
              <w:jc w:val="center"/>
              <w:rPr>
                <w:rFonts w:ascii="宋体" w:hAnsi="宋体" w:cs="宋体" w:eastAsia="宋体" w:hint="default"/>
                <w:sz w:val="18"/>
                <w:szCs w:val="18"/>
              </w:rPr>
            </w:pPr>
            <w:r>
              <w:rPr>
                <w:rFonts w:ascii="宋体"/>
                <w:sz w:val="18"/>
              </w:rPr>
              <w:t>05</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1,788</w:t>
            </w:r>
          </w:p>
          <w:p>
            <w:pPr>
              <w:pStyle w:val="TableParagraph"/>
              <w:spacing w:line="234" w:lineRule="exact"/>
              <w:ind w:left="107" w:right="0"/>
              <w:jc w:val="left"/>
              <w:rPr>
                <w:rFonts w:ascii="宋体" w:hAnsi="宋体" w:cs="宋体" w:eastAsia="宋体" w:hint="default"/>
                <w:sz w:val="18"/>
                <w:szCs w:val="18"/>
              </w:rPr>
            </w:pPr>
            <w:r>
              <w:rPr>
                <w:rFonts w:ascii="宋体"/>
                <w:sz w:val="18"/>
              </w:rPr>
              <w:t>,128.</w:t>
            </w:r>
          </w:p>
          <w:p>
            <w:pPr>
              <w:pStyle w:val="TableParagraph"/>
              <w:spacing w:line="240" w:lineRule="auto"/>
              <w:ind w:left="379" w:right="0"/>
              <w:jc w:val="left"/>
              <w:rPr>
                <w:rFonts w:ascii="宋体" w:hAnsi="宋体" w:cs="宋体" w:eastAsia="宋体" w:hint="default"/>
                <w:sz w:val="18"/>
                <w:szCs w:val="18"/>
              </w:rPr>
            </w:pPr>
            <w:r>
              <w:rPr>
                <w:rFonts w:ascii="宋体"/>
                <w:sz w:val="18"/>
              </w:rPr>
              <w:t>55</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山东金证智城科技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218,6</w:t>
            </w:r>
          </w:p>
          <w:p>
            <w:pPr>
              <w:pStyle w:val="TableParagraph"/>
              <w:spacing w:line="234" w:lineRule="exact"/>
              <w:ind w:left="144" w:right="0"/>
              <w:jc w:val="left"/>
              <w:rPr>
                <w:rFonts w:ascii="宋体" w:hAnsi="宋体" w:cs="宋体" w:eastAsia="宋体" w:hint="default"/>
                <w:sz w:val="18"/>
                <w:szCs w:val="18"/>
              </w:rPr>
            </w:pPr>
            <w:r>
              <w:rPr>
                <w:rFonts w:ascii="宋体"/>
                <w:sz w:val="18"/>
              </w:rPr>
              <w:t>39.76</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3" w:right="0"/>
              <w:jc w:val="center"/>
              <w:rPr>
                <w:rFonts w:ascii="宋体" w:hAnsi="宋体" w:cs="宋体" w:eastAsia="宋体" w:hint="default"/>
                <w:sz w:val="18"/>
                <w:szCs w:val="18"/>
              </w:rPr>
            </w:pPr>
            <w:r>
              <w:rPr>
                <w:rFonts w:ascii="宋体"/>
                <w:sz w:val="18"/>
              </w:rPr>
              <w:t>-92,</w:t>
            </w:r>
          </w:p>
          <w:p>
            <w:pPr>
              <w:pStyle w:val="TableParagraph"/>
              <w:spacing w:line="234" w:lineRule="exact"/>
              <w:ind w:left="63" w:right="0"/>
              <w:jc w:val="center"/>
              <w:rPr>
                <w:rFonts w:ascii="宋体" w:hAnsi="宋体" w:cs="宋体" w:eastAsia="宋体" w:hint="default"/>
                <w:sz w:val="18"/>
                <w:szCs w:val="18"/>
              </w:rPr>
            </w:pPr>
            <w:r>
              <w:rPr>
                <w:rFonts w:ascii="宋体"/>
                <w:sz w:val="18"/>
              </w:rPr>
              <w:t>258.</w:t>
            </w:r>
          </w:p>
          <w:p>
            <w:pPr>
              <w:pStyle w:val="TableParagraph"/>
              <w:spacing w:line="240" w:lineRule="auto"/>
              <w:ind w:left="244" w:right="0"/>
              <w:jc w:val="center"/>
              <w:rPr>
                <w:rFonts w:ascii="宋体" w:hAnsi="宋体" w:cs="宋体" w:eastAsia="宋体" w:hint="default"/>
                <w:sz w:val="18"/>
                <w:szCs w:val="18"/>
              </w:rPr>
            </w:pPr>
            <w:r>
              <w:rPr>
                <w:rFonts w:ascii="宋体"/>
                <w:sz w:val="18"/>
              </w:rPr>
              <w:t>15</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126,3</w:t>
            </w:r>
          </w:p>
          <w:p>
            <w:pPr>
              <w:pStyle w:val="TableParagraph"/>
              <w:spacing w:line="234" w:lineRule="exact"/>
              <w:ind w:left="107" w:right="0"/>
              <w:jc w:val="left"/>
              <w:rPr>
                <w:rFonts w:ascii="宋体" w:hAnsi="宋体" w:cs="宋体" w:eastAsia="宋体" w:hint="default"/>
                <w:sz w:val="18"/>
                <w:szCs w:val="18"/>
              </w:rPr>
            </w:pPr>
            <w:r>
              <w:rPr>
                <w:rFonts w:ascii="宋体"/>
                <w:sz w:val="18"/>
              </w:rPr>
              <w:t>81.61</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福建金证智城科技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452,1</w:t>
            </w:r>
          </w:p>
          <w:p>
            <w:pPr>
              <w:pStyle w:val="TableParagraph"/>
              <w:spacing w:line="234" w:lineRule="exact"/>
              <w:ind w:left="144" w:right="0"/>
              <w:jc w:val="left"/>
              <w:rPr>
                <w:rFonts w:ascii="宋体" w:hAnsi="宋体" w:cs="宋体" w:eastAsia="宋体" w:hint="default"/>
                <w:sz w:val="18"/>
                <w:szCs w:val="18"/>
              </w:rPr>
            </w:pPr>
            <w:r>
              <w:rPr>
                <w:rFonts w:ascii="宋体"/>
                <w:sz w:val="18"/>
              </w:rPr>
              <w:t>01.75</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38,6</w:t>
            </w:r>
          </w:p>
          <w:p>
            <w:pPr>
              <w:pStyle w:val="TableParagraph"/>
              <w:spacing w:line="234" w:lineRule="exact"/>
              <w:ind w:right="100"/>
              <w:jc w:val="right"/>
              <w:rPr>
                <w:rFonts w:ascii="宋体" w:hAnsi="宋体" w:cs="宋体" w:eastAsia="宋体" w:hint="default"/>
                <w:sz w:val="18"/>
                <w:szCs w:val="18"/>
              </w:rPr>
            </w:pPr>
            <w:r>
              <w:rPr>
                <w:rFonts w:ascii="宋体"/>
                <w:sz w:val="18"/>
              </w:rPr>
              <w:t>90.3</w:t>
            </w: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490,7</w:t>
            </w:r>
          </w:p>
          <w:p>
            <w:pPr>
              <w:pStyle w:val="TableParagraph"/>
              <w:spacing w:line="234" w:lineRule="exact"/>
              <w:ind w:left="107" w:right="0"/>
              <w:jc w:val="left"/>
              <w:rPr>
                <w:rFonts w:ascii="宋体" w:hAnsi="宋体" w:cs="宋体" w:eastAsia="宋体" w:hint="default"/>
                <w:sz w:val="18"/>
                <w:szCs w:val="18"/>
              </w:rPr>
            </w:pPr>
            <w:r>
              <w:rPr>
                <w:rFonts w:ascii="宋体"/>
                <w:sz w:val="18"/>
              </w:rPr>
              <w:t>92.06</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深圳市星网信通科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33,840,</w:t>
            </w:r>
          </w:p>
          <w:p>
            <w:pPr>
              <w:pStyle w:val="TableParagraph"/>
              <w:spacing w:line="234" w:lineRule="exact"/>
              <w:ind w:left="199" w:right="0"/>
              <w:jc w:val="left"/>
              <w:rPr>
                <w:rFonts w:ascii="宋体" w:hAnsi="宋体" w:cs="宋体" w:eastAsia="宋体" w:hint="default"/>
                <w:sz w:val="18"/>
                <w:szCs w:val="18"/>
              </w:rPr>
            </w:pPr>
            <w:r>
              <w:rPr>
                <w:rFonts w:ascii="宋体"/>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2,64</w:t>
            </w:r>
          </w:p>
          <w:p>
            <w:pPr>
              <w:pStyle w:val="TableParagraph"/>
              <w:spacing w:line="234" w:lineRule="exact"/>
              <w:ind w:left="165" w:right="0"/>
              <w:jc w:val="left"/>
              <w:rPr>
                <w:rFonts w:ascii="宋体" w:hAnsi="宋体" w:cs="宋体" w:eastAsia="宋体" w:hint="default"/>
                <w:sz w:val="18"/>
                <w:szCs w:val="18"/>
              </w:rPr>
            </w:pPr>
            <w:r>
              <w:rPr>
                <w:rFonts w:ascii="宋体"/>
                <w:sz w:val="18"/>
              </w:rPr>
              <w:t>9,16</w:t>
            </w:r>
          </w:p>
          <w:p>
            <w:pPr>
              <w:pStyle w:val="TableParagraph"/>
              <w:spacing w:line="240" w:lineRule="auto"/>
              <w:ind w:left="165" w:right="0"/>
              <w:jc w:val="left"/>
              <w:rPr>
                <w:rFonts w:ascii="宋体" w:hAnsi="宋体" w:cs="宋体" w:eastAsia="宋体" w:hint="default"/>
                <w:sz w:val="18"/>
                <w:szCs w:val="18"/>
              </w:rPr>
            </w:pPr>
            <w:r>
              <w:rPr>
                <w:rFonts w:ascii="宋体"/>
                <w:sz w:val="18"/>
              </w:rPr>
              <w:t>1.83</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center"/>
              <w:rPr>
                <w:rFonts w:ascii="宋体" w:hAnsi="宋体" w:cs="宋体" w:eastAsia="宋体" w:hint="default"/>
                <w:sz w:val="18"/>
                <w:szCs w:val="18"/>
              </w:rPr>
            </w:pPr>
            <w:r>
              <w:rPr>
                <w:rFonts w:ascii="宋体"/>
                <w:sz w:val="18"/>
              </w:rPr>
              <w:t>36,48</w:t>
            </w:r>
          </w:p>
          <w:p>
            <w:pPr>
              <w:pStyle w:val="TableParagraph"/>
              <w:spacing w:line="234" w:lineRule="exact"/>
              <w:ind w:left="5" w:right="0"/>
              <w:jc w:val="center"/>
              <w:rPr>
                <w:rFonts w:ascii="宋体" w:hAnsi="宋体" w:cs="宋体" w:eastAsia="宋体" w:hint="default"/>
                <w:sz w:val="18"/>
                <w:szCs w:val="18"/>
              </w:rPr>
            </w:pPr>
            <w:r>
              <w:rPr>
                <w:rFonts w:ascii="宋体"/>
                <w:sz w:val="18"/>
              </w:rPr>
              <w:t>9,161</w:t>
            </w:r>
          </w:p>
          <w:p>
            <w:pPr>
              <w:pStyle w:val="TableParagraph"/>
              <w:spacing w:line="240" w:lineRule="auto"/>
              <w:ind w:left="187" w:right="0"/>
              <w:jc w:val="center"/>
              <w:rPr>
                <w:rFonts w:ascii="宋体" w:hAnsi="宋体" w:cs="宋体" w:eastAsia="宋体" w:hint="default"/>
                <w:sz w:val="18"/>
                <w:szCs w:val="18"/>
              </w:rPr>
            </w:pPr>
            <w:r>
              <w:rPr>
                <w:rFonts w:ascii="宋体"/>
                <w:sz w:val="18"/>
              </w:rPr>
              <w:t>.83</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深圳金证文体科技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center"/>
              <w:rPr>
                <w:rFonts w:ascii="宋体" w:hAnsi="宋体" w:cs="宋体" w:eastAsia="宋体" w:hint="default"/>
                <w:sz w:val="18"/>
                <w:szCs w:val="18"/>
              </w:rPr>
            </w:pPr>
            <w:r>
              <w:rPr>
                <w:rFonts w:ascii="宋体"/>
                <w:sz w:val="18"/>
              </w:rPr>
              <w:t>3,000,0</w:t>
            </w:r>
          </w:p>
          <w:p>
            <w:pPr>
              <w:pStyle w:val="TableParagraph"/>
              <w:spacing w:line="234" w:lineRule="exact"/>
              <w:ind w:left="185" w:right="0"/>
              <w:jc w:val="center"/>
              <w:rPr>
                <w:rFonts w:ascii="宋体" w:hAnsi="宋体" w:cs="宋体" w:eastAsia="宋体" w:hint="default"/>
                <w:sz w:val="18"/>
                <w:szCs w:val="18"/>
              </w:rPr>
            </w:pPr>
            <w:r>
              <w:rPr>
                <w:rFonts w:ascii="宋体"/>
                <w:sz w:val="18"/>
              </w:rPr>
              <w:t>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19,0</w:t>
            </w:r>
          </w:p>
          <w:p>
            <w:pPr>
              <w:pStyle w:val="TableParagraph"/>
              <w:spacing w:line="234" w:lineRule="exact"/>
              <w:ind w:right="100"/>
              <w:jc w:val="right"/>
              <w:rPr>
                <w:rFonts w:ascii="宋体" w:hAnsi="宋体" w:cs="宋体" w:eastAsia="宋体" w:hint="default"/>
                <w:sz w:val="18"/>
                <w:szCs w:val="18"/>
              </w:rPr>
            </w:pPr>
            <w:r>
              <w:rPr>
                <w:rFonts w:ascii="宋体"/>
                <w:sz w:val="18"/>
              </w:rPr>
              <w:t>59.1</w:t>
            </w: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3,019</w:t>
            </w:r>
          </w:p>
          <w:p>
            <w:pPr>
              <w:pStyle w:val="TableParagraph"/>
              <w:spacing w:line="234" w:lineRule="exact"/>
              <w:ind w:left="107" w:right="0"/>
              <w:jc w:val="left"/>
              <w:rPr>
                <w:rFonts w:ascii="宋体" w:hAnsi="宋体" w:cs="宋体" w:eastAsia="宋体" w:hint="default"/>
                <w:sz w:val="18"/>
                <w:szCs w:val="18"/>
              </w:rPr>
            </w:pPr>
            <w:r>
              <w:rPr>
                <w:rFonts w:ascii="宋体"/>
                <w:sz w:val="18"/>
              </w:rPr>
              <w:t>,059.</w:t>
            </w:r>
          </w:p>
          <w:p>
            <w:pPr>
              <w:pStyle w:val="TableParagraph"/>
              <w:spacing w:line="240" w:lineRule="auto"/>
              <w:ind w:left="379" w:right="0"/>
              <w:jc w:val="left"/>
              <w:rPr>
                <w:rFonts w:ascii="宋体" w:hAnsi="宋体" w:cs="宋体" w:eastAsia="宋体" w:hint="default"/>
                <w:sz w:val="18"/>
                <w:szCs w:val="18"/>
              </w:rPr>
            </w:pPr>
            <w:r>
              <w:rPr>
                <w:rFonts w:ascii="宋体"/>
                <w:sz w:val="18"/>
              </w:rPr>
              <w:t>17</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武汉无线飞翔科技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center"/>
              <w:rPr>
                <w:rFonts w:ascii="宋体" w:hAnsi="宋体" w:cs="宋体" w:eastAsia="宋体" w:hint="default"/>
                <w:sz w:val="18"/>
                <w:szCs w:val="18"/>
              </w:rPr>
            </w:pPr>
            <w:r>
              <w:rPr>
                <w:rFonts w:ascii="宋体"/>
                <w:sz w:val="18"/>
              </w:rPr>
              <w:t>6,000,0</w:t>
            </w:r>
          </w:p>
          <w:p>
            <w:pPr>
              <w:pStyle w:val="TableParagraph"/>
              <w:spacing w:line="234" w:lineRule="exact"/>
              <w:ind w:left="185" w:right="0"/>
              <w:jc w:val="center"/>
              <w:rPr>
                <w:rFonts w:ascii="宋体" w:hAnsi="宋体" w:cs="宋体" w:eastAsia="宋体" w:hint="default"/>
                <w:sz w:val="18"/>
                <w:szCs w:val="18"/>
              </w:rPr>
            </w:pPr>
            <w:r>
              <w:rPr>
                <w:rFonts w:ascii="宋体"/>
                <w:sz w:val="18"/>
              </w:rPr>
              <w:t>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3" w:right="0"/>
              <w:jc w:val="center"/>
              <w:rPr>
                <w:rFonts w:ascii="宋体" w:hAnsi="宋体" w:cs="宋体" w:eastAsia="宋体" w:hint="default"/>
                <w:sz w:val="18"/>
                <w:szCs w:val="18"/>
              </w:rPr>
            </w:pPr>
            <w:r>
              <w:rPr>
                <w:rFonts w:ascii="宋体"/>
                <w:sz w:val="18"/>
              </w:rPr>
              <w:t>101,</w:t>
            </w:r>
          </w:p>
          <w:p>
            <w:pPr>
              <w:pStyle w:val="TableParagraph"/>
              <w:spacing w:line="234" w:lineRule="exact"/>
              <w:ind w:left="63" w:right="0"/>
              <w:jc w:val="center"/>
              <w:rPr>
                <w:rFonts w:ascii="宋体" w:hAnsi="宋体" w:cs="宋体" w:eastAsia="宋体" w:hint="default"/>
                <w:sz w:val="18"/>
                <w:szCs w:val="18"/>
              </w:rPr>
            </w:pPr>
            <w:r>
              <w:rPr>
                <w:rFonts w:ascii="宋体"/>
                <w:sz w:val="18"/>
              </w:rPr>
              <w:t>187.</w:t>
            </w:r>
          </w:p>
          <w:p>
            <w:pPr>
              <w:pStyle w:val="TableParagraph"/>
              <w:spacing w:line="240" w:lineRule="auto"/>
              <w:ind w:left="244" w:right="0"/>
              <w:jc w:val="center"/>
              <w:rPr>
                <w:rFonts w:ascii="宋体" w:hAnsi="宋体" w:cs="宋体" w:eastAsia="宋体" w:hint="default"/>
                <w:sz w:val="18"/>
                <w:szCs w:val="18"/>
              </w:rPr>
            </w:pPr>
            <w:r>
              <w:rPr>
                <w:rFonts w:ascii="宋体"/>
                <w:sz w:val="18"/>
              </w:rPr>
              <w:t>49</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2,180</w:t>
            </w:r>
          </w:p>
          <w:p>
            <w:pPr>
              <w:pStyle w:val="TableParagraph"/>
              <w:spacing w:line="234" w:lineRule="exact"/>
              <w:ind w:left="134" w:right="0"/>
              <w:jc w:val="left"/>
              <w:rPr>
                <w:rFonts w:ascii="宋体" w:hAnsi="宋体" w:cs="宋体" w:eastAsia="宋体" w:hint="default"/>
                <w:sz w:val="18"/>
                <w:szCs w:val="18"/>
              </w:rPr>
            </w:pPr>
            <w:r>
              <w:rPr>
                <w:rFonts w:ascii="宋体"/>
                <w:sz w:val="18"/>
              </w:rPr>
              <w:t>,191.</w:t>
            </w:r>
          </w:p>
          <w:p>
            <w:pPr>
              <w:pStyle w:val="TableParagraph"/>
              <w:spacing w:line="240" w:lineRule="auto"/>
              <w:ind w:left="405" w:right="0"/>
              <w:jc w:val="left"/>
              <w:rPr>
                <w:rFonts w:ascii="宋体" w:hAnsi="宋体" w:cs="宋体" w:eastAsia="宋体" w:hint="default"/>
                <w:sz w:val="18"/>
                <w:szCs w:val="18"/>
              </w:rPr>
            </w:pPr>
            <w:r>
              <w:rPr>
                <w:rFonts w:ascii="宋体"/>
                <w:sz w:val="18"/>
              </w:rPr>
              <w:t>68</w:t>
            </w: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8,281</w:t>
            </w:r>
          </w:p>
          <w:p>
            <w:pPr>
              <w:pStyle w:val="TableParagraph"/>
              <w:spacing w:line="234" w:lineRule="exact"/>
              <w:ind w:left="107" w:right="0"/>
              <w:jc w:val="left"/>
              <w:rPr>
                <w:rFonts w:ascii="宋体" w:hAnsi="宋体" w:cs="宋体" w:eastAsia="宋体" w:hint="default"/>
                <w:sz w:val="18"/>
                <w:szCs w:val="18"/>
              </w:rPr>
            </w:pPr>
            <w:r>
              <w:rPr>
                <w:rFonts w:ascii="宋体"/>
                <w:sz w:val="18"/>
              </w:rPr>
              <w:t>,379.</w:t>
            </w:r>
          </w:p>
          <w:p>
            <w:pPr>
              <w:pStyle w:val="TableParagraph"/>
              <w:spacing w:line="240" w:lineRule="auto"/>
              <w:ind w:left="379" w:right="0"/>
              <w:jc w:val="left"/>
              <w:rPr>
                <w:rFonts w:ascii="宋体" w:hAnsi="宋体" w:cs="宋体" w:eastAsia="宋体" w:hint="default"/>
                <w:sz w:val="18"/>
                <w:szCs w:val="18"/>
              </w:rPr>
            </w:pPr>
            <w:r>
              <w:rPr>
                <w:rFonts w:ascii="宋体"/>
                <w:sz w:val="18"/>
              </w:rPr>
              <w:t>17</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center"/>
              <w:rPr>
                <w:rFonts w:ascii="宋体" w:hAnsi="宋体" w:cs="宋体" w:eastAsia="宋体" w:hint="default"/>
                <w:sz w:val="18"/>
                <w:szCs w:val="18"/>
              </w:rPr>
            </w:pPr>
            <w:r>
              <w:rPr>
                <w:rFonts w:ascii="宋体"/>
                <w:sz w:val="18"/>
              </w:rPr>
              <w:t>77,50</w:t>
            </w:r>
          </w:p>
          <w:p>
            <w:pPr>
              <w:pStyle w:val="TableParagraph"/>
              <w:spacing w:line="233" w:lineRule="exact"/>
              <w:ind w:left="40" w:right="0"/>
              <w:jc w:val="center"/>
              <w:rPr>
                <w:rFonts w:ascii="宋体" w:hAnsi="宋体" w:cs="宋体" w:eastAsia="宋体" w:hint="default"/>
                <w:sz w:val="18"/>
                <w:szCs w:val="18"/>
              </w:rPr>
            </w:pPr>
            <w:r>
              <w:rPr>
                <w:rFonts w:ascii="宋体"/>
                <w:sz w:val="18"/>
              </w:rPr>
              <w:t>3,312</w:t>
            </w:r>
          </w:p>
          <w:p>
            <w:pPr>
              <w:pStyle w:val="TableParagraph"/>
              <w:spacing w:line="234" w:lineRule="exact"/>
              <w:ind w:left="222" w:right="0"/>
              <w:jc w:val="center"/>
              <w:rPr>
                <w:rFonts w:ascii="宋体" w:hAnsi="宋体" w:cs="宋体" w:eastAsia="宋体" w:hint="default"/>
                <w:sz w:val="18"/>
                <w:szCs w:val="18"/>
              </w:rPr>
            </w:pPr>
            <w:r>
              <w:rPr>
                <w:rFonts w:ascii="宋体"/>
                <w:sz w:val="18"/>
              </w:rPr>
              <w:t>.28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48,840,</w:t>
            </w:r>
          </w:p>
          <w:p>
            <w:pPr>
              <w:pStyle w:val="TableParagraph"/>
              <w:spacing w:line="234" w:lineRule="exact"/>
              <w:ind w:left="199" w:right="0"/>
              <w:jc w:val="left"/>
              <w:rPr>
                <w:rFonts w:ascii="宋体" w:hAnsi="宋体" w:cs="宋体" w:eastAsia="宋体" w:hint="default"/>
                <w:sz w:val="18"/>
                <w:szCs w:val="18"/>
              </w:rPr>
            </w:pPr>
            <w:r>
              <w:rPr>
                <w:rFonts w:ascii="宋体"/>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-6,2</w:t>
            </w:r>
          </w:p>
          <w:p>
            <w:pPr>
              <w:pStyle w:val="TableParagraph"/>
              <w:spacing w:line="233" w:lineRule="exact"/>
              <w:ind w:left="165" w:right="0"/>
              <w:jc w:val="left"/>
              <w:rPr>
                <w:rFonts w:ascii="宋体" w:hAnsi="宋体" w:cs="宋体" w:eastAsia="宋体" w:hint="default"/>
                <w:sz w:val="18"/>
                <w:szCs w:val="18"/>
              </w:rPr>
            </w:pPr>
            <w:r>
              <w:rPr>
                <w:rFonts w:ascii="宋体"/>
                <w:sz w:val="18"/>
              </w:rPr>
              <w:t>29,3</w:t>
            </w:r>
          </w:p>
          <w:p>
            <w:pPr>
              <w:pStyle w:val="TableParagraph"/>
              <w:spacing w:line="234" w:lineRule="exact"/>
              <w:ind w:left="165" w:right="0"/>
              <w:jc w:val="left"/>
              <w:rPr>
                <w:rFonts w:ascii="宋体" w:hAnsi="宋体" w:cs="宋体" w:eastAsia="宋体" w:hint="default"/>
                <w:sz w:val="18"/>
                <w:szCs w:val="18"/>
              </w:rPr>
            </w:pPr>
            <w:r>
              <w:rPr>
                <w:rFonts w:ascii="宋体"/>
                <w:sz w:val="18"/>
              </w:rPr>
              <w:t>64.5</w:t>
            </w:r>
          </w:p>
          <w:p>
            <w:pPr>
              <w:pStyle w:val="TableParagraph"/>
              <w:spacing w:line="240" w:lineRule="auto"/>
              <w:ind w:right="102"/>
              <w:jc w:val="right"/>
              <w:rPr>
                <w:rFonts w:ascii="宋体" w:hAnsi="宋体" w:cs="宋体" w:eastAsia="宋体" w:hint="default"/>
                <w:sz w:val="18"/>
                <w:szCs w:val="18"/>
              </w:rPr>
            </w:pPr>
            <w:r>
              <w:rPr>
                <w:rFonts w:ascii="宋体"/>
                <w:sz w:val="18"/>
              </w:rPr>
              <w:t>9</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2,701</w:t>
            </w:r>
          </w:p>
          <w:p>
            <w:pPr>
              <w:pStyle w:val="TableParagraph"/>
              <w:spacing w:line="233" w:lineRule="exact"/>
              <w:ind w:left="134" w:right="0"/>
              <w:jc w:val="left"/>
              <w:rPr>
                <w:rFonts w:ascii="宋体" w:hAnsi="宋体" w:cs="宋体" w:eastAsia="宋体" w:hint="default"/>
                <w:sz w:val="18"/>
                <w:szCs w:val="18"/>
              </w:rPr>
            </w:pPr>
            <w:r>
              <w:rPr>
                <w:rFonts w:ascii="宋体"/>
                <w:sz w:val="18"/>
              </w:rPr>
              <w:t>,122.</w:t>
            </w:r>
          </w:p>
          <w:p>
            <w:pPr>
              <w:pStyle w:val="TableParagraph"/>
              <w:spacing w:line="234" w:lineRule="exact"/>
              <w:ind w:left="405" w:right="0"/>
              <w:jc w:val="left"/>
              <w:rPr>
                <w:rFonts w:ascii="宋体" w:hAnsi="宋体" w:cs="宋体" w:eastAsia="宋体" w:hint="default"/>
                <w:sz w:val="18"/>
                <w:szCs w:val="18"/>
              </w:rPr>
            </w:pPr>
            <w:r>
              <w:rPr>
                <w:rFonts w:ascii="宋体"/>
                <w:sz w:val="18"/>
              </w:rPr>
              <w:t>46</w:t>
            </w: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122,8</w:t>
            </w:r>
          </w:p>
          <w:p>
            <w:pPr>
              <w:pStyle w:val="TableParagraph"/>
              <w:spacing w:line="233" w:lineRule="exact"/>
              <w:ind w:left="107" w:right="0"/>
              <w:jc w:val="left"/>
              <w:rPr>
                <w:rFonts w:ascii="宋体" w:hAnsi="宋体" w:cs="宋体" w:eastAsia="宋体" w:hint="default"/>
                <w:sz w:val="18"/>
                <w:szCs w:val="18"/>
              </w:rPr>
            </w:pPr>
            <w:r>
              <w:rPr>
                <w:rFonts w:ascii="宋体"/>
                <w:sz w:val="18"/>
              </w:rPr>
              <w:t>15,07</w:t>
            </w:r>
          </w:p>
          <w:p>
            <w:pPr>
              <w:pStyle w:val="TableParagraph"/>
              <w:spacing w:line="234" w:lineRule="exact"/>
              <w:ind w:left="199" w:right="0"/>
              <w:jc w:val="left"/>
              <w:rPr>
                <w:rFonts w:ascii="宋体" w:hAnsi="宋体" w:cs="宋体" w:eastAsia="宋体" w:hint="default"/>
                <w:sz w:val="18"/>
                <w:szCs w:val="18"/>
              </w:rPr>
            </w:pPr>
            <w:r>
              <w:rPr>
                <w:rFonts w:ascii="宋体"/>
                <w:sz w:val="18"/>
              </w:rPr>
              <w:t>0.15</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center"/>
              <w:rPr>
                <w:rFonts w:ascii="宋体" w:hAnsi="宋体" w:cs="宋体" w:eastAsia="宋体" w:hint="default"/>
                <w:sz w:val="18"/>
                <w:szCs w:val="18"/>
              </w:rPr>
            </w:pPr>
            <w:r>
              <w:rPr>
                <w:rFonts w:ascii="宋体"/>
                <w:sz w:val="18"/>
              </w:rPr>
              <w:t>77,50</w:t>
            </w:r>
          </w:p>
          <w:p>
            <w:pPr>
              <w:pStyle w:val="TableParagraph"/>
              <w:spacing w:line="234" w:lineRule="exact"/>
              <w:ind w:left="40" w:right="0"/>
              <w:jc w:val="center"/>
              <w:rPr>
                <w:rFonts w:ascii="宋体" w:hAnsi="宋体" w:cs="宋体" w:eastAsia="宋体" w:hint="default"/>
                <w:sz w:val="18"/>
                <w:szCs w:val="18"/>
              </w:rPr>
            </w:pPr>
            <w:r>
              <w:rPr>
                <w:rFonts w:ascii="宋体"/>
                <w:sz w:val="18"/>
              </w:rPr>
              <w:t>3,312</w:t>
            </w:r>
          </w:p>
          <w:p>
            <w:pPr>
              <w:pStyle w:val="TableParagraph"/>
              <w:spacing w:line="240" w:lineRule="auto"/>
              <w:ind w:left="222" w:right="0"/>
              <w:jc w:val="center"/>
              <w:rPr>
                <w:rFonts w:ascii="宋体" w:hAnsi="宋体" w:cs="宋体" w:eastAsia="宋体" w:hint="default"/>
                <w:sz w:val="18"/>
                <w:szCs w:val="18"/>
              </w:rPr>
            </w:pPr>
            <w:r>
              <w:rPr>
                <w:rFonts w:ascii="宋体"/>
                <w:sz w:val="18"/>
              </w:rPr>
              <w:t>.28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48,840,</w:t>
            </w:r>
          </w:p>
          <w:p>
            <w:pPr>
              <w:pStyle w:val="TableParagraph"/>
              <w:spacing w:line="234" w:lineRule="exact"/>
              <w:ind w:left="199" w:right="0"/>
              <w:jc w:val="left"/>
              <w:rPr>
                <w:rFonts w:ascii="宋体" w:hAnsi="宋体" w:cs="宋体" w:eastAsia="宋体" w:hint="default"/>
                <w:sz w:val="18"/>
                <w:szCs w:val="18"/>
              </w:rPr>
            </w:pPr>
            <w:r>
              <w:rPr>
                <w:rFonts w:ascii="宋体"/>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-6,2</w:t>
            </w:r>
          </w:p>
          <w:p>
            <w:pPr>
              <w:pStyle w:val="TableParagraph"/>
              <w:spacing w:line="234" w:lineRule="exact"/>
              <w:ind w:left="165" w:right="0"/>
              <w:jc w:val="left"/>
              <w:rPr>
                <w:rFonts w:ascii="宋体" w:hAnsi="宋体" w:cs="宋体" w:eastAsia="宋体" w:hint="default"/>
                <w:sz w:val="18"/>
                <w:szCs w:val="18"/>
              </w:rPr>
            </w:pPr>
            <w:r>
              <w:rPr>
                <w:rFonts w:ascii="宋体"/>
                <w:sz w:val="18"/>
              </w:rPr>
              <w:t>29,3</w:t>
            </w:r>
          </w:p>
          <w:p>
            <w:pPr>
              <w:pStyle w:val="TableParagraph"/>
              <w:spacing w:line="234" w:lineRule="exact"/>
              <w:ind w:left="165" w:right="0"/>
              <w:jc w:val="left"/>
              <w:rPr>
                <w:rFonts w:ascii="宋体" w:hAnsi="宋体" w:cs="宋体" w:eastAsia="宋体" w:hint="default"/>
                <w:sz w:val="18"/>
                <w:szCs w:val="18"/>
              </w:rPr>
            </w:pPr>
            <w:r>
              <w:rPr>
                <w:rFonts w:ascii="宋体"/>
                <w:sz w:val="18"/>
              </w:rPr>
              <w:t>64.5</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69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2,701</w:t>
            </w:r>
          </w:p>
          <w:p>
            <w:pPr>
              <w:pStyle w:val="TableParagraph"/>
              <w:spacing w:line="234" w:lineRule="exact"/>
              <w:ind w:left="134" w:right="0"/>
              <w:jc w:val="left"/>
              <w:rPr>
                <w:rFonts w:ascii="宋体" w:hAnsi="宋体" w:cs="宋体" w:eastAsia="宋体" w:hint="default"/>
                <w:sz w:val="18"/>
                <w:szCs w:val="18"/>
              </w:rPr>
            </w:pPr>
            <w:r>
              <w:rPr>
                <w:rFonts w:ascii="宋体"/>
                <w:sz w:val="18"/>
              </w:rPr>
              <w:t>,122.</w:t>
            </w:r>
          </w:p>
          <w:p>
            <w:pPr>
              <w:pStyle w:val="TableParagraph"/>
              <w:spacing w:line="240" w:lineRule="auto"/>
              <w:ind w:left="405" w:right="0"/>
              <w:jc w:val="left"/>
              <w:rPr>
                <w:rFonts w:ascii="宋体" w:hAnsi="宋体" w:cs="宋体" w:eastAsia="宋体" w:hint="default"/>
                <w:sz w:val="18"/>
                <w:szCs w:val="18"/>
              </w:rPr>
            </w:pPr>
            <w:r>
              <w:rPr>
                <w:rFonts w:ascii="宋体"/>
                <w:sz w:val="18"/>
              </w:rPr>
              <w:t>46</w:t>
            </w: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122,8</w:t>
            </w:r>
          </w:p>
          <w:p>
            <w:pPr>
              <w:pStyle w:val="TableParagraph"/>
              <w:spacing w:line="234" w:lineRule="exact"/>
              <w:ind w:left="107" w:right="0"/>
              <w:jc w:val="left"/>
              <w:rPr>
                <w:rFonts w:ascii="宋体" w:hAnsi="宋体" w:cs="宋体" w:eastAsia="宋体" w:hint="default"/>
                <w:sz w:val="18"/>
                <w:szCs w:val="18"/>
              </w:rPr>
            </w:pPr>
            <w:r>
              <w:rPr>
                <w:rFonts w:ascii="宋体"/>
                <w:sz w:val="18"/>
              </w:rPr>
              <w:t>15,07</w:t>
            </w:r>
          </w:p>
          <w:p>
            <w:pPr>
              <w:pStyle w:val="TableParagraph"/>
              <w:spacing w:line="240" w:lineRule="auto"/>
              <w:ind w:left="199" w:right="0"/>
              <w:jc w:val="left"/>
              <w:rPr>
                <w:rFonts w:ascii="宋体" w:hAnsi="宋体" w:cs="宋体" w:eastAsia="宋体" w:hint="default"/>
                <w:sz w:val="18"/>
                <w:szCs w:val="18"/>
              </w:rPr>
            </w:pPr>
            <w:r>
              <w:rPr>
                <w:rFonts w:ascii="宋体"/>
                <w:sz w:val="18"/>
              </w:rPr>
              <w:t>0.15</w:t>
            </w: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175"/>
          <w:pgSz w:w="11910" w:h="16840"/>
          <w:pgMar w:footer="1195" w:header="882" w:top="1120" w:bottom="1380" w:left="1580" w:right="1040"/>
        </w:sectPr>
      </w:pPr>
    </w:p>
    <w:p>
      <w:pPr>
        <w:pStyle w:val="BodyText"/>
        <w:spacing w:line="240" w:lineRule="auto" w:before="36"/>
        <w:ind w:right="-19"/>
        <w:jc w:val="left"/>
      </w:pPr>
      <w:r>
        <w:rPr/>
        <w:t>其他说明：</w:t>
      </w:r>
    </w:p>
    <w:p>
      <w:pPr>
        <w:spacing w:before="50"/>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Heading3"/>
        <w:tabs>
          <w:tab w:pos="1177" w:val="left" w:leader="none"/>
        </w:tabs>
        <w:spacing w:line="240" w:lineRule="auto" w:before="58"/>
        <w:ind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052" w:space="3141"/>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3"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890,067,486.35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480,192,563.48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857,346,499.41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365,062,553.88</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38,846,237.64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15,163,219.04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35,115,940.48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13,282,119.75</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928,913,723.99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495,355,782.52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892,462,439.89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378,344,673.63</w:t>
            </w:r>
          </w:p>
        </w:tc>
      </w:tr>
    </w:tbl>
    <w:p>
      <w:pPr>
        <w:spacing w:after="0" w:line="244" w:lineRule="exact"/>
        <w:jc w:val="left"/>
        <w:rPr>
          <w:rFonts w:ascii="宋体" w:hAnsi="宋体" w:cs="宋体" w:eastAsia="宋体" w:hint="default"/>
          <w:sz w:val="21"/>
          <w:szCs w:val="21"/>
        </w:rPr>
        <w:sectPr>
          <w:footerReference w:type="default" r:id="rId176"/>
          <w:pgSz w:w="11910" w:h="16840"/>
          <w:pgMar w:footer="1195" w:header="882" w:top="1120" w:bottom="1380" w:left="1580" w:right="1040"/>
          <w:pgNumType w:start="171"/>
        </w:sectPr>
      </w:pPr>
    </w:p>
    <w:p>
      <w:pPr>
        <w:pStyle w:val="BodyText"/>
        <w:spacing w:line="240" w:lineRule="auto" w:before="26"/>
        <w:ind w:right="-18"/>
        <w:jc w:val="left"/>
      </w:pPr>
      <w:r>
        <w:rPr/>
        <w:t>其他说明：</w:t>
      </w:r>
    </w:p>
    <w:p>
      <w:pPr>
        <w:spacing w:before="52"/>
        <w:ind w:left="218" w:right="-18"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投资收益</w:t>
      </w:r>
      <w:r>
        <w:rPr>
          <w:rFonts w:ascii="宋体" w:hAnsi="宋体" w:cs="宋体" w:eastAsia="宋体" w:hint="default"/>
          <w:sz w:val="24"/>
          <w:szCs w:val="24"/>
        </w:rPr>
      </w:r>
    </w:p>
    <w:p>
      <w:pPr>
        <w:pStyle w:val="BodyText"/>
        <w:spacing w:line="240" w:lineRule="auto" w:before="6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61,905,329.97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25,860,113.14</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-6,229,364.59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-5,164,595.72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58,161.04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1,944.44</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55,675,986.90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20,755,622.90</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before="26"/>
        <w:ind w:left="218" w:right="1089"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tabs>
          <w:tab w:pos="1297" w:val="left" w:leader="none"/>
        </w:tabs>
        <w:spacing w:line="283" w:lineRule="auto" w:before="58"/>
        <w:ind w:left="218" w:right="1089"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十八、</w:t>
      </w:r>
      <w:r>
        <w:rPr>
          <w:rFonts w:ascii="宋体" w:hAnsi="宋体" w:cs="宋体" w:eastAsia="宋体" w:hint="default"/>
          <w:b/>
          <w:bCs/>
          <w:spacing w:val="-5"/>
          <w:sz w:val="24"/>
          <w:szCs w:val="24"/>
        </w:rPr>
        <w:t> </w:t>
      </w:r>
      <w:r>
        <w:rPr>
          <w:rFonts w:ascii="宋体" w:hAnsi="宋体" w:cs="宋体" w:eastAsia="宋体" w:hint="default"/>
          <w:b/>
          <w:bCs/>
          <w:sz w:val="24"/>
          <w:szCs w:val="24"/>
        </w:rPr>
        <w:t>补充资料</w:t>
      </w:r>
      <w:r>
        <w:rPr>
          <w:rFonts w:ascii="宋体" w:hAnsi="宋体" w:cs="宋体" w:eastAsia="宋体" w:hint="default"/>
          <w:sz w:val="24"/>
          <w:szCs w:val="24"/>
        </w:rPr>
      </w:r>
    </w:p>
    <w:p>
      <w:pPr>
        <w:pStyle w:val="Heading2"/>
        <w:spacing w:line="240" w:lineRule="auto" w:before="14"/>
        <w:ind w:right="-19"/>
        <w:jc w:val="left"/>
        <w:rPr>
          <w:b w:val="0"/>
          <w:bCs w:val="0"/>
        </w:rPr>
      </w:pPr>
      <w:r>
        <w:rPr>
          <w:rFonts w:ascii="宋体" w:hAnsi="宋体" w:cs="宋体" w:eastAsia="宋体" w:hint="default"/>
        </w:rPr>
        <w:t>1</w:t>
      </w:r>
      <w:r>
        <w:rPr/>
        <w:t>、</w:t>
      </w:r>
      <w:r>
        <w:rPr>
          <w:spacing w:val="-4"/>
        </w:rPr>
        <w:t> </w:t>
      </w:r>
      <w:r>
        <w:rPr/>
        <w:t>当期非经常性损益明细表</w:t>
      </w:r>
      <w:r>
        <w:rPr>
          <w:b w:val="0"/>
          <w:bCs w:val="0"/>
        </w:rPr>
      </w:r>
    </w:p>
    <w:p>
      <w:pPr>
        <w:pStyle w:val="BodyText"/>
        <w:tabs>
          <w:tab w:pos="1060" w:val="left" w:leader="none"/>
        </w:tabs>
        <w:spacing w:line="240" w:lineRule="auto" w:before="64"/>
        <w:ind w:right="108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50" w:space="317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063"/>
        <w:gridCol w:w="1700"/>
        <w:gridCol w:w="1286"/>
      </w:tblGrid>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1,018,681.59</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计入当期损益的政府补助（与企业业务密切相关，按照国家统一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24,937,781.42</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企业取得子公司、联营企业及合营企业的投资成本小于取得投资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时应享有被投资单位可辨认净资产公允价值产生的收益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585,816.04</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除同公司正常经营业务相关的有效套期保值业务外，持有交易性</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金融资产、交易性金融负债产生的公允价值变动损益，以及处置</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交易性金融资产、交易性金融负债和可供出售金融资产取得的投</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21.52</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534,010.20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根据税收、会计等法律、法规的要求对当期损益进行一次性调整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对当期损益的影响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-14,910,499.53</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063"/>
        <w:gridCol w:w="1700"/>
        <w:gridCol w:w="1286"/>
      </w:tblGrid>
      <w:tr>
        <w:trPr>
          <w:trHeight w:val="28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-822,682.85</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-1,674,188.60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9,668,939.79</w:t>
            </w: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638" w:right="123"/>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w:t>
      </w:r>
    </w:p>
    <w:p>
      <w:pPr>
        <w:pStyle w:val="BodyText"/>
        <w:spacing w:line="273" w:lineRule="auto" w:before="37"/>
        <w:ind w:right="234"/>
        <w:jc w:val="left"/>
      </w:pPr>
      <w:r>
        <w:rPr/>
        <w:t>的非经常性损益项目，以及把《公开发行证券的公司信息披露解释性公告第</w:t>
      </w:r>
      <w:r>
        <w:rPr>
          <w:spacing w:val="-57"/>
        </w:rPr>
        <w:t> </w:t>
      </w:r>
      <w:r>
        <w:rPr>
          <w:rFonts w:ascii="宋体" w:hAnsi="宋体" w:cs="宋体" w:eastAsia="宋体" w:hint="default"/>
        </w:rPr>
        <w:t>1</w:t>
      </w:r>
      <w:r>
        <w:rPr>
          <w:rFonts w:ascii="宋体" w:hAnsi="宋体" w:cs="宋体" w:eastAsia="宋体" w:hint="default"/>
          <w:spacing w:val="-54"/>
        </w:rPr>
        <w:t> </w:t>
      </w:r>
      <w:r>
        <w:rPr/>
        <w:t>号——非经常性损</w:t>
      </w:r>
      <w:r>
        <w:rPr>
          <w:w w:val="100"/>
        </w:rPr>
        <w:t> </w:t>
      </w:r>
      <w:r>
        <w:rPr/>
        <w:t>益》中列举的非经常性损益项目界定为经常性损益的项目，应说明原因。</w:t>
      </w:r>
    </w:p>
    <w:p>
      <w:pPr>
        <w:pStyle w:val="BodyText"/>
        <w:spacing w:line="240" w:lineRule="auto" w:before="7"/>
        <w:ind w:right="215"/>
        <w:jc w:val="left"/>
      </w:pPr>
      <w:r>
        <w:rPr/>
        <w:t>□适用</w:t>
      </w:r>
      <w:r>
        <w:rPr>
          <w:spacing w:val="-1"/>
        </w:rPr>
        <w:t> </w:t>
      </w:r>
      <w:r>
        <w:rPr/>
        <w:t>√不适用</w:t>
      </w:r>
    </w:p>
    <w:p>
      <w:pPr>
        <w:pStyle w:val="Heading2"/>
        <w:spacing w:line="240" w:lineRule="auto" w:before="93"/>
        <w:ind w:right="215"/>
        <w:jc w:val="left"/>
        <w:rPr>
          <w:b w:val="0"/>
          <w:bCs w:val="0"/>
        </w:rPr>
      </w:pPr>
      <w:r>
        <w:rPr>
          <w:rFonts w:ascii="宋体" w:hAnsi="宋体" w:cs="宋体" w:eastAsia="宋体" w:hint="default"/>
        </w:rPr>
        <w:t>2</w:t>
      </w:r>
      <w:r>
        <w:rPr/>
        <w:t>、</w:t>
      </w:r>
      <w:r>
        <w:rPr>
          <w:spacing w:val="-4"/>
        </w:rPr>
        <w:t> </w:t>
      </w:r>
      <w:r>
        <w:rPr/>
        <w:t>净资产收益率及每股收益</w:t>
      </w:r>
      <w:r>
        <w:rPr>
          <w:b w:val="0"/>
          <w:bCs w:val="0"/>
        </w:rPr>
      </w:r>
    </w:p>
    <w:p>
      <w:pPr>
        <w:pStyle w:val="BodyText"/>
        <w:spacing w:line="240" w:lineRule="auto" w:before="64"/>
        <w:ind w:right="21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4"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1"/>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0.1581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0.1581</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0.1465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0.1465</w:t>
            </w:r>
          </w:p>
        </w:tc>
      </w:tr>
    </w:tbl>
    <w:p>
      <w:pPr>
        <w:spacing w:line="240" w:lineRule="auto" w:before="6"/>
        <w:rPr>
          <w:rFonts w:ascii="宋体" w:hAnsi="宋体" w:cs="宋体" w:eastAsia="宋体" w:hint="default"/>
          <w:sz w:val="20"/>
          <w:szCs w:val="20"/>
        </w:rPr>
      </w:pPr>
    </w:p>
    <w:p>
      <w:pPr>
        <w:pStyle w:val="Heading2"/>
        <w:spacing w:line="240" w:lineRule="auto"/>
        <w:ind w:right="215"/>
        <w:jc w:val="left"/>
        <w:rPr>
          <w:b w:val="0"/>
          <w:bCs w:val="0"/>
        </w:rPr>
      </w:pPr>
      <w:r>
        <w:rPr>
          <w:rFonts w:ascii="宋体" w:hAnsi="宋体" w:cs="宋体" w:eastAsia="宋体" w:hint="default"/>
        </w:rPr>
        <w:t>3</w:t>
      </w:r>
      <w:r>
        <w:rPr/>
        <w:t>、</w:t>
      </w:r>
      <w:r>
        <w:rPr>
          <w:spacing w:val="-3"/>
        </w:rPr>
        <w:t> </w:t>
      </w:r>
      <w:r>
        <w:rPr/>
        <w:t>境内外会计准则下会计数据差异</w:t>
      </w:r>
      <w:r>
        <w:rPr>
          <w:b w:val="0"/>
          <w:bCs w:val="0"/>
        </w:rPr>
      </w:r>
    </w:p>
    <w:p>
      <w:pPr>
        <w:pStyle w:val="BodyText"/>
        <w:spacing w:line="240" w:lineRule="auto" w:before="64"/>
        <w:ind w:right="215"/>
        <w:jc w:val="left"/>
      </w:pPr>
      <w:r>
        <w:rPr/>
        <w:t>□适用</w:t>
      </w:r>
      <w:r>
        <w:rPr>
          <w:spacing w:val="-1"/>
        </w:rPr>
        <w:t> </w:t>
      </w:r>
      <w:r>
        <w:rPr/>
        <w:t>√不适用</w:t>
      </w:r>
    </w:p>
    <w:p>
      <w:pPr>
        <w:pStyle w:val="Heading2"/>
        <w:spacing w:line="240" w:lineRule="auto" w:before="50"/>
        <w:ind w:right="215"/>
        <w:jc w:val="left"/>
        <w:rPr>
          <w:b w:val="0"/>
          <w:bCs w:val="0"/>
        </w:rPr>
      </w:pPr>
      <w:r>
        <w:rPr>
          <w:rFonts w:ascii="宋体" w:hAnsi="宋体" w:cs="宋体" w:eastAsia="宋体" w:hint="default"/>
        </w:rPr>
        <w:t>4</w:t>
      </w:r>
      <w:r>
        <w:rPr/>
        <w:t>、</w:t>
      </w:r>
      <w:r>
        <w:rPr>
          <w:spacing w:val="1"/>
        </w:rPr>
        <w:t> </w:t>
      </w:r>
      <w:r>
        <w:rPr/>
        <w:t>其他</w:t>
      </w:r>
      <w:r>
        <w:rPr>
          <w:b w:val="0"/>
          <w:bCs w:val="0"/>
        </w:rPr>
      </w:r>
    </w:p>
    <w:p>
      <w:pPr>
        <w:pStyle w:val="Heading3"/>
        <w:tabs>
          <w:tab w:pos="1297" w:val="left" w:leader="none"/>
        </w:tabs>
        <w:spacing w:line="240" w:lineRule="auto" w:before="58"/>
        <w:ind w:right="215"/>
        <w:jc w:val="left"/>
      </w:pPr>
      <w:r>
        <w:rPr>
          <w:spacing w:val="-1"/>
        </w:rPr>
        <w:t>□适用</w:t>
        <w:tab/>
      </w:r>
      <w:r>
        <w:rPr/>
        <w:t>√不适用</w:t>
      </w:r>
    </w:p>
    <w:p>
      <w:pPr>
        <w:spacing w:after="0" w:line="240" w:lineRule="auto"/>
        <w:jc w:val="left"/>
        <w:sectPr>
          <w:pgSz w:w="11910" w:h="16840"/>
          <w:pgMar w:header="882"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载有法定代表人、主管会计负责人、会计机构负责人签名并盖章的会计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报告期内在中国证监会指定报纸《中国证券报》、《上海证券报》、《证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券时报》上公开披露过的所有公司文件的正本及公告的原稿</w:t>
            </w:r>
          </w:p>
        </w:tc>
      </w:tr>
    </w:tbl>
    <w:p>
      <w:pPr>
        <w:spacing w:line="240" w:lineRule="auto" w:before="5"/>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Heading4"/>
        <w:spacing w:line="240" w:lineRule="auto"/>
        <w:ind w:left="138" w:right="-18"/>
        <w:jc w:val="left"/>
        <w:rPr>
          <w:b w:val="0"/>
          <w:bCs w:val="0"/>
        </w:rPr>
      </w:pPr>
      <w:r>
        <w:rPr/>
        <w:t>修订信息</w:t>
      </w:r>
      <w:r>
        <w:rPr>
          <w:b w:val="0"/>
          <w:bCs w:val="0"/>
        </w:rPr>
      </w:r>
    </w:p>
    <w:p>
      <w:pPr>
        <w:pStyle w:val="BodyText"/>
        <w:spacing w:line="240" w:lineRule="auto" w:before="8"/>
        <w:ind w:left="138" w:right="-18"/>
        <w:jc w:val="left"/>
      </w:pPr>
      <w:r>
        <w:rPr/>
        <w:t>□适用</w:t>
      </w:r>
      <w:r>
        <w:rPr>
          <w:spacing w:val="-1"/>
        </w:rPr>
        <w:t> </w:t>
      </w:r>
      <w:r>
        <w:rPr/>
        <w:t>√不适用</w:t>
      </w:r>
    </w:p>
    <w:p>
      <w:pPr>
        <w:pStyle w:val="BodyText"/>
        <w:spacing w:line="314" w:lineRule="auto" w:before="36"/>
        <w:ind w:left="138" w:right="149" w:firstLine="2467"/>
        <w:jc w:val="left"/>
      </w:pPr>
      <w:r>
        <w:rPr>
          <w:spacing w:val="-2"/>
        </w:rPr>
        <w:br w:type="column"/>
      </w:r>
      <w:r>
        <w:rPr>
          <w:spacing w:val="-2"/>
        </w:rPr>
        <w:t>董事长：赵剑</w:t>
      </w:r>
      <w:r>
        <w:rPr>
          <w:spacing w:val="-3"/>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w:t>
      </w:r>
    </w:p>
    <w:sectPr>
      <w:type w:val="continuous"/>
      <w:pgSz w:w="11910" w:h="16840"/>
      <w:pgMar w:top="1120" w:bottom="1380" w:left="1660" w:right="1120"/>
      <w:cols w:num="2" w:equalWidth="0">
        <w:col w:w="1715" w:space="3386"/>
        <w:col w:w="402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42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41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41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41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41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41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42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41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41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09.981018pt;width:364pt;height:25.6pt;mso-position-horizontal-relative:page;mso-position-vertical-relative:page;z-index:-941584" type="#_x0000_t202" filled="false" stroked="false">
          <v:textbox inset="0,0,0,0">
            <w:txbxContent>
              <w:p>
                <w:pPr>
                  <w:pStyle w:val="BodyText"/>
                  <w:spacing w:line="231" w:lineRule="exact"/>
                  <w:ind w:left="20" w:right="0"/>
                  <w:jc w:val="left"/>
                </w:pPr>
                <w:r>
                  <w:rPr/>
                  <w:t>法定代表人：赵剑 主管会计工作负责人：周永洪</w:t>
                </w:r>
                <w:r>
                  <w:rPr>
                    <w:spacing w:val="-9"/>
                  </w:rPr>
                  <w:t> </w:t>
                </w:r>
                <w:r>
                  <w:rPr/>
                  <w:t>会计机构负责人：周永洪</w:t>
                </w:r>
              </w:p>
              <w:p>
                <w:pPr>
                  <w:spacing w:before="44"/>
                  <w:ind w:left="0" w:right="18" w:firstLine="0"/>
                  <w:jc w:val="righ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41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41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2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1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99</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1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1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1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1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41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1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2"/>
                    <w:sz w:val="18"/>
                  </w:rPr>
                  <w:t> </w:t>
                </w:r>
                <w:r>
                  <w:rPr>
                    <w:rFonts w:ascii="Calibri"/>
                    <w:b/>
                    <w:sz w:val="18"/>
                  </w:rPr>
                  <w:t>173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41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1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41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42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1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1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941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0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8.084961pt;width:80.850pt;height:12.6pt;mso-position-horizontal-relative:page;mso-position-vertical-relative:page;z-index:-940912" type="#_x0000_t202" filled="false" stroked="false">
          <v:textbox inset="0,0,0,0">
            <w:txbxContent>
              <w:p>
                <w:pPr>
                  <w:pStyle w:val="BodyText"/>
                  <w:spacing w:line="231" w:lineRule="exact"/>
                  <w:ind w:left="20" w:right="0"/>
                  <w:jc w:val="left"/>
                </w:pPr>
                <w:r>
                  <w:rPr/>
                  <w:t>□适用</w:t>
                </w:r>
                <w:r>
                  <w:rPr>
                    <w:spacing w:val="-1"/>
                  </w:rPr>
                  <w:t> </w:t>
                </w:r>
                <w:r>
                  <w:rPr/>
                  <w:t>√不适用</w:t>
                </w:r>
              </w:p>
            </w:txbxContent>
          </v:textbox>
          <w10:wrap type="none"/>
        </v:shape>
      </w:pict>
    </w:r>
    <w:r>
      <w:rPr/>
      <w:pict>
        <v:shape style="position:absolute;margin-left:291.209991pt;margin-top:771.169983pt;width:37.950pt;height:11pt;mso-position-horizontal-relative:page;mso-position-vertical-relative:page;z-index:-940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0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40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0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36.684998pt;width:86.15pt;height:12.6pt;mso-position-horizontal-relative:page;mso-position-vertical-relative:page;z-index:-940792" type="#_x0000_t202" filled="false" stroked="false">
          <v:textbox inset="0,0,0,0">
            <w:txbxContent>
              <w:p>
                <w:pPr>
                  <w:pStyle w:val="BodyText"/>
                  <w:tabs>
                    <w:tab w:pos="862" w:val="left" w:leader="none"/>
                  </w:tabs>
                  <w:spacing w:line="231" w:lineRule="exact"/>
                  <w:ind w:left="20" w:right="0"/>
                  <w:jc w:val="left"/>
                </w:pPr>
                <w:r>
                  <w:rPr>
                    <w:spacing w:val="-1"/>
                  </w:rPr>
                  <w:t>√适用</w:t>
                  <w:tab/>
                </w:r>
                <w:r>
                  <w:rPr>
                    <w:spacing w:val="-2"/>
                  </w:rPr>
                  <w:t>□不适用</w:t>
                </w:r>
              </w:p>
            </w:txbxContent>
          </v:textbox>
          <w10:wrap type="none"/>
        </v:shape>
      </w:pict>
    </w:r>
    <w:r>
      <w:rPr/>
      <w:pict>
        <v:shape style="position:absolute;margin-left:291.209991pt;margin-top:771.169983pt;width:37.950pt;height:11pt;mso-position-horizontal-relative:page;mso-position-vertical-relative:page;z-index:-940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0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42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40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40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2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42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42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41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42280"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942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942040"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942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35pt;height:.1pt;mso-position-horizontal-relative:page;mso-position-vertical-relative:page;z-index:-941920" coordorigin="1769,1111" coordsize="8867,2">
          <v:shape style="position:absolute;left:1769;top:1111;width:8867;height:2" coordorigin="1769,1111" coordsize="8867,0" path="m1769,1111l10636,1111e" filled="false" stroked="true" strokeweight=".72pt" strokecolor="#000000">
            <v:path arrowok="t"/>
          </v:shape>
          <w10:wrap type="none"/>
        </v:group>
      </w:pict>
    </w:r>
    <w:r>
      <w:rPr/>
      <w:pict>
        <v:shape style="position:absolute;margin-left:276.369995pt;margin-top:42.865608pt;width:67.55pt;height:12pt;mso-position-horizontal-relative:page;mso-position-vertical-relative:page;z-index:-941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941704"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941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941560"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941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941056"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941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940984"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9409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38"/>
    </w:pPr>
    <w:rPr>
      <w:rFonts w:ascii="宋体" w:hAnsi="宋体" w:eastAsia="宋体"/>
      <w:sz w:val="24"/>
      <w:szCs w:val="24"/>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ind w:left="218"/>
      <w:outlineLvl w:val="1"/>
    </w:pPr>
    <w:rPr>
      <w:rFonts w:ascii="黑体" w:hAnsi="黑体" w:eastAsia="黑体"/>
      <w:b/>
      <w:bCs/>
      <w:sz w:val="28"/>
      <w:szCs w:val="28"/>
    </w:rPr>
  </w:style>
  <w:style w:styleId="Heading2" w:type="paragraph">
    <w:name w:val="Heading 2"/>
    <w:basedOn w:val="Normal"/>
    <w:uiPriority w:val="1"/>
    <w:qFormat/>
    <w:pPr>
      <w:spacing w:before="26"/>
      <w:ind w:left="218"/>
      <w:outlineLvl w:val="2"/>
    </w:pPr>
    <w:rPr>
      <w:rFonts w:ascii="宋体" w:hAnsi="宋体" w:eastAsia="宋体"/>
      <w:b/>
      <w:bCs/>
      <w:sz w:val="24"/>
      <w:szCs w:val="24"/>
    </w:rPr>
  </w:style>
  <w:style w:styleId="Heading3" w:type="paragraph">
    <w:name w:val="Heading 3"/>
    <w:basedOn w:val="Normal"/>
    <w:uiPriority w:val="1"/>
    <w:qFormat/>
    <w:pPr>
      <w:ind w:left="218"/>
      <w:outlineLvl w:val="3"/>
    </w:pPr>
    <w:rPr>
      <w:rFonts w:ascii="宋体" w:hAnsi="宋体" w:eastAsia="宋体"/>
      <w:sz w:val="24"/>
      <w:szCs w:val="24"/>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aozhen@szkingdom.com" TargetMode="External"/><Relationship Id="rId8" Type="http://schemas.openxmlformats.org/officeDocument/2006/relationships/hyperlink" Target="http://www.szkingdom.com/" TargetMode="External"/><Relationship Id="rId9" Type="http://schemas.openxmlformats.org/officeDocument/2006/relationships/hyperlink" Target="mailto:jzkj@szkingdom.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png"/><Relationship Id="rId19" Type="http://schemas.openxmlformats.org/officeDocument/2006/relationships/header" Target="header2.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header" Target="header3.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header" Target="header4.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header" Target="header5.xml"/><Relationship Id="rId37" Type="http://schemas.openxmlformats.org/officeDocument/2006/relationships/footer" Target="footer23.xm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image" Target="media/image5.png"/><Relationship Id="rId42" Type="http://schemas.openxmlformats.org/officeDocument/2006/relationships/image" Target="media/image6.png"/><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footer" Target="footer27.xml"/><Relationship Id="rId50" Type="http://schemas.openxmlformats.org/officeDocument/2006/relationships/image" Target="media/image10.png"/><Relationship Id="rId51" Type="http://schemas.openxmlformats.org/officeDocument/2006/relationships/image" Target="media/image11.png"/><Relationship Id="rId52" Type="http://schemas.openxmlformats.org/officeDocument/2006/relationships/image" Target="media/image12.png"/><Relationship Id="rId53" Type="http://schemas.openxmlformats.org/officeDocument/2006/relationships/image" Target="media/image13.png"/><Relationship Id="rId54" Type="http://schemas.openxmlformats.org/officeDocument/2006/relationships/image" Target="media/image14.png"/><Relationship Id="rId55" Type="http://schemas.openxmlformats.org/officeDocument/2006/relationships/footer" Target="footer28.xml"/><Relationship Id="rId56" Type="http://schemas.openxmlformats.org/officeDocument/2006/relationships/footer" Target="footer29.xml"/><Relationship Id="rId57" Type="http://schemas.openxmlformats.org/officeDocument/2006/relationships/image" Target="media/image15.png"/><Relationship Id="rId58" Type="http://schemas.openxmlformats.org/officeDocument/2006/relationships/image" Target="media/image16.png"/><Relationship Id="rId59" Type="http://schemas.openxmlformats.org/officeDocument/2006/relationships/image" Target="media/image17.png"/><Relationship Id="rId60" Type="http://schemas.openxmlformats.org/officeDocument/2006/relationships/image" Target="media/image18.png"/><Relationship Id="rId61" Type="http://schemas.openxmlformats.org/officeDocument/2006/relationships/footer" Target="footer30.xml"/><Relationship Id="rId62" Type="http://schemas.openxmlformats.org/officeDocument/2006/relationships/footer" Target="footer31.xml"/><Relationship Id="rId63" Type="http://schemas.openxmlformats.org/officeDocument/2006/relationships/image" Target="media/image19.png"/><Relationship Id="rId64" Type="http://schemas.openxmlformats.org/officeDocument/2006/relationships/image" Target="media/image20.png"/><Relationship Id="rId65" Type="http://schemas.openxmlformats.org/officeDocument/2006/relationships/image" Target="media/image21.png"/><Relationship Id="rId66" Type="http://schemas.openxmlformats.org/officeDocument/2006/relationships/image" Target="media/image22.png"/><Relationship Id="rId67" Type="http://schemas.openxmlformats.org/officeDocument/2006/relationships/footer" Target="footer32.xml"/><Relationship Id="rId68" Type="http://schemas.openxmlformats.org/officeDocument/2006/relationships/image" Target="media/image23.png"/><Relationship Id="rId69" Type="http://schemas.openxmlformats.org/officeDocument/2006/relationships/image" Target="media/image24.png"/><Relationship Id="rId70" Type="http://schemas.openxmlformats.org/officeDocument/2006/relationships/image" Target="media/image25.png"/><Relationship Id="rId71" Type="http://schemas.openxmlformats.org/officeDocument/2006/relationships/image" Target="media/image26.png"/><Relationship Id="rId72" Type="http://schemas.openxmlformats.org/officeDocument/2006/relationships/image" Target="media/image27.png"/><Relationship Id="rId73" Type="http://schemas.openxmlformats.org/officeDocument/2006/relationships/image" Target="media/image28.png"/><Relationship Id="rId74" Type="http://schemas.openxmlformats.org/officeDocument/2006/relationships/image" Target="media/image29.png"/><Relationship Id="rId75" Type="http://schemas.openxmlformats.org/officeDocument/2006/relationships/image" Target="media/image30.png"/><Relationship Id="rId76" Type="http://schemas.openxmlformats.org/officeDocument/2006/relationships/image" Target="media/image31.png"/><Relationship Id="rId77" Type="http://schemas.openxmlformats.org/officeDocument/2006/relationships/image" Target="media/image32.png"/><Relationship Id="rId78" Type="http://schemas.openxmlformats.org/officeDocument/2006/relationships/image" Target="media/image33.png"/><Relationship Id="rId79" Type="http://schemas.openxmlformats.org/officeDocument/2006/relationships/image" Target="media/image34.png"/><Relationship Id="rId80" Type="http://schemas.openxmlformats.org/officeDocument/2006/relationships/image" Target="media/image35.png"/><Relationship Id="rId81" Type="http://schemas.openxmlformats.org/officeDocument/2006/relationships/image" Target="media/image36.png"/><Relationship Id="rId82" Type="http://schemas.openxmlformats.org/officeDocument/2006/relationships/image" Target="media/image37.png"/><Relationship Id="rId83" Type="http://schemas.openxmlformats.org/officeDocument/2006/relationships/image" Target="media/image38.png"/><Relationship Id="rId84" Type="http://schemas.openxmlformats.org/officeDocument/2006/relationships/image" Target="media/image39.png"/><Relationship Id="rId85" Type="http://schemas.openxmlformats.org/officeDocument/2006/relationships/image" Target="media/image40.png"/><Relationship Id="rId86" Type="http://schemas.openxmlformats.org/officeDocument/2006/relationships/image" Target="media/image41.png"/><Relationship Id="rId87" Type="http://schemas.openxmlformats.org/officeDocument/2006/relationships/image" Target="media/image42.png"/><Relationship Id="rId88" Type="http://schemas.openxmlformats.org/officeDocument/2006/relationships/footer" Target="footer33.xml"/><Relationship Id="rId89" Type="http://schemas.openxmlformats.org/officeDocument/2006/relationships/footer" Target="footer34.xml"/><Relationship Id="rId90" Type="http://schemas.openxmlformats.org/officeDocument/2006/relationships/footer" Target="footer35.xml"/><Relationship Id="rId91" Type="http://schemas.openxmlformats.org/officeDocument/2006/relationships/footer" Target="footer36.xml"/><Relationship Id="rId92" Type="http://schemas.openxmlformats.org/officeDocument/2006/relationships/footer" Target="footer37.xml"/><Relationship Id="rId93" Type="http://schemas.openxmlformats.org/officeDocument/2006/relationships/footer" Target="footer38.xml"/><Relationship Id="rId94" Type="http://schemas.openxmlformats.org/officeDocument/2006/relationships/image" Target="media/image43.png"/><Relationship Id="rId95" Type="http://schemas.openxmlformats.org/officeDocument/2006/relationships/image" Target="media/image44.png"/><Relationship Id="rId96" Type="http://schemas.openxmlformats.org/officeDocument/2006/relationships/image" Target="media/image45.png"/><Relationship Id="rId97" Type="http://schemas.openxmlformats.org/officeDocument/2006/relationships/image" Target="media/image46.png"/><Relationship Id="rId98" Type="http://schemas.openxmlformats.org/officeDocument/2006/relationships/image" Target="media/image47.png"/><Relationship Id="rId99" Type="http://schemas.openxmlformats.org/officeDocument/2006/relationships/image" Target="media/image48.png"/><Relationship Id="rId100" Type="http://schemas.openxmlformats.org/officeDocument/2006/relationships/image" Target="media/image49.png"/><Relationship Id="rId101" Type="http://schemas.openxmlformats.org/officeDocument/2006/relationships/image" Target="media/image50.png"/><Relationship Id="rId102" Type="http://schemas.openxmlformats.org/officeDocument/2006/relationships/image" Target="media/image51.png"/><Relationship Id="rId103" Type="http://schemas.openxmlformats.org/officeDocument/2006/relationships/image" Target="media/image52.png"/><Relationship Id="rId104" Type="http://schemas.openxmlformats.org/officeDocument/2006/relationships/image" Target="media/image53.png"/><Relationship Id="rId105" Type="http://schemas.openxmlformats.org/officeDocument/2006/relationships/footer" Target="footer39.xml"/><Relationship Id="rId106" Type="http://schemas.openxmlformats.org/officeDocument/2006/relationships/image" Target="media/image54.png"/><Relationship Id="rId107" Type="http://schemas.openxmlformats.org/officeDocument/2006/relationships/image" Target="media/image55.png"/><Relationship Id="rId108" Type="http://schemas.openxmlformats.org/officeDocument/2006/relationships/image" Target="media/image56.png"/><Relationship Id="rId109" Type="http://schemas.openxmlformats.org/officeDocument/2006/relationships/image" Target="media/image57.png"/><Relationship Id="rId110" Type="http://schemas.openxmlformats.org/officeDocument/2006/relationships/image" Target="media/image58.png"/><Relationship Id="rId111" Type="http://schemas.openxmlformats.org/officeDocument/2006/relationships/image" Target="media/image59.png"/><Relationship Id="rId112" Type="http://schemas.openxmlformats.org/officeDocument/2006/relationships/image" Target="media/image60.png"/><Relationship Id="rId113" Type="http://schemas.openxmlformats.org/officeDocument/2006/relationships/footer" Target="footer40.xml"/><Relationship Id="rId114" Type="http://schemas.openxmlformats.org/officeDocument/2006/relationships/image" Target="media/image61.png"/><Relationship Id="rId115" Type="http://schemas.openxmlformats.org/officeDocument/2006/relationships/image" Target="media/image62.png"/><Relationship Id="rId116" Type="http://schemas.openxmlformats.org/officeDocument/2006/relationships/image" Target="media/image63.png"/><Relationship Id="rId117" Type="http://schemas.openxmlformats.org/officeDocument/2006/relationships/image" Target="media/image64.png"/><Relationship Id="rId118" Type="http://schemas.openxmlformats.org/officeDocument/2006/relationships/image" Target="media/image65.png"/><Relationship Id="rId119" Type="http://schemas.openxmlformats.org/officeDocument/2006/relationships/image" Target="media/image66.png"/><Relationship Id="rId120" Type="http://schemas.openxmlformats.org/officeDocument/2006/relationships/image" Target="media/image67.png"/><Relationship Id="rId121" Type="http://schemas.openxmlformats.org/officeDocument/2006/relationships/image" Target="media/image68.png"/><Relationship Id="rId122" Type="http://schemas.openxmlformats.org/officeDocument/2006/relationships/image" Target="media/image69.png"/><Relationship Id="rId123" Type="http://schemas.openxmlformats.org/officeDocument/2006/relationships/image" Target="media/image70.png"/><Relationship Id="rId124" Type="http://schemas.openxmlformats.org/officeDocument/2006/relationships/image" Target="media/image71.png"/><Relationship Id="rId125" Type="http://schemas.openxmlformats.org/officeDocument/2006/relationships/image" Target="media/image72.png"/><Relationship Id="rId126" Type="http://schemas.openxmlformats.org/officeDocument/2006/relationships/footer" Target="footer41.xml"/><Relationship Id="rId127" Type="http://schemas.openxmlformats.org/officeDocument/2006/relationships/header" Target="header6.xml"/><Relationship Id="rId128" Type="http://schemas.openxmlformats.org/officeDocument/2006/relationships/footer" Target="footer42.xml"/><Relationship Id="rId129" Type="http://schemas.openxmlformats.org/officeDocument/2006/relationships/header" Target="header7.xml"/><Relationship Id="rId130" Type="http://schemas.openxmlformats.org/officeDocument/2006/relationships/footer" Target="footer43.xml"/><Relationship Id="rId131" Type="http://schemas.openxmlformats.org/officeDocument/2006/relationships/footer" Target="footer44.xml"/><Relationship Id="rId132" Type="http://schemas.openxmlformats.org/officeDocument/2006/relationships/footer" Target="footer45.xml"/><Relationship Id="rId133" Type="http://schemas.openxmlformats.org/officeDocument/2006/relationships/image" Target="media/image73.png"/><Relationship Id="rId134" Type="http://schemas.openxmlformats.org/officeDocument/2006/relationships/image" Target="media/image74.png"/><Relationship Id="rId135" Type="http://schemas.openxmlformats.org/officeDocument/2006/relationships/image" Target="media/image75.png"/><Relationship Id="rId136" Type="http://schemas.openxmlformats.org/officeDocument/2006/relationships/image" Target="media/image76.png"/><Relationship Id="rId137" Type="http://schemas.openxmlformats.org/officeDocument/2006/relationships/image" Target="media/image77.png"/><Relationship Id="rId138" Type="http://schemas.openxmlformats.org/officeDocument/2006/relationships/image" Target="media/image78.png"/><Relationship Id="rId139" Type="http://schemas.openxmlformats.org/officeDocument/2006/relationships/image" Target="media/image79.png"/><Relationship Id="rId140" Type="http://schemas.openxmlformats.org/officeDocument/2006/relationships/image" Target="media/image80.png"/><Relationship Id="rId141" Type="http://schemas.openxmlformats.org/officeDocument/2006/relationships/image" Target="media/image81.png"/><Relationship Id="rId142" Type="http://schemas.openxmlformats.org/officeDocument/2006/relationships/footer" Target="footer46.xml"/><Relationship Id="rId143" Type="http://schemas.openxmlformats.org/officeDocument/2006/relationships/image" Target="media/image82.png"/><Relationship Id="rId144" Type="http://schemas.openxmlformats.org/officeDocument/2006/relationships/image" Target="media/image83.png"/><Relationship Id="rId145" Type="http://schemas.openxmlformats.org/officeDocument/2006/relationships/image" Target="media/image84.png"/><Relationship Id="rId146" Type="http://schemas.openxmlformats.org/officeDocument/2006/relationships/image" Target="media/image85.png"/><Relationship Id="rId147" Type="http://schemas.openxmlformats.org/officeDocument/2006/relationships/image" Target="media/image86.png"/><Relationship Id="rId148" Type="http://schemas.openxmlformats.org/officeDocument/2006/relationships/footer" Target="footer47.xml"/><Relationship Id="rId149" Type="http://schemas.openxmlformats.org/officeDocument/2006/relationships/image" Target="media/image87.png"/><Relationship Id="rId150" Type="http://schemas.openxmlformats.org/officeDocument/2006/relationships/image" Target="media/image88.png"/><Relationship Id="rId151" Type="http://schemas.openxmlformats.org/officeDocument/2006/relationships/image" Target="media/image89.png"/><Relationship Id="rId152" Type="http://schemas.openxmlformats.org/officeDocument/2006/relationships/image" Target="media/image90.png"/><Relationship Id="rId153" Type="http://schemas.openxmlformats.org/officeDocument/2006/relationships/image" Target="media/image91.png"/><Relationship Id="rId154" Type="http://schemas.openxmlformats.org/officeDocument/2006/relationships/image" Target="media/image92.png"/><Relationship Id="rId155" Type="http://schemas.openxmlformats.org/officeDocument/2006/relationships/image" Target="media/image93.png"/><Relationship Id="rId156" Type="http://schemas.openxmlformats.org/officeDocument/2006/relationships/image" Target="media/image94.png"/><Relationship Id="rId157" Type="http://schemas.openxmlformats.org/officeDocument/2006/relationships/image" Target="media/image95.png"/><Relationship Id="rId158" Type="http://schemas.openxmlformats.org/officeDocument/2006/relationships/image" Target="media/image96.png"/><Relationship Id="rId159" Type="http://schemas.openxmlformats.org/officeDocument/2006/relationships/image" Target="media/image97.png"/><Relationship Id="rId160" Type="http://schemas.openxmlformats.org/officeDocument/2006/relationships/image" Target="media/image98.png"/><Relationship Id="rId161" Type="http://schemas.openxmlformats.org/officeDocument/2006/relationships/image" Target="media/image99.png"/><Relationship Id="rId162" Type="http://schemas.openxmlformats.org/officeDocument/2006/relationships/image" Target="media/image100.png"/><Relationship Id="rId163" Type="http://schemas.openxmlformats.org/officeDocument/2006/relationships/image" Target="media/image101.png"/><Relationship Id="rId164" Type="http://schemas.openxmlformats.org/officeDocument/2006/relationships/image" Target="media/image102.png"/><Relationship Id="rId165" Type="http://schemas.openxmlformats.org/officeDocument/2006/relationships/image" Target="media/image103.png"/><Relationship Id="rId166" Type="http://schemas.openxmlformats.org/officeDocument/2006/relationships/image" Target="media/image104.png"/><Relationship Id="rId167" Type="http://schemas.openxmlformats.org/officeDocument/2006/relationships/image" Target="media/image105.png"/><Relationship Id="rId168" Type="http://schemas.openxmlformats.org/officeDocument/2006/relationships/image" Target="media/image106.png"/><Relationship Id="rId169" Type="http://schemas.openxmlformats.org/officeDocument/2006/relationships/image" Target="media/image107.png"/><Relationship Id="rId170" Type="http://schemas.openxmlformats.org/officeDocument/2006/relationships/footer" Target="footer48.xml"/><Relationship Id="rId171" Type="http://schemas.openxmlformats.org/officeDocument/2006/relationships/image" Target="media/image108.png"/><Relationship Id="rId172" Type="http://schemas.openxmlformats.org/officeDocument/2006/relationships/image" Target="media/image109.png"/><Relationship Id="rId173" Type="http://schemas.openxmlformats.org/officeDocument/2006/relationships/image" Target="media/image110.png"/><Relationship Id="rId174" Type="http://schemas.openxmlformats.org/officeDocument/2006/relationships/footer" Target="footer49.xml"/><Relationship Id="rId175" Type="http://schemas.openxmlformats.org/officeDocument/2006/relationships/footer" Target="footer50.xml"/><Relationship Id="rId176" Type="http://schemas.openxmlformats.org/officeDocument/2006/relationships/footer" Target="foot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2020-05-03T03:01:25Z</dcterms:created>
  <dcterms:modified xsi:type="dcterms:W3CDTF">2020-05-03T03:01:25Z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Office Word 2007</vt:lpwstr>
  </property>
  <property fmtid="{D5CDD505-2E9C-101B-9397-08002B2CF9AE}" pid="4" name="LastSaved">
    <vt:filetime>2020-05-02T00:00:00Z</vt:filetime>
  </property>
</Properties>
</file>