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7.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p>
      <w:pPr>
        <w:pStyle w:val="Heading2"/>
        <w:tabs>
          <w:tab w:pos="6699" w:val="left" w:leader="none"/>
        </w:tabs>
        <w:spacing w:line="240" w:lineRule="auto" w:before="26"/>
        <w:ind w:left="2" w:right="0"/>
        <w:jc w:val="center"/>
      </w:pPr>
      <w:r>
        <w:rPr>
          <w:spacing w:val="-3"/>
        </w:rPr>
        <w:t>公司代码：</w:t>
      </w:r>
      <w:r>
        <w:rPr>
          <w:rFonts w:ascii="黑体" w:hAnsi="黑体" w:cs="黑体" w:eastAsia="黑体" w:hint="default"/>
          <w:spacing w:val="-3"/>
        </w:rPr>
        <w:t>600556</w:t>
        <w:tab/>
      </w:r>
      <w:r>
        <w:rPr>
          <w:spacing w:val="-3"/>
        </w:rPr>
        <w:t>公司简称：慧球科技</w:t>
      </w: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0"/>
        <w:rPr>
          <w:rFonts w:ascii="黑体" w:hAnsi="黑体" w:cs="黑体" w:eastAsia="黑体" w:hint="default"/>
          <w:sz w:val="24"/>
          <w:szCs w:val="24"/>
        </w:rPr>
      </w:pPr>
    </w:p>
    <w:p>
      <w:pPr>
        <w:spacing w:line="240" w:lineRule="auto" w:before="10"/>
        <w:rPr>
          <w:rFonts w:ascii="黑体" w:hAnsi="黑体" w:cs="黑体" w:eastAsia="黑体" w:hint="default"/>
          <w:sz w:val="25"/>
          <w:szCs w:val="25"/>
        </w:rPr>
      </w:pPr>
    </w:p>
    <w:p>
      <w:pPr>
        <w:spacing w:line="475" w:lineRule="auto" w:before="0"/>
        <w:ind w:left="2017" w:right="2013" w:firstLine="0"/>
        <w:jc w:val="center"/>
        <w:rPr>
          <w:rFonts w:ascii="黑体" w:hAnsi="黑体" w:cs="黑体" w:eastAsia="黑体" w:hint="default"/>
          <w:sz w:val="44"/>
          <w:szCs w:val="44"/>
        </w:rPr>
      </w:pPr>
      <w:r>
        <w:rPr>
          <w:rFonts w:ascii="黑体" w:hAnsi="黑体" w:cs="黑体" w:eastAsia="黑体" w:hint="default"/>
          <w:b/>
          <w:bCs/>
          <w:color w:val="FF0000"/>
          <w:w w:val="95"/>
          <w:sz w:val="44"/>
          <w:szCs w:val="44"/>
        </w:rPr>
        <w:t>广西慧球科技股份有限公司</w:t>
      </w:r>
      <w:r>
        <w:rPr>
          <w:rFonts w:ascii="黑体" w:hAnsi="黑体" w:cs="黑体" w:eastAsia="黑体" w:hint="default"/>
          <w:b/>
          <w:bCs/>
          <w:color w:val="FF0000"/>
          <w:spacing w:val="45"/>
          <w:w w:val="95"/>
          <w:sz w:val="44"/>
          <w:szCs w:val="44"/>
        </w:rPr>
        <w:t> </w:t>
      </w:r>
      <w:r>
        <w:rPr>
          <w:rFonts w:ascii="黑体" w:hAnsi="黑体" w:cs="黑体" w:eastAsia="黑体" w:hint="default"/>
          <w:b/>
          <w:bCs/>
          <w:color w:val="FF0000"/>
          <w:sz w:val="44"/>
          <w:szCs w:val="44"/>
        </w:rPr>
        <w:t>2014</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0"/>
        <w:rPr>
          <w:rFonts w:ascii="黑体" w:hAnsi="黑体" w:cs="黑体" w:eastAsia="黑体" w:hint="default"/>
          <w:b/>
          <w:bCs/>
          <w:sz w:val="44"/>
          <w:szCs w:val="44"/>
        </w:rPr>
      </w:pPr>
    </w:p>
    <w:p>
      <w:pPr>
        <w:spacing w:line="240" w:lineRule="auto" w:before="8"/>
        <w:rPr>
          <w:rFonts w:ascii="黑体" w:hAnsi="黑体" w:cs="黑体" w:eastAsia="黑体" w:hint="default"/>
          <w:b/>
          <w:bCs/>
          <w:sz w:val="50"/>
          <w:szCs w:val="50"/>
        </w:rPr>
      </w:pPr>
    </w:p>
    <w:p>
      <w:pPr>
        <w:spacing w:before="0"/>
        <w:ind w:left="3" w:right="0" w:firstLine="0"/>
        <w:jc w:val="center"/>
        <w:rPr>
          <w:rFonts w:ascii="黑体" w:hAnsi="黑体" w:cs="黑体" w:eastAsia="黑体" w:hint="default"/>
          <w:sz w:val="36"/>
          <w:szCs w:val="36"/>
        </w:rPr>
      </w:pPr>
      <w:r>
        <w:rPr>
          <w:rFonts w:ascii="Calibri" w:hAnsi="Calibri" w:cs="Calibri" w:eastAsia="Calibri" w:hint="default"/>
          <w:sz w:val="36"/>
          <w:szCs w:val="36"/>
        </w:rPr>
        <w:t>2015</w:t>
      </w:r>
      <w:r>
        <w:rPr>
          <w:rFonts w:ascii="Calibri" w:hAnsi="Calibri" w:cs="Calibri" w:eastAsia="Calibri" w:hint="default"/>
          <w:spacing w:val="6"/>
          <w:sz w:val="36"/>
          <w:szCs w:val="36"/>
        </w:rPr>
        <w:t> </w:t>
      </w:r>
      <w:r>
        <w:rPr>
          <w:rFonts w:ascii="黑体" w:hAnsi="黑体" w:cs="黑体" w:eastAsia="黑体" w:hint="default"/>
          <w:sz w:val="36"/>
          <w:szCs w:val="36"/>
        </w:rPr>
        <w:t>年</w:t>
      </w:r>
      <w:r>
        <w:rPr>
          <w:rFonts w:ascii="黑体" w:hAnsi="黑体" w:cs="黑体" w:eastAsia="黑体" w:hint="default"/>
          <w:spacing w:val="-92"/>
          <w:sz w:val="36"/>
          <w:szCs w:val="36"/>
        </w:rPr>
        <w:t> </w:t>
      </w:r>
      <w:r>
        <w:rPr>
          <w:rFonts w:ascii="Calibri" w:hAnsi="Calibri" w:cs="Calibri" w:eastAsia="Calibri" w:hint="default"/>
          <w:sz w:val="36"/>
          <w:szCs w:val="36"/>
        </w:rPr>
        <w:t>04</w:t>
      </w:r>
      <w:r>
        <w:rPr>
          <w:rFonts w:ascii="Calibri" w:hAnsi="Calibri" w:cs="Calibri" w:eastAsia="Calibri" w:hint="default"/>
          <w:spacing w:val="6"/>
          <w:sz w:val="36"/>
          <w:szCs w:val="36"/>
        </w:rPr>
        <w:t> </w:t>
      </w:r>
      <w:r>
        <w:rPr>
          <w:rFonts w:ascii="黑体" w:hAnsi="黑体" w:cs="黑体" w:eastAsia="黑体" w:hint="default"/>
          <w:sz w:val="36"/>
          <w:szCs w:val="36"/>
        </w:rPr>
        <w:t>月</w:t>
      </w:r>
    </w:p>
    <w:p>
      <w:pPr>
        <w:spacing w:after="0"/>
        <w:jc w:val="center"/>
        <w:rPr>
          <w:rFonts w:ascii="黑体" w:hAnsi="黑体" w:cs="黑体" w:eastAsia="黑体" w:hint="default"/>
          <w:sz w:val="36"/>
          <w:szCs w:val="36"/>
        </w:rPr>
        <w:sectPr>
          <w:headerReference w:type="default" r:id="rId5"/>
          <w:footerReference w:type="default" r:id="rId6"/>
          <w:type w:val="continuous"/>
          <w:pgSz w:w="11910" w:h="16840"/>
          <w:pgMar w:header="882" w:footer="1194" w:top="1120" w:bottom="1380" w:left="1660" w:right="114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5"/>
          <w:szCs w:val="25"/>
        </w:rPr>
      </w:pPr>
    </w:p>
    <w:p>
      <w:pPr>
        <w:spacing w:before="13"/>
        <w:ind w:left="2" w:right="0"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12"/>
        <w:rPr>
          <w:rFonts w:ascii="黑体" w:hAnsi="黑体" w:cs="黑体" w:eastAsia="黑体" w:hint="default"/>
          <w:b/>
          <w:bCs/>
          <w:sz w:val="32"/>
          <w:szCs w:val="32"/>
        </w:rPr>
      </w:pPr>
    </w:p>
    <w:p>
      <w:pPr>
        <w:pStyle w:val="Heading3"/>
        <w:spacing w:line="355" w:lineRule="auto" w:before="0"/>
        <w:ind w:left="506" w:right="135" w:hanging="369"/>
        <w:jc w:val="left"/>
        <w:rPr>
          <w:b w:val="0"/>
          <w:bCs w:val="0"/>
        </w:rPr>
      </w:pPr>
      <w:r>
        <w:rPr>
          <w:spacing w:val="-5"/>
          <w:w w:val="95"/>
        </w:rPr>
        <w:t>一、本公司董事会、监事会及董事、监事、高级管理人员保证年度报告内容的真实、准确、完整，</w:t>
      </w:r>
      <w:r>
        <w:rPr>
          <w:spacing w:val="37"/>
          <w:w w:val="95"/>
        </w:rPr>
        <w:t> </w:t>
      </w:r>
      <w:r>
        <w:rPr>
          <w:spacing w:val="37"/>
          <w:w w:val="95"/>
        </w:rPr>
      </w:r>
      <w:r>
        <w:rPr/>
        <w:t>不存在虚假记载、误导性陈述或重大遗漏，并承担个别和连带的法律责任。</w:t>
      </w:r>
      <w:r>
        <w:rPr>
          <w:b w:val="0"/>
          <w:bCs w:val="0"/>
        </w:rPr>
      </w:r>
    </w:p>
    <w:p>
      <w:pPr>
        <w:spacing w:line="240" w:lineRule="auto" w:before="5"/>
        <w:rPr>
          <w:rFonts w:ascii="宋体" w:hAnsi="宋体" w:cs="宋体" w:eastAsia="宋体" w:hint="default"/>
          <w:b/>
          <w:bCs/>
          <w:sz w:val="23"/>
          <w:szCs w:val="23"/>
        </w:rPr>
      </w:pPr>
    </w:p>
    <w:p>
      <w:pPr>
        <w:pStyle w:val="Heading3"/>
        <w:spacing w:line="240" w:lineRule="auto" w:before="0"/>
        <w:ind w:left="138" w:right="135"/>
        <w:jc w:val="left"/>
        <w:rPr>
          <w:b w:val="0"/>
          <w:bCs w:val="0"/>
        </w:rPr>
      </w:pPr>
      <w:r>
        <w:rPr/>
        <w:t>二、</w:t>
      </w:r>
      <w:r>
        <w:rPr>
          <w:spacing w:val="-84"/>
        </w:rPr>
        <w:t> </w:t>
      </w:r>
      <w:r>
        <w:rPr/>
        <w:t>公司全体董事出席董事会会议。</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44"/>
        <w:ind w:left="138" w:right="135"/>
        <w:jc w:val="left"/>
        <w:rPr>
          <w:b w:val="0"/>
          <w:bCs w:val="0"/>
        </w:rPr>
      </w:pPr>
      <w:r>
        <w:rPr/>
        <w:t>三、</w:t>
      </w:r>
      <w:r>
        <w:rPr>
          <w:spacing w:val="-18"/>
        </w:rPr>
        <w:t> </w:t>
      </w:r>
      <w:r>
        <w:rPr/>
        <w:t>大信会计师事务所（特殊普通合伙）为本公司出具了标准无保留意见的审计报告。</w:t>
      </w:r>
      <w:r>
        <w:rPr>
          <w:b w:val="0"/>
          <w:bCs w:val="0"/>
        </w:rPr>
      </w:r>
    </w:p>
    <w:p>
      <w:pPr>
        <w:spacing w:line="240" w:lineRule="auto" w:before="0"/>
        <w:rPr>
          <w:rFonts w:ascii="宋体" w:hAnsi="宋体" w:cs="宋体" w:eastAsia="宋体" w:hint="default"/>
          <w:b/>
          <w:bCs/>
          <w:sz w:val="20"/>
          <w:szCs w:val="20"/>
        </w:rPr>
      </w:pPr>
    </w:p>
    <w:p>
      <w:pPr>
        <w:pStyle w:val="Heading3"/>
        <w:tabs>
          <w:tab w:pos="5996" w:val="left" w:leader="none"/>
        </w:tabs>
        <w:spacing w:line="357" w:lineRule="auto" w:before="144"/>
        <w:ind w:left="506" w:right="135" w:hanging="369"/>
        <w:jc w:val="left"/>
        <w:rPr>
          <w:b w:val="0"/>
          <w:bCs w:val="0"/>
        </w:rPr>
      </w:pPr>
      <w:r>
        <w:rPr>
          <w:spacing w:val="2"/>
          <w:w w:val="95"/>
        </w:rPr>
        <w:t>四、公司负责人顾国平、主管会计工作负责人顾国平</w:t>
        <w:tab/>
      </w:r>
      <w:r>
        <w:rPr/>
        <w:t>及会计机构负责人（会计主管人</w:t>
      </w:r>
      <w:r>
        <w:rPr>
          <w:spacing w:val="-91"/>
        </w:rPr>
        <w:t> </w:t>
      </w:r>
      <w:r>
        <w:rPr>
          <w:spacing w:val="-91"/>
        </w:rPr>
      </w:r>
      <w:r>
        <w:rPr/>
        <w:t>员）朱军声明：保证年度报告中财务报告的真实、准确、完整。</w:t>
      </w:r>
      <w:r>
        <w:rPr>
          <w:b w:val="0"/>
          <w:bCs w:val="0"/>
        </w:rPr>
      </w:r>
    </w:p>
    <w:p>
      <w:pPr>
        <w:spacing w:line="480" w:lineRule="atLeast" w:before="97"/>
        <w:ind w:left="558" w:right="338" w:hanging="42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39"/>
          <w:sz w:val="21"/>
          <w:szCs w:val="21"/>
        </w:rPr>
        <w:t> </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b/>
          <w:bCs/>
          <w:w w:val="99"/>
          <w:sz w:val="21"/>
          <w:szCs w:val="21"/>
        </w:rPr>
        <w:t> </w:t>
      </w:r>
      <w:r>
        <w:rPr>
          <w:rFonts w:ascii="宋体" w:hAnsi="宋体" w:cs="宋体" w:eastAsia="宋体" w:hint="default"/>
          <w:sz w:val="21"/>
          <w:szCs w:val="21"/>
        </w:rPr>
        <w:t>经大信会计师事务所（特殊普通合伙）审计，</w:t>
      </w:r>
      <w:r>
        <w:rPr>
          <w:rFonts w:ascii="宋体" w:hAnsi="宋体" w:cs="宋体" w:eastAsia="宋体" w:hint="default"/>
          <w:sz w:val="21"/>
          <w:szCs w:val="21"/>
        </w:rPr>
        <w:t>2014</w:t>
      </w:r>
      <w:r>
        <w:rPr>
          <w:rFonts w:ascii="宋体" w:hAnsi="宋体" w:cs="宋体" w:eastAsia="宋体" w:hint="default"/>
          <w:sz w:val="21"/>
          <w:szCs w:val="21"/>
        </w:rPr>
        <w:t>年实现归属于母公司所有者的净利润为</w:t>
      </w:r>
    </w:p>
    <w:p>
      <w:pPr>
        <w:pStyle w:val="BodyText"/>
        <w:spacing w:line="240" w:lineRule="auto" w:before="85"/>
        <w:ind w:right="0"/>
        <w:jc w:val="left"/>
      </w:pPr>
      <w:r>
        <w:rPr>
          <w:rFonts w:ascii="宋体" w:hAnsi="宋体" w:cs="宋体" w:eastAsia="宋体" w:hint="default"/>
          <w:spacing w:val="-2"/>
        </w:rPr>
        <w:t>606,772.02</w:t>
      </w:r>
      <w:r>
        <w:rPr>
          <w:spacing w:val="-2"/>
        </w:rPr>
        <w:t>元，</w:t>
      </w:r>
      <w:r>
        <w:rPr>
          <w:rFonts w:ascii="宋体" w:hAnsi="宋体" w:cs="宋体" w:eastAsia="宋体" w:hint="default"/>
          <w:spacing w:val="-2"/>
        </w:rPr>
        <w:t>2014</w:t>
      </w:r>
      <w:r>
        <w:rPr>
          <w:spacing w:val="-2"/>
        </w:rPr>
        <w:t>年末合并报表未分配利润为</w:t>
      </w:r>
      <w:r>
        <w:rPr>
          <w:rFonts w:ascii="宋体" w:hAnsi="宋体" w:cs="宋体" w:eastAsia="宋体" w:hint="default"/>
          <w:spacing w:val="-2"/>
        </w:rPr>
        <w:t>-793,479,337.48</w:t>
      </w:r>
      <w:r>
        <w:rPr>
          <w:spacing w:val="-2"/>
        </w:rPr>
        <w:t>元；</w:t>
      </w:r>
      <w:r>
        <w:rPr>
          <w:rFonts w:ascii="宋体" w:hAnsi="宋体" w:cs="宋体" w:eastAsia="宋体" w:hint="default"/>
          <w:spacing w:val="-2"/>
        </w:rPr>
        <w:t>2014</w:t>
      </w:r>
      <w:r>
        <w:rPr>
          <w:spacing w:val="-2"/>
        </w:rPr>
        <w:t>年母公司实现净利润为</w:t>
      </w:r>
    </w:p>
    <w:p>
      <w:pPr>
        <w:pStyle w:val="BodyText"/>
        <w:spacing w:line="314" w:lineRule="auto" w:before="85"/>
        <w:ind w:right="147"/>
        <w:jc w:val="both"/>
      </w:pPr>
      <w:r>
        <w:rPr>
          <w:rFonts w:ascii="宋体" w:hAnsi="宋体" w:cs="宋体" w:eastAsia="宋体" w:hint="default"/>
        </w:rPr>
        <w:t>-4,881,394.99</w:t>
      </w:r>
      <w:r>
        <w:rPr/>
        <w:t>元，</w:t>
      </w:r>
      <w:r>
        <w:rPr>
          <w:rFonts w:ascii="宋体" w:hAnsi="宋体" w:cs="宋体" w:eastAsia="宋体" w:hint="default"/>
        </w:rPr>
        <w:t>2014</w:t>
      </w:r>
      <w:r>
        <w:rPr/>
        <w:t>年末母公司未分配利润为</w:t>
      </w:r>
      <w:r>
        <w:rPr>
          <w:rFonts w:ascii="宋体" w:hAnsi="宋体" w:cs="宋体" w:eastAsia="宋体" w:hint="default"/>
        </w:rPr>
        <w:t>-803,905,155.41</w:t>
      </w:r>
      <w:r>
        <w:rPr/>
        <w:t>元，根据《公司法》、《公司 章程》有关利润分配的规定，拟定公司</w:t>
      </w:r>
      <w:r>
        <w:rPr>
          <w:rFonts w:ascii="宋体" w:hAnsi="宋体" w:cs="宋体" w:eastAsia="宋体" w:hint="default"/>
        </w:rPr>
        <w:t>2014</w:t>
      </w:r>
      <w:r>
        <w:rPr/>
        <w:t>年不进行利润分配，也不进行资本公积金转增股本。 此预案经公司董事会审议后尚需提交公司</w:t>
      </w:r>
      <w:r>
        <w:rPr>
          <w:rFonts w:ascii="宋体" w:hAnsi="宋体" w:cs="宋体" w:eastAsia="宋体" w:hint="default"/>
        </w:rPr>
        <w:t>2014</w:t>
      </w:r>
      <w:r>
        <w:rPr/>
        <w:t>年年度股东大会审议。</w:t>
      </w:r>
    </w:p>
    <w:p>
      <w:pPr>
        <w:spacing w:line="480" w:lineRule="atLeast" w:before="98"/>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w:t>
      </w:r>
      <w:r>
        <w:rPr>
          <w:rFonts w:ascii="宋体" w:hAnsi="宋体" w:cs="宋体" w:eastAsia="宋体" w:hint="default"/>
          <w:b/>
          <w:bCs/>
          <w:spacing w:val="-25"/>
          <w:sz w:val="21"/>
          <w:szCs w:val="21"/>
        </w:rPr>
        <w:t> </w:t>
      </w:r>
      <w:r>
        <w:rPr>
          <w:rFonts w:ascii="宋体" w:hAnsi="宋体" w:cs="宋体" w:eastAsia="宋体" w:hint="default"/>
          <w:b/>
          <w:bCs/>
          <w:sz w:val="21"/>
          <w:szCs w:val="21"/>
        </w:rPr>
        <w:t>前瞻性陈述的风险声明</w:t>
      </w:r>
      <w:r>
        <w:rPr>
          <w:rFonts w:ascii="宋体" w:hAnsi="宋体" w:cs="宋体" w:eastAsia="宋体" w:hint="default"/>
          <w:b/>
          <w:bCs/>
          <w:w w:val="99"/>
          <w:sz w:val="21"/>
          <w:szCs w:val="21"/>
        </w:rPr>
        <w:t> </w:t>
      </w:r>
      <w:r>
        <w:rPr>
          <w:rFonts w:ascii="宋体" w:hAnsi="宋体" w:cs="宋体" w:eastAsia="宋体" w:hint="default"/>
          <w:sz w:val="21"/>
          <w:szCs w:val="21"/>
        </w:rPr>
        <w:t>本报告中所涉及的未来计划、发展战略等前瞻性描述不构成公司对投资者的实质承诺，敬请</w:t>
      </w:r>
    </w:p>
    <w:p>
      <w:pPr>
        <w:pStyle w:val="BodyText"/>
        <w:spacing w:line="240" w:lineRule="auto" w:before="85"/>
        <w:ind w:right="135"/>
        <w:jc w:val="left"/>
      </w:pPr>
      <w:r>
        <w:rPr/>
        <w:t>投资者注意投资风险。</w:t>
      </w:r>
    </w:p>
    <w:p>
      <w:pPr>
        <w:spacing w:line="240" w:lineRule="auto" w:before="2"/>
        <w:rPr>
          <w:rFonts w:ascii="宋体" w:hAnsi="宋体" w:cs="宋体" w:eastAsia="宋体" w:hint="default"/>
          <w:sz w:val="28"/>
          <w:szCs w:val="28"/>
        </w:rPr>
      </w:pPr>
    </w:p>
    <w:p>
      <w:pPr>
        <w:pStyle w:val="Heading3"/>
        <w:spacing w:line="422" w:lineRule="auto" w:before="0"/>
        <w:ind w:left="138" w:right="3467"/>
        <w:jc w:val="left"/>
        <w:rPr>
          <w:rFonts w:ascii="宋体" w:hAnsi="宋体" w:cs="宋体" w:eastAsia="宋体" w:hint="default"/>
          <w:b w:val="0"/>
          <w:bCs w:val="0"/>
        </w:rPr>
      </w:pPr>
      <w:r>
        <w:rPr/>
        <w:t>七、是否存在被控股股东及其关联方非经营性占用资金情况</w:t>
      </w:r>
      <w:r>
        <w:rPr>
          <w:spacing w:val="-99"/>
        </w:rPr>
        <w:t> </w:t>
      </w:r>
      <w:r>
        <w:rPr>
          <w:spacing w:val="-99"/>
        </w:rPr>
      </w:r>
      <w:r>
        <w:rPr>
          <w:rFonts w:ascii="宋体" w:hAnsi="宋体" w:cs="宋体" w:eastAsia="宋体" w:hint="default"/>
          <w:b w:val="0"/>
          <w:bCs w:val="0"/>
        </w:rPr>
        <w:t>否</w:t>
      </w:r>
    </w:p>
    <w:p>
      <w:pPr>
        <w:spacing w:line="240" w:lineRule="auto" w:before="13"/>
        <w:rPr>
          <w:rFonts w:ascii="宋体" w:hAnsi="宋体" w:cs="宋体" w:eastAsia="宋体" w:hint="default"/>
          <w:sz w:val="15"/>
          <w:szCs w:val="15"/>
        </w:rPr>
      </w:pPr>
    </w:p>
    <w:p>
      <w:pPr>
        <w:pStyle w:val="Heading3"/>
        <w:tabs>
          <w:tab w:pos="782" w:val="left" w:leader="none"/>
        </w:tabs>
        <w:spacing w:line="355" w:lineRule="auto" w:before="0"/>
        <w:ind w:left="138" w:right="3698"/>
        <w:jc w:val="left"/>
        <w:rPr>
          <w:rFonts w:ascii="宋体" w:hAnsi="宋体" w:cs="宋体" w:eastAsia="宋体" w:hint="default"/>
          <w:b w:val="0"/>
          <w:bCs w:val="0"/>
        </w:rPr>
      </w:pPr>
      <w:r>
        <w:rPr>
          <w:w w:val="95"/>
        </w:rPr>
        <w:t>八、</w:t>
        <w:tab/>
        <w:t>是否存在违反规定决策程序对外提供担保的情况？ </w:t>
      </w:r>
      <w:r>
        <w:rPr>
          <w:spacing w:val="25"/>
          <w:w w:val="95"/>
        </w:rPr>
        <w:t> </w:t>
      </w:r>
      <w:r>
        <w:rPr>
          <w:spacing w:val="25"/>
          <w:w w:val="95"/>
        </w:rPr>
      </w:r>
      <w:r>
        <w:rPr>
          <w:rFonts w:ascii="宋体" w:hAnsi="宋体" w:cs="宋体" w:eastAsia="宋体" w:hint="default"/>
          <w:b w:val="0"/>
          <w:bCs w:val="0"/>
        </w:rPr>
        <w:t>否</w:t>
      </w:r>
    </w:p>
    <w:p>
      <w:pPr>
        <w:spacing w:after="0" w:line="355" w:lineRule="auto"/>
        <w:jc w:val="left"/>
        <w:rPr>
          <w:rFonts w:ascii="宋体" w:hAnsi="宋体" w:cs="宋体" w:eastAsia="宋体" w:hint="default"/>
        </w:rPr>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before="1"/>
        <w:ind w:left="4" w:right="0" w:firstLine="0"/>
        <w:jc w:val="center"/>
        <w:rPr>
          <w:rFonts w:ascii="宋体" w:hAnsi="宋体" w:cs="宋体" w:eastAsia="宋体" w:hint="default"/>
          <w:sz w:val="32"/>
          <w:szCs w:val="32"/>
        </w:rPr>
      </w:pPr>
      <w:r>
        <w:rPr>
          <w:rFonts w:ascii="宋体" w:hAnsi="宋体" w:cs="宋体" w:eastAsia="宋体" w:hint="default"/>
          <w:b/>
          <w:bCs/>
          <w:sz w:val="32"/>
          <w:szCs w:val="32"/>
        </w:rPr>
        <w:t>目录</w:t>
      </w:r>
      <w:r>
        <w:rPr>
          <w:rFonts w:ascii="宋体" w:hAnsi="宋体" w:cs="宋体" w:eastAsia="宋体" w:hint="default"/>
          <w:sz w:val="32"/>
          <w:szCs w:val="32"/>
        </w:rPr>
      </w:r>
    </w:p>
    <w:sdt>
      <w:sdtPr>
        <w:docPartObj>
          <w:docPartGallery w:val="Table of Contents"/>
          <w:docPartUnique/>
        </w:docPartObj>
      </w:sdtPr>
      <w:sdtEndPr/>
      <w:sdtContent>
        <w:p>
          <w:pPr>
            <w:pStyle w:val="TOC1"/>
            <w:tabs>
              <w:tab w:pos="1397" w:val="left" w:leader="none"/>
              <w:tab w:pos="8961" w:val="right" w:leader="dot"/>
            </w:tabs>
            <w:spacing w:line="240" w:lineRule="auto" w:before="46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tab/>
              <w:t>释义及重大风险提示</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9">
            <w:r>
              <w:rPr/>
              <w:t>第二节</w:t>
              <w:tab/>
              <w:t>公司简介</w:t>
            </w:r>
            <w:r>
              <w:rPr>
                <w:rFonts w:ascii="Times New Roman" w:hAnsi="Times New Roman" w:cs="Times New Roman" w:eastAsia="Times New Roman" w:hint="default"/>
              </w:rPr>
              <w:tab/>
              <w:t>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TOC_250008">
            <w:r>
              <w:rPr/>
              <w:t>第三节</w:t>
              <w:tab/>
              <w:t>会计数据和财务指标摘要</w:t>
            </w:r>
            <w:r>
              <w:rPr>
                <w:rFonts w:ascii="Times New Roman" w:hAnsi="Times New Roman" w:cs="Times New Roman" w:eastAsia="Times New Roman" w:hint="default"/>
              </w:rPr>
              <w:tab/>
              <w:t>7</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7">
            <w:r>
              <w:rPr/>
              <w:t>第四节</w:t>
              <w:tab/>
              <w:t>董事会报告</w:t>
            </w:r>
            <w:r>
              <w:rPr>
                <w:rFonts w:ascii="Times New Roman" w:hAnsi="Times New Roman" w:cs="Times New Roman" w:eastAsia="Times New Roman" w:hint="default"/>
              </w:rPr>
              <w:tab/>
              <w:t>9</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6">
            <w:r>
              <w:rPr/>
              <w:t>第五节</w:t>
              <w:tab/>
              <w:t>重要事项</w:t>
            </w:r>
            <w:r>
              <w:rPr>
                <w:rFonts w:ascii="Times New Roman" w:hAnsi="Times New Roman" w:cs="Times New Roman" w:eastAsia="Times New Roman" w:hint="default"/>
              </w:rPr>
              <w:tab/>
              <w:t>31</w:t>
            </w:r>
          </w:hyperlink>
        </w:p>
        <w:p>
          <w:pPr>
            <w:pStyle w:val="TOC1"/>
            <w:tabs>
              <w:tab w:pos="1397" w:val="left" w:leader="none"/>
              <w:tab w:pos="8962" w:val="right" w:leader="dot"/>
            </w:tabs>
            <w:spacing w:line="240" w:lineRule="auto" w:before="118"/>
            <w:ind w:right="0"/>
            <w:jc w:val="left"/>
            <w:rPr>
              <w:rFonts w:ascii="Times New Roman" w:hAnsi="Times New Roman" w:cs="Times New Roman" w:eastAsia="Times New Roman" w:hint="default"/>
            </w:rPr>
          </w:pPr>
          <w:hyperlink w:history="true" w:anchor="_TOC_250005">
            <w:r>
              <w:rPr/>
              <w:t>第六节</w:t>
              <w:tab/>
              <w:t>股份变动及股东情况</w:t>
            </w:r>
            <w:r>
              <w:rPr>
                <w:rFonts w:ascii="Times New Roman" w:hAnsi="Times New Roman" w:cs="Times New Roman" w:eastAsia="Times New Roman" w:hint="default"/>
              </w:rPr>
              <w:tab/>
              <w:t>35</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4">
            <w:r>
              <w:rPr/>
              <w:t>第七节</w:t>
              <w:tab/>
              <w:t>董事、监事、高级管理人员和员工情况</w:t>
            </w:r>
            <w:r>
              <w:rPr>
                <w:rFonts w:ascii="Times New Roman" w:hAnsi="Times New Roman" w:cs="Times New Roman" w:eastAsia="Times New Roman" w:hint="default"/>
              </w:rPr>
              <w:tab/>
              <w:t>40</w:t>
            </w:r>
          </w:hyperlink>
        </w:p>
        <w:p>
          <w:pPr>
            <w:pStyle w:val="TOC1"/>
            <w:tabs>
              <w:tab w:pos="1397" w:val="left" w:leader="none"/>
              <w:tab w:pos="8962" w:val="right" w:leader="dot"/>
            </w:tabs>
            <w:spacing w:line="240" w:lineRule="auto" w:before="118"/>
            <w:ind w:right="0"/>
            <w:jc w:val="left"/>
            <w:rPr>
              <w:rFonts w:ascii="Times New Roman" w:hAnsi="Times New Roman" w:cs="Times New Roman" w:eastAsia="Times New Roman" w:hint="default"/>
            </w:rPr>
          </w:pPr>
          <w:hyperlink w:history="true" w:anchor="_TOC_250003">
            <w:r>
              <w:rPr/>
              <w:t>第八节</w:t>
              <w:tab/>
              <w:t>公司治理</w:t>
            </w:r>
            <w:r>
              <w:rPr>
                <w:rFonts w:ascii="Times New Roman" w:hAnsi="Times New Roman" w:cs="Times New Roman" w:eastAsia="Times New Roman" w:hint="default"/>
              </w:rPr>
              <w:tab/>
              <w:t>50</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2">
            <w:r>
              <w:rPr/>
              <w:t>第九节</w:t>
              <w:tab/>
              <w:t>内部控制</w:t>
            </w:r>
            <w:r>
              <w:rPr>
                <w:rFonts w:ascii="Times New Roman" w:hAnsi="Times New Roman" w:cs="Times New Roman" w:eastAsia="Times New Roman" w:hint="default"/>
              </w:rPr>
              <w:tab/>
              <w:t>54</w:t>
            </w:r>
          </w:hyperlink>
        </w:p>
        <w:p>
          <w:pPr>
            <w:pStyle w:val="TOC1"/>
            <w:tabs>
              <w:tab w:pos="1397" w:val="left" w:leader="none"/>
              <w:tab w:pos="8962" w:val="right" w:leader="dot"/>
            </w:tabs>
            <w:spacing w:line="240" w:lineRule="auto"/>
            <w:ind w:right="0"/>
            <w:jc w:val="left"/>
            <w:rPr>
              <w:rFonts w:ascii="Times New Roman" w:hAnsi="Times New Roman" w:cs="Times New Roman" w:eastAsia="Times New Roman" w:hint="default"/>
            </w:rPr>
          </w:pPr>
          <w:hyperlink w:history="true" w:anchor="_TOC_250001">
            <w:r>
              <w:rPr/>
              <w:t>第十节</w:t>
              <w:tab/>
              <w:t>财务报告</w:t>
            </w:r>
            <w:r>
              <w:rPr>
                <w:rFonts w:ascii="Times New Roman" w:hAnsi="Times New Roman" w:cs="Times New Roman" w:eastAsia="Times New Roman" w:hint="default"/>
              </w:rPr>
              <w:tab/>
              <w:t>56</w:t>
            </w:r>
          </w:hyperlink>
        </w:p>
        <w:p>
          <w:pPr>
            <w:pStyle w:val="TOC1"/>
            <w:tabs>
              <w:tab w:pos="1397" w:val="left" w:leader="none"/>
              <w:tab w:pos="8961" w:val="right" w:leader="dot"/>
            </w:tabs>
            <w:spacing w:line="240" w:lineRule="auto" w:before="118"/>
            <w:ind w:right="0"/>
            <w:jc w:val="left"/>
            <w:rPr>
              <w:rFonts w:ascii="Times New Roman" w:hAnsi="Times New Roman" w:cs="Times New Roman" w:eastAsia="Times New Roman" w:hint="default"/>
            </w:rPr>
          </w:pPr>
          <w:hyperlink w:history="true" w:anchor="_TOC_250000">
            <w:r>
              <w:rPr/>
              <w:t>第十一节</w:t>
              <w:tab/>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3"/>
              </w:rPr>
              <w:t>115</w:t>
            </w:r>
          </w:hyperlink>
        </w:p>
        <w:p>
          <w:pPr/>
          <w:r>
            <w:fldChar w:fldCharType="end"/>
          </w:r>
        </w:p>
      </w:sdtContent>
    </w:sdt>
    <w:p>
      <w:pPr>
        <w:spacing w:after="0"/>
        <w:sectPr>
          <w:pgSz w:w="11910" w:h="16840"/>
          <w:pgMar w:header="882" w:footer="1194" w:top="1120" w:bottom="1380" w:left="1660" w:right="1140"/>
        </w:sectPr>
      </w:pPr>
    </w:p>
    <w:p>
      <w:pPr>
        <w:pStyle w:val="Heading1"/>
        <w:tabs>
          <w:tab w:pos="3999" w:val="left" w:leader="none"/>
        </w:tabs>
        <w:spacing w:line="240" w:lineRule="auto" w:before="355"/>
        <w:ind w:left="2739" w:right="228"/>
        <w:jc w:val="left"/>
        <w:rPr>
          <w:b w:val="0"/>
          <w:bCs w:val="0"/>
        </w:rPr>
      </w:pPr>
      <w:bookmarkStart w:name="_TOC_250010" w:id="1"/>
      <w:r>
        <w:rPr>
          <w:w w:val="95"/>
        </w:rPr>
        <w:t>第一节</w:t>
        <w:tab/>
      </w:r>
      <w:r>
        <w:rPr/>
        <w:t>释义及重大风险提示</w:t>
      </w:r>
      <w:bookmarkEnd w:id="1"/>
      <w:r>
        <w:rPr>
          <w:b w:val="0"/>
          <w:bCs w:val="0"/>
        </w:rPr>
      </w:r>
    </w:p>
    <w:p>
      <w:pPr>
        <w:pStyle w:val="BodyText"/>
        <w:spacing w:line="290" w:lineRule="auto" w:before="249"/>
        <w:ind w:left="218" w:right="3378"/>
        <w:jc w:val="left"/>
      </w:pPr>
      <w:r>
        <w:rPr>
          <w:rFonts w:ascii="宋体" w:hAnsi="宋体" w:cs="宋体" w:eastAsia="宋体" w:hint="default"/>
          <w:b/>
          <w:bCs/>
        </w:rPr>
        <w:t>一、</w:t>
      </w:r>
      <w:r>
        <w:rPr>
          <w:rFonts w:ascii="宋体" w:hAnsi="宋体" w:cs="宋体" w:eastAsia="宋体" w:hint="default"/>
          <w:b/>
          <w:bCs/>
          <w:spacing w:val="60"/>
        </w:rPr>
        <w:t> </w:t>
      </w:r>
      <w:r>
        <w:rPr>
          <w:rFonts w:ascii="宋体" w:hAnsi="宋体" w:cs="宋体" w:eastAsia="宋体" w:hint="default"/>
          <w:b/>
          <w:bCs/>
        </w:rPr>
        <w:t>释义</w:t>
      </w:r>
      <w:r>
        <w:rPr>
          <w:rFonts w:ascii="宋体" w:hAnsi="宋体" w:cs="宋体" w:eastAsia="宋体" w:hint="default"/>
          <w:b/>
          <w:bCs/>
          <w:spacing w:val="1"/>
          <w:w w:val="99"/>
        </w:rPr>
        <w:t> </w:t>
      </w:r>
      <w:r>
        <w:rPr/>
        <w:t>在本报告书中，除非文义另有所指，下列词语具有如下含义：</w:t>
      </w:r>
    </w:p>
    <w:p>
      <w:pPr>
        <w:spacing w:line="240" w:lineRule="auto" w:before="4"/>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2660"/>
        <w:gridCol w:w="992"/>
        <w:gridCol w:w="5397"/>
      </w:tblGrid>
      <w:tr>
        <w:trPr>
          <w:trHeight w:val="426" w:hRule="exact"/>
        </w:trPr>
        <w:tc>
          <w:tcPr>
            <w:tcW w:w="90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慧球科技、公司、本公司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广西慧球科技股份有限公司</w:t>
            </w:r>
          </w:p>
        </w:tc>
      </w:tr>
      <w:tr>
        <w:trPr>
          <w:trHeight w:val="4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北生集团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广西北生集团有限责任公司</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斐讯通信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上海斐讯数据通信技术有限公司</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智诚合讯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南宁市智诚合讯信息技术有限公司</w:t>
            </w:r>
          </w:p>
        </w:tc>
      </w:tr>
      <w:tr>
        <w:trPr>
          <w:trHeight w:val="4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上交所、交易所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郡原地产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r>
      <w:tr>
        <w:trPr>
          <w:trHeight w:val="42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杭州物业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杭州郡原物业服务有限公司</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北海腾辉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北海腾辉商贸有限公司</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瑞尔德嘉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北京瑞尔德嘉创业投资管理有限公司</w:t>
            </w:r>
          </w:p>
        </w:tc>
      </w:tr>
      <w:tr>
        <w:trPr>
          <w:trHeight w:val="116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智慧城市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4"/>
              <w:ind w:left="103" w:right="101"/>
              <w:jc w:val="both"/>
              <w:rPr>
                <w:rFonts w:ascii="宋体" w:hAnsi="宋体" w:cs="宋体" w:eastAsia="宋体" w:hint="default"/>
                <w:sz w:val="21"/>
                <w:szCs w:val="21"/>
              </w:rPr>
            </w:pPr>
            <w:r>
              <w:rPr>
                <w:rFonts w:ascii="宋体" w:hAnsi="宋体" w:cs="宋体" w:eastAsia="宋体" w:hint="default"/>
                <w:spacing w:val="-3"/>
                <w:sz w:val="21"/>
                <w:szCs w:val="21"/>
              </w:rPr>
              <w:t>借助新一代信息化技术，将人、商业、运输、通信、水和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能源等城市运行的各个核心系统整合起来，从而更好地理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解和控制城市运营，并优化有限资源使用情况的城市</w:t>
            </w:r>
          </w:p>
        </w:tc>
      </w:tr>
      <w:tr>
        <w:trPr>
          <w:trHeight w:val="1529"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Calibri" w:hAnsi="Calibri" w:cs="Calibri" w:eastAsia="Calibri" w:hint="default"/>
                <w:sz w:val="21"/>
                <w:szCs w:val="21"/>
              </w:rPr>
            </w:pPr>
            <w:r>
              <w:rPr>
                <w:rFonts w:ascii="Calibri"/>
                <w:sz w:val="21"/>
              </w:rPr>
              <w:t>ICT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5"/>
              <w:ind w:left="103" w:right="95"/>
              <w:jc w:val="both"/>
              <w:rPr>
                <w:rFonts w:ascii="宋体" w:hAnsi="宋体" w:cs="宋体" w:eastAsia="宋体" w:hint="default"/>
                <w:sz w:val="21"/>
                <w:szCs w:val="21"/>
              </w:rPr>
            </w:pPr>
            <w:r>
              <w:rPr>
                <w:rFonts w:ascii="Arial" w:hAnsi="Arial" w:cs="Arial" w:eastAsia="Arial" w:hint="default"/>
                <w:sz w:val="21"/>
                <w:szCs w:val="21"/>
              </w:rPr>
              <w:t>ICT</w:t>
            </w:r>
            <w:r>
              <w:rPr>
                <w:rFonts w:ascii="Arial" w:hAnsi="Arial" w:cs="Arial" w:eastAsia="Arial" w:hint="default"/>
                <w:spacing w:val="15"/>
                <w:sz w:val="21"/>
                <w:szCs w:val="21"/>
              </w:rPr>
              <w:t> </w:t>
            </w:r>
            <w:r>
              <w:rPr>
                <w:rFonts w:ascii="宋体" w:hAnsi="宋体" w:cs="宋体" w:eastAsia="宋体" w:hint="default"/>
                <w:sz w:val="21"/>
                <w:szCs w:val="21"/>
              </w:rPr>
              <w:t>是</w:t>
            </w:r>
            <w:r>
              <w:rPr>
                <w:rFonts w:ascii="宋体" w:hAnsi="宋体" w:cs="宋体" w:eastAsia="宋体" w:hint="default"/>
                <w:spacing w:val="-79"/>
                <w:sz w:val="21"/>
                <w:szCs w:val="21"/>
              </w:rPr>
              <w:t> </w:t>
            </w:r>
            <w:r>
              <w:rPr>
                <w:rFonts w:ascii="宋体" w:hAnsi="宋体" w:cs="宋体" w:eastAsia="宋体" w:hint="default"/>
                <w:sz w:val="21"/>
                <w:szCs w:val="21"/>
              </w:rPr>
              <w:t>信</w:t>
            </w:r>
            <w:r>
              <w:rPr>
                <w:rFonts w:ascii="宋体" w:hAnsi="宋体" w:cs="宋体" w:eastAsia="宋体" w:hint="default"/>
                <w:spacing w:val="-79"/>
                <w:sz w:val="21"/>
                <w:szCs w:val="21"/>
              </w:rPr>
              <w:t> </w:t>
            </w:r>
            <w:r>
              <w:rPr>
                <w:rFonts w:ascii="宋体" w:hAnsi="宋体" w:cs="宋体" w:eastAsia="宋体" w:hint="default"/>
                <w:sz w:val="21"/>
                <w:szCs w:val="21"/>
              </w:rPr>
              <w:t>息</w:t>
            </w:r>
            <w:r>
              <w:rPr>
                <w:rFonts w:ascii="宋体" w:hAnsi="宋体" w:cs="宋体" w:eastAsia="宋体" w:hint="default"/>
                <w:spacing w:val="-78"/>
                <w:sz w:val="21"/>
                <w:szCs w:val="21"/>
              </w:rPr>
              <w:t> </w:t>
            </w:r>
            <w:r>
              <w:rPr>
                <w:rFonts w:ascii="宋体" w:hAnsi="宋体" w:cs="宋体" w:eastAsia="宋体" w:hint="default"/>
                <w:sz w:val="21"/>
                <w:szCs w:val="21"/>
              </w:rPr>
              <w:t>、</w:t>
            </w:r>
            <w:r>
              <w:rPr>
                <w:rFonts w:ascii="宋体" w:hAnsi="宋体" w:cs="宋体" w:eastAsia="宋体" w:hint="default"/>
                <w:spacing w:val="-79"/>
                <w:sz w:val="21"/>
                <w:szCs w:val="21"/>
              </w:rPr>
              <w:t> </w:t>
            </w:r>
            <w:r>
              <w:rPr>
                <w:rFonts w:ascii="宋体" w:hAnsi="宋体" w:cs="宋体" w:eastAsia="宋体" w:hint="default"/>
                <w:sz w:val="21"/>
                <w:szCs w:val="21"/>
              </w:rPr>
              <w:t>通</w:t>
            </w:r>
            <w:r>
              <w:rPr>
                <w:rFonts w:ascii="宋体" w:hAnsi="宋体" w:cs="宋体" w:eastAsia="宋体" w:hint="default"/>
                <w:spacing w:val="-79"/>
                <w:sz w:val="21"/>
                <w:szCs w:val="21"/>
              </w:rPr>
              <w:t> </w:t>
            </w:r>
            <w:r>
              <w:rPr>
                <w:rFonts w:ascii="宋体" w:hAnsi="宋体" w:cs="宋体" w:eastAsia="宋体" w:hint="default"/>
                <w:sz w:val="21"/>
                <w:szCs w:val="21"/>
              </w:rPr>
              <w:t>信</w:t>
            </w:r>
            <w:r>
              <w:rPr>
                <w:rFonts w:ascii="宋体" w:hAnsi="宋体" w:cs="宋体" w:eastAsia="宋体" w:hint="default"/>
                <w:spacing w:val="-79"/>
                <w:sz w:val="21"/>
                <w:szCs w:val="21"/>
              </w:rPr>
              <w:t> </w:t>
            </w:r>
            <w:r>
              <w:rPr>
                <w:rFonts w:ascii="宋体" w:hAnsi="宋体" w:cs="宋体" w:eastAsia="宋体" w:hint="default"/>
                <w:sz w:val="21"/>
                <w:szCs w:val="21"/>
              </w:rPr>
              <w:t>和</w:t>
            </w:r>
            <w:r>
              <w:rPr>
                <w:rFonts w:ascii="宋体" w:hAnsi="宋体" w:cs="宋体" w:eastAsia="宋体" w:hint="default"/>
                <w:spacing w:val="-78"/>
                <w:sz w:val="21"/>
                <w:szCs w:val="21"/>
              </w:rPr>
              <w:t> </w:t>
            </w:r>
            <w:r>
              <w:rPr>
                <w:rFonts w:ascii="宋体" w:hAnsi="宋体" w:cs="宋体" w:eastAsia="宋体" w:hint="default"/>
                <w:sz w:val="21"/>
                <w:szCs w:val="21"/>
              </w:rPr>
              <w:t>技</w:t>
            </w:r>
            <w:r>
              <w:rPr>
                <w:rFonts w:ascii="宋体" w:hAnsi="宋体" w:cs="宋体" w:eastAsia="宋体" w:hint="default"/>
                <w:spacing w:val="-78"/>
                <w:sz w:val="21"/>
                <w:szCs w:val="21"/>
              </w:rPr>
              <w:t> </w:t>
            </w:r>
            <w:r>
              <w:rPr>
                <w:rFonts w:ascii="宋体" w:hAnsi="宋体" w:cs="宋体" w:eastAsia="宋体" w:hint="default"/>
                <w:sz w:val="21"/>
                <w:szCs w:val="21"/>
              </w:rPr>
              <w:t>术</w:t>
            </w:r>
            <w:r>
              <w:rPr>
                <w:rFonts w:ascii="宋体" w:hAnsi="宋体" w:cs="宋体" w:eastAsia="宋体" w:hint="default"/>
                <w:spacing w:val="-79"/>
                <w:sz w:val="21"/>
                <w:szCs w:val="21"/>
              </w:rPr>
              <w:t> </w:t>
            </w:r>
            <w:r>
              <w:rPr>
                <w:rFonts w:ascii="宋体" w:hAnsi="宋体" w:cs="宋体" w:eastAsia="宋体" w:hint="default"/>
                <w:sz w:val="21"/>
                <w:szCs w:val="21"/>
              </w:rPr>
              <w:t>三</w:t>
            </w:r>
            <w:r>
              <w:rPr>
                <w:rFonts w:ascii="宋体" w:hAnsi="宋体" w:cs="宋体" w:eastAsia="宋体" w:hint="default"/>
                <w:spacing w:val="-79"/>
                <w:sz w:val="21"/>
                <w:szCs w:val="21"/>
              </w:rPr>
              <w:t> </w:t>
            </w:r>
            <w:r>
              <w:rPr>
                <w:rFonts w:ascii="宋体" w:hAnsi="宋体" w:cs="宋体" w:eastAsia="宋体" w:hint="default"/>
                <w:sz w:val="21"/>
                <w:szCs w:val="21"/>
              </w:rPr>
              <w:t>个</w:t>
            </w:r>
            <w:r>
              <w:rPr>
                <w:rFonts w:ascii="宋体" w:hAnsi="宋体" w:cs="宋体" w:eastAsia="宋体" w:hint="default"/>
                <w:spacing w:val="-79"/>
                <w:sz w:val="21"/>
                <w:szCs w:val="21"/>
              </w:rPr>
              <w:t> </w:t>
            </w:r>
            <w:r>
              <w:rPr>
                <w:rFonts w:ascii="宋体" w:hAnsi="宋体" w:cs="宋体" w:eastAsia="宋体" w:hint="default"/>
                <w:sz w:val="21"/>
                <w:szCs w:val="21"/>
              </w:rPr>
              <w:t>英</w:t>
            </w:r>
            <w:r>
              <w:rPr>
                <w:rFonts w:ascii="宋体" w:hAnsi="宋体" w:cs="宋体" w:eastAsia="宋体" w:hint="default"/>
                <w:spacing w:val="-78"/>
                <w:sz w:val="21"/>
                <w:szCs w:val="21"/>
              </w:rPr>
              <w:t> </w:t>
            </w:r>
            <w:r>
              <w:rPr>
                <w:rFonts w:ascii="宋体" w:hAnsi="宋体" w:cs="宋体" w:eastAsia="宋体" w:hint="default"/>
                <w:sz w:val="21"/>
                <w:szCs w:val="21"/>
              </w:rPr>
              <w:t>文</w:t>
            </w:r>
            <w:r>
              <w:rPr>
                <w:rFonts w:ascii="宋体" w:hAnsi="宋体" w:cs="宋体" w:eastAsia="宋体" w:hint="default"/>
                <w:spacing w:val="-78"/>
                <w:sz w:val="21"/>
                <w:szCs w:val="21"/>
              </w:rPr>
              <w:t> </w:t>
            </w:r>
            <w:r>
              <w:rPr>
                <w:rFonts w:ascii="宋体" w:hAnsi="宋体" w:cs="宋体" w:eastAsia="宋体" w:hint="default"/>
                <w:sz w:val="21"/>
                <w:szCs w:val="21"/>
              </w:rPr>
              <w:t>单</w:t>
            </w:r>
            <w:r>
              <w:rPr>
                <w:rFonts w:ascii="宋体" w:hAnsi="宋体" w:cs="宋体" w:eastAsia="宋体" w:hint="default"/>
                <w:spacing w:val="-79"/>
                <w:sz w:val="21"/>
                <w:szCs w:val="21"/>
              </w:rPr>
              <w:t> </w:t>
            </w:r>
            <w:r>
              <w:rPr>
                <w:rFonts w:ascii="宋体" w:hAnsi="宋体" w:cs="宋体" w:eastAsia="宋体" w:hint="default"/>
                <w:sz w:val="21"/>
                <w:szCs w:val="21"/>
              </w:rPr>
              <w:t>词</w:t>
            </w:r>
            <w:r>
              <w:rPr>
                <w:rFonts w:ascii="宋体" w:hAnsi="宋体" w:cs="宋体" w:eastAsia="宋体" w:hint="default"/>
                <w:spacing w:val="-79"/>
                <w:sz w:val="21"/>
                <w:szCs w:val="21"/>
              </w:rPr>
              <w:t> </w:t>
            </w:r>
            <w:r>
              <w:rPr>
                <w:rFonts w:ascii="宋体" w:hAnsi="宋体" w:cs="宋体" w:eastAsia="宋体" w:hint="default"/>
                <w:sz w:val="21"/>
                <w:szCs w:val="21"/>
              </w:rPr>
              <w:t>的</w:t>
            </w:r>
            <w:r>
              <w:rPr>
                <w:rFonts w:ascii="宋体" w:hAnsi="宋体" w:cs="宋体" w:eastAsia="宋体" w:hint="default"/>
                <w:spacing w:val="-79"/>
                <w:sz w:val="21"/>
                <w:szCs w:val="21"/>
              </w:rPr>
              <w:t> </w:t>
            </w:r>
            <w:r>
              <w:rPr>
                <w:rFonts w:ascii="宋体" w:hAnsi="宋体" w:cs="宋体" w:eastAsia="宋体" w:hint="default"/>
                <w:sz w:val="21"/>
                <w:szCs w:val="21"/>
              </w:rPr>
              <w:t>词</w:t>
            </w:r>
            <w:r>
              <w:rPr>
                <w:rFonts w:ascii="宋体" w:hAnsi="宋体" w:cs="宋体" w:eastAsia="宋体" w:hint="default"/>
                <w:spacing w:val="-78"/>
                <w:sz w:val="21"/>
                <w:szCs w:val="21"/>
              </w:rPr>
              <w:t> </w:t>
            </w:r>
            <w:r>
              <w:rPr>
                <w:rFonts w:ascii="宋体" w:hAnsi="宋体" w:cs="宋体" w:eastAsia="宋体" w:hint="default"/>
                <w:sz w:val="21"/>
                <w:szCs w:val="21"/>
              </w:rPr>
              <w:t>头</w:t>
            </w:r>
            <w:r>
              <w:rPr>
                <w:rFonts w:ascii="宋体" w:hAnsi="宋体" w:cs="宋体" w:eastAsia="宋体" w:hint="default"/>
                <w:spacing w:val="-78"/>
                <w:sz w:val="21"/>
                <w:szCs w:val="21"/>
              </w:rPr>
              <w:t> </w:t>
            </w:r>
            <w:r>
              <w:rPr>
                <w:rFonts w:ascii="宋体" w:hAnsi="宋体" w:cs="宋体" w:eastAsia="宋体" w:hint="default"/>
                <w:sz w:val="21"/>
                <w:szCs w:val="21"/>
              </w:rPr>
              <w:t>组</w:t>
            </w:r>
            <w:r>
              <w:rPr>
                <w:rFonts w:ascii="宋体" w:hAnsi="宋体" w:cs="宋体" w:eastAsia="宋体" w:hint="default"/>
                <w:spacing w:val="-79"/>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Arial" w:hAnsi="Arial" w:cs="Arial" w:eastAsia="Arial" w:hint="default"/>
                <w:sz w:val="21"/>
                <w:szCs w:val="21"/>
              </w:rPr>
              <w:t>(Information Communication Technology</w:t>
            </w:r>
            <w:r>
              <w:rPr>
                <w:rFonts w:ascii="宋体" w:hAnsi="宋体" w:cs="宋体" w:eastAsia="宋体" w:hint="default"/>
                <w:sz w:val="21"/>
                <w:szCs w:val="21"/>
              </w:rPr>
              <w:t>，简称 </w:t>
            </w:r>
            <w:r>
              <w:rPr>
                <w:rFonts w:ascii="Arial" w:hAnsi="Arial" w:cs="Arial" w:eastAsia="Arial" w:hint="default"/>
                <w:sz w:val="21"/>
                <w:szCs w:val="21"/>
              </w:rPr>
              <w:t>ICT)</w:t>
            </w:r>
            <w:r>
              <w:rPr>
                <w:rFonts w:ascii="Arial" w:hAnsi="Arial" w:cs="Arial" w:eastAsia="Arial" w:hint="default"/>
                <w:spacing w:val="-8"/>
                <w:sz w:val="21"/>
                <w:szCs w:val="21"/>
              </w:rPr>
              <w:t> </w:t>
            </w:r>
            <w:r>
              <w:rPr>
                <w:rFonts w:ascii="宋体" w:hAnsi="宋体" w:cs="宋体" w:eastAsia="宋体" w:hint="default"/>
                <w:sz w:val="21"/>
                <w:szCs w:val="21"/>
              </w:rPr>
              <w:t>。 </w:t>
            </w:r>
            <w:r>
              <w:rPr>
                <w:rFonts w:ascii="宋体" w:hAnsi="宋体" w:cs="宋体" w:eastAsia="宋体" w:hint="default"/>
                <w:spacing w:val="5"/>
                <w:sz w:val="21"/>
                <w:szCs w:val="21"/>
              </w:rPr>
              <w:t>它是信息技术与通信技术相融合而形成的一个新的概念</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和新的技术领域</w:t>
            </w:r>
          </w:p>
        </w:tc>
      </w:tr>
      <w:tr>
        <w:trPr>
          <w:trHeight w:val="426"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指</w:t>
            </w:r>
          </w:p>
        </w:tc>
        <w:tc>
          <w:tcPr>
            <w:tcW w:w="5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人民币元、人民币万元、人民币亿元</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331" w:lineRule="auto"/>
        <w:ind w:left="218" w:right="228"/>
        <w:jc w:val="left"/>
      </w:pPr>
      <w:r>
        <w:rPr>
          <w:rFonts w:ascii="宋体" w:hAnsi="宋体" w:cs="宋体" w:eastAsia="宋体" w:hint="default"/>
          <w:b/>
          <w:bCs/>
        </w:rPr>
        <w:t>二、</w:t>
      </w:r>
      <w:r>
        <w:rPr>
          <w:rFonts w:ascii="宋体" w:hAnsi="宋体" w:cs="宋体" w:eastAsia="宋体" w:hint="default"/>
          <w:b/>
          <w:bCs/>
          <w:spacing w:val="60"/>
        </w:rPr>
        <w:t> </w:t>
      </w:r>
      <w:r>
        <w:rPr>
          <w:rFonts w:ascii="宋体" w:hAnsi="宋体" w:cs="宋体" w:eastAsia="宋体" w:hint="default"/>
          <w:b/>
          <w:bCs/>
        </w:rPr>
        <w:t>重大风险提示</w:t>
      </w:r>
      <w:r>
        <w:rPr>
          <w:rFonts w:ascii="宋体" w:hAnsi="宋体" w:cs="宋体" w:eastAsia="宋体" w:hint="default"/>
          <w:b/>
          <w:bCs/>
          <w:w w:val="99"/>
        </w:rPr>
        <w:t> </w:t>
      </w:r>
      <w:r>
        <w:rPr/>
        <w:t>公司已在本报告中描述了存在的风险事项，敬请查阅第四节董事会报告中关于公司未来发展的讨 论与分析中可能面对的风险部分的内容。</w:t>
      </w:r>
    </w:p>
    <w:p>
      <w:pPr>
        <w:spacing w:after="0" w:line="331" w:lineRule="auto"/>
        <w:jc w:val="left"/>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9" w:id="2"/>
      <w:r>
        <w:rPr>
          <w:w w:val="95"/>
        </w:rPr>
        <w:t>第二节</w:t>
        <w:tab/>
      </w:r>
      <w:r>
        <w:rPr/>
        <w:t>公司简介</w:t>
      </w:r>
      <w:bookmarkEnd w:id="2"/>
      <w:r>
        <w:rPr>
          <w:b w:val="0"/>
          <w:bCs w:val="0"/>
        </w:rPr>
      </w:r>
    </w:p>
    <w:p>
      <w:pPr>
        <w:spacing w:line="240" w:lineRule="auto" w:before="5"/>
        <w:rPr>
          <w:rFonts w:ascii="黑体" w:hAnsi="黑体" w:cs="黑体" w:eastAsia="黑体" w:hint="default"/>
          <w:b/>
          <w:bCs/>
          <w:sz w:val="16"/>
          <w:szCs w:val="16"/>
        </w:rPr>
      </w:pPr>
    </w:p>
    <w:p>
      <w:pPr>
        <w:pStyle w:val="Heading3"/>
        <w:spacing w:line="240" w:lineRule="auto"/>
        <w:ind w:right="228"/>
        <w:jc w:val="left"/>
        <w:rPr>
          <w:b w:val="0"/>
          <w:bCs w:val="0"/>
        </w:rPr>
      </w:pPr>
      <w:r>
        <w:rPr/>
        <w:t>一、</w:t>
      </w:r>
      <w:r>
        <w:rPr>
          <w:spacing w:val="39"/>
        </w:rPr>
        <w:t> </w:t>
      </w:r>
      <w:r>
        <w:rPr/>
        <w:t>公司信息</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3858"/>
        <w:gridCol w:w="5036"/>
      </w:tblGrid>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广西慧球科技股份有限公司</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慧球科技</w:t>
            </w:r>
          </w:p>
        </w:tc>
      </w:tr>
      <w:tr>
        <w:trPr>
          <w:trHeight w:val="302"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GUANGXI FUTURE TECHNOLOGY</w:t>
            </w:r>
            <w:r>
              <w:rPr>
                <w:rFonts w:ascii="宋体"/>
                <w:spacing w:val="-2"/>
                <w:sz w:val="21"/>
              </w:rPr>
              <w:t> </w:t>
            </w:r>
            <w:r>
              <w:rPr>
                <w:rFonts w:ascii="宋体"/>
                <w:sz w:val="21"/>
              </w:rPr>
              <w:t>CO.,LTD.</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FUTURE TECHNOLOGY</w:t>
            </w:r>
          </w:p>
        </w:tc>
      </w:tr>
      <w:tr>
        <w:trPr>
          <w:trHeight w:val="304" w:hRule="exact"/>
        </w:trPr>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顾国平</w:t>
            </w:r>
          </w:p>
        </w:tc>
      </w:tr>
    </w:tbl>
    <w:p>
      <w:pPr>
        <w:spacing w:line="240" w:lineRule="auto" w:before="12"/>
        <w:rPr>
          <w:rFonts w:ascii="宋体" w:hAnsi="宋体" w:cs="宋体" w:eastAsia="宋体" w:hint="default"/>
          <w:b/>
          <w:bCs/>
          <w:sz w:val="19"/>
          <w:szCs w:val="19"/>
        </w:rPr>
      </w:pPr>
    </w:p>
    <w:p>
      <w:pPr>
        <w:pStyle w:val="Heading3"/>
        <w:spacing w:line="240" w:lineRule="auto"/>
        <w:ind w:right="228"/>
        <w:jc w:val="left"/>
        <w:rPr>
          <w:b w:val="0"/>
          <w:bCs w:val="0"/>
        </w:rPr>
      </w:pPr>
      <w:r>
        <w:rPr/>
        <w:t>二、</w:t>
      </w:r>
      <w:r>
        <w:rPr>
          <w:spacing w:val="36"/>
        </w:rPr>
        <w:t> </w:t>
      </w:r>
      <w:r>
        <w:rPr/>
        <w:t>联系人和联系方式</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2963"/>
        <w:gridCol w:w="2966"/>
        <w:gridCol w:w="2966"/>
      </w:tblGrid>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苏忠</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陈琳</w:t>
            </w:r>
          </w:p>
        </w:tc>
      </w:tr>
      <w:tr>
        <w:trPr>
          <w:trHeight w:val="55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r>
        <w:trPr>
          <w:trHeight w:val="283"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0779-2228937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sz w:val="21"/>
              </w:rPr>
              <w:t>0779-2228937</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0779-2228936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0779-2228936</w:t>
            </w:r>
          </w:p>
        </w:tc>
      </w:tr>
      <w:tr>
        <w:trPr>
          <w:trHeight w:val="282"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bsyy_bh@163.net</w:t>
              </w:r>
            </w:hyperlink>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bsyy_bh@163.net</w:t>
              </w:r>
            </w:hyperlink>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三、</w:t>
      </w:r>
      <w:r>
        <w:rPr>
          <w:spacing w:val="-35"/>
        </w:rPr>
        <w:t> </w:t>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283"/>
        <w:gridCol w:w="4611"/>
      </w:tblGrid>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广西北海市北海大道</w:t>
            </w:r>
            <w:r>
              <w:rPr>
                <w:rFonts w:ascii="宋体" w:hAnsi="宋体" w:cs="宋体" w:eastAsia="宋体" w:hint="default"/>
                <w:sz w:val="21"/>
                <w:szCs w:val="21"/>
              </w:rPr>
              <w:t>168</w:t>
            </w:r>
            <w:r>
              <w:rPr>
                <w:rFonts w:ascii="宋体" w:hAnsi="宋体" w:cs="宋体" w:eastAsia="宋体" w:hint="default"/>
                <w:sz w:val="21"/>
                <w:szCs w:val="21"/>
              </w:rPr>
              <w:t>号</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536000</w:t>
            </w:r>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广西北海市北海大道西</w:t>
            </w:r>
            <w:r>
              <w:rPr>
                <w:rFonts w:ascii="宋体" w:hAnsi="宋体" w:cs="宋体" w:eastAsia="宋体" w:hint="default"/>
                <w:sz w:val="21"/>
                <w:szCs w:val="21"/>
              </w:rPr>
              <w:t>16</w:t>
            </w:r>
            <w:r>
              <w:rPr>
                <w:rFonts w:ascii="宋体" w:hAnsi="宋体" w:cs="宋体" w:eastAsia="宋体" w:hint="default"/>
                <w:sz w:val="21"/>
                <w:szCs w:val="21"/>
              </w:rPr>
              <w:t>号海富大厦</w:t>
            </w:r>
            <w:r>
              <w:rPr>
                <w:rFonts w:ascii="宋体" w:hAnsi="宋体" w:cs="宋体" w:eastAsia="宋体" w:hint="default"/>
                <w:sz w:val="21"/>
                <w:szCs w:val="21"/>
              </w:rPr>
              <w:t>17</w:t>
            </w:r>
            <w:r>
              <w:rPr>
                <w:rFonts w:ascii="宋体" w:hAnsi="宋体" w:cs="宋体" w:eastAsia="宋体" w:hint="default"/>
                <w:sz w:val="21"/>
                <w:szCs w:val="21"/>
              </w:rPr>
              <w:t>层</w:t>
            </w:r>
            <w:r>
              <w:rPr>
                <w:rFonts w:ascii="宋体" w:hAnsi="宋体" w:cs="宋体" w:eastAsia="宋体" w:hint="default"/>
                <w:sz w:val="21"/>
                <w:szCs w:val="21"/>
              </w:rPr>
              <w:t>D</w:t>
            </w:r>
            <w:r>
              <w:rPr>
                <w:rFonts w:ascii="宋体" w:hAnsi="宋体" w:cs="宋体" w:eastAsia="宋体" w:hint="default"/>
                <w:sz w:val="21"/>
                <w:szCs w:val="21"/>
              </w:rPr>
              <w:t>座</w:t>
            </w:r>
          </w:p>
        </w:tc>
      </w:tr>
      <w:tr>
        <w:trPr>
          <w:trHeight w:val="303"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sz w:val="21"/>
              </w:rPr>
              <w:t>536000</w:t>
            </w:r>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hyperlink r:id="rId8">
              <w:r>
                <w:rPr>
                  <w:rFonts w:ascii="宋体"/>
                  <w:sz w:val="21"/>
                </w:rPr>
                <w:t>http://www.bsyy.com.cn</w:t>
              </w:r>
            </w:hyperlink>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7">
              <w:r>
                <w:rPr>
                  <w:rFonts w:ascii="宋体"/>
                  <w:sz w:val="21"/>
                </w:rPr>
                <w:t>bsyy_bh@163.net</w:t>
              </w:r>
            </w:hyperlink>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四、</w:t>
      </w:r>
      <w:r>
        <w:rPr>
          <w:spacing w:val="-35"/>
        </w:rPr>
        <w:t> </w:t>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4283"/>
        <w:gridCol w:w="4611"/>
      </w:tblGrid>
      <w:tr>
        <w:trPr>
          <w:trHeight w:val="55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5" w:right="-45"/>
              <w:jc w:val="left"/>
              <w:rPr>
                <w:rFonts w:ascii="宋体" w:hAnsi="宋体" w:cs="宋体" w:eastAsia="宋体" w:hint="default"/>
                <w:sz w:val="21"/>
                <w:szCs w:val="21"/>
              </w:rPr>
            </w:pPr>
            <w:r>
              <w:rPr>
                <w:rFonts w:ascii="宋体" w:hAnsi="宋体" w:cs="宋体" w:eastAsia="宋体" w:hint="default"/>
                <w:sz w:val="21"/>
                <w:szCs w:val="21"/>
              </w:rPr>
              <w:t>《中国证券报》、《上海证券报》、《证券时报》</w:t>
            </w:r>
          </w:p>
          <w:p>
            <w:pPr>
              <w:pStyle w:val="TableParagraph"/>
              <w:spacing w:line="274" w:lineRule="exact"/>
              <w:ind w:left="25" w:right="0"/>
              <w:jc w:val="left"/>
              <w:rPr>
                <w:rFonts w:ascii="宋体" w:hAnsi="宋体" w:cs="宋体" w:eastAsia="宋体" w:hint="default"/>
                <w:sz w:val="21"/>
                <w:szCs w:val="21"/>
              </w:rPr>
            </w:pPr>
            <w:r>
              <w:rPr>
                <w:rFonts w:ascii="宋体" w:hAnsi="宋体" w:cs="宋体" w:eastAsia="宋体" w:hint="default"/>
                <w:sz w:val="21"/>
                <w:szCs w:val="21"/>
              </w:rPr>
              <w:t>《证券日报》</w:t>
            </w:r>
          </w:p>
        </w:tc>
      </w:tr>
      <w:tr>
        <w:trPr>
          <w:trHeight w:val="302"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hyperlink r:id="rId9">
              <w:r>
                <w:rPr>
                  <w:rFonts w:ascii="宋体"/>
                  <w:sz w:val="21"/>
                </w:rPr>
                <w:t>http://www.sse.com.cn</w:t>
              </w:r>
            </w:hyperlink>
          </w:p>
        </w:tc>
      </w:tr>
      <w:tr>
        <w:trPr>
          <w:trHeight w:val="304" w:hRule="exact"/>
        </w:trPr>
        <w:tc>
          <w:tcPr>
            <w:tcW w:w="4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五、</w:t>
      </w:r>
      <w:r>
        <w:rPr>
          <w:spacing w:val="36"/>
        </w:rPr>
        <w:t> </w:t>
      </w:r>
      <w:r>
        <w:rPr/>
        <w:t>公司股票简况</w:t>
      </w:r>
      <w:r>
        <w:rPr>
          <w:b w:val="0"/>
          <w:bCs w:val="0"/>
        </w:rPr>
      </w:r>
    </w:p>
    <w:p>
      <w:pPr>
        <w:spacing w:line="240" w:lineRule="auto" w:before="1"/>
        <w:rPr>
          <w:rFonts w:ascii="宋体" w:hAnsi="宋体" w:cs="宋体" w:eastAsia="宋体" w:hint="default"/>
          <w:b/>
          <w:bCs/>
          <w:sz w:val="7"/>
          <w:szCs w:val="7"/>
        </w:rPr>
      </w:pPr>
    </w:p>
    <w:tbl>
      <w:tblPr>
        <w:tblW w:w="0" w:type="auto"/>
        <w:jc w:val="left"/>
        <w:tblInd w:w="183" w:type="dxa"/>
        <w:tblLayout w:type="fixed"/>
        <w:tblCellMar>
          <w:top w:w="0" w:type="dxa"/>
          <w:left w:w="0" w:type="dxa"/>
          <w:bottom w:w="0" w:type="dxa"/>
          <w:right w:w="0" w:type="dxa"/>
        </w:tblCellMar>
        <w:tblLook w:val="01E0"/>
      </w:tblPr>
      <w:tblGrid>
        <w:gridCol w:w="1778"/>
        <w:gridCol w:w="1778"/>
        <w:gridCol w:w="1780"/>
        <w:gridCol w:w="1779"/>
        <w:gridCol w:w="1780"/>
      </w:tblGrid>
      <w:tr>
        <w:trPr>
          <w:trHeight w:val="304" w:hRule="exact"/>
        </w:trPr>
        <w:tc>
          <w:tcPr>
            <w:tcW w:w="889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0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04"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p>
        </w:tc>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慧球科技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sz w:val="21"/>
              </w:rPr>
              <w:t>600556</w:t>
            </w:r>
          </w:p>
        </w:tc>
        <w:tc>
          <w:tcPr>
            <w:tcW w:w="1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5" w:right="0"/>
              <w:jc w:val="left"/>
              <w:rPr>
                <w:rFonts w:ascii="宋体" w:hAnsi="宋体" w:cs="宋体" w:eastAsia="宋体" w:hint="default"/>
                <w:sz w:val="21"/>
                <w:szCs w:val="21"/>
              </w:rPr>
            </w:pPr>
            <w:r>
              <w:rPr>
                <w:rFonts w:ascii="宋体" w:hAnsi="宋体" w:cs="宋体" w:eastAsia="宋体" w:hint="default"/>
                <w:sz w:val="21"/>
                <w:szCs w:val="21"/>
              </w:rPr>
              <w:t>北生药业</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t>六、</w:t>
      </w:r>
      <w:r>
        <w:rPr>
          <w:spacing w:val="-34"/>
        </w:rPr>
        <w:t> </w:t>
      </w:r>
      <w:r>
        <w:rPr/>
        <w:t>公司报告期内注册变更情况</w:t>
      </w:r>
      <w:r>
        <w:rPr>
          <w:b w:val="0"/>
          <w:bCs w:val="0"/>
        </w:rPr>
      </w:r>
    </w:p>
    <w:p>
      <w:pPr>
        <w:pStyle w:val="Heading3"/>
        <w:spacing w:line="240" w:lineRule="auto" w:before="57"/>
        <w:ind w:right="228"/>
        <w:jc w:val="left"/>
        <w:rPr>
          <w:b w:val="0"/>
          <w:bCs w:val="0"/>
        </w:rPr>
      </w:pPr>
      <w:r>
        <w:rPr>
          <w:spacing w:val="2"/>
        </w:rPr>
        <w:t>（一）基本情况</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928"/>
        <w:gridCol w:w="5122"/>
      </w:tblGrid>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北海市工商行政管理局</w:t>
            </w:r>
          </w:p>
        </w:tc>
      </w:tr>
      <w:tr>
        <w:trPr>
          <w:trHeight w:val="283"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left"/>
              <w:rPr>
                <w:rFonts w:ascii="宋体" w:hAnsi="宋体" w:cs="宋体" w:eastAsia="宋体" w:hint="default"/>
                <w:sz w:val="21"/>
                <w:szCs w:val="21"/>
              </w:rPr>
            </w:pPr>
            <w:r>
              <w:rPr>
                <w:rFonts w:ascii="宋体"/>
                <w:sz w:val="21"/>
              </w:rPr>
              <w:t>450500000000938</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45050271146694X</w:t>
            </w:r>
          </w:p>
        </w:tc>
      </w:tr>
      <w:tr>
        <w:trPr>
          <w:trHeight w:val="282" w:hRule="exact"/>
        </w:trPr>
        <w:tc>
          <w:tcPr>
            <w:tcW w:w="39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5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71146694-X</w:t>
            </w:r>
          </w:p>
        </w:tc>
      </w:tr>
    </w:tbl>
    <w:p>
      <w:pPr>
        <w:spacing w:after="0" w:line="240" w:lineRule="exact"/>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4"/>
        <w:rPr>
          <w:rFonts w:ascii="宋体" w:hAnsi="宋体" w:cs="宋体" w:eastAsia="宋体" w:hint="default"/>
          <w:b/>
          <w:bCs/>
          <w:sz w:val="25"/>
          <w:szCs w:val="25"/>
        </w:rPr>
      </w:pPr>
    </w:p>
    <w:p>
      <w:pPr>
        <w:spacing w:line="290" w:lineRule="auto" w:before="35"/>
        <w:ind w:left="218" w:right="3906" w:firstLine="0"/>
        <w:jc w:val="left"/>
        <w:rPr>
          <w:rFonts w:ascii="宋体" w:hAnsi="宋体" w:cs="宋体" w:eastAsia="宋体" w:hint="default"/>
          <w:sz w:val="21"/>
          <w:szCs w:val="21"/>
        </w:rPr>
      </w:pPr>
      <w:r>
        <w:rPr>
          <w:rFonts w:ascii="宋体" w:hAnsi="宋体" w:cs="宋体" w:eastAsia="宋体" w:hint="default"/>
          <w:b/>
          <w:bCs/>
          <w:sz w:val="21"/>
          <w:szCs w:val="21"/>
        </w:rPr>
        <w:t>（二）公司首次注册情况的相关查询索引</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公司首次注册情况详见</w:t>
      </w:r>
      <w:r>
        <w:rPr>
          <w:rFonts w:ascii="宋体" w:hAnsi="宋体" w:cs="宋体" w:eastAsia="宋体" w:hint="default"/>
          <w:spacing w:val="-54"/>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年年度报告公司基本情况。</w:t>
      </w:r>
    </w:p>
    <w:p>
      <w:pPr>
        <w:spacing w:line="240" w:lineRule="auto" w:before="0"/>
        <w:rPr>
          <w:rFonts w:ascii="宋体" w:hAnsi="宋体" w:cs="宋体" w:eastAsia="宋体" w:hint="default"/>
          <w:sz w:val="20"/>
          <w:szCs w:val="20"/>
        </w:rPr>
      </w:pPr>
    </w:p>
    <w:p>
      <w:pPr>
        <w:pStyle w:val="Heading3"/>
        <w:spacing w:line="240" w:lineRule="auto" w:before="159"/>
        <w:ind w:right="228"/>
        <w:jc w:val="left"/>
        <w:rPr>
          <w:b w:val="0"/>
          <w:bCs w:val="0"/>
        </w:rPr>
      </w:pPr>
      <w:r>
        <w:rPr/>
        <w:t>（三）公司上市以来，主营业务的变化情况</w:t>
      </w:r>
      <w:r>
        <w:rPr>
          <w:b w:val="0"/>
          <w:bCs w:val="0"/>
        </w:rPr>
      </w:r>
    </w:p>
    <w:p>
      <w:pPr>
        <w:pStyle w:val="BodyText"/>
        <w:spacing w:line="357" w:lineRule="auto" w:before="58"/>
        <w:ind w:left="218" w:right="226"/>
        <w:jc w:val="left"/>
      </w:pPr>
      <w:r>
        <w:rPr>
          <w:rFonts w:ascii="宋体" w:hAnsi="宋体" w:cs="宋体" w:eastAsia="宋体" w:hint="default"/>
        </w:rPr>
        <w:t>2001</w:t>
      </w:r>
      <w:r>
        <w:rPr>
          <w:rFonts w:ascii="宋体" w:hAnsi="宋体" w:cs="宋体" w:eastAsia="宋体" w:hint="default"/>
          <w:spacing w:val="-23"/>
        </w:rPr>
        <w:t> </w:t>
      </w:r>
      <w:r>
        <w:rPr>
          <w:spacing w:val="-2"/>
        </w:rPr>
        <w:t>年，公司在上海证券交易所上市，主营业务为：血液制品、生化制药、人体组织工程材料的</w:t>
      </w:r>
      <w:r>
        <w:rPr>
          <w:spacing w:val="-100"/>
        </w:rPr>
        <w:t> </w:t>
      </w:r>
      <w:r>
        <w:rPr>
          <w:spacing w:val="-100"/>
        </w:rPr>
      </w:r>
      <w:r>
        <w:rPr/>
        <w:t>生产和销售；</w:t>
      </w:r>
    </w:p>
    <w:p>
      <w:pPr>
        <w:pStyle w:val="BodyText"/>
        <w:spacing w:line="355" w:lineRule="auto" w:before="30"/>
        <w:ind w:left="218" w:right="224"/>
        <w:jc w:val="left"/>
      </w:pPr>
      <w:r>
        <w:rPr>
          <w:rFonts w:ascii="宋体" w:hAnsi="宋体" w:cs="宋体" w:eastAsia="宋体" w:hint="default"/>
        </w:rPr>
        <w:t>2002</w:t>
      </w:r>
      <w:r>
        <w:rPr>
          <w:rFonts w:ascii="宋体" w:hAnsi="宋体" w:cs="宋体" w:eastAsia="宋体" w:hint="default"/>
          <w:spacing w:val="-21"/>
        </w:rPr>
        <w:t> </w:t>
      </w:r>
      <w:r>
        <w:rPr>
          <w:spacing w:val="-2"/>
        </w:rPr>
        <w:t>年，公司的主营业务变更为：血液制品、生化制药、人体组织工程材料、中西成药的生产和</w:t>
      </w:r>
      <w:r>
        <w:rPr>
          <w:spacing w:val="-101"/>
        </w:rPr>
        <w:t> </w:t>
      </w:r>
      <w:r>
        <w:rPr>
          <w:spacing w:val="-101"/>
        </w:rPr>
      </w:r>
      <w:r>
        <w:rPr/>
        <w:t>销售；</w:t>
      </w:r>
    </w:p>
    <w:p>
      <w:pPr>
        <w:pStyle w:val="BodyText"/>
        <w:spacing w:line="355" w:lineRule="auto" w:before="33"/>
        <w:ind w:left="218" w:right="227"/>
        <w:jc w:val="left"/>
      </w:pPr>
      <w:r>
        <w:rPr>
          <w:rFonts w:ascii="宋体" w:hAnsi="宋体" w:cs="宋体" w:eastAsia="宋体" w:hint="default"/>
        </w:rPr>
        <w:t>2010</w:t>
      </w:r>
      <w:r>
        <w:rPr>
          <w:rFonts w:ascii="宋体" w:hAnsi="宋体" w:cs="宋体" w:eastAsia="宋体" w:hint="default"/>
          <w:spacing w:val="-24"/>
        </w:rPr>
        <w:t> </w:t>
      </w:r>
      <w:r>
        <w:rPr>
          <w:spacing w:val="-2"/>
        </w:rPr>
        <w:t>年，公司在《重整计划》实施完毕后，已无任何经营性资产，公司的各项生产经营处于全面</w:t>
      </w:r>
      <w:r>
        <w:rPr>
          <w:spacing w:val="-100"/>
        </w:rPr>
        <w:t> </w:t>
      </w:r>
      <w:r>
        <w:rPr>
          <w:spacing w:val="-100"/>
        </w:rPr>
      </w:r>
      <w:r>
        <w:rPr/>
        <w:t>停顿状态；</w:t>
      </w:r>
    </w:p>
    <w:p>
      <w:pPr>
        <w:pStyle w:val="BodyText"/>
        <w:spacing w:line="355" w:lineRule="auto" w:before="33"/>
        <w:ind w:left="218" w:right="220"/>
        <w:jc w:val="left"/>
      </w:pPr>
      <w:r>
        <w:rPr>
          <w:rFonts w:ascii="宋体" w:hAnsi="宋体" w:cs="宋体" w:eastAsia="宋体" w:hint="default"/>
        </w:rPr>
        <w:t>2011 </w:t>
      </w:r>
      <w:r>
        <w:rPr>
          <w:spacing w:val="-3"/>
        </w:rPr>
        <w:t>年，公司受托管理浙江郡原房地产投资有限公司全资子公司杭州郡原物业服务有限公司</w:t>
      </w:r>
      <w:r>
        <w:rPr>
          <w:spacing w:val="-84"/>
        </w:rPr>
        <w:t> </w:t>
      </w:r>
      <w:r>
        <w:rPr>
          <w:rFonts w:ascii="宋体" w:hAnsi="宋体" w:cs="宋体" w:eastAsia="宋体" w:hint="default"/>
          <w:spacing w:val="-1"/>
        </w:rPr>
        <w:t>100%</w:t>
      </w:r>
      <w:r>
        <w:rPr>
          <w:rFonts w:ascii="宋体" w:hAnsi="宋体" w:cs="宋体" w:eastAsia="宋体" w:hint="default"/>
        </w:rPr>
        <w:t> </w:t>
      </w:r>
      <w:r>
        <w:rPr/>
        <w:t>股权，公司的主营业务变更为：物业资产的托管服务；</w:t>
      </w:r>
    </w:p>
    <w:p>
      <w:pPr>
        <w:pStyle w:val="BodyText"/>
        <w:spacing w:line="355" w:lineRule="auto" w:before="33"/>
        <w:ind w:left="218" w:right="221"/>
        <w:jc w:val="left"/>
      </w:pPr>
      <w:r>
        <w:rPr>
          <w:rFonts w:ascii="宋体" w:hAnsi="宋体" w:cs="宋体" w:eastAsia="宋体" w:hint="default"/>
        </w:rPr>
        <w:t>2013</w:t>
      </w:r>
      <w:r>
        <w:rPr>
          <w:rFonts w:ascii="宋体" w:hAnsi="宋体" w:cs="宋体" w:eastAsia="宋体" w:hint="default"/>
          <w:spacing w:val="-18"/>
        </w:rPr>
        <w:t> </w:t>
      </w:r>
      <w:r>
        <w:rPr>
          <w:spacing w:val="-2"/>
        </w:rPr>
        <w:t>年，公司接受浙江郡原地产股份有限公司不附加任何条件的无偿赠予其持有的杭州郡原物业</w:t>
      </w:r>
      <w:r>
        <w:rPr>
          <w:spacing w:val="-101"/>
        </w:rPr>
        <w:t> </w:t>
      </w:r>
      <w:r>
        <w:rPr>
          <w:spacing w:val="-101"/>
        </w:rPr>
      </w:r>
      <w:r>
        <w:rPr/>
        <w:t>服务有限公司</w:t>
      </w:r>
      <w:r>
        <w:rPr>
          <w:spacing w:val="-55"/>
        </w:rPr>
        <w:t> </w:t>
      </w:r>
      <w:r>
        <w:rPr>
          <w:rFonts w:ascii="宋体" w:hAnsi="宋体" w:cs="宋体" w:eastAsia="宋体" w:hint="default"/>
        </w:rPr>
        <w:t>100%</w:t>
      </w:r>
      <w:r>
        <w:rPr/>
        <w:t>股权，公司的主营业务变更为：物业管理服务；</w:t>
      </w:r>
    </w:p>
    <w:p>
      <w:pPr>
        <w:pStyle w:val="BodyText"/>
        <w:spacing w:line="357" w:lineRule="auto" w:before="32"/>
        <w:ind w:left="218" w:right="224"/>
        <w:jc w:val="left"/>
      </w:pPr>
      <w:r>
        <w:rPr>
          <w:rFonts w:ascii="宋体" w:hAnsi="宋体" w:cs="宋体" w:eastAsia="宋体" w:hint="default"/>
        </w:rPr>
        <w:t>2014</w:t>
      </w:r>
      <w:r>
        <w:rPr>
          <w:rFonts w:ascii="宋体" w:hAnsi="宋体" w:cs="宋体" w:eastAsia="宋体" w:hint="default"/>
          <w:spacing w:val="-60"/>
        </w:rPr>
        <w:t> </w:t>
      </w:r>
      <w:r>
        <w:rPr/>
        <w:t>年</w:t>
      </w:r>
      <w:r>
        <w:rPr>
          <w:spacing w:val="-62"/>
        </w:rPr>
        <w:t> </w:t>
      </w:r>
      <w:r>
        <w:rPr>
          <w:rFonts w:ascii="宋体" w:hAnsi="宋体" w:cs="宋体" w:eastAsia="宋体" w:hint="default"/>
        </w:rPr>
        <w:t>7</w:t>
      </w:r>
      <w:r>
        <w:rPr>
          <w:rFonts w:ascii="宋体" w:hAnsi="宋体" w:cs="宋体" w:eastAsia="宋体" w:hint="default"/>
          <w:spacing w:val="-60"/>
        </w:rPr>
        <w:t> </w:t>
      </w:r>
      <w:r>
        <w:rPr>
          <w:spacing w:val="-6"/>
        </w:rPr>
        <w:t>月，公司拟向顾国平等九名特定对象非公开发行股票，若本次非公开发行能够顺利实施，</w:t>
      </w:r>
      <w:r>
        <w:rPr/>
        <w:t> 则公司的主营业务将变更为智慧城市相关业务。</w:t>
      </w:r>
    </w:p>
    <w:p>
      <w:pPr>
        <w:spacing w:line="240" w:lineRule="auto" w:before="8"/>
        <w:rPr>
          <w:rFonts w:ascii="宋体" w:hAnsi="宋体" w:cs="宋体" w:eastAsia="宋体" w:hint="default"/>
          <w:sz w:val="27"/>
          <w:szCs w:val="27"/>
        </w:rPr>
      </w:pPr>
    </w:p>
    <w:p>
      <w:pPr>
        <w:pStyle w:val="Heading3"/>
        <w:spacing w:line="240" w:lineRule="auto" w:before="0"/>
        <w:ind w:right="228"/>
        <w:jc w:val="left"/>
        <w:rPr>
          <w:b w:val="0"/>
          <w:bCs w:val="0"/>
        </w:rPr>
      </w:pPr>
      <w:r>
        <w:rPr/>
        <w:t>（四）公司上市以来</w:t>
      </w:r>
      <w:r>
        <w:rPr>
          <w:rFonts w:ascii="Calibri" w:hAnsi="Calibri" w:cs="Calibri" w:eastAsia="Calibri" w:hint="default"/>
        </w:rPr>
        <w:t>,</w:t>
      </w:r>
      <w:r>
        <w:rPr/>
        <w:t>历次控股股东的变更情况</w:t>
      </w:r>
      <w:r>
        <w:rPr>
          <w:b w:val="0"/>
          <w:bCs w:val="0"/>
        </w:rPr>
      </w:r>
    </w:p>
    <w:p>
      <w:pPr>
        <w:pStyle w:val="BodyText"/>
        <w:spacing w:line="240" w:lineRule="auto" w:before="32"/>
        <w:ind w:left="218" w:right="228"/>
        <w:jc w:val="left"/>
      </w:pPr>
      <w:r>
        <w:rPr>
          <w:rFonts w:ascii="宋体" w:hAnsi="宋体" w:cs="宋体" w:eastAsia="宋体" w:hint="default"/>
        </w:rPr>
        <w:t>2001</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4"/>
        </w:rPr>
        <w:t> </w:t>
      </w:r>
      <w:r>
        <w:rPr/>
        <w:t>月</w:t>
      </w:r>
      <w:r>
        <w:rPr>
          <w:spacing w:val="-55"/>
        </w:rPr>
        <w:t> </w:t>
      </w:r>
      <w:r>
        <w:rPr>
          <w:rFonts w:ascii="宋体" w:hAnsi="宋体" w:cs="宋体" w:eastAsia="宋体" w:hint="default"/>
        </w:rPr>
        <w:t>7</w:t>
      </w:r>
      <w:r>
        <w:rPr>
          <w:rFonts w:ascii="宋体" w:hAnsi="宋体" w:cs="宋体" w:eastAsia="宋体" w:hint="default"/>
          <w:spacing w:val="-53"/>
        </w:rPr>
        <w:t> </w:t>
      </w:r>
      <w:r>
        <w:rPr/>
        <w:t>日，公司在上海证券交易所上市，控股股东为广西北生集团有限责任公司；</w:t>
      </w:r>
    </w:p>
    <w:p>
      <w:pPr>
        <w:pStyle w:val="BodyText"/>
        <w:spacing w:line="240" w:lineRule="auto" w:before="134"/>
        <w:ind w:left="218" w:right="86"/>
        <w:jc w:val="left"/>
      </w:pP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18</w:t>
      </w:r>
      <w:r>
        <w:rPr>
          <w:rFonts w:ascii="宋体" w:hAnsi="宋体" w:cs="宋体" w:eastAsia="宋体" w:hint="default"/>
          <w:spacing w:val="-50"/>
        </w:rPr>
        <w:t> </w:t>
      </w:r>
      <w:r>
        <w:rPr>
          <w:spacing w:val="-4"/>
        </w:rPr>
        <w:t>日，根据广西北海市中级人民法院（</w:t>
      </w:r>
      <w:r>
        <w:rPr>
          <w:rFonts w:ascii="宋体" w:hAnsi="宋体" w:cs="宋体" w:eastAsia="宋体" w:hint="default"/>
          <w:spacing w:val="-4"/>
        </w:rPr>
        <w:t>2010</w:t>
      </w:r>
      <w:r>
        <w:rPr>
          <w:spacing w:val="-4"/>
        </w:rPr>
        <w:t>）北执一查字</w:t>
      </w:r>
      <w:r>
        <w:rPr>
          <w:spacing w:val="-50"/>
        </w:rPr>
        <w:t> </w:t>
      </w:r>
      <w:r>
        <w:rPr>
          <w:rFonts w:ascii="宋体" w:hAnsi="宋体" w:cs="宋体" w:eastAsia="宋体" w:hint="default"/>
        </w:rPr>
        <w:t>28-20</w:t>
      </w:r>
      <w:r>
        <w:rPr>
          <w:rFonts w:ascii="宋体" w:hAnsi="宋体" w:cs="宋体" w:eastAsia="宋体" w:hint="default"/>
          <w:spacing w:val="-50"/>
        </w:rPr>
        <w:t> </w:t>
      </w:r>
      <w:r>
        <w:rPr>
          <w:spacing w:val="-7"/>
        </w:rPr>
        <w:t>号《执行裁定书》，</w:t>
      </w:r>
    </w:p>
    <w:p>
      <w:pPr>
        <w:pStyle w:val="BodyText"/>
        <w:spacing w:line="357" w:lineRule="auto" w:before="133"/>
        <w:ind w:left="218" w:right="228"/>
        <w:jc w:val="left"/>
      </w:pPr>
      <w:r>
        <w:rPr/>
        <w:t>将北生集团所持有的公司</w:t>
      </w:r>
      <w:r>
        <w:rPr>
          <w:spacing w:val="-54"/>
        </w:rPr>
        <w:t> </w:t>
      </w:r>
      <w:r>
        <w:rPr>
          <w:rFonts w:ascii="宋体" w:hAnsi="宋体" w:cs="宋体" w:eastAsia="宋体" w:hint="default"/>
        </w:rPr>
        <w:t>28,011,200</w:t>
      </w:r>
      <w:r>
        <w:rPr>
          <w:rFonts w:ascii="宋体" w:hAnsi="宋体" w:cs="宋体" w:eastAsia="宋体" w:hint="default"/>
          <w:spacing w:val="-53"/>
        </w:rPr>
        <w:t> </w:t>
      </w:r>
      <w:r>
        <w:rPr/>
        <w:t>股无限售流通股划转至北京瑞尔德嘉创业投资管理有限公 司，划转后，北生集团对公司已不具有实际控制力，同时公司前五大股东持股比例较为接近且均 占比较小，均无法依其持有的股份对应之表决权而对公司经营决策产生重大影响，因此，公司变 更为无控股股东亦无实际控制人。</w:t>
      </w:r>
    </w:p>
    <w:p>
      <w:pPr>
        <w:spacing w:line="240" w:lineRule="auto" w:before="9"/>
        <w:rPr>
          <w:rFonts w:ascii="宋体" w:hAnsi="宋体" w:cs="宋体" w:eastAsia="宋体" w:hint="default"/>
          <w:sz w:val="27"/>
          <w:szCs w:val="27"/>
        </w:rPr>
      </w:pPr>
    </w:p>
    <w:p>
      <w:pPr>
        <w:pStyle w:val="Heading3"/>
        <w:spacing w:line="240" w:lineRule="auto" w:before="0"/>
        <w:ind w:right="228"/>
        <w:jc w:val="left"/>
        <w:rPr>
          <w:b w:val="0"/>
          <w:bCs w:val="0"/>
        </w:rPr>
      </w:pPr>
      <w:r>
        <w:rPr/>
        <w:t>七、</w:t>
      </w:r>
      <w:r>
        <w:rPr>
          <w:spacing w:val="36"/>
        </w:rPr>
        <w:t> </w:t>
      </w:r>
      <w:r>
        <w:rPr/>
        <w:t>其他有关资料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951"/>
        <w:gridCol w:w="2836"/>
        <w:gridCol w:w="4263"/>
      </w:tblGrid>
      <w:tr>
        <w:trPr>
          <w:trHeight w:val="397"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319" w:lineRule="auto"/>
              <w:ind w:left="103" w:right="86"/>
              <w:jc w:val="left"/>
              <w:rPr>
                <w:rFonts w:ascii="宋体" w:hAnsi="宋体" w:cs="宋体" w:eastAsia="宋体" w:hint="default"/>
                <w:sz w:val="18"/>
                <w:szCs w:val="18"/>
              </w:rPr>
            </w:pPr>
            <w:r>
              <w:rPr>
                <w:rFonts w:ascii="宋体" w:hAnsi="宋体" w:cs="宋体" w:eastAsia="宋体" w:hint="default"/>
                <w:spacing w:val="14"/>
                <w:sz w:val="18"/>
                <w:szCs w:val="18"/>
              </w:rPr>
              <w:t>公司聘请的会计师事 </w:t>
            </w:r>
            <w:r>
              <w:rPr>
                <w:rFonts w:ascii="宋体" w:hAnsi="宋体" w:cs="宋体" w:eastAsia="宋体" w:hint="default"/>
                <w:sz w:val="18"/>
                <w:szCs w:val="18"/>
              </w:rPr>
              <w:t>务所（境内）</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397" w:hRule="exact"/>
        </w:trPr>
        <w:tc>
          <w:tcPr>
            <w:tcW w:w="1951" w:type="dxa"/>
            <w:vMerge/>
            <w:tcBorders>
              <w:left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北京市海淀区知春路一号学院国际大厦</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层</w:t>
            </w:r>
          </w:p>
        </w:tc>
      </w:tr>
      <w:tr>
        <w:trPr>
          <w:trHeight w:val="397" w:hRule="exact"/>
        </w:trPr>
        <w:tc>
          <w:tcPr>
            <w:tcW w:w="1951" w:type="dxa"/>
            <w:vMerge/>
            <w:tcBorders>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宁光美、樊娟华</w:t>
            </w:r>
          </w:p>
        </w:tc>
      </w:tr>
      <w:tr>
        <w:trPr>
          <w:trHeight w:val="396"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321" w:lineRule="auto"/>
              <w:ind w:left="103" w:right="86"/>
              <w:jc w:val="left"/>
              <w:rPr>
                <w:rFonts w:ascii="宋体" w:hAnsi="宋体" w:cs="宋体" w:eastAsia="宋体" w:hint="default"/>
                <w:sz w:val="18"/>
                <w:szCs w:val="18"/>
              </w:rPr>
            </w:pPr>
            <w:r>
              <w:rPr>
                <w:rFonts w:ascii="宋体" w:hAnsi="宋体" w:cs="宋体" w:eastAsia="宋体" w:hint="default"/>
                <w:spacing w:val="14"/>
                <w:sz w:val="18"/>
                <w:szCs w:val="18"/>
              </w:rPr>
              <w:t>报告期内履行持续督 </w:t>
            </w:r>
            <w:r>
              <w:rPr>
                <w:rFonts w:ascii="宋体" w:hAnsi="宋体" w:cs="宋体" w:eastAsia="宋体" w:hint="default"/>
                <w:sz w:val="18"/>
                <w:szCs w:val="18"/>
              </w:rPr>
              <w:t>导职责的保荐机构</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397" w:hRule="exact"/>
        </w:trPr>
        <w:tc>
          <w:tcPr>
            <w:tcW w:w="1951" w:type="dxa"/>
            <w:vMerge/>
            <w:tcBorders>
              <w:left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广州市天河北路</w:t>
            </w:r>
            <w:r>
              <w:rPr>
                <w:rFonts w:ascii="宋体" w:hAnsi="宋体" w:cs="宋体" w:eastAsia="宋体" w:hint="default"/>
                <w:spacing w:val="-46"/>
                <w:sz w:val="18"/>
                <w:szCs w:val="18"/>
              </w:rPr>
              <w:t> </w:t>
            </w:r>
            <w:r>
              <w:rPr>
                <w:rFonts w:ascii="宋体" w:hAnsi="宋体" w:cs="宋体" w:eastAsia="宋体" w:hint="default"/>
                <w:sz w:val="18"/>
                <w:szCs w:val="18"/>
              </w:rPr>
              <w:t>183</w:t>
            </w:r>
            <w:r>
              <w:rPr>
                <w:rFonts w:ascii="宋体" w:hAnsi="宋体" w:cs="宋体" w:eastAsia="宋体" w:hint="default"/>
                <w:spacing w:val="-46"/>
                <w:sz w:val="18"/>
                <w:szCs w:val="18"/>
              </w:rPr>
              <w:t> </w:t>
            </w:r>
            <w:r>
              <w:rPr>
                <w:rFonts w:ascii="宋体" w:hAnsi="宋体" w:cs="宋体" w:eastAsia="宋体" w:hint="default"/>
                <w:sz w:val="18"/>
                <w:szCs w:val="18"/>
              </w:rPr>
              <w:t>号大都会广场</w:t>
            </w:r>
          </w:p>
        </w:tc>
      </w:tr>
      <w:tr>
        <w:trPr>
          <w:trHeight w:val="397" w:hRule="exact"/>
        </w:trPr>
        <w:tc>
          <w:tcPr>
            <w:tcW w:w="1951" w:type="dxa"/>
            <w:vMerge/>
            <w:tcBorders>
              <w:left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签字的保荐代表人姓名</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朱煜起</w:t>
            </w:r>
          </w:p>
        </w:tc>
      </w:tr>
      <w:tr>
        <w:trPr>
          <w:trHeight w:val="399" w:hRule="exact"/>
        </w:trPr>
        <w:tc>
          <w:tcPr>
            <w:tcW w:w="1951" w:type="dxa"/>
            <w:vMerge/>
            <w:tcBorders>
              <w:left w:val="single" w:sz="4" w:space="0" w:color="000000"/>
              <w:bottom w:val="single" w:sz="4" w:space="0" w:color="000000"/>
              <w:right w:val="single" w:sz="4" w:space="0" w:color="000000"/>
            </w:tcBorders>
          </w:tcPr>
          <w:p>
            <w:pP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持续督导的期间</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2"/>
        <w:rPr>
          <w:rFonts w:ascii="宋体" w:hAnsi="宋体" w:cs="宋体" w:eastAsia="宋体" w:hint="default"/>
          <w:b/>
          <w:bCs/>
          <w:sz w:val="26"/>
          <w:szCs w:val="26"/>
        </w:rPr>
      </w:pPr>
    </w:p>
    <w:p>
      <w:pPr>
        <w:pStyle w:val="Heading1"/>
        <w:tabs>
          <w:tab w:pos="3718" w:val="left" w:leader="none"/>
        </w:tabs>
        <w:spacing w:line="240" w:lineRule="auto"/>
        <w:ind w:left="2458" w:right="228"/>
        <w:jc w:val="left"/>
        <w:rPr>
          <w:b w:val="0"/>
          <w:bCs w:val="0"/>
        </w:rPr>
      </w:pPr>
      <w:bookmarkStart w:name="_TOC_250008" w:id="3"/>
      <w:r>
        <w:rPr>
          <w:w w:val="95"/>
        </w:rPr>
        <w:t>第三节</w:t>
        <w:tab/>
      </w:r>
      <w:r>
        <w:rPr/>
        <w:t>会计数据和财务指标摘要</w:t>
      </w:r>
      <w:bookmarkEnd w:id="3"/>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2" w:footer="1194" w:top="1120" w:bottom="1380" w:left="1580" w:right="1040"/>
        </w:sectPr>
      </w:pPr>
    </w:p>
    <w:p>
      <w:pPr>
        <w:pStyle w:val="Heading3"/>
        <w:spacing w:line="240" w:lineRule="auto"/>
        <w:ind w:right="-18"/>
        <w:jc w:val="left"/>
        <w:rPr>
          <w:b w:val="0"/>
          <w:bCs w:val="0"/>
        </w:rPr>
      </w:pPr>
      <w:r>
        <w:rPr/>
        <w:t>一、</w:t>
      </w:r>
      <w:r>
        <w:rPr>
          <w:spacing w:val="-36"/>
        </w:rPr>
        <w:t> </w:t>
      </w:r>
      <w:r>
        <w:rPr/>
        <w:t>报告期末公司近三年主要会计数据和财务指标</w:t>
      </w:r>
      <w:r>
        <w:rPr>
          <w:b w:val="0"/>
          <w:bCs w:val="0"/>
        </w:rPr>
      </w:r>
    </w:p>
    <w:p>
      <w:pPr>
        <w:pStyle w:val="Heading3"/>
        <w:spacing w:line="240" w:lineRule="auto" w:before="57"/>
        <w:ind w:right="-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主要会计数据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7"/>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4929" w:space="159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62"/>
        <w:gridCol w:w="1702"/>
        <w:gridCol w:w="1559"/>
        <w:gridCol w:w="1558"/>
        <w:gridCol w:w="1570"/>
      </w:tblGrid>
      <w:tr>
        <w:trPr>
          <w:trHeight w:val="61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786"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457" w:right="143" w:hanging="315"/>
              <w:jc w:val="left"/>
              <w:rPr>
                <w:rFonts w:ascii="宋体" w:hAnsi="宋体" w:cs="宋体" w:eastAsia="宋体" w:hint="default"/>
                <w:sz w:val="18"/>
                <w:szCs w:val="18"/>
              </w:rPr>
            </w:pPr>
            <w:r>
              <w:rPr>
                <w:rFonts w:ascii="宋体" w:hAnsi="宋体" w:cs="宋体" w:eastAsia="宋体" w:hint="default"/>
                <w:sz w:val="18"/>
                <w:szCs w:val="18"/>
              </w:rPr>
              <w:t>本期比上年同期 增减</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33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47,368,751.54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42,540,125.62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11.35</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6,465,272.92</w:t>
            </w:r>
          </w:p>
        </w:tc>
      </w:tr>
      <w:tr>
        <w:trPr>
          <w:trHeight w:val="33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606,772.02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32,644,800.98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-98.14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10,714,162.50</w:t>
            </w:r>
          </w:p>
        </w:tc>
      </w:tr>
      <w:tr>
        <w:trPr>
          <w:trHeight w:val="619"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03"/>
              <w:jc w:val="left"/>
              <w:rPr>
                <w:rFonts w:ascii="宋体" w:hAnsi="宋体" w:cs="宋体" w:eastAsia="宋体" w:hint="default"/>
                <w:sz w:val="18"/>
                <w:szCs w:val="18"/>
              </w:rPr>
            </w:pPr>
            <w:r>
              <w:rPr>
                <w:rFonts w:ascii="宋体" w:hAnsi="宋体" w:cs="宋体" w:eastAsia="宋体" w:hint="default"/>
                <w:spacing w:val="7"/>
                <w:sz w:val="18"/>
                <w:szCs w:val="18"/>
              </w:rPr>
              <w:t>归属于上市公司股东的扣除非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经常性损益的净利润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1,217,437.43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1,083,073.31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12.41</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-1,926,537.42</w:t>
            </w:r>
          </w:p>
        </w:tc>
      </w:tr>
      <w:tr>
        <w:trPr>
          <w:trHeight w:val="33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-2,521,865.90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5,929,507.48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-142.53</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1,263,640.65</w:t>
            </w:r>
          </w:p>
        </w:tc>
      </w:tr>
      <w:tr>
        <w:trPr>
          <w:trHeight w:val="619" w:hRule="exact"/>
        </w:trPr>
        <w:tc>
          <w:tcPr>
            <w:tcW w:w="2662"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年末</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1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年末</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87" w:right="143" w:hanging="45"/>
              <w:jc w:val="left"/>
              <w:rPr>
                <w:rFonts w:ascii="宋体" w:hAnsi="宋体" w:cs="宋体" w:eastAsia="宋体" w:hint="default"/>
                <w:sz w:val="18"/>
                <w:szCs w:val="18"/>
              </w:rPr>
            </w:pPr>
            <w:r>
              <w:rPr>
                <w:rFonts w:ascii="宋体" w:hAnsi="宋体" w:cs="宋体" w:eastAsia="宋体" w:hint="default"/>
                <w:sz w:val="18"/>
                <w:szCs w:val="18"/>
              </w:rPr>
              <w:t>本期末比上年同 期末增减（</w:t>
            </w:r>
            <w:r>
              <w:rPr>
                <w:rFonts w:ascii="宋体" w:hAnsi="宋体" w:cs="宋体" w:eastAsia="宋体" w:hint="default"/>
                <w:sz w:val="18"/>
                <w:szCs w:val="18"/>
              </w:rPr>
              <w:t>%</w:t>
            </w:r>
            <w:r>
              <w:rPr>
                <w:rFonts w:ascii="宋体" w:hAnsi="宋体" w:cs="宋体" w:eastAsia="宋体" w:hint="default"/>
                <w:sz w:val="18"/>
                <w:szCs w:val="18"/>
              </w:rPr>
              <w:t>）</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18"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年末</w:t>
            </w:r>
          </w:p>
        </w:tc>
      </w:tr>
      <w:tr>
        <w:trPr>
          <w:trHeight w:val="337"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1,981,964.37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1,375,192.35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44.12</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-30,469,608.63</w:t>
            </w:r>
          </w:p>
        </w:tc>
      </w:tr>
      <w:tr>
        <w:trPr>
          <w:trHeight w:val="338"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54,472,584.15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54,989,627.39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-0.94</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51,462,837.62</w:t>
            </w:r>
          </w:p>
        </w:tc>
      </w:tr>
    </w:tbl>
    <w:p>
      <w:pPr>
        <w:spacing w:line="240" w:lineRule="auto" w:before="0"/>
        <w:rPr>
          <w:rFonts w:ascii="宋体" w:hAnsi="宋体" w:cs="宋体" w:eastAsia="宋体" w:hint="default"/>
          <w:sz w:val="20"/>
          <w:szCs w:val="20"/>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3032"/>
        <w:gridCol w:w="1412"/>
        <w:gridCol w:w="1530"/>
        <w:gridCol w:w="1538"/>
        <w:gridCol w:w="1538"/>
      </w:tblGrid>
      <w:tr>
        <w:trPr>
          <w:trHeight w:val="61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71"/>
              <w:jc w:val="right"/>
              <w:rPr>
                <w:rFonts w:ascii="宋体" w:hAnsi="宋体" w:cs="宋体" w:eastAsia="宋体" w:hint="default"/>
                <w:sz w:val="18"/>
                <w:szCs w:val="18"/>
              </w:rPr>
            </w:pPr>
            <w:r>
              <w:rPr>
                <w:rFonts w:ascii="宋体" w:hAnsi="宋体" w:cs="宋体" w:eastAsia="宋体" w:hint="default"/>
                <w:sz w:val="18"/>
                <w:szCs w:val="18"/>
              </w:rPr>
              <w:t>主要财务指标</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29"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9"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447" w:right="132" w:hanging="315"/>
              <w:jc w:val="left"/>
              <w:rPr>
                <w:rFonts w:ascii="宋体" w:hAnsi="宋体" w:cs="宋体" w:eastAsia="宋体" w:hint="default"/>
                <w:sz w:val="18"/>
                <w:szCs w:val="18"/>
              </w:rPr>
            </w:pPr>
            <w:r>
              <w:rPr>
                <w:rFonts w:ascii="宋体" w:hAnsi="宋体" w:cs="宋体" w:eastAsia="宋体" w:hint="default"/>
                <w:sz w:val="18"/>
                <w:szCs w:val="18"/>
              </w:rPr>
              <w:t>本期比上年同期 增减</w:t>
            </w:r>
            <w:r>
              <w:rPr>
                <w:rFonts w:ascii="宋体" w:hAnsi="宋体" w:cs="宋体" w:eastAsia="宋体" w:hint="default"/>
                <w:sz w:val="18"/>
                <w:szCs w:val="18"/>
              </w:rPr>
              <w:t>(%)</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9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z w:val="18"/>
                <w:szCs w:val="18"/>
              </w:rPr>
              <w:t>年</w:t>
            </w:r>
          </w:p>
        </w:tc>
      </w:tr>
      <w:tr>
        <w:trPr>
          <w:trHeight w:val="33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37"/>
              <w:jc w:val="righ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0.002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0.083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-97.59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0.027</w:t>
            </w:r>
          </w:p>
        </w:tc>
      </w:tr>
      <w:tr>
        <w:trPr>
          <w:trHeight w:val="33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937"/>
              <w:jc w:val="right"/>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0.002</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0.083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-97.59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0.027</w:t>
            </w:r>
          </w:p>
        </w:tc>
      </w:tr>
      <w:tr>
        <w:trPr>
          <w:trHeight w:val="61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04"/>
              <w:jc w:val="left"/>
              <w:rPr>
                <w:rFonts w:ascii="宋体" w:hAnsi="宋体" w:cs="宋体" w:eastAsia="宋体" w:hint="default"/>
                <w:sz w:val="18"/>
                <w:szCs w:val="18"/>
              </w:rPr>
            </w:pPr>
            <w:r>
              <w:rPr>
                <w:rFonts w:ascii="宋体" w:hAnsi="宋体" w:cs="宋体" w:eastAsia="宋体" w:hint="default"/>
                <w:spacing w:val="7"/>
                <w:sz w:val="18"/>
                <w:szCs w:val="18"/>
              </w:rPr>
              <w:t>扣除非经常性损益后的基本每股收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益（元／股）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0.003</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0.003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-0.005</w:t>
            </w:r>
          </w:p>
        </w:tc>
      </w:tr>
    </w:tbl>
    <w:p>
      <w:pPr>
        <w:spacing w:line="240" w:lineRule="auto" w:before="6"/>
        <w:rPr>
          <w:rFonts w:ascii="宋体" w:hAnsi="宋体" w:cs="宋体" w:eastAsia="宋体" w:hint="default"/>
          <w:b/>
          <w:bCs/>
          <w:sz w:val="15"/>
          <w:szCs w:val="15"/>
        </w:rPr>
      </w:pPr>
    </w:p>
    <w:p>
      <w:pPr>
        <w:pStyle w:val="BodyText"/>
        <w:spacing w:line="240" w:lineRule="auto" w:before="35"/>
        <w:ind w:left="218" w:right="228"/>
        <w:jc w:val="left"/>
      </w:pPr>
      <w:r>
        <w:rPr/>
        <w:t>报告期末公司前三年主要会计数据和财务指标的说明</w:t>
      </w:r>
    </w:p>
    <w:p>
      <w:pPr>
        <w:pStyle w:val="BodyText"/>
        <w:spacing w:line="240" w:lineRule="auto" w:before="118"/>
        <w:ind w:left="218" w:right="86"/>
        <w:jc w:val="left"/>
      </w:pPr>
      <w:r>
        <w:rPr>
          <w:rFonts w:ascii="宋体" w:hAnsi="宋体" w:cs="宋体" w:eastAsia="宋体" w:hint="default"/>
        </w:rPr>
        <w:t>2013</w:t>
      </w:r>
      <w:r>
        <w:rPr>
          <w:rFonts w:ascii="宋体" w:hAnsi="宋体" w:cs="宋体" w:eastAsia="宋体" w:hint="default"/>
          <w:spacing w:val="-67"/>
        </w:rPr>
        <w:t> </w:t>
      </w:r>
      <w:r>
        <w:rPr/>
        <w:t>年度，公司归属于上市公司股东的净利润大幅上升至</w:t>
      </w:r>
      <w:r>
        <w:rPr>
          <w:spacing w:val="-67"/>
        </w:rPr>
        <w:t> </w:t>
      </w:r>
      <w:r>
        <w:rPr>
          <w:rFonts w:ascii="宋体" w:hAnsi="宋体" w:cs="宋体" w:eastAsia="宋体" w:hint="default"/>
        </w:rPr>
        <w:t>3264.48</w:t>
      </w:r>
      <w:r>
        <w:rPr>
          <w:rFonts w:ascii="宋体" w:hAnsi="宋体" w:cs="宋体" w:eastAsia="宋体" w:hint="default"/>
          <w:spacing w:val="-67"/>
        </w:rPr>
        <w:t> </w:t>
      </w:r>
      <w:r>
        <w:rPr/>
        <w:t>万元，主要原因是浙江郡原地</w:t>
      </w:r>
    </w:p>
    <w:p>
      <w:pPr>
        <w:pStyle w:val="BodyText"/>
        <w:spacing w:line="240" w:lineRule="auto" w:before="92"/>
        <w:ind w:left="218" w:right="228"/>
        <w:jc w:val="left"/>
      </w:pPr>
      <w:r>
        <w:rPr/>
        <w:t>产股份有限公司豁免公司对其负有之部分债务人民币</w:t>
      </w:r>
      <w:r>
        <w:rPr>
          <w:spacing w:val="-52"/>
        </w:rPr>
        <w:t> </w:t>
      </w:r>
      <w:r>
        <w:rPr>
          <w:rFonts w:ascii="宋体" w:hAnsi="宋体" w:cs="宋体" w:eastAsia="宋体" w:hint="default"/>
        </w:rPr>
        <w:t>3200</w:t>
      </w:r>
      <w:r>
        <w:rPr>
          <w:rFonts w:ascii="宋体" w:hAnsi="宋体" w:cs="宋体" w:eastAsia="宋体" w:hint="default"/>
          <w:spacing w:val="-54"/>
        </w:rPr>
        <w:t> </w:t>
      </w:r>
      <w:r>
        <w:rPr/>
        <w:t>万元。</w:t>
      </w:r>
    </w:p>
    <w:p>
      <w:pPr>
        <w:spacing w:line="240" w:lineRule="auto" w:before="9"/>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120" w:bottom="1380" w:left="1580" w:right="1040"/>
        </w:sectPr>
      </w:pPr>
    </w:p>
    <w:p>
      <w:pPr>
        <w:pStyle w:val="Heading3"/>
        <w:spacing w:line="240" w:lineRule="auto"/>
        <w:ind w:right="-19"/>
        <w:jc w:val="left"/>
        <w:rPr>
          <w:b w:val="0"/>
          <w:bCs w:val="0"/>
        </w:rPr>
      </w:pPr>
      <w:r>
        <w:rPr/>
        <w:t>二、</w:t>
      </w:r>
      <w:r>
        <w:rPr>
          <w:spacing w:val="35"/>
        </w:rPr>
        <w:t> </w:t>
      </w:r>
      <w:r>
        <w:rPr/>
        <w:t>非经常性损益项目和金额</w:t>
      </w:r>
      <w:r>
        <w:rPr>
          <w:b w:val="0"/>
          <w:bCs w:val="0"/>
        </w:rPr>
      </w:r>
    </w:p>
    <w:p>
      <w:pPr>
        <w:pStyle w:val="BodyText"/>
        <w:spacing w:line="240" w:lineRule="auto" w:before="57"/>
        <w:ind w:left="218" w:right="-19"/>
        <w:jc w:val="left"/>
      </w:pPr>
      <w:r>
        <w:rPr/>
        <w:t>√适用</w:t>
      </w:r>
      <w:r>
        <w:rPr>
          <w:spacing w:val="-2"/>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3101" w:space="3634"/>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4"/>
        <w:gridCol w:w="1278"/>
        <w:gridCol w:w="1133"/>
        <w:gridCol w:w="1418"/>
        <w:gridCol w:w="1428"/>
      </w:tblGrid>
      <w:tr>
        <w:trPr>
          <w:trHeight w:val="478"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171" w:right="0"/>
              <w:jc w:val="left"/>
              <w:rPr>
                <w:rFonts w:ascii="宋体" w:hAnsi="宋体" w:cs="宋体" w:eastAsia="宋体" w:hint="default"/>
                <w:sz w:val="18"/>
                <w:szCs w:val="18"/>
              </w:rPr>
            </w:pPr>
            <w:r>
              <w:rPr>
                <w:rFonts w:ascii="宋体" w:hAnsi="宋体" w:cs="宋体" w:eastAsia="宋体" w:hint="default"/>
                <w:sz w:val="18"/>
                <w:szCs w:val="18"/>
              </w:rPr>
              <w:t>非经常性损益项目</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60"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（如适用）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5"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r>
      <w:tr>
        <w:trPr>
          <w:trHeight w:val="396"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6,040.80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3"/>
              <w:ind w:left="103" w:right="101"/>
              <w:jc w:val="both"/>
              <w:rPr>
                <w:rFonts w:ascii="宋体" w:hAnsi="宋体" w:cs="宋体" w:eastAsia="宋体" w:hint="default"/>
                <w:sz w:val="18"/>
                <w:szCs w:val="18"/>
              </w:rPr>
            </w:pPr>
            <w:r>
              <w:rPr>
                <w:rFonts w:ascii="宋体" w:hAnsi="宋体" w:cs="宋体" w:eastAsia="宋体" w:hint="default"/>
                <w:spacing w:val="-2"/>
                <w:sz w:val="18"/>
                <w:szCs w:val="18"/>
              </w:rPr>
              <w:t>计入当期损益的政府补助，但与公司正常经营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业务密切相关，符合国家政策规定、按照一定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标准定额或定量持续享受的政府补助除外</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42,000.00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32,000,000.00</w:t>
            </w: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2,623,325.71</w:t>
            </w:r>
          </w:p>
        </w:tc>
      </w:tr>
      <w:tr>
        <w:trPr>
          <w:trHeight w:val="397"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4" w:right="0"/>
              <w:jc w:val="left"/>
              <w:rPr>
                <w:rFonts w:ascii="宋体" w:hAnsi="宋体" w:cs="宋体" w:eastAsia="宋体" w:hint="default"/>
                <w:sz w:val="18"/>
                <w:szCs w:val="18"/>
              </w:rPr>
            </w:pPr>
            <w:r>
              <w:rPr>
                <w:rFonts w:ascii="宋体"/>
                <w:sz w:val="18"/>
              </w:rPr>
              <w:t>-658,706.21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179,727.67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10,017,374.21</w:t>
            </w:r>
          </w:p>
        </w:tc>
      </w:tr>
      <w:tr>
        <w:trPr>
          <w:trHeight w:val="397"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-618,000.00</w:t>
            </w:r>
          </w:p>
        </w:tc>
        <w:tc>
          <w:tcPr>
            <w:tcW w:w="142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794"/>
        <w:gridCol w:w="1278"/>
        <w:gridCol w:w="1133"/>
        <w:gridCol w:w="1418"/>
        <w:gridCol w:w="1428"/>
      </w:tblGrid>
      <w:tr>
        <w:trPr>
          <w:trHeight w:val="397" w:hRule="exact"/>
        </w:trPr>
        <w:tc>
          <w:tcPr>
            <w:tcW w:w="3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74" w:right="0"/>
              <w:jc w:val="left"/>
              <w:rPr>
                <w:rFonts w:ascii="宋体" w:hAnsi="宋体" w:cs="宋体" w:eastAsia="宋体" w:hint="default"/>
                <w:sz w:val="18"/>
                <w:szCs w:val="18"/>
              </w:rPr>
            </w:pPr>
            <w:r>
              <w:rPr>
                <w:rFonts w:ascii="宋体"/>
                <w:sz w:val="18"/>
              </w:rPr>
              <w:t>-610,665.41</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4" w:right="0"/>
              <w:jc w:val="left"/>
              <w:rPr>
                <w:rFonts w:ascii="宋体" w:hAnsi="宋体" w:cs="宋体" w:eastAsia="宋体" w:hint="default"/>
                <w:sz w:val="18"/>
                <w:szCs w:val="18"/>
              </w:rPr>
            </w:pPr>
            <w:r>
              <w:rPr>
                <w:rFonts w:ascii="宋体"/>
                <w:sz w:val="18"/>
              </w:rPr>
              <w:t>31,561,727.67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3" w:right="0"/>
              <w:jc w:val="left"/>
              <w:rPr>
                <w:rFonts w:ascii="宋体" w:hAnsi="宋体" w:cs="宋体" w:eastAsia="宋体" w:hint="default"/>
                <w:sz w:val="18"/>
                <w:szCs w:val="18"/>
              </w:rPr>
            </w:pPr>
            <w:r>
              <w:rPr>
                <w:rFonts w:ascii="宋体"/>
                <w:sz w:val="18"/>
              </w:rPr>
              <w:t>12,640,699.92</w:t>
            </w:r>
          </w:p>
        </w:tc>
      </w:tr>
    </w:tbl>
    <w:p>
      <w:pPr>
        <w:spacing w:before="89"/>
        <w:ind w:left="218" w:right="86" w:firstLine="0"/>
        <w:jc w:val="left"/>
        <w:rPr>
          <w:rFonts w:ascii="宋体" w:hAnsi="宋体" w:cs="宋体" w:eastAsia="宋体" w:hint="default"/>
          <w:sz w:val="18"/>
          <w:szCs w:val="18"/>
        </w:rPr>
      </w:pPr>
      <w:r>
        <w:rPr>
          <w:rFonts w:ascii="宋体" w:hAnsi="宋体" w:cs="宋体" w:eastAsia="宋体" w:hint="default"/>
          <w:spacing w:val="-3"/>
          <w:sz w:val="18"/>
          <w:szCs w:val="18"/>
        </w:rPr>
        <w:t>注：除上述各项之外的其他营业外收入和支出，主要是中国证券监督管理委员会对 </w:t>
      </w:r>
      <w:r>
        <w:rPr>
          <w:rFonts w:ascii="宋体" w:hAnsi="宋体" w:cs="宋体" w:eastAsia="宋体" w:hint="default"/>
          <w:sz w:val="18"/>
          <w:szCs w:val="18"/>
        </w:rPr>
        <w:t>2007</w:t>
      </w:r>
      <w:r>
        <w:rPr>
          <w:rFonts w:ascii="宋体" w:hAnsi="宋体" w:cs="宋体" w:eastAsia="宋体" w:hint="default"/>
          <w:spacing w:val="-57"/>
          <w:sz w:val="18"/>
          <w:szCs w:val="18"/>
        </w:rPr>
        <w:t> </w:t>
      </w:r>
      <w:r>
        <w:rPr>
          <w:rFonts w:ascii="宋体" w:hAnsi="宋体" w:cs="宋体" w:eastAsia="宋体" w:hint="default"/>
          <w:sz w:val="18"/>
          <w:szCs w:val="18"/>
        </w:rPr>
        <w:t>年立案的公司违法事项处</w:t>
      </w:r>
    </w:p>
    <w:p>
      <w:pPr>
        <w:spacing w:before="115"/>
        <w:ind w:left="218" w:right="228" w:firstLine="0"/>
        <w:jc w:val="left"/>
        <w:rPr>
          <w:rFonts w:ascii="宋体" w:hAnsi="宋体" w:cs="宋体" w:eastAsia="宋体" w:hint="default"/>
          <w:sz w:val="18"/>
          <w:szCs w:val="18"/>
        </w:rPr>
      </w:pPr>
      <w:r>
        <w:rPr>
          <w:rFonts w:ascii="宋体" w:hAnsi="宋体" w:cs="宋体" w:eastAsia="宋体" w:hint="default"/>
          <w:sz w:val="18"/>
          <w:szCs w:val="18"/>
        </w:rPr>
        <w:t>以罚款</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after="0"/>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6"/>
        <w:jc w:val="center"/>
        <w:rPr>
          <w:b w:val="0"/>
          <w:bCs w:val="0"/>
        </w:rPr>
      </w:pPr>
      <w:bookmarkStart w:name="_TOC_250007" w:id="4"/>
      <w:r>
        <w:rPr>
          <w:w w:val="95"/>
        </w:rPr>
        <w:t>第四节</w:t>
        <w:tab/>
      </w:r>
      <w:r>
        <w:rPr/>
        <w:t>董事会报告</w:t>
      </w:r>
      <w:bookmarkEnd w:id="4"/>
      <w:r>
        <w:rPr>
          <w:b w:val="0"/>
          <w:bCs w:val="0"/>
        </w:rPr>
      </w:r>
    </w:p>
    <w:p>
      <w:pPr>
        <w:pStyle w:val="Heading3"/>
        <w:spacing w:line="240" w:lineRule="auto" w:before="249"/>
        <w:ind w:left="138" w:right="148"/>
        <w:jc w:val="left"/>
        <w:rPr>
          <w:b w:val="0"/>
          <w:bCs w:val="0"/>
        </w:rPr>
      </w:pPr>
      <w:r>
        <w:rPr/>
        <w:t>一、董事会关于公司报告期内经营情况的讨论与分析</w:t>
      </w:r>
      <w:r>
        <w:rPr>
          <w:b w:val="0"/>
          <w:bCs w:val="0"/>
        </w:rPr>
      </w:r>
    </w:p>
    <w:p>
      <w:pPr>
        <w:pStyle w:val="BodyText"/>
        <w:spacing w:line="357" w:lineRule="auto" w:before="118"/>
        <w:ind w:right="152" w:firstLine="420"/>
        <w:jc w:val="both"/>
      </w:pPr>
      <w:r>
        <w:rPr>
          <w:rFonts w:ascii="宋体" w:hAnsi="宋体" w:cs="宋体" w:eastAsia="宋体" w:hint="default"/>
        </w:rPr>
        <w:t>2014</w:t>
      </w:r>
      <w:r>
        <w:rPr>
          <w:rFonts w:ascii="宋体" w:hAnsi="宋体" w:cs="宋体" w:eastAsia="宋体" w:hint="default"/>
          <w:spacing w:val="-24"/>
        </w:rPr>
        <w:t> </w:t>
      </w:r>
      <w:r>
        <w:rPr>
          <w:spacing w:val="-2"/>
        </w:rPr>
        <w:t>年，是公司寻求突破转型的关键性一年。为有效改善公司盈利能力，消除对持续经营的</w:t>
      </w:r>
      <w:r>
        <w:rPr/>
        <w:t> 不利影响，最大程度维护股东尤其是中小股东利益，公司管理层借助上市公司平台持续寻求适合 自身发展的转型方案。重大资产重组与非公开发行方案即是在此背景下筹划实施的。</w:t>
      </w:r>
    </w:p>
    <w:p>
      <w:pPr>
        <w:pStyle w:val="BodyText"/>
        <w:spacing w:line="240" w:lineRule="auto" w:before="30"/>
        <w:ind w:left="558" w:right="148"/>
        <w:jc w:val="left"/>
      </w:pPr>
      <w:r>
        <w:rPr>
          <w:rFonts w:ascii="宋体" w:hAnsi="宋体" w:cs="宋体" w:eastAsia="宋体" w:hint="default"/>
        </w:rPr>
        <w:t>1</w:t>
      </w:r>
      <w:r>
        <w:rPr/>
        <w:t>、公司现有主营业务及行业展望</w:t>
      </w:r>
    </w:p>
    <w:p>
      <w:pPr>
        <w:pStyle w:val="BodyText"/>
        <w:spacing w:line="357" w:lineRule="auto" w:before="133"/>
        <w:ind w:left="558" w:right="148"/>
        <w:jc w:val="left"/>
      </w:pPr>
      <w:r>
        <w:rPr/>
        <w:t>（</w:t>
      </w:r>
      <w:r>
        <w:rPr>
          <w:rFonts w:ascii="宋体" w:hAnsi="宋体" w:cs="宋体" w:eastAsia="宋体" w:hint="default"/>
        </w:rPr>
        <w:t>1</w:t>
      </w:r>
      <w:r>
        <w:rPr/>
        <w:t>）主营业务基本情况 公司的主营业务为物业管理服务、房地产中介服务，以住宅物业管理为主，以案场服务及商</w:t>
      </w:r>
    </w:p>
    <w:p>
      <w:pPr>
        <w:pStyle w:val="BodyText"/>
        <w:spacing w:line="240" w:lineRule="auto" w:before="30"/>
        <w:ind w:right="148"/>
        <w:jc w:val="left"/>
      </w:pPr>
      <w:r>
        <w:rPr/>
        <w:t>业物业管理为辅，在杭州、长沙、成都、沈阳等多地开展业务。</w:t>
      </w:r>
    </w:p>
    <w:p>
      <w:pPr>
        <w:pStyle w:val="BodyText"/>
        <w:spacing w:line="355" w:lineRule="auto" w:before="134"/>
        <w:ind w:left="603" w:right="143" w:hanging="46"/>
        <w:jc w:val="left"/>
      </w:pPr>
      <w:r>
        <w:rPr/>
        <w:t>（</w:t>
      </w:r>
      <w:r>
        <w:rPr>
          <w:rFonts w:ascii="宋体" w:hAnsi="宋体" w:cs="宋体" w:eastAsia="宋体" w:hint="default"/>
        </w:rPr>
        <w:t>2</w:t>
      </w:r>
      <w:r>
        <w:rPr/>
        <w:t>）主要经营模式 </w:t>
      </w:r>
      <w:r>
        <w:rPr>
          <w:spacing w:val="-1"/>
        </w:rPr>
        <w:t>杭州郡原物业服务有限公司的主要经营模式以住宅物业管理为主，以案场服务及商业物业管</w:t>
      </w:r>
    </w:p>
    <w:p>
      <w:pPr>
        <w:pStyle w:val="BodyText"/>
        <w:spacing w:line="240" w:lineRule="auto" w:before="33"/>
        <w:ind w:right="148"/>
        <w:jc w:val="left"/>
      </w:pPr>
      <w:r>
        <w:rPr/>
        <w:t>理为辅。</w:t>
      </w:r>
    </w:p>
    <w:p>
      <w:pPr>
        <w:pStyle w:val="BodyText"/>
        <w:spacing w:line="240" w:lineRule="auto" w:before="133"/>
        <w:ind w:left="603" w:right="148"/>
        <w:jc w:val="left"/>
      </w:pPr>
      <w:r>
        <w:rPr/>
        <w:t>具体盈利模式主要包含了物业费收入、车位费收入、案场收入以及其他收入。</w:t>
      </w:r>
    </w:p>
    <w:p>
      <w:pPr>
        <w:pStyle w:val="BodyText"/>
        <w:spacing w:line="357" w:lineRule="auto" w:before="133"/>
        <w:ind w:left="558" w:right="5608"/>
        <w:jc w:val="left"/>
      </w:pPr>
      <w:r>
        <w:rPr/>
        <w:t>（</w:t>
      </w:r>
      <w:r>
        <w:rPr>
          <w:rFonts w:ascii="宋体" w:hAnsi="宋体" w:cs="宋体" w:eastAsia="宋体" w:hint="default"/>
        </w:rPr>
        <w:t>3</w:t>
      </w:r>
      <w:r>
        <w:rPr/>
        <w:t>）收入情况 按业务划分的主营业务收入情况</w:t>
      </w:r>
    </w:p>
    <w:p>
      <w:pPr>
        <w:pStyle w:val="BodyText"/>
        <w:tabs>
          <w:tab w:pos="1260" w:val="left" w:leader="none"/>
        </w:tabs>
        <w:spacing w:line="240" w:lineRule="auto" w:before="29"/>
        <w:ind w:left="0" w:right="470"/>
        <w:jc w:val="right"/>
      </w:pPr>
      <w:r>
        <w:rPr/>
        <w:t>单位：万元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70"/>
        <w:gridCol w:w="1344"/>
        <w:gridCol w:w="1193"/>
        <w:gridCol w:w="1363"/>
        <w:gridCol w:w="1172"/>
        <w:gridCol w:w="1236"/>
        <w:gridCol w:w="1110"/>
      </w:tblGrid>
      <w:tr>
        <w:trPr>
          <w:trHeight w:val="360" w:hRule="exact"/>
        </w:trPr>
        <w:tc>
          <w:tcPr>
            <w:tcW w:w="147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2"/>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53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w:t>
            </w:r>
          </w:p>
        </w:tc>
        <w:tc>
          <w:tcPr>
            <w:tcW w:w="2346"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年度</w:t>
            </w:r>
          </w:p>
        </w:tc>
      </w:tr>
      <w:tr>
        <w:trPr>
          <w:trHeight w:val="360" w:hRule="exact"/>
        </w:trPr>
        <w:tc>
          <w:tcPr>
            <w:tcW w:w="1470" w:type="dxa"/>
            <w:vMerge/>
            <w:tcBorders>
              <w:left w:val="single" w:sz="8" w:space="0" w:color="000000"/>
              <w:bottom w:val="single" w:sz="8" w:space="0" w:color="000000"/>
              <w:right w:val="single" w:sz="8" w:space="0" w:color="000000"/>
            </w:tcBorders>
          </w:tcPr>
          <w:p>
            <w:pP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3"/>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60"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left="98"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4,440.06</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3,938.43</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310.27</w:t>
            </w:r>
          </w:p>
        </w:tc>
        <w:tc>
          <w:tcPr>
            <w:tcW w:w="1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100.00</w:t>
            </w:r>
          </w:p>
        </w:tc>
      </w:tr>
      <w:tr>
        <w:trPr>
          <w:trHeight w:val="361" w:hRule="exact"/>
        </w:trPr>
        <w:tc>
          <w:tcPr>
            <w:tcW w:w="14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4,440.06</w:t>
            </w:r>
          </w:p>
        </w:tc>
        <w:tc>
          <w:tcPr>
            <w:tcW w:w="11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w:t>
            </w:r>
          </w:p>
        </w:tc>
        <w:tc>
          <w:tcPr>
            <w:tcW w:w="136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3,938.43</w:t>
            </w:r>
          </w:p>
        </w:tc>
        <w:tc>
          <w:tcPr>
            <w:tcW w:w="11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100.00</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sz w:val="18"/>
              </w:rPr>
              <w:t>310.27</w:t>
            </w:r>
          </w:p>
        </w:tc>
        <w:tc>
          <w:tcPr>
            <w:tcW w:w="11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1"/>
              <w:jc w:val="center"/>
              <w:rPr>
                <w:rFonts w:ascii="宋体" w:hAnsi="宋体" w:cs="宋体" w:eastAsia="宋体" w:hint="default"/>
                <w:sz w:val="18"/>
                <w:szCs w:val="18"/>
              </w:rPr>
            </w:pPr>
            <w:r>
              <w:rPr>
                <w:rFonts w:ascii="宋体"/>
                <w:sz w:val="18"/>
              </w:rPr>
              <w:t>100.00</w:t>
            </w:r>
          </w:p>
        </w:tc>
      </w:tr>
    </w:tbl>
    <w:p>
      <w:pPr>
        <w:pStyle w:val="BodyText"/>
        <w:spacing w:line="355" w:lineRule="auto" w:before="86"/>
        <w:ind w:left="558" w:right="148"/>
        <w:jc w:val="left"/>
      </w:pPr>
      <w:r>
        <w:rPr/>
        <w:t>（</w:t>
      </w:r>
      <w:r>
        <w:rPr>
          <w:rFonts w:ascii="宋体" w:hAnsi="宋体" w:cs="宋体" w:eastAsia="宋体" w:hint="default"/>
        </w:rPr>
        <w:t>4</w:t>
      </w:r>
      <w:r>
        <w:rPr/>
        <w:t>）所处行业前景展望 我国未来的物业管理应涉及到物业设置及使用全过程的管理及服务。根据对国外现代物业管</w:t>
      </w:r>
    </w:p>
    <w:p>
      <w:pPr>
        <w:pStyle w:val="BodyText"/>
        <w:spacing w:line="355" w:lineRule="auto" w:before="33"/>
        <w:ind w:right="153"/>
        <w:jc w:val="left"/>
      </w:pPr>
      <w:r>
        <w:rPr>
          <w:spacing w:val="-5"/>
        </w:rPr>
        <w:t>理实施过程的研究，其发展的业务的内容应包括：物业管理战略的制定；为房地产开发建设服务；</w:t>
      </w:r>
      <w:r>
        <w:rPr>
          <w:spacing w:val="-88"/>
        </w:rPr>
        <w:t> </w:t>
      </w:r>
      <w:r>
        <w:rPr>
          <w:spacing w:val="-88"/>
        </w:rPr>
      </w:r>
      <w:r>
        <w:rPr/>
        <w:t>为房地产经营服务；物业维修运行管理；综合管理服务等。</w:t>
      </w:r>
    </w:p>
    <w:p>
      <w:pPr>
        <w:pStyle w:val="BodyText"/>
        <w:spacing w:line="355" w:lineRule="auto" w:before="33"/>
        <w:ind w:right="165" w:firstLine="420"/>
        <w:jc w:val="both"/>
      </w:pPr>
      <w:r>
        <w:rPr/>
        <w:t>目前，我国物业管理机构以管理物业为主，兼而开展多种经营服务的“一主多副”思路应成 为具有中国特色物业管理服务模式，我国未来的物业管理发展应是专业化、综合性涉及物业建设 与使用全过程的管理和服务。</w:t>
      </w:r>
    </w:p>
    <w:p>
      <w:pPr>
        <w:pStyle w:val="BodyText"/>
        <w:spacing w:line="357" w:lineRule="auto" w:before="33"/>
        <w:ind w:right="166" w:firstLine="420"/>
        <w:jc w:val="both"/>
      </w:pPr>
      <w:r>
        <w:rPr/>
        <w:t>物业管理企业小、弱、散、差的现象普遍存在，随着物业管理招投标大力推行和物业管理市 场化的发展，物业管理将从数量型增长向质量、规模、效益型转变，规模化经营的资产重组必然 驱使物业管理企业向品牌化企业方向发展。在有限的市场资源条件下，企业竞争将进一步加剧， 势必推动物业管理行业整体素质的提高，社会资源配置也将得到进一步优化。随着物业管理范围 和内容的扩展，市场化进程的加快，物业管理招投标的逐步规范，物业管理行业的竞争将日益激 烈，行业间的兼并、整合现象将逐渐加剧、迅速扩展。</w:t>
      </w:r>
    </w:p>
    <w:p>
      <w:pPr>
        <w:pStyle w:val="BodyText"/>
        <w:spacing w:line="240" w:lineRule="auto" w:before="30"/>
        <w:ind w:left="558" w:right="148"/>
        <w:jc w:val="left"/>
      </w:pPr>
      <w:r>
        <w:rPr>
          <w:rFonts w:ascii="宋体" w:hAnsi="宋体" w:cs="宋体" w:eastAsia="宋体" w:hint="default"/>
        </w:rPr>
        <w:t>2</w:t>
      </w:r>
      <w:r>
        <w:rPr/>
        <w:t>、转型方案实施情况</w:t>
      </w:r>
    </w:p>
    <w:p>
      <w:pPr>
        <w:spacing w:after="0" w:line="240" w:lineRule="auto"/>
        <w:jc w:val="left"/>
        <w:sectPr>
          <w:pgSz w:w="11910" w:h="16840"/>
          <w:pgMar w:header="882" w:footer="1194" w:top="1120" w:bottom="1380" w:left="1660" w:right="1120"/>
        </w:sectPr>
      </w:pPr>
    </w:p>
    <w:p>
      <w:pPr>
        <w:spacing w:line="240" w:lineRule="auto" w:before="6"/>
        <w:rPr>
          <w:rFonts w:ascii="宋体" w:hAnsi="宋体" w:cs="宋体" w:eastAsia="宋体" w:hint="default"/>
          <w:sz w:val="25"/>
          <w:szCs w:val="25"/>
        </w:rPr>
      </w:pPr>
    </w:p>
    <w:p>
      <w:pPr>
        <w:pStyle w:val="BodyText"/>
        <w:spacing w:line="240" w:lineRule="auto" w:before="35"/>
        <w:ind w:left="558" w:right="135"/>
        <w:jc w:val="left"/>
      </w:pPr>
      <w:r>
        <w:rPr/>
        <w:t>（</w:t>
      </w:r>
      <w:r>
        <w:rPr>
          <w:rFonts w:ascii="宋体" w:hAnsi="宋体" w:cs="宋体" w:eastAsia="宋体" w:hint="default"/>
        </w:rPr>
        <w:t>1</w:t>
      </w:r>
      <w:r>
        <w:rPr/>
        <w:t>）重大资产重组实施情况</w:t>
      </w:r>
    </w:p>
    <w:p>
      <w:pPr>
        <w:pStyle w:val="BodyText"/>
        <w:spacing w:line="240" w:lineRule="auto" w:before="133"/>
        <w:ind w:left="558" w:right="135"/>
        <w:jc w:val="left"/>
        <w:rPr>
          <w:rFonts w:ascii="宋体" w:hAnsi="宋体" w:cs="宋体" w:eastAsia="宋体" w:hint="default"/>
        </w:rPr>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日披露《关于重大资产重组停牌的公告》，公司股票于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w:t>
      </w:r>
    </w:p>
    <w:p>
      <w:pPr>
        <w:pStyle w:val="BodyText"/>
        <w:spacing w:line="357" w:lineRule="auto" w:before="134"/>
        <w:ind w:right="131"/>
        <w:jc w:val="both"/>
      </w:pPr>
      <w:r>
        <w:rPr/>
        <w:t>日开市起停牌，停牌时间不超过</w:t>
      </w:r>
      <w:r>
        <w:rPr>
          <w:spacing w:val="-58"/>
        </w:rPr>
        <w:t> </w:t>
      </w:r>
      <w:r>
        <w:rPr>
          <w:rFonts w:ascii="宋体" w:hAnsi="宋体" w:cs="宋体" w:eastAsia="宋体" w:hint="default"/>
        </w:rPr>
        <w:t>30</w:t>
      </w:r>
      <w:r>
        <w:rPr>
          <w:rFonts w:ascii="宋体" w:hAnsi="宋体" w:cs="宋体" w:eastAsia="宋体" w:hint="default"/>
          <w:spacing w:val="-58"/>
        </w:rPr>
        <w:t> </w:t>
      </w:r>
      <w:r>
        <w:rPr>
          <w:spacing w:val="-4"/>
        </w:rPr>
        <w:t>天；</w:t>
      </w:r>
      <w:r>
        <w:rPr>
          <w:rFonts w:ascii="宋体" w:hAnsi="宋体" w:cs="宋体" w:eastAsia="宋体" w:hint="default"/>
          <w:spacing w:val="-4"/>
        </w:rPr>
        <w:t>2014</w:t>
      </w:r>
      <w:r>
        <w:rPr>
          <w:rFonts w:ascii="宋体" w:hAnsi="宋体" w:cs="宋体" w:eastAsia="宋体" w:hint="default"/>
          <w:spacing w:val="-58"/>
        </w:rPr>
        <w:t> </w:t>
      </w:r>
      <w:r>
        <w:rPr/>
        <w:t>年</w:t>
      </w:r>
      <w:r>
        <w:rPr>
          <w:spacing w:val="-59"/>
        </w:rPr>
        <w:t> </w:t>
      </w:r>
      <w:r>
        <w:rPr>
          <w:rFonts w:ascii="宋体" w:hAnsi="宋体" w:cs="宋体" w:eastAsia="宋体" w:hint="default"/>
        </w:rPr>
        <w:t>5</w:t>
      </w:r>
      <w:r>
        <w:rPr>
          <w:rFonts w:ascii="宋体" w:hAnsi="宋体" w:cs="宋体" w:eastAsia="宋体" w:hint="default"/>
          <w:spacing w:val="-57"/>
        </w:rPr>
        <w:t> </w:t>
      </w:r>
      <w:r>
        <w:rPr/>
        <w:t>月</w:t>
      </w:r>
      <w:r>
        <w:rPr>
          <w:spacing w:val="-59"/>
        </w:rPr>
        <w:t> </w:t>
      </w:r>
      <w:r>
        <w:rPr>
          <w:rFonts w:ascii="宋体" w:hAnsi="宋体" w:cs="宋体" w:eastAsia="宋体" w:hint="default"/>
        </w:rPr>
        <w:t>5</w:t>
      </w:r>
      <w:r>
        <w:rPr>
          <w:rFonts w:ascii="宋体" w:hAnsi="宋体" w:cs="宋体" w:eastAsia="宋体" w:hint="default"/>
          <w:spacing w:val="-57"/>
        </w:rPr>
        <w:t> </w:t>
      </w:r>
      <w:r>
        <w:rPr>
          <w:spacing w:val="-8"/>
        </w:rPr>
        <w:t>日、</w:t>
      </w:r>
      <w:r>
        <w:rPr>
          <w:rFonts w:ascii="宋体" w:hAnsi="宋体" w:cs="宋体" w:eastAsia="宋体" w:hint="default"/>
          <w:spacing w:val="-8"/>
        </w:rPr>
        <w:t>6</w:t>
      </w:r>
      <w:r>
        <w:rPr>
          <w:rFonts w:ascii="宋体" w:hAnsi="宋体" w:cs="宋体" w:eastAsia="宋体" w:hint="default"/>
          <w:spacing w:val="-58"/>
        </w:rPr>
        <w:t> </w:t>
      </w:r>
      <w:r>
        <w:rPr/>
        <w:t>月</w:t>
      </w:r>
      <w:r>
        <w:rPr>
          <w:spacing w:val="-58"/>
        </w:rPr>
        <w:t> </w:t>
      </w:r>
      <w:r>
        <w:rPr>
          <w:rFonts w:ascii="宋体" w:hAnsi="宋体" w:cs="宋体" w:eastAsia="宋体" w:hint="default"/>
        </w:rPr>
        <w:t>3</w:t>
      </w:r>
      <w:r>
        <w:rPr>
          <w:rFonts w:ascii="宋体" w:hAnsi="宋体" w:cs="宋体" w:eastAsia="宋体" w:hint="default"/>
          <w:spacing w:val="-57"/>
        </w:rPr>
        <w:t> </w:t>
      </w:r>
      <w:r>
        <w:rPr/>
        <w:t>日分别披露《关于延期复牌的公 告》。公司拟采取发行股份购买资产并募集配套资金的方式购买上海斐讯数据通信技术有限公司 全体股东合计持有的斐讯通信</w:t>
      </w:r>
      <w:r>
        <w:rPr>
          <w:spacing w:val="-88"/>
        </w:rPr>
        <w:t> </w:t>
      </w:r>
      <w:r>
        <w:rPr>
          <w:rFonts w:ascii="宋体" w:hAnsi="宋体" w:cs="宋体" w:eastAsia="宋体" w:hint="default"/>
        </w:rPr>
        <w:t>100%</w:t>
      </w:r>
      <w:r>
        <w:rPr/>
        <w:t>股权，本次重组完成后公司的实际控制权将发生变更，斐讯通 信将成为公司的全资子公司，公司主营业务将变更为信息技术业。</w:t>
      </w:r>
    </w:p>
    <w:p>
      <w:pPr>
        <w:pStyle w:val="BodyText"/>
        <w:spacing w:line="357" w:lineRule="auto" w:before="30"/>
        <w:ind w:right="145" w:firstLine="420"/>
        <w:jc w:val="both"/>
      </w:pPr>
      <w:r>
        <w:rPr/>
        <w:t>公司与斐讯通信就本次重大资产重组事项进行了积极的磋商和沟通论证，并在交易的总体框 架上取得了诸多共识，由于双方未能在一些事项上达成一致意见，经公司与斐讯通信友好协商， 双方决定终止本次重大资产重组事项。</w:t>
      </w:r>
    </w:p>
    <w:p>
      <w:pPr>
        <w:pStyle w:val="BodyText"/>
        <w:spacing w:line="240" w:lineRule="auto" w:before="31"/>
        <w:ind w:left="558" w:right="135"/>
        <w:jc w:val="left"/>
      </w:pPr>
      <w:r>
        <w:rPr/>
        <w:t>（</w:t>
      </w:r>
      <w:r>
        <w:rPr>
          <w:rFonts w:ascii="宋体" w:hAnsi="宋体" w:cs="宋体" w:eastAsia="宋体" w:hint="default"/>
        </w:rPr>
        <w:t>2</w:t>
      </w:r>
      <w:r>
        <w:rPr/>
        <w:t>）非公开发行实施情况</w:t>
      </w:r>
    </w:p>
    <w:p>
      <w:pPr>
        <w:pStyle w:val="BodyText"/>
        <w:spacing w:line="240" w:lineRule="auto" w:before="133"/>
        <w:ind w:left="558" w:right="0"/>
        <w:jc w:val="left"/>
      </w:pPr>
      <w:r>
        <w:rPr/>
        <w:t>公司于</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4"/>
        </w:rPr>
        <w:t>日披露《关于筹划非公开发行股票事项并继续停牌的公告》，公司股票</w:t>
      </w:r>
    </w:p>
    <w:p>
      <w:pPr>
        <w:pStyle w:val="BodyText"/>
        <w:spacing w:line="355" w:lineRule="auto" w:before="134"/>
        <w:ind w:right="132"/>
        <w:jc w:val="both"/>
      </w:pPr>
      <w:r>
        <w:rPr/>
        <w:t>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spacing w:val="-3"/>
        </w:rPr>
        <w:t>日开市起继续停牌。公司基于对发展智慧城市业务的可行性论证，拟筹划通过向</w:t>
      </w:r>
      <w:r>
        <w:rPr/>
        <w:t> 顾国平等九名特定对象非公开发行股票方式募集资金以发展智慧城市为主的经营业务。本次非公 开发行募集资金总额（含发行费用）不超过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4"/>
        </w:rPr>
        <w:t> </w:t>
      </w:r>
      <w:r>
        <w:rPr>
          <w:rFonts w:ascii="宋体" w:hAnsi="宋体" w:cs="宋体" w:eastAsia="宋体" w:hint="default"/>
        </w:rPr>
        <w:t>235,000</w:t>
      </w:r>
      <w:r>
        <w:rPr>
          <w:rFonts w:ascii="宋体" w:hAnsi="宋体" w:cs="宋体" w:eastAsia="宋体" w:hint="default"/>
          <w:spacing w:val="-54"/>
        </w:rPr>
        <w:t> </w:t>
      </w:r>
      <w:r>
        <w:rPr/>
        <w:t>万元），扣除发行费用后</w:t>
      </w:r>
    </w:p>
    <w:p>
      <w:pPr>
        <w:pStyle w:val="BodyText"/>
        <w:spacing w:line="355" w:lineRule="auto" w:before="33"/>
        <w:ind w:right="146"/>
        <w:jc w:val="both"/>
      </w:pPr>
      <w:r>
        <w:rPr/>
        <w:t>的募集资金净额拟投入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万元用于智慧城市研发与运营中心项目，剩余资金用于补充智 慧城市业务的营运资金，支持公司战略转型。</w:t>
      </w:r>
    </w:p>
    <w:p>
      <w:pPr>
        <w:pStyle w:val="BodyText"/>
        <w:spacing w:line="357" w:lineRule="auto" w:before="33"/>
        <w:ind w:right="134" w:firstLine="420"/>
        <w:jc w:val="both"/>
      </w:pPr>
      <w:r>
        <w:rPr/>
        <w:t>如公司本次非公开发行能够顺利实施，一方面，可进一步提高公司抗风险能力，降低公司资 </w:t>
      </w:r>
      <w:r>
        <w:rPr>
          <w:spacing w:val="-5"/>
        </w:rPr>
        <w:t>产负债率，优化资本结构，从而为公司提高持续经营能力和盈利能力奠定坚实的基础；另一方面，</w:t>
      </w:r>
      <w:r>
        <w:rPr>
          <w:spacing w:val="-88"/>
        </w:rPr>
        <w:t> </w:t>
      </w:r>
      <w:r>
        <w:rPr>
          <w:spacing w:val="-88"/>
        </w:rPr>
      </w:r>
      <w:r>
        <w:rPr/>
        <w:t>完成了公司的战略转型，公司将实现向智慧城市业务的转型，有利于公司利用上市公司资源把握 市场机遇，在参与智慧城市的建设之中，进一步提高公司的盈利能力。</w:t>
      </w:r>
    </w:p>
    <w:p>
      <w:pPr>
        <w:pStyle w:val="BodyText"/>
        <w:spacing w:line="240" w:lineRule="auto" w:before="30"/>
        <w:ind w:left="558" w:right="135"/>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日，公司公告《非公开发行股票预案》，拟以</w:t>
      </w:r>
      <w:r>
        <w:rPr>
          <w:spacing w:val="-54"/>
        </w:rPr>
        <w:t> </w:t>
      </w:r>
      <w:r>
        <w:rPr>
          <w:rFonts w:ascii="宋体" w:hAnsi="宋体" w:cs="宋体" w:eastAsia="宋体" w:hint="default"/>
        </w:rPr>
        <w:t>3.65</w:t>
      </w:r>
      <w:r>
        <w:rPr>
          <w:rFonts w:ascii="宋体" w:hAnsi="宋体" w:cs="宋体" w:eastAsia="宋体" w:hint="default"/>
          <w:spacing w:val="-53"/>
        </w:rPr>
        <w:t> </w:t>
      </w:r>
      <w:r>
        <w:rPr/>
        <w:t>元</w:t>
      </w:r>
      <w:r>
        <w:rPr>
          <w:rFonts w:ascii="宋体" w:hAnsi="宋体" w:cs="宋体" w:eastAsia="宋体" w:hint="default"/>
        </w:rPr>
        <w:t>/</w:t>
      </w:r>
      <w:r>
        <w:rPr/>
        <w:t>股的发行价格向顾国</w:t>
      </w:r>
    </w:p>
    <w:p>
      <w:pPr>
        <w:pStyle w:val="BodyText"/>
        <w:spacing w:line="240" w:lineRule="auto" w:before="134"/>
        <w:ind w:right="0"/>
        <w:jc w:val="both"/>
      </w:pPr>
      <w:r>
        <w:rPr>
          <w:spacing w:val="-4"/>
        </w:rPr>
        <w:t>平等九名特定对象非公开发行股票；</w:t>
      </w:r>
      <w:r>
        <w:rPr>
          <w:rFonts w:ascii="宋体" w:hAnsi="宋体" w:cs="宋体" w:eastAsia="宋体" w:hint="default"/>
          <w:spacing w:val="-4"/>
        </w:rPr>
        <w:t>2014</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spacing w:val="-11"/>
        </w:rPr>
        <w:t>日，公司召开了</w:t>
      </w:r>
      <w:r>
        <w:rPr>
          <w:spacing w:val="-52"/>
        </w:rPr>
        <w:t> </w:t>
      </w:r>
      <w:r>
        <w:rPr>
          <w:rFonts w:ascii="宋体" w:hAnsi="宋体" w:cs="宋体" w:eastAsia="宋体" w:hint="default"/>
        </w:rPr>
        <w:t>2014</w:t>
      </w:r>
      <w:r>
        <w:rPr>
          <w:rFonts w:ascii="宋体" w:hAnsi="宋体" w:cs="宋体" w:eastAsia="宋体" w:hint="default"/>
          <w:spacing w:val="-51"/>
        </w:rPr>
        <w:t> </w:t>
      </w:r>
      <w:r>
        <w:rPr/>
        <w:t>年第二次临时股东大会，</w:t>
      </w:r>
    </w:p>
    <w:p>
      <w:pPr>
        <w:pStyle w:val="BodyText"/>
        <w:spacing w:line="240" w:lineRule="auto" w:before="133"/>
        <w:ind w:right="0"/>
        <w:jc w:val="both"/>
        <w:rPr>
          <w:rFonts w:ascii="宋体" w:hAnsi="宋体" w:cs="宋体" w:eastAsia="宋体" w:hint="default"/>
        </w:rPr>
      </w:pPr>
      <w:r>
        <w:rPr/>
        <w:t>审议通过了</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日公司董事会审议通过的公司非公开发行股票的相关议案；</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p>
    <w:p>
      <w:pPr>
        <w:pStyle w:val="BodyText"/>
        <w:spacing w:line="357" w:lineRule="auto" w:before="134"/>
        <w:ind w:right="132"/>
        <w:jc w:val="both"/>
      </w:pPr>
      <w:r>
        <w:rPr/>
        <w:t>月</w:t>
      </w:r>
      <w:r>
        <w:rPr>
          <w:spacing w:val="-39"/>
        </w:rPr>
        <w:t> </w:t>
      </w:r>
      <w:r>
        <w:rPr>
          <w:rFonts w:ascii="宋体" w:hAnsi="宋体" w:cs="宋体" w:eastAsia="宋体" w:hint="default"/>
        </w:rPr>
        <w:t>18</w:t>
      </w:r>
      <w:r>
        <w:rPr>
          <w:rFonts w:ascii="宋体" w:hAnsi="宋体" w:cs="宋体" w:eastAsia="宋体" w:hint="default"/>
          <w:spacing w:val="-37"/>
        </w:rPr>
        <w:t> </w:t>
      </w:r>
      <w:r>
        <w:rPr>
          <w:spacing w:val="-3"/>
        </w:rPr>
        <w:t>日，公司收到中国证监会发来的《中国证监会行政许可申请受理通知书》【</w:t>
      </w:r>
      <w:r>
        <w:rPr>
          <w:rFonts w:ascii="宋体" w:hAnsi="宋体" w:cs="宋体" w:eastAsia="宋体" w:hint="default"/>
          <w:spacing w:val="-3"/>
        </w:rPr>
        <w:t>141168</w:t>
      </w:r>
      <w:r>
        <w:rPr>
          <w:spacing w:val="-3"/>
        </w:rPr>
        <w:t>】号，中</w:t>
      </w:r>
      <w:r>
        <w:rPr>
          <w:spacing w:val="-102"/>
        </w:rPr>
        <w:t> </w:t>
      </w:r>
      <w:r>
        <w:rPr>
          <w:spacing w:val="-102"/>
        </w:rPr>
      </w:r>
      <w:r>
        <w:rPr/>
        <w:t>国证监会决定对公司非公开发行股票的行政许可申请予以受理；本次非公开发行尚需中国证监会 核准。</w:t>
      </w:r>
    </w:p>
    <w:p>
      <w:pPr>
        <w:pStyle w:val="BodyText"/>
        <w:spacing w:line="240" w:lineRule="auto" w:before="30"/>
        <w:ind w:left="558" w:right="135"/>
        <w:jc w:val="left"/>
      </w:pPr>
      <w:r>
        <w:rPr>
          <w:rFonts w:ascii="宋体" w:hAnsi="宋体" w:cs="宋体" w:eastAsia="宋体" w:hint="default"/>
        </w:rPr>
        <w:t>3</w:t>
      </w:r>
      <w:r>
        <w:rPr/>
        <w:t>、业务转型进展情况</w:t>
      </w:r>
    </w:p>
    <w:p>
      <w:pPr>
        <w:pStyle w:val="BodyText"/>
        <w:spacing w:line="357" w:lineRule="auto" w:before="133"/>
        <w:ind w:right="133" w:firstLine="420"/>
        <w:jc w:val="both"/>
      </w:pPr>
      <w:r>
        <w:rPr/>
        <w:t>为了加快业务转型的步伐，公司于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日召开股东大会、董事会选举顾国平先生 担任公司董事长，并兼任公司总经理。顾国平先生也凭借其在信息技术产业较为深厚的根基和人 才号召力在短期内组建了一支业务扎实、经验丰富的业务团队，并且在短短几个月的时间内，公 司和子公司智诚合讯已与相关政府投资主体签署多个战略合作框架协议。目前，公司与全资子公 司智诚合讯已签署的战略合作框架协议包括：智慧南宁项目，总投资不低于</w:t>
      </w:r>
      <w:r>
        <w:rPr>
          <w:spacing w:val="-81"/>
        </w:rPr>
        <w:t> </w:t>
      </w:r>
      <w:r>
        <w:rPr>
          <w:rFonts w:ascii="宋体" w:hAnsi="宋体" w:cs="宋体" w:eastAsia="宋体" w:hint="default"/>
        </w:rPr>
        <w:t>35</w:t>
      </w:r>
      <w:r>
        <w:rPr>
          <w:rFonts w:ascii="宋体" w:hAnsi="宋体" w:cs="宋体" w:eastAsia="宋体" w:hint="default"/>
          <w:spacing w:val="-81"/>
        </w:rPr>
        <w:t> </w:t>
      </w:r>
      <w:r>
        <w:rPr>
          <w:spacing w:val="-5"/>
        </w:rPr>
        <w:t>亿元；智慧鹤壁项</w:t>
      </w:r>
    </w:p>
    <w:p>
      <w:pPr>
        <w:pStyle w:val="BodyText"/>
        <w:spacing w:line="240" w:lineRule="auto" w:before="31"/>
        <w:ind w:right="0"/>
        <w:jc w:val="both"/>
        <w:rPr>
          <w:rFonts w:ascii="宋体" w:hAnsi="宋体" w:cs="宋体" w:eastAsia="宋体" w:hint="default"/>
        </w:rPr>
      </w:pPr>
      <w:r>
        <w:rPr/>
        <w:t>目，总投资</w:t>
      </w:r>
      <w:r>
        <w:rPr>
          <w:spacing w:val="-55"/>
        </w:rPr>
        <w:t> </w:t>
      </w:r>
      <w:r>
        <w:rPr>
          <w:rFonts w:ascii="宋体" w:hAnsi="宋体" w:cs="宋体" w:eastAsia="宋体" w:hint="default"/>
        </w:rPr>
        <w:t>30</w:t>
      </w:r>
      <w:r>
        <w:rPr>
          <w:rFonts w:ascii="宋体" w:hAnsi="宋体" w:cs="宋体" w:eastAsia="宋体" w:hint="default"/>
          <w:spacing w:val="-54"/>
        </w:rPr>
        <w:t> </w:t>
      </w:r>
      <w:r>
        <w:rPr/>
        <w:t>亿元；江苏沛县智慧开发区项目，总投资</w:t>
      </w:r>
      <w:r>
        <w:rPr>
          <w:spacing w:val="-54"/>
        </w:rPr>
        <w:t> </w:t>
      </w:r>
      <w:r>
        <w:rPr>
          <w:rFonts w:ascii="宋体" w:hAnsi="宋体" w:cs="宋体" w:eastAsia="宋体" w:hint="default"/>
        </w:rPr>
        <w:t>10</w:t>
      </w:r>
      <w:r>
        <w:rPr>
          <w:rFonts w:ascii="宋体" w:hAnsi="宋体" w:cs="宋体" w:eastAsia="宋体" w:hint="default"/>
          <w:spacing w:val="-54"/>
        </w:rPr>
        <w:t> </w:t>
      </w:r>
      <w:r>
        <w:rPr/>
        <w:t>亿元；智慧芜湖项目，总投资约</w:t>
      </w:r>
      <w:r>
        <w:rPr>
          <w:spacing w:val="-54"/>
        </w:rPr>
        <w:t> </w:t>
      </w:r>
      <w:r>
        <w:rPr>
          <w:rFonts w:ascii="宋体" w:hAnsi="宋体" w:cs="宋体" w:eastAsia="宋体" w:hint="default"/>
        </w:rPr>
        <w:t>20</w:t>
      </w:r>
    </w:p>
    <w:p>
      <w:pPr>
        <w:pStyle w:val="BodyText"/>
        <w:spacing w:line="240" w:lineRule="auto" w:before="133"/>
        <w:ind w:right="0"/>
        <w:jc w:val="both"/>
      </w:pPr>
      <w:r>
        <w:rPr/>
        <w:t>亿元；韶山市智慧城市基础设施项目，总投资不低于</w:t>
      </w:r>
      <w:r>
        <w:rPr>
          <w:spacing w:val="-73"/>
        </w:rPr>
        <w:t> </w:t>
      </w:r>
      <w:r>
        <w:rPr>
          <w:rFonts w:ascii="宋体" w:hAnsi="宋体" w:cs="宋体" w:eastAsia="宋体" w:hint="default"/>
        </w:rPr>
        <w:t>10</w:t>
      </w:r>
      <w:r>
        <w:rPr>
          <w:rFonts w:ascii="宋体" w:hAnsi="宋体" w:cs="宋体" w:eastAsia="宋体" w:hint="default"/>
          <w:spacing w:val="-73"/>
        </w:rPr>
        <w:t> </w:t>
      </w:r>
      <w:r>
        <w:rPr>
          <w:spacing w:val="-3"/>
        </w:rPr>
        <w:t>亿元；武汉新洲区智慧城市项目，总投资</w:t>
      </w:r>
    </w:p>
    <w:p>
      <w:pPr>
        <w:spacing w:after="0" w:line="240" w:lineRule="auto"/>
        <w:jc w:val="both"/>
        <w:sectPr>
          <w:footerReference w:type="default" r:id="rId10"/>
          <w:pgSz w:w="11910" w:h="16840"/>
          <w:pgMar w:footer="1194" w:header="882" w:top="1120" w:bottom="1380" w:left="1660" w:right="1140"/>
        </w:sectPr>
      </w:pPr>
    </w:p>
    <w:p>
      <w:pPr>
        <w:spacing w:line="240" w:lineRule="auto" w:before="6"/>
        <w:rPr>
          <w:rFonts w:ascii="宋体" w:hAnsi="宋体" w:cs="宋体" w:eastAsia="宋体" w:hint="default"/>
          <w:sz w:val="25"/>
          <w:szCs w:val="25"/>
        </w:rPr>
      </w:pPr>
    </w:p>
    <w:p>
      <w:pPr>
        <w:pStyle w:val="BodyText"/>
        <w:spacing w:line="240" w:lineRule="auto" w:before="35"/>
        <w:ind w:left="218" w:right="86"/>
        <w:jc w:val="left"/>
      </w:pPr>
      <w:r>
        <w:rPr/>
        <w:t>不低于</w:t>
      </w:r>
      <w:r>
        <w:rPr>
          <w:spacing w:val="-55"/>
        </w:rPr>
        <w:t> </w:t>
      </w:r>
      <w:r>
        <w:rPr>
          <w:rFonts w:ascii="宋体" w:hAnsi="宋体" w:cs="宋体" w:eastAsia="宋体" w:hint="default"/>
        </w:rPr>
        <w:t>20</w:t>
      </w:r>
      <w:r>
        <w:rPr>
          <w:rFonts w:ascii="宋体" w:hAnsi="宋体" w:cs="宋体" w:eastAsia="宋体" w:hint="default"/>
          <w:spacing w:val="-54"/>
        </w:rPr>
        <w:t> </w:t>
      </w:r>
      <w:r>
        <w:rPr/>
        <w:t>亿元；共建重庆智慧两江战略合作项目，总投资金额</w:t>
      </w:r>
      <w:r>
        <w:rPr>
          <w:spacing w:val="-54"/>
        </w:rPr>
        <w:t> </w:t>
      </w:r>
      <w:r>
        <w:rPr>
          <w:rFonts w:ascii="宋体" w:hAnsi="宋体" w:cs="宋体" w:eastAsia="宋体" w:hint="default"/>
        </w:rPr>
        <w:t>40</w:t>
      </w:r>
      <w:r>
        <w:rPr>
          <w:rFonts w:ascii="宋体" w:hAnsi="宋体" w:cs="宋体" w:eastAsia="宋体" w:hint="default"/>
          <w:spacing w:val="-54"/>
        </w:rPr>
        <w:t> </w:t>
      </w:r>
      <w:r>
        <w:rPr/>
        <w:t>亿元；宁波杭州湾新区智慧城</w:t>
      </w:r>
    </w:p>
    <w:p>
      <w:pPr>
        <w:pStyle w:val="BodyText"/>
        <w:spacing w:line="357" w:lineRule="auto" w:before="133"/>
        <w:ind w:left="218" w:right="222"/>
        <w:jc w:val="left"/>
      </w:pPr>
      <w:r>
        <w:rPr>
          <w:spacing w:val="-3"/>
        </w:rPr>
        <w:t>市项目，总投资不低于</w:t>
      </w:r>
      <w:r>
        <w:rPr>
          <w:spacing w:val="-58"/>
        </w:rPr>
        <w:t> </w:t>
      </w:r>
      <w:r>
        <w:rPr>
          <w:rFonts w:ascii="宋体" w:hAnsi="宋体" w:cs="宋体" w:eastAsia="宋体" w:hint="default"/>
        </w:rPr>
        <w:t>30</w:t>
      </w:r>
      <w:r>
        <w:rPr>
          <w:rFonts w:ascii="宋体" w:hAnsi="宋体" w:cs="宋体" w:eastAsia="宋体" w:hint="default"/>
          <w:spacing w:val="-57"/>
        </w:rPr>
        <w:t> </w:t>
      </w:r>
      <w:r>
        <w:rPr/>
        <w:t>亿元。上述战略合作框架协议累计金额已达</w:t>
      </w:r>
      <w:r>
        <w:rPr>
          <w:spacing w:val="-57"/>
        </w:rPr>
        <w:t> </w:t>
      </w:r>
      <w:r>
        <w:rPr>
          <w:rFonts w:ascii="宋体" w:hAnsi="宋体" w:cs="宋体" w:eastAsia="宋体" w:hint="default"/>
        </w:rPr>
        <w:t>195</w:t>
      </w:r>
      <w:r>
        <w:rPr>
          <w:rFonts w:ascii="宋体" w:hAnsi="宋体" w:cs="宋体" w:eastAsia="宋体" w:hint="default"/>
          <w:spacing w:val="-57"/>
        </w:rPr>
        <w:t> </w:t>
      </w:r>
      <w:r>
        <w:rPr>
          <w:spacing w:val="-5"/>
        </w:rPr>
        <w:t>亿元。目前，公司正在</w:t>
      </w:r>
      <w:r>
        <w:rPr/>
        <w:t> 积极推动上述项目中具体项目的落地实施。</w:t>
      </w:r>
    </w:p>
    <w:p>
      <w:pPr>
        <w:pStyle w:val="BodyText"/>
        <w:spacing w:line="357" w:lineRule="auto" w:before="30"/>
        <w:ind w:left="218" w:right="246" w:firstLine="420"/>
        <w:jc w:val="both"/>
      </w:pPr>
      <w:r>
        <w:rPr/>
        <w:t>公司以战略合作框架协议的形式切入智慧城市建设，已签订了较多的资源，为公司预先抢占 市场赢得项目打下了坚实的基础。除此之外，公司及子公司智诚合讯还通过与绿地（香港）控股 有限公司、湖南省有线电视网络（集团）股份有限公司等具备区位资源及行业优势的大型企业签 署《战略合作协议》，达成战略合作伙伴关系，以期共同开发智慧城市项目资源。</w:t>
      </w:r>
    </w:p>
    <w:p>
      <w:pPr>
        <w:pStyle w:val="BodyText"/>
        <w:spacing w:line="340" w:lineRule="auto" w:before="31"/>
        <w:ind w:left="218" w:right="233" w:firstLine="420"/>
        <w:jc w:val="both"/>
      </w:pPr>
      <w:r>
        <w:rPr>
          <w:spacing w:val="-5"/>
        </w:rPr>
        <w:t>目前，公司在智慧城市建设领域，已形成顶层设计和咨询服务、城市大数据和运营管理平台、</w:t>
      </w:r>
      <w:r>
        <w:rPr/>
        <w:t> 信息安全和互联网安全、行业垂直应用、</w:t>
      </w:r>
      <w:r>
        <w:rPr>
          <w:rFonts w:ascii="Calibri" w:hAnsi="Calibri" w:cs="Calibri" w:eastAsia="Calibri" w:hint="default"/>
        </w:rPr>
        <w:t>PPP</w:t>
      </w:r>
      <w:r>
        <w:rPr>
          <w:rFonts w:ascii="Calibri" w:hAnsi="Calibri" w:cs="Calibri" w:eastAsia="Calibri" w:hint="default"/>
          <w:spacing w:val="3"/>
        </w:rPr>
        <w:t> </w:t>
      </w:r>
      <w:r>
        <w:rPr/>
        <w:t>客户融资等为核心竞争力的整体解决方案与项目实 施能力。</w:t>
      </w:r>
    </w:p>
    <w:p>
      <w:pPr>
        <w:spacing w:line="240" w:lineRule="auto" w:before="1"/>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11"/>
          <w:pgSz w:w="11910" w:h="16840"/>
          <w:pgMar w:footer="1194" w:header="882" w:top="1120" w:bottom="1380" w:left="1580" w:right="1040"/>
          <w:pgNumType w:start="11"/>
        </w:sectPr>
      </w:pP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4"/>
        </w:rPr>
        <w:t> </w:t>
      </w:r>
      <w:r>
        <w:rPr/>
        <w:t>主营业务分析</w:t>
      </w:r>
      <w:r>
        <w:rPr>
          <w:b w:val="0"/>
          <w:bCs w:val="0"/>
        </w:rPr>
      </w:r>
    </w:p>
    <w:p>
      <w:pPr>
        <w:pStyle w:val="Heading3"/>
        <w:tabs>
          <w:tab w:pos="586" w:val="left" w:leader="none"/>
        </w:tabs>
        <w:spacing w:line="240" w:lineRule="auto" w:before="30"/>
        <w:ind w:right="0"/>
        <w:jc w:val="left"/>
        <w:rPr>
          <w:b w:val="0"/>
          <w:bCs w:val="0"/>
        </w:rPr>
      </w:pPr>
      <w:r>
        <w:rPr>
          <w:rFonts w:ascii="宋体" w:hAnsi="宋体" w:cs="宋体" w:eastAsia="宋体" w:hint="default"/>
          <w:w w:val="95"/>
        </w:rPr>
        <w:t>1</w:t>
        <w:tab/>
      </w:r>
      <w:r>
        <w:rPr>
          <w:w w:val="95"/>
        </w:rPr>
        <w:t>利润表及现金流量表相关科目变动分析表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378" w:space="2357"/>
            <w:col w:w="2555"/>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73"/>
        <w:gridCol w:w="1858"/>
        <w:gridCol w:w="1875"/>
        <w:gridCol w:w="1844"/>
      </w:tblGrid>
      <w:tr>
        <w:trPr>
          <w:trHeight w:val="33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科目</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1"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2"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47,368,751.54</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42,540,125.62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11.35</w:t>
            </w:r>
          </w:p>
        </w:tc>
      </w:tr>
      <w:tr>
        <w:trPr>
          <w:trHeight w:val="33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32,865,558.28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29,288,010.07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12.22</w:t>
            </w:r>
          </w:p>
        </w:tc>
      </w:tr>
      <w:tr>
        <w:trPr>
          <w:trHeight w:val="33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9,299,540.00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9,151,185.83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1.62</w:t>
            </w:r>
          </w:p>
        </w:tc>
      </w:tr>
      <w:tr>
        <w:trPr>
          <w:trHeight w:val="339"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-174,997.88</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2"/>
              <w:jc w:val="right"/>
              <w:rPr>
                <w:rFonts w:ascii="宋体" w:hAnsi="宋体" w:cs="宋体" w:eastAsia="宋体" w:hint="default"/>
                <w:sz w:val="18"/>
                <w:szCs w:val="18"/>
              </w:rPr>
            </w:pPr>
            <w:r>
              <w:rPr>
                <w:rFonts w:ascii="宋体"/>
                <w:sz w:val="18"/>
              </w:rPr>
              <w:t>-348,272.49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49.75</w:t>
            </w:r>
          </w:p>
        </w:tc>
      </w:tr>
      <w:tr>
        <w:trPr>
          <w:trHeight w:val="33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-2,521,865.90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5,929,507.48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-142.53</w:t>
            </w:r>
          </w:p>
        </w:tc>
      </w:tr>
      <w:tr>
        <w:trPr>
          <w:trHeight w:val="337"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280,761.83</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1,609,750.97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-82.56</w:t>
            </w:r>
          </w:p>
        </w:tc>
      </w:tr>
      <w:tr>
        <w:trPr>
          <w:trHeight w:val="338" w:hRule="exact"/>
        </w:trPr>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-1,198,565.95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100.00</w:t>
            </w:r>
          </w:p>
        </w:tc>
      </w:tr>
    </w:tbl>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r>
        <w:rPr>
          <w:rFonts w:ascii="宋体" w:hAnsi="宋体" w:cs="宋体" w:eastAsia="宋体" w:hint="default"/>
        </w:rPr>
        <w:t>2 </w:t>
      </w:r>
      <w:r>
        <w:rPr>
          <w:rFonts w:ascii="宋体" w:hAnsi="宋体" w:cs="宋体" w:eastAsia="宋体" w:hint="default"/>
          <w:spacing w:val="50"/>
        </w:rPr>
        <w:t> </w:t>
      </w:r>
      <w:r>
        <w:rPr/>
        <w:t>收入</w:t>
      </w:r>
      <w:r>
        <w:rPr>
          <w:b w:val="0"/>
          <w:bCs w:val="0"/>
        </w:rPr>
      </w:r>
    </w:p>
    <w:p>
      <w:pPr>
        <w:pStyle w:val="Heading3"/>
        <w:spacing w:line="240" w:lineRule="auto" w:before="57"/>
        <w:ind w:right="0"/>
        <w:jc w:val="both"/>
        <w:rPr>
          <w:b w:val="0"/>
          <w:bCs w:val="0"/>
        </w:rPr>
      </w:pPr>
      <w:r>
        <w:rPr>
          <w:rFonts w:ascii="宋体" w:hAnsi="宋体" w:cs="宋体" w:eastAsia="宋体" w:hint="default"/>
        </w:rPr>
        <w:t>(1)</w:t>
      </w:r>
      <w:r>
        <w:rPr>
          <w:rFonts w:ascii="宋体" w:hAnsi="宋体" w:cs="宋体" w:eastAsia="宋体" w:hint="default"/>
          <w:spacing w:val="-7"/>
        </w:rPr>
        <w:t> </w:t>
      </w:r>
      <w:r>
        <w:rPr/>
        <w:t>驱动业务收入变化的因素分析</w:t>
      </w:r>
      <w:r>
        <w:rPr>
          <w:b w:val="0"/>
          <w:bCs w:val="0"/>
        </w:rPr>
      </w:r>
    </w:p>
    <w:p>
      <w:pPr>
        <w:pStyle w:val="BodyText"/>
        <w:spacing w:line="357" w:lineRule="auto" w:before="118"/>
        <w:ind w:left="218" w:right="233"/>
        <w:jc w:val="both"/>
      </w:pPr>
      <w:r>
        <w:rPr/>
        <w:t>报告期内，公司实现营业收入</w:t>
      </w:r>
      <w:r>
        <w:rPr>
          <w:spacing w:val="-67"/>
        </w:rPr>
        <w:t> </w:t>
      </w:r>
      <w:r>
        <w:rPr>
          <w:rFonts w:ascii="宋体" w:hAnsi="宋体" w:cs="宋体" w:eastAsia="宋体" w:hint="default"/>
        </w:rPr>
        <w:t>4736.88</w:t>
      </w:r>
      <w:r>
        <w:rPr>
          <w:rFonts w:ascii="宋体" w:hAnsi="宋体" w:cs="宋体" w:eastAsia="宋体" w:hint="default"/>
          <w:spacing w:val="-67"/>
        </w:rPr>
        <w:t> </w:t>
      </w:r>
      <w:r>
        <w:rPr/>
        <w:t>万元，较上年同期增长</w:t>
      </w:r>
      <w:r>
        <w:rPr>
          <w:spacing w:val="-67"/>
        </w:rPr>
        <w:t> </w:t>
      </w:r>
      <w:r>
        <w:rPr>
          <w:rFonts w:ascii="宋体" w:hAnsi="宋体" w:cs="宋体" w:eastAsia="宋体" w:hint="default"/>
        </w:rPr>
        <w:t>11.35%</w:t>
      </w:r>
      <w:r>
        <w:rPr/>
        <w:t>；其中，公司在主营业务物 业管理服务领域的营业收入较上年同期增长</w:t>
      </w:r>
      <w:r>
        <w:rPr>
          <w:spacing w:val="-53"/>
        </w:rPr>
        <w:t> </w:t>
      </w:r>
      <w:r>
        <w:rPr>
          <w:rFonts w:ascii="宋体" w:hAnsi="宋体" w:cs="宋体" w:eastAsia="宋体" w:hint="default"/>
        </w:rPr>
        <w:t>12.74%</w:t>
      </w:r>
      <w:r>
        <w:rPr/>
        <w:t>，增长原因是：①辽原物业服务的沈阳</w:t>
      </w:r>
      <w:r>
        <w:rPr>
          <w:rFonts w:ascii="宋体" w:hAnsi="宋体" w:cs="宋体" w:eastAsia="宋体" w:hint="default"/>
        </w:rPr>
        <w:t>-</w:t>
      </w:r>
      <w:r>
        <w:rPr/>
        <w:t>美村 项目</w:t>
      </w:r>
      <w:r>
        <w:rPr>
          <w:spacing w:val="-54"/>
        </w:rPr>
        <w:t> </w:t>
      </w:r>
      <w:r>
        <w:rPr>
          <w:rFonts w:ascii="宋体" w:hAnsi="宋体" w:cs="宋体" w:eastAsia="宋体" w:hint="default"/>
        </w:rPr>
        <w:t>2014</w:t>
      </w:r>
      <w:r>
        <w:rPr>
          <w:rFonts w:ascii="宋体" w:hAnsi="宋体" w:cs="宋体" w:eastAsia="宋体" w:hint="default"/>
          <w:spacing w:val="-54"/>
        </w:rPr>
        <w:t> </w:t>
      </w:r>
      <w:r>
        <w:rPr/>
        <w:t>年新增交付面积</w:t>
      </w:r>
      <w:r>
        <w:rPr>
          <w:spacing w:val="-54"/>
        </w:rPr>
        <w:t> </w:t>
      </w:r>
      <w:r>
        <w:rPr>
          <w:rFonts w:ascii="宋体" w:hAnsi="宋体" w:cs="宋体" w:eastAsia="宋体" w:hint="default"/>
        </w:rPr>
        <w:t>5</w:t>
      </w:r>
      <w:r>
        <w:rPr>
          <w:rFonts w:ascii="宋体" w:hAnsi="宋体" w:cs="宋体" w:eastAsia="宋体" w:hint="default"/>
          <w:spacing w:val="-53"/>
        </w:rPr>
        <w:t> </w:t>
      </w:r>
      <w:r>
        <w:rPr/>
        <w:t>万方；②成都物业服务的山外山项目</w:t>
      </w:r>
      <w:r>
        <w:rPr>
          <w:spacing w:val="-54"/>
        </w:rPr>
        <w:t> </w:t>
      </w:r>
      <w:r>
        <w:rPr>
          <w:rFonts w:ascii="宋体" w:hAnsi="宋体" w:cs="宋体" w:eastAsia="宋体" w:hint="default"/>
        </w:rPr>
        <w:t>2014</w:t>
      </w:r>
      <w:r>
        <w:rPr>
          <w:rFonts w:ascii="宋体" w:hAnsi="宋体" w:cs="宋体" w:eastAsia="宋体" w:hint="default"/>
          <w:spacing w:val="-54"/>
        </w:rPr>
        <w:t> </w:t>
      </w:r>
      <w:r>
        <w:rPr/>
        <w:t>年整体交付。</w:t>
      </w:r>
    </w:p>
    <w:p>
      <w:pPr>
        <w:spacing w:line="240" w:lineRule="auto" w:before="12"/>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3"/>
        <w:tabs>
          <w:tab w:pos="637" w:val="left" w:leader="none"/>
        </w:tabs>
        <w:spacing w:line="240" w:lineRule="auto"/>
        <w:ind w:right="-20"/>
        <w:jc w:val="left"/>
        <w:rPr>
          <w:b w:val="0"/>
          <w:bCs w:val="0"/>
        </w:rPr>
      </w:pPr>
      <w:r>
        <w:rPr>
          <w:rFonts w:ascii="宋体" w:hAnsi="宋体" w:cs="宋体" w:eastAsia="宋体" w:hint="default"/>
          <w:w w:val="95"/>
        </w:rPr>
        <w:t>3</w:t>
        <w:tab/>
      </w:r>
      <w:r>
        <w:rPr/>
        <w:t>成本</w:t>
      </w:r>
      <w:r>
        <w:rPr>
          <w:b w:val="0"/>
          <w:bCs w:val="0"/>
        </w:rPr>
      </w:r>
    </w:p>
    <w:p>
      <w:pPr>
        <w:pStyle w:val="Heading3"/>
        <w:spacing w:line="240" w:lineRule="auto" w:before="57"/>
        <w:ind w:right="-20"/>
        <w:jc w:val="left"/>
        <w:rPr>
          <w:b w:val="0"/>
          <w:bCs w:val="0"/>
        </w:rPr>
      </w:pPr>
      <w:r>
        <w:rPr>
          <w:rFonts w:ascii="宋体" w:hAnsi="宋体" w:cs="宋体" w:eastAsia="宋体" w:hint="default"/>
        </w:rPr>
        <w:t>(1)</w:t>
      </w:r>
      <w:r>
        <w:rPr>
          <w:rFonts w:ascii="宋体" w:hAnsi="宋体" w:cs="宋体" w:eastAsia="宋体" w:hint="default"/>
          <w:spacing w:val="-5"/>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17" w:right="0"/>
        <w:jc w:val="left"/>
      </w:pPr>
      <w:r>
        <w:rPr/>
        <w:t>单位：元</w:t>
      </w:r>
    </w:p>
    <w:p>
      <w:pPr>
        <w:spacing w:after="0" w:line="240" w:lineRule="auto"/>
        <w:jc w:val="left"/>
        <w:sectPr>
          <w:type w:val="continuous"/>
          <w:pgSz w:w="11910" w:h="16840"/>
          <w:pgMar w:top="1120" w:bottom="1380" w:left="1580" w:right="1040"/>
          <w:cols w:num="2" w:equalWidth="0">
            <w:col w:w="1692" w:space="6302"/>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4"/>
        <w:gridCol w:w="992"/>
        <w:gridCol w:w="1418"/>
        <w:gridCol w:w="966"/>
        <w:gridCol w:w="1386"/>
        <w:gridCol w:w="1011"/>
        <w:gridCol w:w="984"/>
        <w:gridCol w:w="910"/>
      </w:tblGrid>
      <w:tr>
        <w:trPr>
          <w:trHeight w:val="397"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分行业情况</w:t>
            </w:r>
          </w:p>
        </w:tc>
      </w:tr>
      <w:tr>
        <w:trPr>
          <w:trHeight w:val="1179"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33" w:lineRule="auto"/>
              <w:ind w:left="310" w:right="131" w:hanging="180"/>
              <w:jc w:val="left"/>
              <w:rPr>
                <w:rFonts w:ascii="宋体" w:hAnsi="宋体" w:cs="宋体" w:eastAsia="宋体" w:hint="default"/>
                <w:sz w:val="18"/>
                <w:szCs w:val="18"/>
              </w:rPr>
            </w:pPr>
            <w:r>
              <w:rPr>
                <w:rFonts w:ascii="宋体" w:hAnsi="宋体" w:cs="宋体" w:eastAsia="宋体" w:hint="default"/>
                <w:sz w:val="18"/>
                <w:szCs w:val="18"/>
              </w:rPr>
              <w:t>成本构成 项目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16" w:right="119"/>
              <w:jc w:val="center"/>
              <w:rPr>
                <w:rFonts w:ascii="宋体" w:hAnsi="宋体" w:cs="宋体" w:eastAsia="宋体" w:hint="default"/>
                <w:sz w:val="18"/>
                <w:szCs w:val="18"/>
              </w:rPr>
            </w:pPr>
            <w:r>
              <w:rPr>
                <w:rFonts w:ascii="宋体" w:hAnsi="宋体" w:cs="宋体" w:eastAsia="宋体" w:hint="default"/>
                <w:sz w:val="18"/>
                <w:szCs w:val="18"/>
              </w:rPr>
              <w:t>本期占总 成本比例 </w:t>
            </w:r>
            <w:r>
              <w:rPr>
                <w:rFonts w:ascii="宋体" w:hAnsi="宋体" w:cs="宋体" w:eastAsia="宋体" w:hint="default"/>
                <w:sz w:val="18"/>
                <w:szCs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上年同期金额</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8"/>
              <w:ind w:left="139" w:right="141"/>
              <w:jc w:val="both"/>
              <w:rPr>
                <w:rFonts w:ascii="宋体" w:hAnsi="宋体" w:cs="宋体" w:eastAsia="宋体" w:hint="default"/>
                <w:sz w:val="18"/>
                <w:szCs w:val="18"/>
              </w:rPr>
            </w:pPr>
            <w:r>
              <w:rPr>
                <w:rFonts w:ascii="宋体" w:hAnsi="宋体" w:cs="宋体" w:eastAsia="宋体" w:hint="default"/>
                <w:sz w:val="18"/>
                <w:szCs w:val="18"/>
              </w:rPr>
              <w:t>上年同期 占总成本 比例</w:t>
            </w:r>
            <w:r>
              <w:rPr>
                <w:rFonts w:ascii="宋体" w:hAnsi="宋体" w:cs="宋体" w:eastAsia="宋体" w:hint="default"/>
                <w:sz w:val="18"/>
                <w:szCs w:val="18"/>
              </w:rPr>
              <w:t>(%)</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25" w:right="126"/>
              <w:jc w:val="center"/>
              <w:rPr>
                <w:rFonts w:ascii="宋体" w:hAnsi="宋体" w:cs="宋体" w:eastAsia="宋体" w:hint="default"/>
                <w:sz w:val="18"/>
                <w:szCs w:val="18"/>
              </w:rPr>
            </w:pPr>
            <w:r>
              <w:rPr>
                <w:rFonts w:ascii="宋体" w:hAnsi="宋体" w:cs="宋体" w:eastAsia="宋体" w:hint="default"/>
                <w:sz w:val="18"/>
                <w:szCs w:val="18"/>
              </w:rPr>
              <w:t>本期金额 较上年同 期变动比 例</w:t>
            </w:r>
            <w:r>
              <w:rPr>
                <w:rFonts w:ascii="宋体" w:hAnsi="宋体" w:cs="宋体" w:eastAsia="宋体" w:hint="default"/>
                <w:sz w:val="18"/>
                <w:szCs w:val="18"/>
              </w:rPr>
              <w:t>(%)</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333" w:lineRule="auto"/>
              <w:ind w:left="268" w:right="269"/>
              <w:jc w:val="left"/>
              <w:rPr>
                <w:rFonts w:ascii="宋体" w:hAnsi="宋体" w:cs="宋体" w:eastAsia="宋体" w:hint="default"/>
                <w:sz w:val="18"/>
                <w:szCs w:val="18"/>
              </w:rPr>
            </w:pPr>
            <w:r>
              <w:rPr>
                <w:rFonts w:ascii="宋体" w:hAnsi="宋体" w:cs="宋体" w:eastAsia="宋体" w:hint="default"/>
                <w:sz w:val="18"/>
                <w:szCs w:val="18"/>
              </w:rPr>
              <w:t>情况 说明</w:t>
            </w:r>
          </w:p>
        </w:tc>
      </w:tr>
      <w:tr>
        <w:trPr>
          <w:trHeight w:val="33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5"/>
              <w:jc w:val="center"/>
              <w:rPr>
                <w:rFonts w:ascii="宋体" w:hAnsi="宋体" w:cs="宋体" w:eastAsia="宋体" w:hint="default"/>
                <w:sz w:val="18"/>
                <w:szCs w:val="18"/>
              </w:rPr>
            </w:pPr>
            <w:r>
              <w:rPr>
                <w:rFonts w:ascii="宋体" w:hAnsi="宋体" w:cs="宋体" w:eastAsia="宋体" w:hint="default"/>
                <w:sz w:val="18"/>
                <w:szCs w:val="18"/>
              </w:rPr>
              <w:t>物业管理服务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
              <w:jc w:val="center"/>
              <w:rPr>
                <w:rFonts w:ascii="宋体" w:hAnsi="宋体" w:cs="宋体" w:eastAsia="宋体" w:hint="default"/>
                <w:sz w:val="18"/>
                <w:szCs w:val="18"/>
              </w:rPr>
            </w:pPr>
            <w:r>
              <w:rPr>
                <w:rFonts w:ascii="宋体" w:hAnsi="宋体" w:cs="宋体" w:eastAsia="宋体" w:hint="default"/>
                <w:sz w:val="18"/>
                <w:szCs w:val="18"/>
              </w:rPr>
              <w:t>人工费用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32,178,887.29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97.91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28,661,420.04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97.86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12.27</w:t>
            </w:r>
          </w:p>
        </w:tc>
        <w:tc>
          <w:tcPr>
            <w:tcW w:w="910"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85"/>
              <w:jc w:val="center"/>
              <w:rPr>
                <w:rFonts w:ascii="宋体" w:hAnsi="宋体" w:cs="宋体" w:eastAsia="宋体" w:hint="default"/>
                <w:sz w:val="18"/>
                <w:szCs w:val="18"/>
              </w:rPr>
            </w:pPr>
            <w:r>
              <w:rPr>
                <w:rFonts w:ascii="宋体" w:hAnsi="宋体" w:cs="宋体" w:eastAsia="宋体" w:hint="default"/>
                <w:sz w:val="18"/>
                <w:szCs w:val="18"/>
              </w:rPr>
              <w:t>物业居家生活</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4"/>
              <w:jc w:val="center"/>
              <w:rPr>
                <w:rFonts w:ascii="宋体" w:hAnsi="宋体" w:cs="宋体" w:eastAsia="宋体" w:hint="default"/>
                <w:sz w:val="18"/>
                <w:szCs w:val="18"/>
              </w:rPr>
            </w:pPr>
            <w:r>
              <w:rPr>
                <w:rFonts w:ascii="宋体" w:hAnsi="宋体" w:cs="宋体" w:eastAsia="宋体" w:hint="default"/>
                <w:sz w:val="18"/>
                <w:szCs w:val="18"/>
              </w:rPr>
              <w:t>人工费用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686,670.99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2.09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626,590.03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2.14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9.59</w:t>
            </w: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4"/>
        <w:gridCol w:w="992"/>
        <w:gridCol w:w="1418"/>
        <w:gridCol w:w="966"/>
        <w:gridCol w:w="1386"/>
        <w:gridCol w:w="1011"/>
        <w:gridCol w:w="984"/>
        <w:gridCol w:w="910"/>
      </w:tblGrid>
      <w:tr>
        <w:trPr>
          <w:trHeight w:val="290"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9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tabs>
          <w:tab w:pos="637" w:val="left" w:leader="none"/>
        </w:tabs>
        <w:spacing w:line="240" w:lineRule="auto"/>
        <w:ind w:right="89"/>
        <w:jc w:val="left"/>
        <w:rPr>
          <w:b w:val="0"/>
          <w:bCs w:val="0"/>
        </w:rPr>
      </w:pPr>
      <w:r>
        <w:rPr>
          <w:rFonts w:ascii="宋体" w:hAnsi="宋体" w:cs="宋体" w:eastAsia="宋体" w:hint="default"/>
          <w:w w:val="95"/>
        </w:rPr>
        <w:t>4</w:t>
        <w:tab/>
      </w:r>
      <w:r>
        <w:rPr/>
        <w:t>费用</w:t>
      </w:r>
      <w:r>
        <w:rPr>
          <w:b w:val="0"/>
          <w:bCs w:val="0"/>
        </w:rPr>
      </w:r>
    </w:p>
    <w:p>
      <w:pPr>
        <w:pStyle w:val="BodyText"/>
        <w:spacing w:line="240" w:lineRule="auto" w:before="57"/>
        <w:ind w:left="0" w:right="325"/>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2"/>
        <w:gridCol w:w="2262"/>
        <w:gridCol w:w="2262"/>
        <w:gridCol w:w="2263"/>
      </w:tblGrid>
      <w:tr>
        <w:trPr>
          <w:trHeight w:val="339"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675"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539"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7"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9,299,540.00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9,151,185.83</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1.62</w:t>
            </w:r>
          </w:p>
        </w:tc>
      </w:tr>
      <w:tr>
        <w:trPr>
          <w:trHeight w:val="338"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-174,997.88</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-348,272.49</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49.75</w:t>
            </w:r>
          </w:p>
        </w:tc>
      </w:tr>
      <w:tr>
        <w:trPr>
          <w:trHeight w:val="338" w:hRule="exact"/>
        </w:trPr>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1,813,769.29</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1,945,573.62</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-6.77</w:t>
            </w:r>
          </w:p>
        </w:tc>
      </w:tr>
    </w:tbl>
    <w:p>
      <w:pPr>
        <w:pStyle w:val="BodyText"/>
        <w:spacing w:line="240" w:lineRule="auto" w:before="86"/>
        <w:ind w:left="218" w:right="89"/>
        <w:jc w:val="left"/>
      </w:pPr>
      <w:r>
        <w:rPr/>
        <w:t>公司财务费用较上年同期增长</w:t>
      </w:r>
      <w:r>
        <w:rPr>
          <w:spacing w:val="-55"/>
        </w:rPr>
        <w:t> </w:t>
      </w:r>
      <w:r>
        <w:rPr>
          <w:rFonts w:ascii="宋体" w:hAnsi="宋体" w:cs="宋体" w:eastAsia="宋体" w:hint="default"/>
        </w:rPr>
        <w:t>49.75%</w:t>
      </w:r>
      <w:r>
        <w:rPr/>
        <w:t>，主要原因是：因为银行存款减少导致利息收入减少。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tabs>
          <w:tab w:pos="637" w:val="left" w:leader="none"/>
        </w:tabs>
        <w:spacing w:line="240" w:lineRule="auto" w:before="0"/>
        <w:ind w:right="89"/>
        <w:jc w:val="left"/>
        <w:rPr>
          <w:b w:val="0"/>
          <w:bCs w:val="0"/>
        </w:rPr>
      </w:pPr>
      <w:r>
        <w:rPr>
          <w:rFonts w:ascii="宋体" w:hAnsi="宋体" w:cs="宋体" w:eastAsia="宋体" w:hint="default"/>
          <w:w w:val="95"/>
        </w:rPr>
        <w:t>5</w:t>
        <w:tab/>
      </w:r>
      <w:r>
        <w:rPr/>
        <w:t>现金流</w:t>
      </w:r>
      <w:r>
        <w:rPr>
          <w:b w:val="0"/>
          <w:bCs w:val="0"/>
        </w:rPr>
      </w:r>
    </w:p>
    <w:p>
      <w:pPr>
        <w:pStyle w:val="BodyText"/>
        <w:spacing w:line="240" w:lineRule="auto" w:before="57"/>
        <w:ind w:left="0" w:right="325"/>
        <w:jc w:val="right"/>
      </w:pPr>
      <w:r>
        <w:rPr/>
        <w:t>单位：元</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4"/>
        <w:gridCol w:w="2127"/>
        <w:gridCol w:w="2127"/>
        <w:gridCol w:w="1853"/>
      </w:tblGrid>
      <w:tr>
        <w:trPr>
          <w:trHeight w:val="337"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科目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8" w:right="0"/>
              <w:jc w:val="left"/>
              <w:rPr>
                <w:rFonts w:ascii="宋体" w:hAnsi="宋体" w:cs="宋体" w:eastAsia="宋体" w:hint="default"/>
                <w:sz w:val="18"/>
                <w:szCs w:val="18"/>
              </w:rPr>
            </w:pPr>
            <w:r>
              <w:rPr>
                <w:rFonts w:ascii="宋体" w:hAnsi="宋体" w:cs="宋体" w:eastAsia="宋体" w:hint="default"/>
                <w:sz w:val="18"/>
                <w:szCs w:val="18"/>
              </w:rPr>
              <w:t>上年同期数</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4" w:right="0"/>
              <w:jc w:val="left"/>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3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-2,521,865.90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5,929,507.48</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-142.53</w:t>
            </w:r>
          </w:p>
        </w:tc>
      </w:tr>
      <w:tr>
        <w:trPr>
          <w:trHeight w:val="33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280,761.83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1,609,750.97</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-82.56</w:t>
            </w:r>
          </w:p>
        </w:tc>
      </w:tr>
      <w:tr>
        <w:trPr>
          <w:trHeight w:val="338"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-1,198,565.95</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100.00</w:t>
            </w:r>
          </w:p>
        </w:tc>
      </w:tr>
    </w:tbl>
    <w:p>
      <w:pPr>
        <w:pStyle w:val="BodyText"/>
        <w:spacing w:line="357" w:lineRule="auto" w:before="86"/>
        <w:ind w:left="218" w:right="311"/>
        <w:jc w:val="both"/>
      </w:pPr>
      <w:r>
        <w:rPr/>
        <w:t>公司经营活动产生的现金流量净额较上年同期下降</w:t>
      </w:r>
      <w:r>
        <w:rPr>
          <w:spacing w:val="-53"/>
        </w:rPr>
        <w:t> </w:t>
      </w:r>
      <w:r>
        <w:rPr>
          <w:rFonts w:ascii="宋体" w:hAnsi="宋体" w:cs="宋体" w:eastAsia="宋体" w:hint="default"/>
        </w:rPr>
        <w:t>142.53%</w:t>
      </w:r>
      <w:r>
        <w:rPr/>
        <w:t>，主要原因是：归还郡原地产债务； 公司投资活动产生的现金流量净额较上年同期下降</w:t>
      </w:r>
      <w:r>
        <w:rPr>
          <w:spacing w:val="-87"/>
        </w:rPr>
        <w:t> </w:t>
      </w:r>
      <w:r>
        <w:rPr>
          <w:rFonts w:ascii="宋体" w:hAnsi="宋体" w:cs="宋体" w:eastAsia="宋体" w:hint="default"/>
        </w:rPr>
        <w:t>82.56%</w:t>
      </w:r>
      <w:r>
        <w:rPr/>
        <w:t>，主要原因是：本年度无处置药号等无 形资产收入；</w:t>
      </w:r>
    </w:p>
    <w:p>
      <w:pPr>
        <w:pStyle w:val="BodyText"/>
        <w:spacing w:line="240" w:lineRule="auto" w:before="30"/>
        <w:ind w:left="218" w:right="0"/>
        <w:jc w:val="both"/>
      </w:pPr>
      <w:r>
        <w:rPr/>
        <w:t>公司筹资活动产生的现金流量净额较上年同期增长</w:t>
      </w:r>
      <w:r>
        <w:rPr>
          <w:spacing w:val="1"/>
        </w:rPr>
        <w:t> </w:t>
      </w:r>
      <w:r>
        <w:rPr>
          <w:rFonts w:ascii="宋体" w:hAnsi="宋体" w:cs="宋体" w:eastAsia="宋体" w:hint="default"/>
        </w:rPr>
        <w:t>100%</w:t>
      </w:r>
      <w:r>
        <w:rPr/>
        <w:t>，主要原因是：本年度无相关筹资活动。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before="0"/>
        <w:ind w:right="0"/>
        <w:jc w:val="both"/>
        <w:rPr>
          <w:b w:val="0"/>
          <w:bCs w:val="0"/>
        </w:rPr>
      </w:pPr>
      <w:r>
        <w:rPr>
          <w:rFonts w:ascii="宋体" w:hAnsi="宋体" w:cs="宋体" w:eastAsia="宋体" w:hint="default"/>
        </w:rPr>
        <w:t>6 </w:t>
      </w:r>
      <w:r>
        <w:rPr>
          <w:rFonts w:ascii="宋体" w:hAnsi="宋体" w:cs="宋体" w:eastAsia="宋体" w:hint="default"/>
          <w:spacing w:val="102"/>
        </w:rPr>
        <w:t> </w:t>
      </w:r>
      <w:r>
        <w:rPr/>
        <w:t>其他</w:t>
      </w:r>
      <w:r>
        <w:rPr>
          <w:b w:val="0"/>
          <w:bCs w:val="0"/>
        </w:rPr>
      </w:r>
    </w:p>
    <w:p>
      <w:pPr>
        <w:spacing w:line="343" w:lineRule="auto" w:before="57"/>
        <w:ind w:left="218" w:right="4076"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
          <w:sz w:val="21"/>
          <w:szCs w:val="21"/>
        </w:rPr>
        <w:t> </w:t>
      </w:r>
      <w:r>
        <w:rPr>
          <w:rFonts w:ascii="宋体" w:hAnsi="宋体" w:cs="宋体" w:eastAsia="宋体" w:hint="default"/>
          <w:b/>
          <w:bCs/>
          <w:sz w:val="21"/>
          <w:szCs w:val="21"/>
        </w:rPr>
        <w:t>公司利润构成或利润来源发生重大变动的详细说明</w:t>
      </w:r>
      <w:r>
        <w:rPr>
          <w:rFonts w:ascii="宋体" w:hAnsi="宋体" w:cs="宋体" w:eastAsia="宋体" w:hint="default"/>
          <w:b/>
          <w:bCs/>
          <w:w w:val="99"/>
          <w:sz w:val="21"/>
          <w:szCs w:val="21"/>
        </w:rPr>
        <w:t> </w:t>
      </w:r>
      <w:r>
        <w:rPr>
          <w:rFonts w:ascii="宋体" w:hAnsi="宋体" w:cs="宋体" w:eastAsia="宋体" w:hint="default"/>
          <w:sz w:val="21"/>
          <w:szCs w:val="21"/>
        </w:rPr>
        <w:t>报告期内，公司利润构成或利润来源未发生重大变动。</w:t>
      </w:r>
    </w:p>
    <w:p>
      <w:pPr>
        <w:spacing w:line="290" w:lineRule="auto" w:before="103"/>
        <w:ind w:left="638" w:right="3443"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9"/>
          <w:sz w:val="21"/>
          <w:szCs w:val="21"/>
        </w:rPr>
        <w:t> </w:t>
      </w:r>
      <w:r>
        <w:rPr>
          <w:rFonts w:ascii="宋体" w:hAnsi="宋体" w:cs="宋体" w:eastAsia="宋体" w:hint="default"/>
          <w:b/>
          <w:bCs/>
          <w:sz w:val="21"/>
          <w:szCs w:val="21"/>
        </w:rPr>
        <w:t>公司前期各类融资、重大资产重组事项实施进度分析说明</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、重大资产重组实施情况</w:t>
      </w:r>
    </w:p>
    <w:p>
      <w:pPr>
        <w:pStyle w:val="BodyText"/>
        <w:spacing w:line="357" w:lineRule="auto" w:before="89"/>
        <w:ind w:left="218" w:right="89" w:firstLine="420"/>
        <w:jc w:val="left"/>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日披露《关于重大资产重组停牌的公告》，公司股票于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 </w:t>
      </w:r>
      <w:r>
        <w:rPr/>
        <w:t>日开市起停牌。公司拟采取发行股份购买资产并募集配套资金的方式购买上海斐讯数据通信技术 有限公司全体股东合计持有的斐讯通信</w:t>
      </w:r>
      <w:r>
        <w:rPr>
          <w:spacing w:val="-40"/>
        </w:rPr>
        <w:t> </w:t>
      </w:r>
      <w:r>
        <w:rPr>
          <w:rFonts w:ascii="宋体" w:hAnsi="宋体" w:cs="宋体" w:eastAsia="宋体" w:hint="default"/>
          <w:spacing w:val="-2"/>
        </w:rPr>
        <w:t>100%</w:t>
      </w:r>
      <w:r>
        <w:rPr>
          <w:spacing w:val="-2"/>
        </w:rPr>
        <w:t>股权，本次重组完成后公司的实际控制权将发生变更，</w:t>
      </w:r>
      <w:r>
        <w:rPr>
          <w:spacing w:val="-103"/>
        </w:rPr>
        <w:t> </w:t>
      </w:r>
      <w:r>
        <w:rPr>
          <w:spacing w:val="-103"/>
        </w:rPr>
      </w:r>
      <w:r>
        <w:rPr/>
        <w:t>斐讯通信将成为公司的全资子公司，公司主营业务将变更为信息技术业。</w:t>
      </w:r>
    </w:p>
    <w:p>
      <w:pPr>
        <w:pStyle w:val="BodyText"/>
        <w:spacing w:line="357" w:lineRule="auto" w:before="30"/>
        <w:ind w:left="218" w:right="325" w:firstLine="420"/>
        <w:jc w:val="both"/>
      </w:pPr>
      <w:r>
        <w:rPr/>
        <w:t>公司与斐讯通信就本次重大资产重组事项进行了积极的磋商和沟通论证，并在交易的总体框 架上取得了诸多共识，由于双方未能在一些事项上达成一致意见，经公司与斐讯通信友好协商， 双方决定终止本次重大资产重组事项。</w:t>
      </w:r>
    </w:p>
    <w:p>
      <w:pPr>
        <w:pStyle w:val="BodyText"/>
        <w:spacing w:line="240" w:lineRule="auto" w:before="30"/>
        <w:ind w:left="638" w:right="89"/>
        <w:jc w:val="left"/>
      </w:pPr>
      <w:r>
        <w:rPr>
          <w:rFonts w:ascii="宋体" w:hAnsi="宋体" w:cs="宋体" w:eastAsia="宋体" w:hint="default"/>
        </w:rPr>
        <w:t>2</w:t>
      </w:r>
      <w:r>
        <w:rPr/>
        <w:t>、非公开发行实施情况</w:t>
      </w:r>
    </w:p>
    <w:p>
      <w:pPr>
        <w:pStyle w:val="BodyText"/>
        <w:spacing w:line="240" w:lineRule="auto" w:before="134"/>
        <w:ind w:left="638" w:right="89"/>
        <w:jc w:val="left"/>
      </w:pPr>
      <w:r>
        <w:rPr/>
        <w:t>公司于</w:t>
      </w:r>
      <w:r>
        <w:rPr>
          <w:spacing w:val="-49"/>
        </w:rPr>
        <w:t> </w:t>
      </w:r>
      <w:r>
        <w:rPr>
          <w:rFonts w:ascii="宋体" w:hAnsi="宋体" w:cs="宋体" w:eastAsia="宋体" w:hint="default"/>
        </w:rPr>
        <w:t>2014</w:t>
      </w:r>
      <w:r>
        <w:rPr>
          <w:rFonts w:ascii="宋体" w:hAnsi="宋体" w:cs="宋体" w:eastAsia="宋体" w:hint="default"/>
          <w:spacing w:val="-50"/>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1</w:t>
      </w:r>
      <w:r>
        <w:rPr>
          <w:rFonts w:ascii="宋体" w:hAnsi="宋体" w:cs="宋体" w:eastAsia="宋体" w:hint="default"/>
          <w:spacing w:val="-48"/>
        </w:rPr>
        <w:t> </w:t>
      </w:r>
      <w:r>
        <w:rPr>
          <w:spacing w:val="-4"/>
        </w:rPr>
        <w:t>日披露《关于筹划非公开发行股票事项并继续停牌的公告》，公司股票</w:t>
      </w:r>
    </w:p>
    <w:p>
      <w:pPr>
        <w:pStyle w:val="BodyText"/>
        <w:spacing w:line="357" w:lineRule="auto" w:before="133"/>
        <w:ind w:left="218" w:right="305"/>
        <w:jc w:val="left"/>
      </w:pPr>
      <w:r>
        <w:rPr/>
        <w:t>于</w:t>
      </w:r>
      <w:r>
        <w:rPr>
          <w:spacing w:val="-52"/>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2"/>
        </w:rPr>
        <w:t> </w:t>
      </w:r>
      <w:r>
        <w:rPr>
          <w:rFonts w:ascii="宋体" w:hAnsi="宋体" w:cs="宋体" w:eastAsia="宋体" w:hint="default"/>
        </w:rPr>
        <w:t>1</w:t>
      </w:r>
      <w:r>
        <w:rPr>
          <w:rFonts w:ascii="宋体" w:hAnsi="宋体" w:cs="宋体" w:eastAsia="宋体" w:hint="default"/>
          <w:spacing w:val="-51"/>
        </w:rPr>
        <w:t> </w:t>
      </w:r>
      <w:r>
        <w:rPr>
          <w:spacing w:val="-3"/>
        </w:rPr>
        <w:t>日开市起继续停牌。公司基于对发展智慧城市业务的可行性论证，拟筹划通过向</w:t>
      </w:r>
      <w:r>
        <w:rPr/>
        <w:t> 顾国平等九名特定对象非公开发行股票方式募集资金以发展智慧城市为主的经营业务。本次非公</w:t>
      </w:r>
    </w:p>
    <w:p>
      <w:pPr>
        <w:spacing w:after="0" w:line="357" w:lineRule="auto"/>
        <w:jc w:val="left"/>
        <w:sectPr>
          <w:pgSz w:w="11910" w:h="16840"/>
          <w:pgMar w:header="882" w:footer="1194" w:top="1120" w:bottom="1380" w:left="1580" w:right="960"/>
        </w:sectPr>
      </w:pPr>
    </w:p>
    <w:p>
      <w:pPr>
        <w:spacing w:line="240" w:lineRule="auto" w:before="6"/>
        <w:rPr>
          <w:rFonts w:ascii="宋体" w:hAnsi="宋体" w:cs="宋体" w:eastAsia="宋体" w:hint="default"/>
          <w:sz w:val="25"/>
          <w:szCs w:val="25"/>
        </w:rPr>
      </w:pPr>
    </w:p>
    <w:p>
      <w:pPr>
        <w:pStyle w:val="BodyText"/>
        <w:spacing w:line="240" w:lineRule="auto" w:before="35"/>
        <w:ind w:left="658" w:right="0"/>
        <w:jc w:val="both"/>
      </w:pPr>
      <w:r>
        <w:rPr/>
        <w:t>开发行募集资金总额（含发行费用）不超过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4"/>
        </w:rPr>
        <w:t> </w:t>
      </w:r>
      <w:r>
        <w:rPr>
          <w:rFonts w:ascii="宋体" w:hAnsi="宋体" w:cs="宋体" w:eastAsia="宋体" w:hint="default"/>
        </w:rPr>
        <w:t>235,000</w:t>
      </w:r>
      <w:r>
        <w:rPr>
          <w:rFonts w:ascii="宋体" w:hAnsi="宋体" w:cs="宋体" w:eastAsia="宋体" w:hint="default"/>
          <w:spacing w:val="-54"/>
        </w:rPr>
        <w:t> </w:t>
      </w:r>
      <w:r>
        <w:rPr/>
        <w:t>万元），扣除发行费用后</w:t>
      </w:r>
    </w:p>
    <w:p>
      <w:pPr>
        <w:pStyle w:val="BodyText"/>
        <w:spacing w:line="357" w:lineRule="auto" w:before="133"/>
        <w:ind w:left="658" w:right="666"/>
        <w:jc w:val="both"/>
      </w:pPr>
      <w:r>
        <w:rPr/>
        <w:t>的募集资金净额拟投入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万元用于智慧城市研发与运营中心项目，剩余资金用于补充智 慧城市业务的营运资金，支持公司战略转型。</w:t>
      </w:r>
    </w:p>
    <w:p>
      <w:pPr>
        <w:pStyle w:val="BodyText"/>
        <w:spacing w:line="240" w:lineRule="auto" w:before="30"/>
        <w:ind w:left="1078" w:right="64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日，公司公告《非公开发行股票预案》，拟以</w:t>
      </w:r>
      <w:r>
        <w:rPr>
          <w:spacing w:val="-54"/>
        </w:rPr>
        <w:t> </w:t>
      </w:r>
      <w:r>
        <w:rPr>
          <w:rFonts w:ascii="宋体" w:hAnsi="宋体" w:cs="宋体" w:eastAsia="宋体" w:hint="default"/>
        </w:rPr>
        <w:t>3.65</w:t>
      </w:r>
      <w:r>
        <w:rPr>
          <w:rFonts w:ascii="宋体" w:hAnsi="宋体" w:cs="宋体" w:eastAsia="宋体" w:hint="default"/>
          <w:spacing w:val="-53"/>
        </w:rPr>
        <w:t> </w:t>
      </w:r>
      <w:r>
        <w:rPr/>
        <w:t>元</w:t>
      </w:r>
      <w:r>
        <w:rPr>
          <w:rFonts w:ascii="宋体" w:hAnsi="宋体" w:cs="宋体" w:eastAsia="宋体" w:hint="default"/>
        </w:rPr>
        <w:t>/</w:t>
      </w:r>
      <w:r>
        <w:rPr/>
        <w:t>股的发行价格向顾国</w:t>
      </w:r>
    </w:p>
    <w:p>
      <w:pPr>
        <w:pStyle w:val="BodyText"/>
        <w:spacing w:line="240" w:lineRule="auto" w:before="134"/>
        <w:ind w:left="658" w:right="0"/>
        <w:jc w:val="both"/>
      </w:pPr>
      <w:r>
        <w:rPr>
          <w:spacing w:val="-4"/>
        </w:rPr>
        <w:t>平等九名特定对象非公开发行股票；</w:t>
      </w:r>
      <w:r>
        <w:rPr>
          <w:rFonts w:ascii="宋体" w:hAnsi="宋体" w:cs="宋体" w:eastAsia="宋体" w:hint="default"/>
          <w:spacing w:val="-4"/>
        </w:rPr>
        <w:t>2014</w:t>
      </w:r>
      <w:r>
        <w:rPr>
          <w:rFonts w:ascii="宋体" w:hAnsi="宋体" w:cs="宋体" w:eastAsia="宋体" w:hint="default"/>
          <w:spacing w:val="-52"/>
        </w:rPr>
        <w:t> </w:t>
      </w:r>
      <w:r>
        <w:rPr/>
        <w:t>年</w:t>
      </w:r>
      <w:r>
        <w:rPr>
          <w:spacing w:val="-52"/>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spacing w:val="-11"/>
        </w:rPr>
        <w:t>日，公司召开了</w:t>
      </w:r>
      <w:r>
        <w:rPr>
          <w:spacing w:val="-52"/>
        </w:rPr>
        <w:t> </w:t>
      </w:r>
      <w:r>
        <w:rPr>
          <w:rFonts w:ascii="宋体" w:hAnsi="宋体" w:cs="宋体" w:eastAsia="宋体" w:hint="default"/>
        </w:rPr>
        <w:t>2014</w:t>
      </w:r>
      <w:r>
        <w:rPr>
          <w:rFonts w:ascii="宋体" w:hAnsi="宋体" w:cs="宋体" w:eastAsia="宋体" w:hint="default"/>
          <w:spacing w:val="-51"/>
        </w:rPr>
        <w:t> </w:t>
      </w:r>
      <w:r>
        <w:rPr/>
        <w:t>年第二次临时股东大会，</w:t>
      </w:r>
    </w:p>
    <w:p>
      <w:pPr>
        <w:pStyle w:val="BodyText"/>
        <w:spacing w:line="240" w:lineRule="auto" w:before="133"/>
        <w:ind w:left="658" w:right="0"/>
        <w:jc w:val="both"/>
        <w:rPr>
          <w:rFonts w:ascii="宋体" w:hAnsi="宋体" w:cs="宋体" w:eastAsia="宋体" w:hint="default"/>
        </w:rPr>
      </w:pPr>
      <w:r>
        <w:rPr/>
        <w:t>审议通过了</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日公司董事会审议通过的公司非公开发行股票的相关议案；</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p>
    <w:p>
      <w:pPr>
        <w:pStyle w:val="BodyText"/>
        <w:spacing w:line="357" w:lineRule="auto" w:before="133"/>
        <w:ind w:left="658" w:right="652"/>
        <w:jc w:val="both"/>
      </w:pPr>
      <w:r>
        <w:rPr/>
        <w:t>月</w:t>
      </w:r>
      <w:r>
        <w:rPr>
          <w:spacing w:val="-39"/>
        </w:rPr>
        <w:t> </w:t>
      </w:r>
      <w:r>
        <w:rPr>
          <w:rFonts w:ascii="宋体" w:hAnsi="宋体" w:cs="宋体" w:eastAsia="宋体" w:hint="default"/>
        </w:rPr>
        <w:t>18</w:t>
      </w:r>
      <w:r>
        <w:rPr>
          <w:rFonts w:ascii="宋体" w:hAnsi="宋体" w:cs="宋体" w:eastAsia="宋体" w:hint="default"/>
          <w:spacing w:val="-37"/>
        </w:rPr>
        <w:t> </w:t>
      </w:r>
      <w:r>
        <w:rPr>
          <w:spacing w:val="-3"/>
        </w:rPr>
        <w:t>日，公司收到中国证监会发来的《中国证监会行政许可申请受理通知书》【</w:t>
      </w:r>
      <w:r>
        <w:rPr>
          <w:rFonts w:ascii="宋体" w:hAnsi="宋体" w:cs="宋体" w:eastAsia="宋体" w:hint="default"/>
          <w:spacing w:val="-3"/>
        </w:rPr>
        <w:t>141168</w:t>
      </w:r>
      <w:r>
        <w:rPr>
          <w:spacing w:val="-3"/>
        </w:rPr>
        <w:t>】号，中</w:t>
      </w:r>
      <w:r>
        <w:rPr>
          <w:spacing w:val="-102"/>
        </w:rPr>
        <w:t> </w:t>
      </w:r>
      <w:r>
        <w:rPr>
          <w:spacing w:val="-102"/>
        </w:rPr>
      </w:r>
      <w:r>
        <w:rPr/>
        <w:t>国证监会决定对公司非公开发行股票的行政许可申请予以受理；本次非公开发行尚需中国证监会 核准。</w:t>
      </w:r>
    </w:p>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2"/>
          <w:pgSz w:w="11910" w:h="16840"/>
          <w:pgMar w:footer="1194" w:header="882" w:top="1120" w:bottom="1380" w:left="1140" w:right="620"/>
          <w:pgNumType w:start="13"/>
        </w:sectPr>
      </w:pPr>
    </w:p>
    <w:p>
      <w:pPr>
        <w:pStyle w:val="Heading3"/>
        <w:spacing w:line="264" w:lineRule="auto"/>
        <w:ind w:left="658" w:right="-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行业、产品或地区经营情况分析</w:t>
      </w:r>
      <w:r>
        <w:rPr>
          <w:w w:val="99"/>
        </w:rPr>
        <w:t> </w:t>
      </w:r>
      <w:r>
        <w:rPr>
          <w:rFonts w:ascii="宋体" w:hAnsi="宋体" w:cs="宋体" w:eastAsia="宋体" w:hint="default"/>
        </w:rPr>
        <w:t>1</w:t>
      </w:r>
      <w:r>
        <w:rPr/>
        <w:t>、</w:t>
      </w:r>
      <w:r>
        <w:rPr>
          <w:spacing w:val="-6"/>
        </w:rPr>
        <w:t> </w:t>
      </w:r>
      <w:r>
        <w:rPr/>
        <w:t>主营业务分行业、分产品情况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603" w:val="left" w:leader="none"/>
        </w:tabs>
        <w:spacing w:line="240" w:lineRule="auto" w:before="176"/>
        <w:ind w:left="65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140" w:right="620"/>
          <w:cols w:num="2" w:equalWidth="0">
            <w:col w:w="3976" w:space="2759"/>
            <w:col w:w="3415"/>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17"/>
        <w:gridCol w:w="1433"/>
        <w:gridCol w:w="1418"/>
        <w:gridCol w:w="977"/>
        <w:gridCol w:w="1292"/>
        <w:gridCol w:w="1412"/>
        <w:gridCol w:w="1862"/>
      </w:tblGrid>
      <w:tr>
        <w:trPr>
          <w:trHeight w:val="337" w:hRule="exact"/>
        </w:trPr>
        <w:tc>
          <w:tcPr>
            <w:tcW w:w="9911"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618"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482" w:right="0"/>
              <w:jc w:val="left"/>
              <w:rPr>
                <w:rFonts w:ascii="宋体" w:hAnsi="宋体" w:cs="宋体" w:eastAsia="宋体" w:hint="default"/>
                <w:sz w:val="18"/>
                <w:szCs w:val="18"/>
              </w:rPr>
            </w:pPr>
            <w:r>
              <w:rPr>
                <w:rFonts w:ascii="宋体" w:hAnsi="宋体" w:cs="宋体" w:eastAsia="宋体" w:hint="default"/>
                <w:sz w:val="18"/>
                <w:szCs w:val="18"/>
              </w:rPr>
              <w:t>分行业</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12"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44"/>
              <w:ind w:left="256"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1" w:firstLine="87"/>
              <w:jc w:val="left"/>
              <w:rPr>
                <w:rFonts w:ascii="宋体" w:hAnsi="宋体" w:cs="宋体" w:eastAsia="宋体" w:hint="default"/>
                <w:sz w:val="18"/>
                <w:szCs w:val="18"/>
              </w:rPr>
            </w:pPr>
            <w:r>
              <w:rPr>
                <w:rFonts w:ascii="宋体" w:hAnsi="宋体" w:cs="宋体" w:eastAsia="宋体" w:hint="default"/>
                <w:sz w:val="18"/>
                <w:szCs w:val="18"/>
              </w:rPr>
              <w:t>营业收入比 上年增减（</w:t>
            </w:r>
            <w:r>
              <w:rPr>
                <w:rFonts w:ascii="宋体" w:hAnsi="宋体" w:cs="宋体" w:eastAsia="宋体" w:hint="default"/>
                <w:sz w:val="18"/>
                <w:szCs w:val="18"/>
              </w:rPr>
              <w:t>%</w:t>
            </w:r>
            <w:r>
              <w:rPr>
                <w:rFonts w:ascii="宋体" w:hAnsi="宋体" w:cs="宋体" w:eastAsia="宋体"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203" w:right="160" w:hanging="45"/>
              <w:jc w:val="left"/>
              <w:rPr>
                <w:rFonts w:ascii="宋体" w:hAnsi="宋体" w:cs="宋体" w:eastAsia="宋体" w:hint="default"/>
                <w:sz w:val="18"/>
                <w:szCs w:val="18"/>
              </w:rPr>
            </w:pPr>
            <w:r>
              <w:rPr>
                <w:rFonts w:ascii="宋体" w:hAnsi="宋体" w:cs="宋体" w:eastAsia="宋体" w:hint="default"/>
                <w:sz w:val="18"/>
                <w:szCs w:val="18"/>
              </w:rPr>
              <w:t>营业成本比上 年增减（</w:t>
            </w:r>
            <w:r>
              <w:rPr>
                <w:rFonts w:ascii="宋体" w:hAnsi="宋体" w:cs="宋体" w:eastAsia="宋体" w:hint="default"/>
                <w:sz w:val="18"/>
                <w:szCs w:val="18"/>
              </w:rPr>
              <w:t>%</w:t>
            </w:r>
            <w:r>
              <w:rPr>
                <w:rFonts w:ascii="宋体" w:hAnsi="宋体" w:cs="宋体" w:eastAsia="宋体" w:hint="default"/>
                <w:sz w:val="18"/>
                <w:szCs w:val="18"/>
              </w:rPr>
              <w:t>）</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毛利率比上年增减</w:t>
            </w:r>
          </w:p>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r>
      <w:tr>
        <w:trPr>
          <w:trHeight w:val="340" w:hRule="exact"/>
        </w:trPr>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2"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4" w:right="0"/>
              <w:jc w:val="center"/>
              <w:rPr>
                <w:rFonts w:ascii="宋体" w:hAnsi="宋体" w:cs="宋体" w:eastAsia="宋体" w:hint="default"/>
                <w:sz w:val="18"/>
                <w:szCs w:val="18"/>
              </w:rPr>
            </w:pPr>
            <w:r>
              <w:rPr>
                <w:rFonts w:ascii="宋体"/>
                <w:sz w:val="18"/>
              </w:rPr>
              <w:t>44,400,646.96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0" w:right="0"/>
              <w:jc w:val="center"/>
              <w:rPr>
                <w:rFonts w:ascii="宋体" w:hAnsi="宋体" w:cs="宋体" w:eastAsia="宋体" w:hint="default"/>
                <w:sz w:val="18"/>
                <w:szCs w:val="18"/>
              </w:rPr>
            </w:pPr>
            <w:r>
              <w:rPr>
                <w:rFonts w:ascii="宋体"/>
                <w:sz w:val="18"/>
              </w:rPr>
              <w:t>32,178,887.29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12" w:right="0"/>
              <w:jc w:val="left"/>
              <w:rPr>
                <w:rFonts w:ascii="宋体" w:hAnsi="宋体" w:cs="宋体" w:eastAsia="宋体" w:hint="default"/>
                <w:sz w:val="18"/>
                <w:szCs w:val="18"/>
              </w:rPr>
            </w:pPr>
            <w:r>
              <w:rPr>
                <w:rFonts w:ascii="宋体"/>
                <w:sz w:val="18"/>
              </w:rPr>
              <w:t>27.53</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29" w:right="0"/>
              <w:jc w:val="left"/>
              <w:rPr>
                <w:rFonts w:ascii="宋体" w:hAnsi="宋体" w:cs="宋体" w:eastAsia="宋体" w:hint="default"/>
                <w:sz w:val="18"/>
                <w:szCs w:val="18"/>
              </w:rPr>
            </w:pPr>
            <w:r>
              <w:rPr>
                <w:rFonts w:ascii="宋体"/>
                <w:sz w:val="18"/>
              </w:rPr>
              <w:t>12.74</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47" w:right="0"/>
              <w:jc w:val="left"/>
              <w:rPr>
                <w:rFonts w:ascii="宋体" w:hAnsi="宋体" w:cs="宋体" w:eastAsia="宋体" w:hint="default"/>
                <w:sz w:val="18"/>
                <w:szCs w:val="18"/>
              </w:rPr>
            </w:pPr>
            <w:r>
              <w:rPr>
                <w:rFonts w:ascii="宋体"/>
                <w:sz w:val="18"/>
              </w:rPr>
              <w:t>12.27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9"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个百分点</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620"/>
        </w:sectPr>
      </w:pPr>
    </w:p>
    <w:p>
      <w:pPr>
        <w:pStyle w:val="Heading3"/>
        <w:tabs>
          <w:tab w:pos="1077" w:val="left" w:leader="none"/>
        </w:tabs>
        <w:spacing w:line="264" w:lineRule="auto"/>
        <w:ind w:left="65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资产、负债情况分析</w:t>
      </w:r>
      <w:r>
        <w:rPr>
          <w:w w:val="99"/>
        </w:rPr>
        <w:t> </w:t>
      </w:r>
      <w:r>
        <w:rPr>
          <w:rFonts w:ascii="宋体" w:hAnsi="宋体" w:cs="宋体" w:eastAsia="宋体" w:hint="default"/>
          <w:w w:val="95"/>
        </w:rPr>
        <w:t>1</w:t>
        <w:tab/>
      </w:r>
      <w:r>
        <w:rPr>
          <w:w w:val="95"/>
        </w:rPr>
        <w:t>资产负债情况分析表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5"/>
        <w:ind w:left="657" w:right="0"/>
        <w:jc w:val="left"/>
      </w:pPr>
      <w:r>
        <w:rPr/>
        <w:t>单位：元</w:t>
      </w:r>
    </w:p>
    <w:p>
      <w:pPr>
        <w:spacing w:after="0" w:line="240" w:lineRule="auto"/>
        <w:jc w:val="left"/>
        <w:sectPr>
          <w:type w:val="continuous"/>
          <w:pgSz w:w="11910" w:h="16840"/>
          <w:pgMar w:top="1120" w:bottom="1380" w:left="1140" w:right="620"/>
          <w:cols w:num="2" w:equalWidth="0">
            <w:col w:w="2975" w:space="5019"/>
            <w:col w:w="2156"/>
          </w:cols>
        </w:sectPr>
      </w:pPr>
    </w:p>
    <w:p>
      <w:pPr>
        <w:spacing w:line="240" w:lineRule="auto" w:before="7"/>
        <w:rPr>
          <w:rFonts w:ascii="宋体" w:hAnsi="宋体" w:cs="宋体" w:eastAsia="宋体" w:hint="default"/>
          <w:sz w:val="2"/>
          <w:szCs w:val="2"/>
        </w:rPr>
      </w:pPr>
    </w:p>
    <w:tbl>
      <w:tblPr>
        <w:tblW w:w="0" w:type="auto"/>
        <w:jc w:val="left"/>
        <w:tblInd w:w="142" w:type="dxa"/>
        <w:tblLayout w:type="fixed"/>
        <w:tblCellMar>
          <w:top w:w="0" w:type="dxa"/>
          <w:left w:w="0" w:type="dxa"/>
          <w:bottom w:w="0" w:type="dxa"/>
          <w:right w:w="0" w:type="dxa"/>
        </w:tblCellMar>
        <w:tblLook w:val="01E0"/>
      </w:tblPr>
      <w:tblGrid>
        <w:gridCol w:w="1498"/>
        <w:gridCol w:w="1415"/>
        <w:gridCol w:w="1136"/>
        <w:gridCol w:w="1416"/>
        <w:gridCol w:w="1135"/>
        <w:gridCol w:w="1412"/>
        <w:gridCol w:w="1843"/>
      </w:tblGrid>
      <w:tr>
        <w:trPr>
          <w:trHeight w:val="899"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本期期末数</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11" w:right="112"/>
              <w:jc w:val="both"/>
              <w:rPr>
                <w:rFonts w:ascii="宋体" w:hAnsi="宋体" w:cs="宋体" w:eastAsia="宋体" w:hint="default"/>
                <w:sz w:val="18"/>
                <w:szCs w:val="18"/>
              </w:rPr>
            </w:pPr>
            <w:r>
              <w:rPr>
                <w:rFonts w:ascii="宋体" w:hAnsi="宋体" w:cs="宋体" w:eastAsia="宋体" w:hint="default"/>
                <w:sz w:val="18"/>
                <w:szCs w:val="18"/>
              </w:rPr>
              <w:t>本期期末数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上期期末数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12" w:right="110"/>
              <w:jc w:val="both"/>
              <w:rPr>
                <w:rFonts w:ascii="宋体" w:hAnsi="宋体" w:cs="宋体" w:eastAsia="宋体" w:hint="default"/>
                <w:sz w:val="18"/>
                <w:szCs w:val="18"/>
              </w:rPr>
            </w:pPr>
            <w:r>
              <w:rPr>
                <w:rFonts w:ascii="宋体" w:hAnsi="宋体" w:cs="宋体" w:eastAsia="宋体" w:hint="default"/>
                <w:sz w:val="18"/>
                <w:szCs w:val="18"/>
              </w:rPr>
              <w:t>上期期末数 占总资产的 比例（</w:t>
            </w:r>
            <w:r>
              <w:rPr>
                <w:rFonts w:ascii="宋体" w:hAnsi="宋体" w:cs="宋体" w:eastAsia="宋体" w:hint="default"/>
                <w:sz w:val="18"/>
                <w:szCs w:val="18"/>
              </w:rPr>
              <w:t>%</w:t>
            </w:r>
            <w:r>
              <w:rPr>
                <w:rFonts w:ascii="宋体" w:hAnsi="宋体" w:cs="宋体" w:eastAsia="宋体" w:hint="default"/>
                <w:sz w:val="18"/>
                <w:szCs w:val="18"/>
              </w:rPr>
              <w:t>）</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60" w:right="159"/>
              <w:jc w:val="both"/>
              <w:rPr>
                <w:rFonts w:ascii="宋体" w:hAnsi="宋体" w:cs="宋体" w:eastAsia="宋体" w:hint="default"/>
                <w:sz w:val="18"/>
                <w:szCs w:val="18"/>
              </w:rPr>
            </w:pPr>
            <w:r>
              <w:rPr>
                <w:rFonts w:ascii="宋体" w:hAnsi="宋体" w:cs="宋体" w:eastAsia="宋体" w:hint="default"/>
                <w:sz w:val="18"/>
                <w:szCs w:val="18"/>
              </w:rPr>
              <w:t>本期期末金额 较上期期末变 动比例（</w:t>
            </w:r>
            <w:r>
              <w:rPr>
                <w:rFonts w:ascii="宋体" w:hAnsi="宋体" w:cs="宋体" w:eastAsia="宋体" w:hint="default"/>
                <w:sz w:val="18"/>
                <w:szCs w:val="18"/>
              </w:rPr>
              <w:t>%</w:t>
            </w: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情况说明</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5,493,086.91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10.08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3,675,540.33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6.68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49.45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物业费收入增加</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622,922.39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284,880.79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0.52</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118.66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智慧城市项目预付款</w:t>
            </w:r>
          </w:p>
        </w:tc>
      </w:tr>
      <w:tr>
        <w:trPr>
          <w:trHeight w:val="337"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15,000,000.00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27.54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22,000,000.00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40.01</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-31.82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公司理财金额变动</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15,000.00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0.03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35,000.00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0.06</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-57.14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软件费用摊销</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91,484.33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0.17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43,595.23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0.08</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109.85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物业费收入增加</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3,844,308.85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7.06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2,015,604.58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90.73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物业费收入增加</w:t>
            </w:r>
          </w:p>
        </w:tc>
      </w:tr>
      <w:tr>
        <w:trPr>
          <w:trHeight w:val="338" w:hRule="exact"/>
        </w:trPr>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501,549.26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94,587.40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0.17</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430.25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项目撤场遣散员工费</w:t>
            </w:r>
          </w:p>
        </w:tc>
      </w:tr>
    </w:tbl>
    <w:p>
      <w:pPr>
        <w:spacing w:line="240" w:lineRule="auto" w:before="0"/>
        <w:rPr>
          <w:rFonts w:ascii="宋体" w:hAnsi="宋体" w:cs="宋体" w:eastAsia="宋体" w:hint="default"/>
          <w:sz w:val="20"/>
          <w:szCs w:val="20"/>
        </w:rPr>
      </w:pPr>
    </w:p>
    <w:p>
      <w:pPr>
        <w:spacing w:line="266" w:lineRule="auto" w:before="35"/>
        <w:ind w:left="1078" w:right="64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核心竞争力分析</w:t>
      </w:r>
      <w:r>
        <w:rPr>
          <w:rFonts w:ascii="宋体" w:hAnsi="宋体" w:cs="宋体" w:eastAsia="宋体" w:hint="default"/>
          <w:b/>
          <w:bCs/>
          <w:w w:val="99"/>
          <w:sz w:val="21"/>
          <w:szCs w:val="21"/>
        </w:rPr>
        <w:t> </w:t>
      </w:r>
      <w:r>
        <w:rPr>
          <w:rFonts w:ascii="宋体" w:hAnsi="宋体" w:cs="宋体" w:eastAsia="宋体" w:hint="default"/>
          <w:sz w:val="21"/>
          <w:szCs w:val="21"/>
        </w:rPr>
        <w:t>公司重整计划执行完毕后无任何经营性资产，为改善公司财务状况，恢复公司可持续经营能</w:t>
      </w:r>
    </w:p>
    <w:p>
      <w:pPr>
        <w:pStyle w:val="BodyText"/>
        <w:spacing w:line="357" w:lineRule="auto" w:before="110"/>
        <w:ind w:left="658" w:right="648"/>
        <w:jc w:val="left"/>
      </w:pPr>
      <w:r>
        <w:rPr/>
        <w:t>力，</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日，经公司第七届董事会第十六次会议审议通过，同意公司与浙江郡原地产 股份有限公司、浙江郡原控股有限公司三方签定的《终止股权托管协议之协议书》；接受浙江郡</w:t>
      </w:r>
    </w:p>
    <w:p>
      <w:pPr>
        <w:pStyle w:val="BodyText"/>
        <w:spacing w:line="357" w:lineRule="auto" w:before="30"/>
        <w:ind w:left="658" w:right="0"/>
        <w:jc w:val="left"/>
      </w:pPr>
      <w:r>
        <w:rPr/>
        <w:t>原地产股份有限公司不附加任何条件的无偿赠予其持有的杭州郡原物业服务有限公司</w:t>
      </w:r>
      <w:r>
        <w:rPr>
          <w:spacing w:val="-11"/>
        </w:rPr>
        <w:t> </w:t>
      </w:r>
      <w:r>
        <w:rPr>
          <w:rFonts w:ascii="宋体" w:hAnsi="宋体" w:cs="宋体" w:eastAsia="宋体" w:hint="default"/>
        </w:rPr>
        <w:t>100%</w:t>
      </w:r>
      <w:r>
        <w:rPr/>
        <w:t>股权。</w:t>
      </w:r>
      <w:r>
        <w:rPr>
          <w:spacing w:val="-94"/>
        </w:rPr>
        <w:t> </w:t>
      </w:r>
      <w:r>
        <w:rPr>
          <w:spacing w:val="-94"/>
        </w:rPr>
      </w:r>
      <w:r>
        <w:rPr/>
        <w:t>此后，公司的盈利主要来源于物业管理收入，盈利规模较小。</w:t>
      </w:r>
      <w:r>
        <w:rPr>
          <w:rFonts w:ascii="宋体" w:hAnsi="宋体" w:cs="宋体" w:eastAsia="宋体" w:hint="default"/>
        </w:rPr>
        <w:t>2014</w:t>
      </w:r>
      <w:r>
        <w:rPr>
          <w:rFonts w:ascii="宋体" w:hAnsi="宋体" w:cs="宋体" w:eastAsia="宋体" w:hint="default"/>
          <w:spacing w:val="-66"/>
        </w:rPr>
        <w:t> </w:t>
      </w:r>
      <w:r>
        <w:rPr/>
        <w:t>年度，公司的盈利仍主要来源 于物业管理服务收入。</w:t>
      </w:r>
    </w:p>
    <w:p>
      <w:pPr>
        <w:spacing w:after="0" w:line="357" w:lineRule="auto"/>
        <w:jc w:val="left"/>
        <w:sectPr>
          <w:type w:val="continuous"/>
          <w:pgSz w:w="11910" w:h="16840"/>
          <w:pgMar w:top="1120" w:bottom="1380" w:left="1140" w:right="620"/>
        </w:sectPr>
      </w:pPr>
    </w:p>
    <w:p>
      <w:pPr>
        <w:spacing w:line="240" w:lineRule="auto" w:before="6"/>
        <w:rPr>
          <w:rFonts w:ascii="宋体" w:hAnsi="宋体" w:cs="宋体" w:eastAsia="宋体" w:hint="default"/>
          <w:sz w:val="25"/>
          <w:szCs w:val="25"/>
        </w:rPr>
      </w:pPr>
    </w:p>
    <w:p>
      <w:pPr>
        <w:pStyle w:val="BodyText"/>
        <w:spacing w:line="357" w:lineRule="auto" w:before="35"/>
        <w:ind w:right="225" w:firstLine="420"/>
        <w:jc w:val="both"/>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日公告《非公开发行股票预案》，拟以</w:t>
      </w:r>
      <w:r>
        <w:rPr>
          <w:spacing w:val="-54"/>
        </w:rPr>
        <w:t> </w:t>
      </w:r>
      <w:r>
        <w:rPr>
          <w:rFonts w:ascii="宋体" w:hAnsi="宋体" w:cs="宋体" w:eastAsia="宋体" w:hint="default"/>
        </w:rPr>
        <w:t>3.65</w:t>
      </w:r>
      <w:r>
        <w:rPr>
          <w:rFonts w:ascii="宋体" w:hAnsi="宋体" w:cs="宋体" w:eastAsia="宋体" w:hint="default"/>
          <w:spacing w:val="-53"/>
        </w:rPr>
        <w:t> </w:t>
      </w:r>
      <w:r>
        <w:rPr/>
        <w:t>元</w:t>
      </w:r>
      <w:r>
        <w:rPr>
          <w:rFonts w:ascii="宋体" w:hAnsi="宋体" w:cs="宋体" w:eastAsia="宋体" w:hint="default"/>
        </w:rPr>
        <w:t>/</w:t>
      </w:r>
      <w:r>
        <w:rPr/>
        <w:t>股的发行价格向顾国 平等九名特定对象非公开发行股票方式募集资金以发展智慧城市为主的经营业务。本次非公开发 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5"/>
        </w:rPr>
        <w:t> </w:t>
      </w:r>
      <w:r>
        <w:rPr>
          <w:rFonts w:ascii="宋体" w:hAnsi="宋体" w:cs="宋体" w:eastAsia="宋体" w:hint="default"/>
        </w:rPr>
        <w:t>235,000</w:t>
      </w:r>
      <w:r>
        <w:rPr>
          <w:rFonts w:ascii="宋体" w:hAnsi="宋体" w:cs="宋体" w:eastAsia="宋体" w:hint="default"/>
          <w:spacing w:val="-53"/>
        </w:rPr>
        <w:t> </w:t>
      </w:r>
      <w:r>
        <w:rPr/>
        <w:t>万元），扣除发行费用后的募</w:t>
      </w:r>
    </w:p>
    <w:p>
      <w:pPr>
        <w:pStyle w:val="BodyText"/>
        <w:spacing w:line="357" w:lineRule="auto" w:before="30"/>
        <w:ind w:right="226"/>
        <w:jc w:val="both"/>
      </w:pPr>
      <w:r>
        <w:rPr/>
        <w:t>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万元用于智慧城市研发与运营中心项目，剩余资金用于补充智慧城 市业务的营运资金，支持公司战略转型，构建公司持续经营能力和盈利能力。</w:t>
      </w:r>
    </w:p>
    <w:p>
      <w:pPr>
        <w:pStyle w:val="BodyText"/>
        <w:spacing w:line="355" w:lineRule="auto" w:before="30"/>
        <w:ind w:left="558" w:right="2938"/>
        <w:jc w:val="left"/>
      </w:pPr>
      <w:r>
        <w:rPr/>
        <w:t>公司在智慧城市方面的核心竞争力主要体现在以下几个方面： </w:t>
      </w:r>
      <w:r>
        <w:rPr>
          <w:rFonts w:ascii="宋体" w:hAnsi="宋体" w:cs="宋体" w:eastAsia="宋体" w:hint="default"/>
        </w:rPr>
        <w:t>1</w:t>
      </w:r>
      <w:r>
        <w:rPr/>
        <w:t>、政策优势</w:t>
      </w:r>
    </w:p>
    <w:p>
      <w:pPr>
        <w:pStyle w:val="BodyText"/>
        <w:spacing w:line="357" w:lineRule="auto" w:before="33"/>
        <w:ind w:right="212" w:firstLine="420"/>
        <w:jc w:val="both"/>
      </w:pPr>
      <w:r>
        <w:rPr>
          <w:rFonts w:ascii="宋体" w:hAnsi="宋体" w:cs="宋体" w:eastAsia="宋体" w:hint="default"/>
        </w:rPr>
        <w:t>2008</w:t>
      </w:r>
      <w:r>
        <w:rPr>
          <w:rFonts w:ascii="宋体" w:hAnsi="宋体" w:cs="宋体" w:eastAsia="宋体" w:hint="default"/>
          <w:spacing w:val="-64"/>
        </w:rPr>
        <w:t> </w:t>
      </w:r>
      <w:r>
        <w:rPr>
          <w:spacing w:val="-3"/>
        </w:rPr>
        <w:t>年，美国</w:t>
      </w:r>
      <w:r>
        <w:rPr>
          <w:spacing w:val="-65"/>
        </w:rPr>
        <w:t> </w:t>
      </w:r>
      <w:r>
        <w:rPr>
          <w:rFonts w:ascii="宋体" w:hAnsi="宋体" w:cs="宋体" w:eastAsia="宋体" w:hint="default"/>
        </w:rPr>
        <w:t>IBM</w:t>
      </w:r>
      <w:r>
        <w:rPr>
          <w:rFonts w:ascii="宋体" w:hAnsi="宋体" w:cs="宋体" w:eastAsia="宋体" w:hint="default"/>
          <w:spacing w:val="-65"/>
        </w:rPr>
        <w:t> </w:t>
      </w:r>
      <w:r>
        <w:rPr/>
        <w:t>公司首先提出“智慧地球”理念，进而“智慧城市”的概念被越来越多国 </w:t>
      </w:r>
      <w:r>
        <w:rPr>
          <w:spacing w:val="-5"/>
        </w:rPr>
        <w:t>家和公众所接受。在国内，智慧城市是信息化投资的载体，符合中国当前的产业结构调整的趋势。</w:t>
      </w:r>
      <w:r>
        <w:rPr>
          <w:spacing w:val="-89"/>
        </w:rPr>
        <w:t> </w:t>
      </w:r>
      <w:r>
        <w:rPr>
          <w:spacing w:val="-89"/>
        </w:rPr>
      </w:r>
      <w:r>
        <w:rPr/>
        <w:t>智慧城市建设是贯彻党中央、国务院关于创新驱动发展、推动新型城镇化、全面建成小康社会的 </w:t>
      </w:r>
      <w:r>
        <w:rPr>
          <w:spacing w:val="-1"/>
        </w:rPr>
        <w:t>重要举措。</w:t>
      </w:r>
      <w:r>
        <w:rPr>
          <w:rFonts w:ascii="宋体" w:hAnsi="宋体" w:cs="宋体" w:eastAsia="宋体" w:hint="default"/>
          <w:spacing w:val="-1"/>
        </w:rPr>
        <w:t>2010</w:t>
      </w:r>
      <w:r>
        <w:rPr>
          <w:rFonts w:ascii="宋体" w:hAnsi="宋体" w:cs="宋体" w:eastAsia="宋体" w:hint="default"/>
          <w:spacing w:val="-52"/>
        </w:rPr>
        <w:t> </w:t>
      </w:r>
      <w:r>
        <w:rPr>
          <w:spacing w:val="-1"/>
        </w:rPr>
        <w:t>年开始，国家及地方“十二五”发展规划陆续出台，许多城市将建设智慧城市作</w:t>
      </w:r>
      <w:r>
        <w:rPr/>
        <w:t> 为未来发展的重点。</w:t>
      </w:r>
    </w:p>
    <w:p>
      <w:pPr>
        <w:pStyle w:val="BodyText"/>
        <w:spacing w:line="240" w:lineRule="auto" w:before="30"/>
        <w:ind w:left="558" w:right="101"/>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日，住建部正式发布《关于开展国家智慧城市试点工作的通知》，并印发了</w:t>
      </w:r>
    </w:p>
    <w:p>
      <w:pPr>
        <w:pStyle w:val="BodyText"/>
        <w:spacing w:line="357" w:lineRule="auto" w:before="133"/>
        <w:ind w:right="212"/>
        <w:jc w:val="both"/>
      </w:pPr>
      <w:r>
        <w:rPr/>
        <w:t>《国家智慧城市试点暂行管理办法》和《国家智慧城市（区、镇）试点指标体系（试行）》，旨 </w:t>
      </w:r>
      <w:r>
        <w:rPr>
          <w:spacing w:val="-1"/>
        </w:rPr>
        <w:t>在规范和推动智慧城市的健康发展，引领中国特色的新型城市化之路。住建部开展了</w:t>
      </w:r>
      <w:r>
        <w:rPr>
          <w:spacing w:val="-42"/>
        </w:rPr>
        <w:t> </w:t>
      </w:r>
      <w:r>
        <w:rPr>
          <w:rFonts w:ascii="宋体" w:hAnsi="宋体" w:cs="宋体" w:eastAsia="宋体" w:hint="default"/>
          <w:spacing w:val="-2"/>
        </w:rPr>
        <w:t>2012</w:t>
      </w:r>
      <w:r>
        <w:rPr>
          <w:spacing w:val="-2"/>
        </w:rPr>
        <w:t>、</w:t>
      </w:r>
      <w:r>
        <w:rPr>
          <w:rFonts w:ascii="宋体" w:hAnsi="宋体" w:cs="宋体" w:eastAsia="宋体" w:hint="default"/>
          <w:spacing w:val="-2"/>
        </w:rPr>
        <w:t>2013</w:t>
      </w:r>
      <w:r>
        <w:rPr>
          <w:rFonts w:ascii="宋体" w:hAnsi="宋体" w:cs="宋体" w:eastAsia="宋体" w:hint="default"/>
          <w:spacing w:val="-103"/>
        </w:rPr>
        <w:t> </w:t>
      </w:r>
      <w:r>
        <w:rPr/>
        <w:t>年的智慧城市试点申报和评审工作，总共确立了</w:t>
      </w:r>
      <w:r>
        <w:rPr>
          <w:spacing w:val="-67"/>
        </w:rPr>
        <w:t> </w:t>
      </w:r>
      <w:r>
        <w:rPr>
          <w:rFonts w:ascii="宋体" w:hAnsi="宋体" w:cs="宋体" w:eastAsia="宋体" w:hint="default"/>
        </w:rPr>
        <w:t>193</w:t>
      </w:r>
      <w:r>
        <w:rPr>
          <w:rFonts w:ascii="宋体" w:hAnsi="宋体" w:cs="宋体" w:eastAsia="宋体" w:hint="default"/>
          <w:spacing w:val="-66"/>
        </w:rPr>
        <w:t> </w:t>
      </w:r>
      <w:r>
        <w:rPr/>
        <w:t>个智慧城市试点城市；</w:t>
      </w:r>
      <w:r>
        <w:rPr>
          <w:rFonts w:ascii="宋体" w:hAnsi="宋体" w:cs="宋体" w:eastAsia="宋体" w:hint="default"/>
        </w:rPr>
        <w:t>2014</w:t>
      </w:r>
      <w:r>
        <w:rPr>
          <w:rFonts w:ascii="宋体" w:hAnsi="宋体" w:cs="宋体" w:eastAsia="宋体" w:hint="default"/>
          <w:spacing w:val="-67"/>
        </w:rPr>
        <w:t> </w:t>
      </w:r>
      <w:r>
        <w:rPr/>
        <w:t>年，住建部与科 技部联合开展了</w:t>
      </w:r>
      <w:r>
        <w:rPr>
          <w:spacing w:val="-51"/>
        </w:rPr>
        <w:t> </w:t>
      </w:r>
      <w:r>
        <w:rPr>
          <w:rFonts w:ascii="宋体" w:hAnsi="宋体" w:cs="宋体" w:eastAsia="宋体" w:hint="default"/>
        </w:rPr>
        <w:t>2014</w:t>
      </w:r>
      <w:r>
        <w:rPr>
          <w:rFonts w:ascii="宋体" w:hAnsi="宋体" w:cs="宋体" w:eastAsia="宋体" w:hint="default"/>
          <w:spacing w:val="-51"/>
        </w:rPr>
        <w:t> </w:t>
      </w:r>
      <w:r>
        <w:rPr>
          <w:spacing w:val="-3"/>
        </w:rPr>
        <w:t>年度智慧城市试点申报工作，并由中国城市科学研究会具体组织申报和评审</w:t>
      </w:r>
    </w:p>
    <w:p>
      <w:pPr>
        <w:pStyle w:val="BodyText"/>
        <w:spacing w:line="240" w:lineRule="auto" w:before="30"/>
        <w:ind w:right="0"/>
        <w:jc w:val="both"/>
      </w:pPr>
      <w:r>
        <w:rPr/>
        <w:t>工作，近日，住建部、科技部第三批批复全国</w:t>
      </w:r>
      <w:r>
        <w:rPr>
          <w:spacing w:val="-53"/>
        </w:rPr>
        <w:t> </w:t>
      </w:r>
      <w:r>
        <w:rPr>
          <w:rFonts w:ascii="宋体" w:hAnsi="宋体" w:cs="宋体" w:eastAsia="宋体" w:hint="default"/>
        </w:rPr>
        <w:t>83</w:t>
      </w:r>
      <w:r>
        <w:rPr>
          <w:rFonts w:ascii="宋体" w:hAnsi="宋体" w:cs="宋体" w:eastAsia="宋体" w:hint="default"/>
          <w:spacing w:val="-53"/>
        </w:rPr>
        <w:t> </w:t>
      </w:r>
      <w:r>
        <w:rPr/>
        <w:t>个市、县（区）为</w:t>
      </w:r>
      <w:r>
        <w:rPr>
          <w:spacing w:val="-54"/>
        </w:rPr>
        <w:t> </w:t>
      </w:r>
      <w:r>
        <w:rPr>
          <w:rFonts w:ascii="宋体" w:hAnsi="宋体" w:cs="宋体" w:eastAsia="宋体" w:hint="default"/>
        </w:rPr>
        <w:t>2014</w:t>
      </w:r>
      <w:r>
        <w:rPr>
          <w:rFonts w:ascii="宋体" w:hAnsi="宋体" w:cs="宋体" w:eastAsia="宋体" w:hint="default"/>
          <w:spacing w:val="-54"/>
        </w:rPr>
        <w:t> </w:t>
      </w:r>
      <w:r>
        <w:rPr/>
        <w:t>年国家智慧城市试点城</w:t>
      </w:r>
    </w:p>
    <w:p>
      <w:pPr>
        <w:pStyle w:val="BodyText"/>
        <w:spacing w:line="240" w:lineRule="auto" w:before="134"/>
        <w:ind w:right="0"/>
        <w:jc w:val="both"/>
      </w:pPr>
      <w:r>
        <w:rPr/>
        <w:t>市，加上前两批公布的</w:t>
      </w:r>
      <w:r>
        <w:rPr>
          <w:spacing w:val="-54"/>
        </w:rPr>
        <w:t> </w:t>
      </w:r>
      <w:r>
        <w:rPr>
          <w:rFonts w:ascii="宋体" w:hAnsi="宋体" w:cs="宋体" w:eastAsia="宋体" w:hint="default"/>
        </w:rPr>
        <w:t>193</w:t>
      </w:r>
      <w:r>
        <w:rPr>
          <w:rFonts w:ascii="宋体" w:hAnsi="宋体" w:cs="宋体" w:eastAsia="宋体" w:hint="default"/>
          <w:spacing w:val="-53"/>
        </w:rPr>
        <w:t> </w:t>
      </w:r>
      <w:r>
        <w:rPr/>
        <w:t>各城市，我国的智慧城市试点达到</w:t>
      </w:r>
      <w:r>
        <w:rPr>
          <w:spacing w:val="-54"/>
        </w:rPr>
        <w:t> </w:t>
      </w:r>
      <w:r>
        <w:rPr>
          <w:rFonts w:ascii="宋体" w:hAnsi="宋体" w:cs="宋体" w:eastAsia="宋体" w:hint="default"/>
        </w:rPr>
        <w:t>276</w:t>
      </w:r>
      <w:r>
        <w:rPr>
          <w:rFonts w:ascii="宋体" w:hAnsi="宋体" w:cs="宋体" w:eastAsia="宋体" w:hint="default"/>
          <w:spacing w:val="-53"/>
        </w:rPr>
        <w:t> </w:t>
      </w:r>
      <w:r>
        <w:rPr/>
        <w:t>个。</w:t>
      </w:r>
    </w:p>
    <w:p>
      <w:pPr>
        <w:pStyle w:val="BodyText"/>
        <w:spacing w:line="355" w:lineRule="auto" w:before="133"/>
        <w:ind w:right="212" w:firstLine="420"/>
        <w:jc w:val="both"/>
      </w:pPr>
      <w:r>
        <w:rPr/>
        <w:t>根据</w:t>
      </w:r>
      <w:r>
        <w:rPr>
          <w:spacing w:val="-56"/>
        </w:rPr>
        <w:t> </w:t>
      </w:r>
      <w:r>
        <w:rPr>
          <w:rFonts w:ascii="宋体" w:hAnsi="宋体" w:cs="宋体" w:eastAsia="宋体" w:hint="default"/>
        </w:rPr>
        <w:t>IDC</w:t>
      </w:r>
      <w:r>
        <w:rPr>
          <w:rFonts w:ascii="宋体" w:hAnsi="宋体" w:cs="宋体" w:eastAsia="宋体" w:hint="default"/>
          <w:spacing w:val="-55"/>
        </w:rPr>
        <w:t> </w:t>
      </w:r>
      <w:r>
        <w:rPr>
          <w:spacing w:val="-4"/>
        </w:rPr>
        <w:t>研究数据，未来</w:t>
      </w:r>
      <w:r>
        <w:rPr>
          <w:spacing w:val="-56"/>
        </w:rPr>
        <w:t> </w:t>
      </w:r>
      <w:r>
        <w:rPr>
          <w:rFonts w:ascii="宋体" w:hAnsi="宋体" w:cs="宋体" w:eastAsia="宋体" w:hint="default"/>
        </w:rPr>
        <w:t>10</w:t>
      </w:r>
      <w:r>
        <w:rPr>
          <w:rFonts w:ascii="宋体" w:hAnsi="宋体" w:cs="宋体" w:eastAsia="宋体" w:hint="default"/>
          <w:spacing w:val="-55"/>
        </w:rPr>
        <w:t> </w:t>
      </w:r>
      <w:r>
        <w:rPr/>
        <w:t>年，智慧城市建设投资将超过</w:t>
      </w:r>
      <w:r>
        <w:rPr>
          <w:spacing w:val="-56"/>
        </w:rPr>
        <w:t> </w:t>
      </w:r>
      <w:r>
        <w:rPr>
          <w:rFonts w:ascii="宋体" w:hAnsi="宋体" w:cs="宋体" w:eastAsia="宋体" w:hint="default"/>
        </w:rPr>
        <w:t>2</w:t>
      </w:r>
      <w:r>
        <w:rPr>
          <w:rFonts w:ascii="宋体" w:hAnsi="宋体" w:cs="宋体" w:eastAsia="宋体" w:hint="default"/>
          <w:spacing w:val="-55"/>
        </w:rPr>
        <w:t> </w:t>
      </w:r>
      <w:r>
        <w:rPr>
          <w:spacing w:val="-4"/>
        </w:rPr>
        <w:t>万亿元人民币，其中，与专属智</w:t>
      </w:r>
      <w:r>
        <w:rPr/>
        <w:t> 慧城市载体相关的市场约占</w:t>
      </w:r>
      <w:r>
        <w:rPr>
          <w:spacing w:val="-55"/>
        </w:rPr>
        <w:t> </w:t>
      </w:r>
      <w:r>
        <w:rPr>
          <w:rFonts w:ascii="宋体" w:hAnsi="宋体" w:cs="宋体" w:eastAsia="宋体" w:hint="default"/>
        </w:rPr>
        <w:t>20-30%</w:t>
      </w:r>
      <w:r>
        <w:rPr/>
        <w:t>，智慧城市传感器、仪器、自动控制设备和相关服务占比约</w:t>
      </w:r>
    </w:p>
    <w:p>
      <w:pPr>
        <w:pStyle w:val="BodyText"/>
        <w:spacing w:line="355" w:lineRule="auto" w:before="33"/>
        <w:ind w:right="101"/>
        <w:jc w:val="left"/>
      </w:pPr>
      <w:r>
        <w:rPr>
          <w:rFonts w:ascii="宋体" w:hAnsi="宋体" w:cs="宋体" w:eastAsia="宋体" w:hint="default"/>
        </w:rPr>
        <w:t>20-30%</w:t>
      </w:r>
      <w:r>
        <w:rPr/>
        <w:t>，</w:t>
      </w:r>
      <w:r>
        <w:rPr>
          <w:rFonts w:ascii="宋体" w:hAnsi="宋体" w:cs="宋体" w:eastAsia="宋体" w:hint="default"/>
        </w:rPr>
        <w:t>ICT</w:t>
      </w:r>
      <w:r>
        <w:rPr>
          <w:rFonts w:ascii="宋体" w:hAnsi="宋体" w:cs="宋体" w:eastAsia="宋体" w:hint="default"/>
          <w:spacing w:val="-53"/>
        </w:rPr>
        <w:t> </w:t>
      </w:r>
      <w:r>
        <w:rPr/>
        <w:t>硬件、软件、服务的部分占</w:t>
      </w:r>
      <w:r>
        <w:rPr>
          <w:spacing w:val="-52"/>
        </w:rPr>
        <w:t> </w:t>
      </w:r>
      <w:r>
        <w:rPr>
          <w:rFonts w:ascii="宋体" w:hAnsi="宋体" w:cs="宋体" w:eastAsia="宋体" w:hint="default"/>
        </w:rPr>
        <w:t>40-50%</w:t>
      </w:r>
      <w:r>
        <w:rPr/>
        <w:t>，即未来</w:t>
      </w:r>
      <w:r>
        <w:rPr>
          <w:spacing w:val="-53"/>
        </w:rPr>
        <w:t> </w:t>
      </w:r>
      <w:r>
        <w:rPr>
          <w:rFonts w:ascii="宋体" w:hAnsi="宋体" w:cs="宋体" w:eastAsia="宋体" w:hint="default"/>
        </w:rPr>
        <w:t>10</w:t>
      </w:r>
      <w:r>
        <w:rPr>
          <w:rFonts w:ascii="宋体" w:hAnsi="宋体" w:cs="宋体" w:eastAsia="宋体" w:hint="default"/>
          <w:spacing w:val="-53"/>
        </w:rPr>
        <w:t> </w:t>
      </w:r>
      <w:r>
        <w:rPr/>
        <w:t>年</w:t>
      </w:r>
      <w:r>
        <w:rPr>
          <w:spacing w:val="-53"/>
        </w:rPr>
        <w:t> </w:t>
      </w:r>
      <w:r>
        <w:rPr>
          <w:rFonts w:ascii="宋体" w:hAnsi="宋体" w:cs="宋体" w:eastAsia="宋体" w:hint="default"/>
        </w:rPr>
        <w:t>ICT</w:t>
      </w:r>
      <w:r>
        <w:rPr>
          <w:rFonts w:ascii="宋体" w:hAnsi="宋体" w:cs="宋体" w:eastAsia="宋体" w:hint="default"/>
          <w:spacing w:val="-52"/>
        </w:rPr>
        <w:t> </w:t>
      </w:r>
      <w:r>
        <w:rPr/>
        <w:t>相关的市场将达到</w:t>
      </w:r>
      <w:r>
        <w:rPr>
          <w:spacing w:val="-51"/>
        </w:rPr>
        <w:t> </w:t>
      </w:r>
      <w:r>
        <w:rPr>
          <w:rFonts w:ascii="宋体" w:hAnsi="宋体" w:cs="宋体" w:eastAsia="宋体" w:hint="default"/>
        </w:rPr>
        <w:t>1</w:t>
      </w:r>
      <w:r>
        <w:rPr>
          <w:rFonts w:ascii="宋体" w:hAnsi="宋体" w:cs="宋体" w:eastAsia="宋体" w:hint="default"/>
          <w:spacing w:val="-51"/>
        </w:rPr>
        <w:t> </w:t>
      </w:r>
      <w:r>
        <w:rPr/>
        <w:t>万亿元。 在国家政策的支持下，智慧城市建设投入提速，未来发展空间巨大。</w:t>
      </w:r>
    </w:p>
    <w:p>
      <w:pPr>
        <w:pStyle w:val="BodyText"/>
        <w:spacing w:line="240" w:lineRule="auto" w:before="33"/>
        <w:ind w:left="558" w:right="2938"/>
        <w:jc w:val="left"/>
      </w:pPr>
      <w:r>
        <w:rPr>
          <w:rFonts w:ascii="宋体" w:hAnsi="宋体" w:cs="宋体" w:eastAsia="宋体" w:hint="default"/>
        </w:rPr>
        <w:t>2</w:t>
      </w:r>
      <w:r>
        <w:rPr/>
        <w:t>、人才优势</w:t>
      </w:r>
    </w:p>
    <w:p>
      <w:pPr>
        <w:pStyle w:val="BodyText"/>
        <w:spacing w:line="345" w:lineRule="auto" w:before="133"/>
        <w:ind w:right="212" w:firstLine="465"/>
        <w:jc w:val="both"/>
      </w:pPr>
      <w:r>
        <w:rPr/>
        <w:t>智慧城市最先由</w:t>
      </w:r>
      <w:r>
        <w:rPr>
          <w:spacing w:val="-43"/>
        </w:rPr>
        <w:t> </w:t>
      </w:r>
      <w:r>
        <w:rPr>
          <w:rFonts w:ascii="Calibri" w:hAnsi="Calibri" w:cs="Calibri" w:eastAsia="Calibri" w:hint="default"/>
        </w:rPr>
        <w:t>IBM</w:t>
      </w:r>
      <w:r>
        <w:rPr>
          <w:rFonts w:ascii="Calibri" w:hAnsi="Calibri" w:cs="Calibri" w:eastAsia="Calibri" w:hint="default"/>
          <w:spacing w:val="15"/>
        </w:rPr>
        <w:t> </w:t>
      </w:r>
      <w:r>
        <w:rPr>
          <w:spacing w:val="-3"/>
        </w:rPr>
        <w:t>提出并推演发展至今，属于知识密集型行业，其业务能力主要体现在业</w:t>
      </w:r>
      <w:r>
        <w:rPr/>
        <w:t> 务团队上。公司董事长、总经理顾国平先生在信息技术产业拥有较为深厚的根基和人才号召力， 公司已搭建了以顾国平先生为首的核心人员管理团队，并组建了一支业务精良、经验丰富的核心 业务人员团队。由于智慧城市具体实施建设没有固有模式，因此，核心团队丰富的经验和技术积</w:t>
      </w:r>
    </w:p>
    <w:p>
      <w:pPr>
        <w:pStyle w:val="BodyText"/>
        <w:spacing w:line="340" w:lineRule="auto" w:before="42"/>
        <w:ind w:right="212"/>
        <w:jc w:val="both"/>
      </w:pPr>
      <w:r>
        <w:rPr/>
        <w:t>累将为公司在竞争中取得一定优势。不仅如此，本次非公开发行完成后，公司将使用扣除发行费 用后的募集资金净额投入</w:t>
      </w:r>
      <w:r>
        <w:rPr>
          <w:spacing w:val="-48"/>
        </w:rPr>
        <w:t> </w:t>
      </w:r>
      <w:r>
        <w:rPr>
          <w:rFonts w:ascii="Calibri" w:hAnsi="Calibri" w:cs="Calibri" w:eastAsia="Calibri" w:hint="default"/>
          <w:spacing w:val="-1"/>
        </w:rPr>
        <w:t>24,123.39</w:t>
      </w:r>
      <w:r>
        <w:rPr>
          <w:rFonts w:ascii="Calibri" w:hAnsi="Calibri" w:cs="Calibri" w:eastAsia="Calibri" w:hint="default"/>
          <w:spacing w:val="10"/>
        </w:rPr>
        <w:t> </w:t>
      </w:r>
      <w:r>
        <w:rPr>
          <w:spacing w:val="-4"/>
        </w:rPr>
        <w:t>万元用于智慧城市研发与运营中心项目，为智慧城市业务提供</w:t>
      </w:r>
      <w:r>
        <w:rPr/>
        <w:t> 全方位的技术支持和运营服务，涵盖智慧城市业务的核心技术、运营团队，初步规划的主要技术 研究方向包括</w:t>
      </w:r>
      <w:r>
        <w:rPr>
          <w:spacing w:val="-61"/>
        </w:rPr>
        <w:t> </w:t>
      </w:r>
      <w:r>
        <w:rPr>
          <w:rFonts w:ascii="Calibri" w:hAnsi="Calibri" w:cs="Calibri" w:eastAsia="Calibri" w:hint="default"/>
        </w:rPr>
        <w:t>ICT</w:t>
      </w:r>
      <w:r>
        <w:rPr>
          <w:rFonts w:ascii="Calibri" w:hAnsi="Calibri" w:cs="Calibri" w:eastAsia="Calibri" w:hint="default"/>
          <w:spacing w:val="-5"/>
        </w:rPr>
        <w:t> </w:t>
      </w:r>
      <w:r>
        <w:rPr>
          <w:spacing w:val="-4"/>
        </w:rPr>
        <w:t>集成平台框架、智慧城市决策支持与服务系统以及智慧城市集中运营控制中心，</w:t>
      </w:r>
      <w:r>
        <w:rPr>
          <w:spacing w:val="-101"/>
        </w:rPr>
        <w:t> </w:t>
      </w:r>
      <w:r>
        <w:rPr>
          <w:spacing w:val="-101"/>
        </w:rPr>
      </w:r>
      <w:r>
        <w:rPr/>
        <w:t>以保障公司核心技术实力。</w:t>
      </w:r>
    </w:p>
    <w:p>
      <w:pPr>
        <w:spacing w:after="0" w:line="340" w:lineRule="auto"/>
        <w:jc w:val="both"/>
        <w:sectPr>
          <w:pgSz w:w="11910" w:h="16840"/>
          <w:pgMar w:header="882" w:footer="1194" w:top="1120" w:bottom="1380" w:left="1660" w:right="1060"/>
        </w:sectPr>
      </w:pPr>
    </w:p>
    <w:p>
      <w:pPr>
        <w:spacing w:line="240" w:lineRule="auto" w:before="6"/>
        <w:rPr>
          <w:rFonts w:ascii="宋体" w:hAnsi="宋体" w:cs="宋体" w:eastAsia="宋体" w:hint="default"/>
          <w:sz w:val="25"/>
          <w:szCs w:val="25"/>
        </w:rPr>
      </w:pPr>
    </w:p>
    <w:p>
      <w:pPr>
        <w:pStyle w:val="BodyText"/>
        <w:spacing w:line="345" w:lineRule="auto" w:before="35"/>
        <w:ind w:right="86" w:firstLine="420"/>
        <w:jc w:val="left"/>
      </w:pPr>
      <w:r>
        <w:rPr/>
        <w:t>公司将充分利用顾国平先生及拟建研发运营中心的核心团队在</w:t>
      </w:r>
      <w:r>
        <w:rPr>
          <w:spacing w:val="-71"/>
        </w:rPr>
        <w:t> </w:t>
      </w:r>
      <w:r>
        <w:rPr>
          <w:rFonts w:ascii="Calibri" w:hAnsi="Calibri" w:cs="Calibri" w:eastAsia="Calibri" w:hint="default"/>
        </w:rPr>
        <w:t>IT</w:t>
      </w:r>
      <w:r>
        <w:rPr>
          <w:rFonts w:ascii="Calibri" w:hAnsi="Calibri" w:cs="Calibri" w:eastAsia="Calibri" w:hint="default"/>
          <w:spacing w:val="-15"/>
        </w:rPr>
        <w:t> </w:t>
      </w:r>
      <w:r>
        <w:rPr/>
        <w:t>行业的专业经验及专业优势， 积极推进已签署的相关智慧城市框架协议的落地实施，在做大做强地域性市场的同时，向其他城 市扩展，丰富行业解决方案，拓展公司产品的区域以及行业布局。随着募集资金到位，公司将进 一步开展人才团队招募计划，依照目前研发与运营中心项目测算，公司拟在两年内扩展至约</w:t>
      </w:r>
      <w:r>
        <w:rPr>
          <w:spacing w:val="-53"/>
        </w:rPr>
        <w:t> </w:t>
      </w:r>
      <w:r>
        <w:rPr>
          <w:rFonts w:ascii="Calibri" w:hAnsi="Calibri" w:cs="Calibri" w:eastAsia="Calibri" w:hint="default"/>
        </w:rPr>
        <w:t>200 </w:t>
      </w:r>
      <w:r>
        <w:rPr/>
        <w:t>人的团队，其中包括：运营、人事、行政等后台运营人员以及售前、研发、安全方案架构师、解 决方案咨询师以及研发工程师、融资租赁咨询师等技术研发及实施咨询人员。此外，公司还将根 据业务发展需要，进一步建立与院校、研究所的技术合作，形成有效的产学研合作机制。</w:t>
      </w:r>
    </w:p>
    <w:p>
      <w:pPr>
        <w:pStyle w:val="BodyText"/>
        <w:spacing w:line="355" w:lineRule="auto" w:before="42"/>
        <w:ind w:left="558" w:right="308"/>
        <w:jc w:val="left"/>
      </w:pPr>
      <w:r>
        <w:rPr>
          <w:rFonts w:ascii="宋体" w:hAnsi="宋体" w:cs="宋体" w:eastAsia="宋体" w:hint="default"/>
        </w:rPr>
        <w:t>3</w:t>
      </w:r>
      <w:r>
        <w:rPr/>
        <w:t>、融资优势 由于智慧城市项目对于技术上的高要求，不论是项目的总承包模式，还是利用自有解决方案</w:t>
      </w:r>
    </w:p>
    <w:p>
      <w:pPr>
        <w:pStyle w:val="BodyText"/>
        <w:spacing w:line="357" w:lineRule="auto" w:before="33"/>
        <w:ind w:right="194"/>
        <w:jc w:val="left"/>
      </w:pPr>
      <w:r>
        <w:rPr>
          <w:spacing w:val="-3"/>
        </w:rPr>
        <w:t>进行具体项目承接和实施，相比传统的城市建设或者单纯的系统集成业务都有更广泛的盈利空间。</w:t>
      </w:r>
      <w:r>
        <w:rPr>
          <w:spacing w:val="-69"/>
        </w:rPr>
        <w:t> </w:t>
      </w:r>
      <w:r>
        <w:rPr>
          <w:spacing w:val="-69"/>
        </w:rPr>
      </w:r>
      <w:r>
        <w:rPr/>
        <w:t>对于智慧城市中细分行业信息化解决方案、项目实施的业务阶段，公司将结合项目实际情况分别 采用</w:t>
      </w:r>
      <w:r>
        <w:rPr>
          <w:spacing w:val="-54"/>
        </w:rPr>
        <w:t> </w:t>
      </w:r>
      <w:r>
        <w:rPr>
          <w:rFonts w:ascii="宋体" w:hAnsi="宋体" w:cs="宋体" w:eastAsia="宋体" w:hint="default"/>
        </w:rPr>
        <w:t>EPC</w:t>
      </w:r>
      <w:r>
        <w:rPr/>
        <w:t>、</w:t>
      </w:r>
      <w:r>
        <w:rPr>
          <w:rFonts w:ascii="宋体" w:hAnsi="宋体" w:cs="宋体" w:eastAsia="宋体" w:hint="default"/>
        </w:rPr>
        <w:t>BT</w:t>
      </w:r>
      <w:r>
        <w:rPr/>
        <w:t>、</w:t>
      </w:r>
      <w:r>
        <w:rPr>
          <w:rFonts w:ascii="宋体" w:hAnsi="宋体" w:cs="宋体" w:eastAsia="宋体" w:hint="default"/>
        </w:rPr>
        <w:t>BOT</w:t>
      </w:r>
      <w:r>
        <w:rPr/>
        <w:t>、</w:t>
      </w:r>
      <w:r>
        <w:rPr>
          <w:rFonts w:ascii="宋体" w:hAnsi="宋体" w:cs="宋体" w:eastAsia="宋体" w:hint="default"/>
        </w:rPr>
        <w:t>BLT</w:t>
      </w:r>
      <w:r>
        <w:rPr>
          <w:rFonts w:ascii="宋体" w:hAnsi="宋体" w:cs="宋体" w:eastAsia="宋体" w:hint="default"/>
          <w:spacing w:val="-54"/>
        </w:rPr>
        <w:t> </w:t>
      </w:r>
      <w:r>
        <w:rPr/>
        <w:t>或</w:t>
      </w:r>
      <w:r>
        <w:rPr>
          <w:spacing w:val="-54"/>
        </w:rPr>
        <w:t> </w:t>
      </w:r>
      <w:r>
        <w:rPr>
          <w:rFonts w:ascii="宋体" w:hAnsi="宋体" w:cs="宋体" w:eastAsia="宋体" w:hint="default"/>
        </w:rPr>
        <w:t>PPP</w:t>
      </w:r>
      <w:r>
        <w:rPr>
          <w:rFonts w:ascii="宋体" w:hAnsi="宋体" w:cs="宋体" w:eastAsia="宋体" w:hint="default"/>
          <w:spacing w:val="-53"/>
        </w:rPr>
        <w:t> </w:t>
      </w:r>
      <w:r>
        <w:rPr/>
        <w:t>等模式，该阶段业务总体上具有合同金额很大、利润贡献总额较 大的特点，将为公司未来盈利做出主要贡献。由于智慧城市的业务模式对建设商的资金实力要求 </w:t>
      </w:r>
      <w:r>
        <w:rPr>
          <w:spacing w:val="-7"/>
        </w:rPr>
        <w:t>较高，通过本次非公开发行，公司还将利用募集资金净额即不超过</w:t>
      </w:r>
      <w:r>
        <w:rPr>
          <w:spacing w:val="-47"/>
        </w:rPr>
        <w:t> </w:t>
      </w:r>
      <w:r>
        <w:rPr>
          <w:rFonts w:ascii="宋体" w:hAnsi="宋体" w:cs="宋体" w:eastAsia="宋体" w:hint="default"/>
        </w:rPr>
        <w:t>210,876.61</w:t>
      </w:r>
      <w:r>
        <w:rPr>
          <w:rFonts w:ascii="宋体" w:hAnsi="宋体" w:cs="宋体" w:eastAsia="宋体" w:hint="default"/>
          <w:spacing w:val="-47"/>
        </w:rPr>
        <w:t> </w:t>
      </w:r>
      <w:r>
        <w:rPr>
          <w:spacing w:val="-1"/>
        </w:rPr>
        <w:t>万元补充流动资金，</w:t>
      </w:r>
      <w:r>
        <w:rPr/>
        <w:t> 支持向智慧城市业务转型。本次非公开发行完成后，由于公司拥有相对全面的融资渠道，有利于 公司业务的长期发展。另外，即使本次非公开发行未能成功，公司也将通过贷款、股东借款等可 行的融资方式解决项目资金，不会对项目的实施产生重要影响。</w:t>
      </w:r>
    </w:p>
    <w:p>
      <w:pPr>
        <w:pStyle w:val="BodyText"/>
        <w:spacing w:line="357" w:lineRule="auto" w:before="30"/>
        <w:ind w:left="558" w:right="308"/>
        <w:jc w:val="left"/>
      </w:pPr>
      <w:r>
        <w:rPr>
          <w:rFonts w:ascii="宋体" w:hAnsi="宋体" w:cs="宋体" w:eastAsia="宋体" w:hint="default"/>
        </w:rPr>
        <w:t>4</w:t>
      </w:r>
      <w:r>
        <w:rPr/>
        <w:t>、项目优势 公司立足于自身的顶层设计能力和智慧城市产业链上下游的整合能力，以框架协议的形式，</w:t>
      </w:r>
    </w:p>
    <w:p>
      <w:pPr>
        <w:pStyle w:val="BodyText"/>
        <w:spacing w:line="355" w:lineRule="auto" w:before="30"/>
        <w:ind w:right="308"/>
        <w:jc w:val="left"/>
      </w:pPr>
      <w:r>
        <w:rPr/>
        <w:t>迅速抢占智慧城市的市场份额，并推动项目落地实施。公司及全资子公司智诚合讯已与相关政府 投资主体签署战略合作框架协议，战略合作框架协议累计金额已达</w:t>
      </w:r>
      <w:r>
        <w:rPr>
          <w:spacing w:val="-55"/>
        </w:rPr>
        <w:t> </w:t>
      </w:r>
      <w:r>
        <w:rPr>
          <w:rFonts w:ascii="宋体" w:hAnsi="宋体" w:cs="宋体" w:eastAsia="宋体" w:hint="default"/>
        </w:rPr>
        <w:t>195</w:t>
      </w:r>
      <w:r>
        <w:rPr>
          <w:rFonts w:ascii="宋体" w:hAnsi="宋体" w:cs="宋体" w:eastAsia="宋体" w:hint="default"/>
          <w:spacing w:val="-54"/>
        </w:rPr>
        <w:t> </w:t>
      </w:r>
      <w:r>
        <w:rPr/>
        <w:t>亿元，具体包括：智慧南</w:t>
      </w:r>
    </w:p>
    <w:p>
      <w:pPr>
        <w:pStyle w:val="BodyText"/>
        <w:spacing w:line="240" w:lineRule="auto" w:before="33"/>
        <w:ind w:right="228"/>
        <w:jc w:val="left"/>
      </w:pPr>
      <w:r>
        <w:rPr/>
        <w:t>宁项目，总投资不低于</w:t>
      </w:r>
      <w:r>
        <w:rPr>
          <w:spacing w:val="-55"/>
        </w:rPr>
        <w:t> </w:t>
      </w:r>
      <w:r>
        <w:rPr>
          <w:rFonts w:ascii="Calibri" w:hAnsi="Calibri" w:cs="Calibri" w:eastAsia="Calibri" w:hint="default"/>
        </w:rPr>
        <w:t>35</w:t>
      </w:r>
      <w:r>
        <w:rPr>
          <w:rFonts w:ascii="Calibri" w:hAnsi="Calibri" w:cs="Calibri" w:eastAsia="Calibri" w:hint="default"/>
          <w:spacing w:val="3"/>
        </w:rPr>
        <w:t> </w:t>
      </w:r>
      <w:r>
        <w:rPr/>
        <w:t>亿元；智慧鹤壁项目，总投资</w:t>
      </w:r>
      <w:r>
        <w:rPr>
          <w:spacing w:val="-54"/>
        </w:rPr>
        <w:t> </w:t>
      </w:r>
      <w:r>
        <w:rPr>
          <w:rFonts w:ascii="Calibri" w:hAnsi="Calibri" w:cs="Calibri" w:eastAsia="Calibri" w:hint="default"/>
        </w:rPr>
        <w:t>30</w:t>
      </w:r>
      <w:r>
        <w:rPr>
          <w:rFonts w:ascii="Calibri" w:hAnsi="Calibri" w:cs="Calibri" w:eastAsia="Calibri" w:hint="default"/>
          <w:spacing w:val="3"/>
        </w:rPr>
        <w:t> </w:t>
      </w:r>
      <w:r>
        <w:rPr/>
        <w:t>亿元；江苏沛县智慧开发区项目，总</w:t>
      </w:r>
    </w:p>
    <w:p>
      <w:pPr>
        <w:pStyle w:val="BodyText"/>
        <w:spacing w:line="240" w:lineRule="auto" w:before="106"/>
        <w:ind w:right="228"/>
        <w:jc w:val="left"/>
      </w:pPr>
      <w:r>
        <w:rPr/>
        <w:t>投资</w:t>
      </w:r>
      <w:r>
        <w:rPr>
          <w:spacing w:val="-54"/>
        </w:rPr>
        <w:t> </w:t>
      </w:r>
      <w:r>
        <w:rPr>
          <w:rFonts w:ascii="Calibri" w:hAnsi="Calibri" w:cs="Calibri" w:eastAsia="Calibri" w:hint="default"/>
        </w:rPr>
        <w:t>10</w:t>
      </w:r>
      <w:r>
        <w:rPr>
          <w:rFonts w:ascii="Calibri" w:hAnsi="Calibri" w:cs="Calibri" w:eastAsia="Calibri" w:hint="default"/>
          <w:spacing w:val="4"/>
        </w:rPr>
        <w:t> </w:t>
      </w:r>
      <w:r>
        <w:rPr/>
        <w:t>亿元；智慧芜湖项目，总投资约</w:t>
      </w:r>
      <w:r>
        <w:rPr>
          <w:spacing w:val="-53"/>
        </w:rPr>
        <w:t> </w:t>
      </w:r>
      <w:r>
        <w:rPr>
          <w:rFonts w:ascii="Calibri" w:hAnsi="Calibri" w:cs="Calibri" w:eastAsia="Calibri" w:hint="default"/>
        </w:rPr>
        <w:t>20</w:t>
      </w:r>
      <w:r>
        <w:rPr>
          <w:rFonts w:ascii="Calibri" w:hAnsi="Calibri" w:cs="Calibri" w:eastAsia="Calibri" w:hint="default"/>
          <w:spacing w:val="4"/>
        </w:rPr>
        <w:t> </w:t>
      </w:r>
      <w:r>
        <w:rPr/>
        <w:t>亿元；韶山市智慧城市基础设施项目，总投资不低于</w:t>
      </w:r>
    </w:p>
    <w:p>
      <w:pPr>
        <w:pStyle w:val="BodyText"/>
        <w:spacing w:line="240" w:lineRule="auto" w:before="107"/>
        <w:ind w:right="228"/>
        <w:jc w:val="left"/>
      </w:pPr>
      <w:r>
        <w:rPr>
          <w:rFonts w:ascii="Calibri" w:hAnsi="Calibri" w:cs="Calibri" w:eastAsia="Calibri" w:hint="default"/>
        </w:rPr>
        <w:t>10</w:t>
      </w:r>
      <w:r>
        <w:rPr>
          <w:rFonts w:ascii="Calibri" w:hAnsi="Calibri" w:cs="Calibri" w:eastAsia="Calibri" w:hint="default"/>
          <w:spacing w:val="3"/>
        </w:rPr>
        <w:t> </w:t>
      </w:r>
      <w:r>
        <w:rPr/>
        <w:t>亿元；武汉新洲区智慧城市项目，总投资不低于</w:t>
      </w:r>
      <w:r>
        <w:rPr>
          <w:spacing w:val="-54"/>
        </w:rPr>
        <w:t> </w:t>
      </w:r>
      <w:r>
        <w:rPr>
          <w:rFonts w:ascii="宋体" w:hAnsi="宋体" w:cs="宋体" w:eastAsia="宋体" w:hint="default"/>
        </w:rPr>
        <w:t>20</w:t>
      </w:r>
      <w:r>
        <w:rPr>
          <w:rFonts w:ascii="宋体" w:hAnsi="宋体" w:cs="宋体" w:eastAsia="宋体" w:hint="default"/>
          <w:spacing w:val="-54"/>
        </w:rPr>
        <w:t> </w:t>
      </w:r>
      <w:r>
        <w:rPr/>
        <w:t>亿元；共建重庆智慧两江战略合作项目，</w:t>
      </w:r>
    </w:p>
    <w:p>
      <w:pPr>
        <w:pStyle w:val="BodyText"/>
        <w:spacing w:line="240" w:lineRule="auto" w:before="106"/>
        <w:ind w:right="228"/>
        <w:jc w:val="left"/>
      </w:pPr>
      <w:r>
        <w:rPr/>
        <w:t>总投资金额</w:t>
      </w:r>
      <w:r>
        <w:rPr>
          <w:spacing w:val="-55"/>
        </w:rPr>
        <w:t> </w:t>
      </w:r>
      <w:r>
        <w:rPr>
          <w:rFonts w:ascii="宋体" w:hAnsi="宋体" w:cs="宋体" w:eastAsia="宋体" w:hint="default"/>
        </w:rPr>
        <w:t>40</w:t>
      </w:r>
      <w:r>
        <w:rPr>
          <w:rFonts w:ascii="宋体" w:hAnsi="宋体" w:cs="宋体" w:eastAsia="宋体" w:hint="default"/>
          <w:spacing w:val="-54"/>
        </w:rPr>
        <w:t> </w:t>
      </w:r>
      <w:r>
        <w:rPr/>
        <w:t>亿元；宁波杭州湾新区智慧城市项目，总投资不低于</w:t>
      </w:r>
      <w:r>
        <w:rPr>
          <w:spacing w:val="-55"/>
        </w:rPr>
        <w:t> </w:t>
      </w:r>
      <w:r>
        <w:rPr>
          <w:rFonts w:ascii="宋体" w:hAnsi="宋体" w:cs="宋体" w:eastAsia="宋体" w:hint="default"/>
        </w:rPr>
        <w:t>30</w:t>
      </w:r>
      <w:r>
        <w:rPr>
          <w:rFonts w:ascii="宋体" w:hAnsi="宋体" w:cs="宋体" w:eastAsia="宋体" w:hint="default"/>
          <w:spacing w:val="-54"/>
        </w:rPr>
        <w:t> </w:t>
      </w:r>
      <w:r>
        <w:rPr/>
        <w:t>亿元。</w:t>
      </w:r>
    </w:p>
    <w:p>
      <w:pPr>
        <w:pStyle w:val="BodyText"/>
        <w:spacing w:line="240" w:lineRule="auto" w:before="134"/>
        <w:ind w:left="558" w:right="228"/>
        <w:jc w:val="left"/>
      </w:pP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日，公司与宁波杭州湾新区开发建设有限公司签署了《宁波杭州湾新区滨海</w:t>
      </w:r>
    </w:p>
    <w:p>
      <w:pPr>
        <w:pStyle w:val="BodyText"/>
        <w:spacing w:line="357" w:lineRule="auto" w:before="133"/>
        <w:ind w:right="308"/>
        <w:jc w:val="left"/>
      </w:pPr>
      <w:r>
        <w:rPr/>
        <w:t>六路智慧交通</w:t>
      </w:r>
      <w:r>
        <w:rPr>
          <w:spacing w:val="-54"/>
        </w:rPr>
        <w:t> </w:t>
      </w:r>
      <w:r>
        <w:rPr>
          <w:rFonts w:ascii="宋体" w:hAnsi="宋体" w:cs="宋体" w:eastAsia="宋体" w:hint="default"/>
        </w:rPr>
        <w:t>PPP</w:t>
      </w:r>
      <w:r>
        <w:rPr>
          <w:rFonts w:ascii="宋体" w:hAnsi="宋体" w:cs="宋体" w:eastAsia="宋体" w:hint="default"/>
          <w:spacing w:val="-53"/>
        </w:rPr>
        <w:t> </w:t>
      </w:r>
      <w:r>
        <w:rPr/>
        <w:t>建设合同》，本项目合同价款总额为人民币</w:t>
      </w:r>
      <w:r>
        <w:rPr>
          <w:spacing w:val="-53"/>
        </w:rPr>
        <w:t> </w:t>
      </w:r>
      <w:r>
        <w:rPr>
          <w:rFonts w:ascii="宋体" w:hAnsi="宋体" w:cs="宋体" w:eastAsia="宋体" w:hint="default"/>
        </w:rPr>
        <w:t>46,146.94</w:t>
      </w:r>
      <w:r>
        <w:rPr>
          <w:rFonts w:ascii="宋体" w:hAnsi="宋体" w:cs="宋体" w:eastAsia="宋体" w:hint="default"/>
          <w:spacing w:val="-53"/>
        </w:rPr>
        <w:t> </w:t>
      </w:r>
      <w:r>
        <w:rPr/>
        <w:t>万元。</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10 </w:t>
      </w:r>
      <w:r>
        <w:rPr>
          <w:spacing w:val="-3"/>
        </w:rPr>
        <w:t>日，公司与重庆两江新区管委会签署了《智慧金融</w:t>
      </w:r>
      <w:r>
        <w:rPr>
          <w:rFonts w:ascii="宋体" w:hAnsi="宋体" w:cs="宋体" w:eastAsia="宋体" w:hint="default"/>
          <w:spacing w:val="-3"/>
        </w:rPr>
        <w:t>&amp;</w:t>
      </w:r>
      <w:r>
        <w:rPr>
          <w:spacing w:val="-3"/>
        </w:rPr>
        <w:t>智慧政务共建合同》，公司将在重庆两江新区</w:t>
      </w:r>
      <w:r>
        <w:rPr>
          <w:spacing w:val="-70"/>
        </w:rPr>
        <w:t> </w:t>
      </w:r>
      <w:r>
        <w:rPr>
          <w:spacing w:val="-70"/>
        </w:rPr>
      </w:r>
      <w:r>
        <w:rPr/>
        <w:t>开发区内与重庆两江新区管委会下属重庆云计算投资运营有限公司（以下简称“云计算公司”） 共同开展智慧城市项目建设，双方将共同设立项目公司，双方同意项目公司以合法方式选择公司 </w:t>
      </w:r>
      <w:r>
        <w:rPr>
          <w:spacing w:val="-3"/>
        </w:rPr>
        <w:t>或公司控制的关联公司为重庆两江智慧政务</w:t>
      </w:r>
      <w:r>
        <w:rPr>
          <w:rFonts w:ascii="宋体" w:hAnsi="宋体" w:cs="宋体" w:eastAsia="宋体" w:hint="default"/>
          <w:spacing w:val="-3"/>
        </w:rPr>
        <w:t>&amp;</w:t>
      </w:r>
      <w:r>
        <w:rPr>
          <w:spacing w:val="-3"/>
        </w:rPr>
        <w:t>智慧金融项目续建工程总包商，并在项目公司组建完</w:t>
      </w:r>
      <w:r>
        <w:rPr>
          <w:spacing w:val="-71"/>
        </w:rPr>
        <w:t> </w:t>
      </w:r>
      <w:r>
        <w:rPr>
          <w:spacing w:val="-71"/>
        </w:rPr>
      </w:r>
      <w:r>
        <w:rPr/>
        <w:t>成后与其签订工程总包合同，总金额约为</w:t>
      </w:r>
      <w:r>
        <w:rPr>
          <w:spacing w:val="-52"/>
        </w:rPr>
        <w:t> </w:t>
      </w:r>
      <w:r>
        <w:rPr>
          <w:rFonts w:ascii="宋体" w:hAnsi="宋体" w:cs="宋体" w:eastAsia="宋体" w:hint="default"/>
        </w:rPr>
        <w:t>1.54</w:t>
      </w:r>
      <w:r>
        <w:rPr>
          <w:rFonts w:ascii="宋体" w:hAnsi="宋体" w:cs="宋体" w:eastAsia="宋体" w:hint="default"/>
          <w:spacing w:val="-54"/>
        </w:rPr>
        <w:t> </w:t>
      </w:r>
      <w:r>
        <w:rPr/>
        <w:t>亿元。</w:t>
      </w:r>
    </w:p>
    <w:p>
      <w:pPr>
        <w:pStyle w:val="BodyText"/>
        <w:spacing w:line="355" w:lineRule="auto" w:before="31"/>
        <w:ind w:right="308" w:firstLine="420"/>
        <w:jc w:val="left"/>
      </w:pPr>
      <w:r>
        <w:rPr/>
        <w:t>公司以战略合作框架协议的形式切入智慧城市建设，已签订了较多的资源，为公司预先抢占 市场赢得项目打下了坚实的基础。除此之外，公司及子公司智诚合讯还通过与绿地（香港）控股</w:t>
      </w:r>
    </w:p>
    <w:p>
      <w:pPr>
        <w:spacing w:after="0" w:line="355" w:lineRule="auto"/>
        <w:jc w:val="left"/>
        <w:sectPr>
          <w:pgSz w:w="11910" w:h="16840"/>
          <w:pgMar w:header="882" w:footer="1194" w:top="1120" w:bottom="1380" w:left="1660" w:right="960"/>
        </w:sectPr>
      </w:pPr>
    </w:p>
    <w:p>
      <w:pPr>
        <w:spacing w:line="240" w:lineRule="auto" w:before="6"/>
        <w:rPr>
          <w:rFonts w:ascii="宋体" w:hAnsi="宋体" w:cs="宋体" w:eastAsia="宋体" w:hint="default"/>
          <w:sz w:val="25"/>
          <w:szCs w:val="25"/>
        </w:rPr>
      </w:pPr>
    </w:p>
    <w:p>
      <w:pPr>
        <w:pStyle w:val="BodyText"/>
        <w:spacing w:line="355" w:lineRule="auto" w:before="35"/>
        <w:ind w:right="128"/>
        <w:jc w:val="left"/>
      </w:pPr>
      <w:r>
        <w:rPr/>
        <w:t>有限公司、湖南省有线电视网络（集团）股份有限公司等具备区位资源及行业优势的大型企业签 署《战略合作协议》，达成战略合作伙伴关系，以有利于共同开发智慧城市项目资源。</w:t>
      </w:r>
    </w:p>
    <w:p>
      <w:pPr>
        <w:pStyle w:val="BodyText"/>
        <w:spacing w:line="357" w:lineRule="auto" w:before="33"/>
        <w:ind w:right="146" w:firstLine="420"/>
        <w:jc w:val="both"/>
      </w:pPr>
      <w:r>
        <w:rPr/>
        <w:t>随着具体智慧城市项目的落地实施，公司将逐步实现产业转型升级，改善公司经营业绩，使 得公司资本结构得到改善、提升公司整体竞争力，保护公司股东和债权人的共同利益，为公司的 可持续发展奠定坚实的基础。</w:t>
      </w:r>
    </w:p>
    <w:p>
      <w:pPr>
        <w:pStyle w:val="BodyText"/>
        <w:spacing w:line="357" w:lineRule="auto" w:before="30"/>
        <w:ind w:right="145" w:firstLine="420"/>
        <w:jc w:val="both"/>
      </w:pPr>
      <w:r>
        <w:rPr/>
        <w:t>目前，凭借核心团队的资源和技术积累，公司逐步在人才团队、融资方式、项目资源、业务 技术等方面得到进一步加强，具备开展智慧城市业务的能力。在业务层面，已形成顶层设计和咨 询服务、城市大数据和运营管理平台、信息安全和互联网安全、行业垂直应用、</w:t>
      </w:r>
      <w:r>
        <w:rPr>
          <w:rFonts w:ascii="宋体" w:hAnsi="宋体" w:cs="宋体" w:eastAsia="宋体" w:hint="default"/>
        </w:rPr>
        <w:t>PPP</w:t>
      </w:r>
      <w:r>
        <w:rPr>
          <w:rFonts w:ascii="宋体" w:hAnsi="宋体" w:cs="宋体" w:eastAsia="宋体" w:hint="default"/>
          <w:spacing w:val="-53"/>
        </w:rPr>
        <w:t> </w:t>
      </w:r>
      <w:r>
        <w:rPr/>
        <w:t>客户融资等 为核心竞争力的整体解决方案与项目实施能力。</w:t>
      </w:r>
    </w:p>
    <w:p>
      <w:pPr>
        <w:pStyle w:val="BodyText"/>
        <w:spacing w:line="357" w:lineRule="auto" w:before="31"/>
        <w:ind w:right="146" w:firstLine="420"/>
        <w:jc w:val="both"/>
      </w:pPr>
      <w:r>
        <w:rPr/>
        <w:t>不过，目前公司主要通过签署相关三方协议的方式取得政府投资主体的认可，并履行了董事 会及股东大会等审议及公开披露程序。由于框架协议项下具体项目实施涉及政府采购，项目后续 能否由公司予以实施，尚需根据政府公开招标或竞争谈判情况确定，具体项目在落地执行中各方 的权利、义务将根据签署的具体执行合同确定。</w:t>
      </w:r>
    </w:p>
    <w:p>
      <w:pPr>
        <w:spacing w:line="240" w:lineRule="auto" w:before="8"/>
        <w:rPr>
          <w:rFonts w:ascii="宋体" w:hAnsi="宋体" w:cs="宋体" w:eastAsia="宋体" w:hint="default"/>
          <w:sz w:val="27"/>
          <w:szCs w:val="27"/>
        </w:rPr>
      </w:pPr>
    </w:p>
    <w:p>
      <w:pPr>
        <w:pStyle w:val="Heading3"/>
        <w:spacing w:line="240" w:lineRule="auto" w:before="0"/>
        <w:ind w:left="138" w:right="13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投资状况分析</w:t>
      </w:r>
      <w:r>
        <w:rPr>
          <w:b w:val="0"/>
          <w:bCs w:val="0"/>
        </w:rPr>
      </w:r>
    </w:p>
    <w:p>
      <w:pPr>
        <w:pStyle w:val="Heading3"/>
        <w:spacing w:line="240" w:lineRule="auto" w:before="30"/>
        <w:ind w:left="138" w:right="135"/>
        <w:jc w:val="left"/>
        <w:rPr>
          <w:b w:val="0"/>
          <w:bCs w:val="0"/>
        </w:rPr>
      </w:pPr>
      <w:r>
        <w:rPr>
          <w:rFonts w:ascii="宋体" w:hAnsi="宋体" w:cs="宋体" w:eastAsia="宋体" w:hint="default"/>
        </w:rPr>
        <w:t>1</w:t>
      </w:r>
      <w:r>
        <w:rPr/>
        <w:t>、</w:t>
      </w:r>
      <w:r>
        <w:rPr>
          <w:spacing w:val="-6"/>
        </w:rPr>
        <w:t> </w:t>
      </w:r>
      <w:r>
        <w:rPr/>
        <w:t>对外股权投资总体分析</w:t>
      </w:r>
      <w:r>
        <w:rPr>
          <w:b w:val="0"/>
          <w:bCs w:val="0"/>
        </w:rPr>
      </w:r>
    </w:p>
    <w:p>
      <w:pPr>
        <w:pStyle w:val="BodyText"/>
        <w:spacing w:line="357" w:lineRule="auto" w:before="58"/>
        <w:ind w:right="134" w:firstLine="420"/>
        <w:jc w:val="both"/>
      </w:pP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2</w:t>
      </w:r>
      <w:r>
        <w:rPr/>
        <w:t>日，公司设立了全资子公司南宁市智诚合讯信息技术有限公司，注册地为广西南 宁，注册资本</w:t>
      </w:r>
      <w:r>
        <w:rPr>
          <w:rFonts w:ascii="宋体" w:hAnsi="宋体" w:cs="宋体" w:eastAsia="宋体" w:hint="default"/>
        </w:rPr>
        <w:t>10</w:t>
      </w:r>
      <w:r>
        <w:rPr/>
        <w:t>万元，经营范围为：计算机、电子技术开发、技术服务、技术咨询，计算机网络 工程，计算机软硬件的开发；信息科技技术开发、技术服务、技术咨询；通信系统技术开发、技 </w:t>
      </w:r>
      <w:r>
        <w:rPr>
          <w:spacing w:val="-5"/>
        </w:rPr>
        <w:t>术服务、技术咨询；通信系统自动化软硬件的开发，通信网络工程，通信系统设备的销售、安装、</w:t>
      </w:r>
      <w:r>
        <w:rPr>
          <w:spacing w:val="-90"/>
        </w:rPr>
        <w:t> </w:t>
      </w:r>
      <w:r>
        <w:rPr>
          <w:spacing w:val="-90"/>
        </w:rPr>
      </w:r>
      <w:r>
        <w:rPr/>
        <w:t>调试、维护；智能系统工程的设计、安装、调试、维护。（依法须经批准的项目，经相关部门批 准后方可开展经营活动。）</w:t>
      </w:r>
    </w:p>
    <w:p>
      <w:pPr>
        <w:pStyle w:val="BodyText"/>
        <w:spacing w:line="357" w:lineRule="auto" w:before="31"/>
        <w:ind w:right="133" w:firstLine="420"/>
        <w:jc w:val="both"/>
      </w:pPr>
      <w:r>
        <w:rPr/>
        <w:t>经公司第七届董事会第三十一次会议、</w:t>
      </w:r>
      <w:r>
        <w:rPr>
          <w:rFonts w:ascii="宋体" w:hAnsi="宋体" w:cs="宋体" w:eastAsia="宋体" w:hint="default"/>
        </w:rPr>
        <w:t>2014</w:t>
      </w:r>
      <w:r>
        <w:rPr/>
        <w:t>年第一次临时股东大会审议通过，为业务发展需 </w:t>
      </w:r>
      <w:r>
        <w:rPr>
          <w:spacing w:val="-3"/>
        </w:rPr>
        <w:t>要，决定对智诚合讯现金增资人民币</w:t>
      </w:r>
      <w:r>
        <w:rPr>
          <w:rFonts w:ascii="宋体" w:hAnsi="宋体" w:cs="宋体" w:eastAsia="宋体" w:hint="default"/>
          <w:spacing w:val="-3"/>
        </w:rPr>
        <w:t>990</w:t>
      </w:r>
      <w:r>
        <w:rPr>
          <w:spacing w:val="-3"/>
        </w:rPr>
        <w:t>万元。增资完成后，智诚合讯注册资本变更为人民币</w:t>
      </w:r>
      <w:r>
        <w:rPr>
          <w:rFonts w:ascii="宋体" w:hAnsi="宋体" w:cs="宋体" w:eastAsia="宋体" w:hint="default"/>
          <w:spacing w:val="-3"/>
        </w:rPr>
        <w:t>1000</w:t>
      </w:r>
      <w:r>
        <w:rPr>
          <w:rFonts w:ascii="宋体" w:hAnsi="宋体" w:cs="宋体" w:eastAsia="宋体" w:hint="default"/>
          <w:spacing w:val="-63"/>
        </w:rPr>
        <w:t> </w:t>
      </w:r>
      <w:r>
        <w:rPr/>
        <w:t>万元，经营范围不变。公司的出资已在</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29</w:t>
      </w:r>
      <w:r>
        <w:rPr/>
        <w:t>日全部缴清。</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19</w:t>
      </w:r>
      <w:r>
        <w:rPr/>
        <w:t>日，智诚合讯的工 商变更手续已办理完毕，并取得南宁市工商行政管理局颁发的新的《营业执照》。</w:t>
      </w:r>
    </w:p>
    <w:p>
      <w:pPr>
        <w:spacing w:after="0" w:line="357" w:lineRule="auto"/>
        <w:jc w:val="both"/>
        <w:sectPr>
          <w:pgSz w:w="11910" w:h="16840"/>
          <w:pgMar w:header="882" w:footer="1194" w:top="1120" w:bottom="1380" w:left="1660" w:right="1140"/>
        </w:sectPr>
      </w:pPr>
    </w:p>
    <w:p>
      <w:pPr>
        <w:spacing w:before="20"/>
        <w:ind w:left="0" w:right="255" w:firstLine="0"/>
        <w:jc w:val="righ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0" w:lineRule="exact"/>
        <w:ind w:left="360" w:right="0" w:firstLine="0"/>
        <w:rPr>
          <w:rFonts w:ascii="宋体" w:hAnsi="宋体" w:cs="宋体" w:eastAsia="宋体" w:hint="default"/>
          <w:sz w:val="2"/>
          <w:szCs w:val="2"/>
        </w:rPr>
      </w:pPr>
      <w:r>
        <w:rPr>
          <w:rFonts w:ascii="宋体" w:hAnsi="宋体" w:cs="宋体" w:eastAsia="宋体" w:hint="default"/>
          <w:sz w:val="2"/>
          <w:szCs w:val="2"/>
        </w:rPr>
        <w:pict>
          <v:group style="width:691pt;height:.75pt;mso-position-horizontal-relative:char;mso-position-vertical-relative:line" coordorigin="0,0" coordsize="13820,15">
            <v:group style="position:absolute;left:7;top:7;width:13805;height:2" coordorigin="7,7" coordsize="13805,2">
              <v:shape style="position:absolute;left:7;top:7;width:13805;height:2" coordorigin="7,7" coordsize="13805,0" path="m7,7l1381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13"/>
          <w:footerReference w:type="default" r:id="rId14"/>
          <w:pgSz w:w="16840" w:h="11910" w:orient="landscape"/>
          <w:pgMar w:header="0" w:footer="0" w:top="800" w:bottom="280" w:left="1400" w:right="1040"/>
        </w:sectPr>
      </w:pPr>
    </w:p>
    <w:p>
      <w:pPr>
        <w:spacing w:line="240" w:lineRule="auto" w:before="11"/>
        <w:rPr>
          <w:rFonts w:ascii="宋体" w:hAnsi="宋体" w:cs="宋体" w:eastAsia="宋体" w:hint="default"/>
          <w:sz w:val="14"/>
          <w:szCs w:val="14"/>
        </w:rPr>
      </w:pPr>
    </w:p>
    <w:p>
      <w:pPr>
        <w:pStyle w:val="Heading3"/>
        <w:spacing w:line="290" w:lineRule="auto" w:before="0"/>
        <w:ind w:left="397" w:right="-17"/>
        <w:jc w:val="left"/>
        <w:rPr>
          <w:b w:val="0"/>
          <w:bCs w:val="0"/>
        </w:rPr>
      </w:pPr>
      <w:r>
        <w:rPr>
          <w:rFonts w:ascii="宋体" w:hAnsi="宋体" w:cs="宋体" w:eastAsia="宋体" w:hint="default"/>
        </w:rPr>
        <w:t>2</w:t>
      </w:r>
      <w:r>
        <w:rPr/>
        <w:t>、</w:t>
      </w:r>
      <w:r>
        <w:rPr>
          <w:spacing w:val="-8"/>
        </w:rPr>
        <w:t> </w:t>
      </w:r>
      <w:r>
        <w:rPr/>
        <w:t>非金融类公司委托理财及衍生品投资的情况</w:t>
      </w:r>
      <w:r>
        <w:rPr>
          <w:w w:val="99"/>
        </w:rPr>
        <w:t> </w:t>
      </w:r>
      <w:r>
        <w:rPr>
          <w:rFonts w:ascii="宋体" w:hAnsi="宋体" w:cs="宋体" w:eastAsia="宋体" w:hint="default"/>
        </w:rPr>
        <w:t>(1)</w:t>
      </w:r>
      <w:r>
        <w:rPr>
          <w:rFonts w:ascii="宋体" w:hAnsi="宋体" w:cs="宋体" w:eastAsia="宋体" w:hint="default"/>
          <w:spacing w:val="-6"/>
        </w:rPr>
        <w:t> </w:t>
      </w:r>
      <w:r>
        <w:rPr/>
        <w:t>委托理财情况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5"/>
          <w:szCs w:val="25"/>
        </w:rPr>
      </w:pPr>
    </w:p>
    <w:p>
      <w:pPr>
        <w:pStyle w:val="BodyText"/>
        <w:tabs>
          <w:tab w:pos="1343" w:val="left" w:leader="none"/>
        </w:tabs>
        <w:spacing w:line="240" w:lineRule="auto"/>
        <w:ind w:left="39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400" w:right="1040"/>
          <w:cols w:num="2" w:equalWidth="0">
            <w:col w:w="4821" w:space="6846"/>
            <w:col w:w="2733"/>
          </w:cols>
        </w:sectPr>
      </w:pP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19"/>
        <w:gridCol w:w="851"/>
        <w:gridCol w:w="992"/>
        <w:gridCol w:w="992"/>
        <w:gridCol w:w="992"/>
        <w:gridCol w:w="850"/>
        <w:gridCol w:w="993"/>
        <w:gridCol w:w="994"/>
        <w:gridCol w:w="991"/>
        <w:gridCol w:w="851"/>
        <w:gridCol w:w="851"/>
        <w:gridCol w:w="850"/>
        <w:gridCol w:w="709"/>
        <w:gridCol w:w="1134"/>
        <w:gridCol w:w="703"/>
      </w:tblGrid>
      <w:tr>
        <w:trPr>
          <w:trHeight w:val="106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委托理</w:t>
            </w:r>
          </w:p>
          <w:p>
            <w:pPr>
              <w:pStyle w:val="TableParagraph"/>
              <w:spacing w:line="357" w:lineRule="auto" w:before="115"/>
              <w:ind w:left="238" w:right="150" w:hanging="90"/>
              <w:jc w:val="left"/>
              <w:rPr>
                <w:rFonts w:ascii="宋体" w:hAnsi="宋体" w:cs="宋体" w:eastAsia="宋体" w:hint="default"/>
                <w:sz w:val="18"/>
                <w:szCs w:val="18"/>
              </w:rPr>
            </w:pPr>
            <w:r>
              <w:rPr>
                <w:rFonts w:ascii="宋体" w:hAnsi="宋体" w:cs="宋体" w:eastAsia="宋体" w:hint="default"/>
                <w:sz w:val="18"/>
                <w:szCs w:val="18"/>
              </w:rPr>
              <w:t>财产品 类型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310" w:right="1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29" w:right="131"/>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30" w:right="131"/>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49" w:right="149"/>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30" w:right="1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309" w:right="1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0" w:right="0"/>
              <w:jc w:val="left"/>
              <w:rPr>
                <w:rFonts w:ascii="宋体" w:hAnsi="宋体" w:cs="宋体" w:eastAsia="宋体" w:hint="default"/>
                <w:sz w:val="18"/>
                <w:szCs w:val="18"/>
              </w:rPr>
            </w:pPr>
            <w:r>
              <w:rPr>
                <w:rFonts w:ascii="宋体" w:hAnsi="宋体" w:cs="宋体" w:eastAsia="宋体" w:hint="default"/>
                <w:sz w:val="18"/>
                <w:szCs w:val="18"/>
              </w:rPr>
              <w:t>是否经</w:t>
            </w:r>
          </w:p>
          <w:p>
            <w:pPr>
              <w:pStyle w:val="TableParagraph"/>
              <w:spacing w:line="357" w:lineRule="auto" w:before="115"/>
              <w:ind w:left="240" w:right="149" w:hanging="90"/>
              <w:jc w:val="left"/>
              <w:rPr>
                <w:rFonts w:ascii="宋体" w:hAnsi="宋体" w:cs="宋体" w:eastAsia="宋体" w:hint="default"/>
                <w:sz w:val="18"/>
                <w:szCs w:val="18"/>
              </w:rPr>
            </w:pPr>
            <w:r>
              <w:rPr>
                <w:rFonts w:ascii="宋体" w:hAnsi="宋体" w:cs="宋体" w:eastAsia="宋体" w:hint="default"/>
                <w:sz w:val="18"/>
                <w:szCs w:val="18"/>
              </w:rPr>
              <w:t>过法定 程序</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计提减</w:t>
            </w:r>
          </w:p>
          <w:p>
            <w:pPr>
              <w:pStyle w:val="TableParagraph"/>
              <w:spacing w:line="357" w:lineRule="auto" w:before="115"/>
              <w:ind w:left="238" w:right="150" w:hanging="90"/>
              <w:jc w:val="left"/>
              <w:rPr>
                <w:rFonts w:ascii="宋体" w:hAnsi="宋体" w:cs="宋体" w:eastAsia="宋体" w:hint="default"/>
                <w:sz w:val="18"/>
                <w:szCs w:val="18"/>
              </w:rPr>
            </w:pPr>
            <w:r>
              <w:rPr>
                <w:rFonts w:ascii="宋体" w:hAnsi="宋体" w:cs="宋体" w:eastAsia="宋体" w:hint="default"/>
                <w:sz w:val="18"/>
                <w:szCs w:val="18"/>
              </w:rPr>
              <w:t>值准备 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48" w:right="149"/>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69" w:right="168"/>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资金来源并</w:t>
            </w:r>
          </w:p>
          <w:p>
            <w:pPr>
              <w:pStyle w:val="TableParagraph"/>
              <w:spacing w:line="357" w:lineRule="auto" w:before="115"/>
              <w:ind w:left="200" w:right="112" w:hanging="91"/>
              <w:jc w:val="left"/>
              <w:rPr>
                <w:rFonts w:ascii="宋体" w:hAnsi="宋体" w:cs="宋体" w:eastAsia="宋体" w:hint="default"/>
                <w:sz w:val="18"/>
                <w:szCs w:val="18"/>
              </w:rPr>
            </w:pPr>
            <w:r>
              <w:rPr>
                <w:rFonts w:ascii="宋体" w:hAnsi="宋体" w:cs="宋体" w:eastAsia="宋体" w:hint="default"/>
                <w:sz w:val="18"/>
                <w:szCs w:val="18"/>
              </w:rPr>
              <w:t>说明是否为 募集资金</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65" w:right="167"/>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22,000,0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2</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5"/>
              <w:ind w:left="103" w:right="0"/>
              <w:jc w:val="left"/>
              <w:rPr>
                <w:rFonts w:ascii="宋体" w:hAnsi="宋体" w:cs="宋体" w:eastAsia="宋体" w:hint="default"/>
                <w:sz w:val="18"/>
                <w:szCs w:val="18"/>
              </w:rPr>
            </w:pPr>
            <w:r>
              <w:rPr>
                <w:rFonts w:ascii="宋体"/>
                <w:sz w:val="18"/>
              </w:rPr>
              <w:t>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126,575.</w:t>
            </w:r>
          </w:p>
          <w:p>
            <w:pPr>
              <w:pStyle w:val="TableParagraph"/>
              <w:spacing w:line="240" w:lineRule="auto" w:before="115"/>
              <w:ind w:right="101"/>
              <w:jc w:val="right"/>
              <w:rPr>
                <w:rFonts w:ascii="宋体" w:hAnsi="宋体" w:cs="宋体" w:eastAsia="宋体" w:hint="default"/>
                <w:sz w:val="18"/>
                <w:szCs w:val="18"/>
              </w:rPr>
            </w:pPr>
            <w:r>
              <w:rPr>
                <w:rFonts w:ascii="宋体"/>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22,000,0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126,575.</w:t>
            </w:r>
          </w:p>
          <w:p>
            <w:pPr>
              <w:pStyle w:val="TableParagraph"/>
              <w:spacing w:line="240" w:lineRule="auto" w:before="115"/>
              <w:ind w:right="101"/>
              <w:jc w:val="right"/>
              <w:rPr>
                <w:rFonts w:ascii="宋体" w:hAnsi="宋体" w:cs="宋体" w:eastAsia="宋体" w:hint="default"/>
                <w:sz w:val="18"/>
                <w:szCs w:val="18"/>
              </w:rPr>
            </w:pPr>
            <w:r>
              <w:rPr>
                <w:rFonts w:ascii="宋体"/>
                <w:sz w:val="18"/>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4"/>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23,000,0</w:t>
            </w:r>
          </w:p>
          <w:p>
            <w:pPr>
              <w:pStyle w:val="TableParagraph"/>
              <w:spacing w:line="240" w:lineRule="auto" w:before="114"/>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12</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4</w:t>
            </w:r>
          </w:p>
          <w:p>
            <w:pPr>
              <w:pStyle w:val="TableParagraph"/>
              <w:spacing w:line="240" w:lineRule="auto" w:before="114"/>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4"/>
              <w:ind w:left="103" w:right="0"/>
              <w:jc w:val="left"/>
              <w:rPr>
                <w:rFonts w:ascii="宋体" w:hAnsi="宋体" w:cs="宋体" w:eastAsia="宋体" w:hint="default"/>
                <w:sz w:val="18"/>
                <w:szCs w:val="18"/>
              </w:rPr>
            </w:pPr>
            <w:r>
              <w:rPr>
                <w:rFonts w:ascii="宋体"/>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98,175.3</w:t>
            </w:r>
          </w:p>
          <w:p>
            <w:pPr>
              <w:pStyle w:val="TableParagraph"/>
              <w:spacing w:line="240" w:lineRule="auto" w:before="114"/>
              <w:ind w:right="101"/>
              <w:jc w:val="right"/>
              <w:rPr>
                <w:rFonts w:ascii="宋体" w:hAnsi="宋体" w:cs="宋体" w:eastAsia="宋体" w:hint="default"/>
                <w:sz w:val="18"/>
                <w:szCs w:val="18"/>
              </w:rPr>
            </w:pPr>
            <w:r>
              <w:rPr>
                <w:rFonts w:ascii="宋体"/>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23,000,0</w:t>
            </w:r>
          </w:p>
          <w:p>
            <w:pPr>
              <w:pStyle w:val="TableParagraph"/>
              <w:spacing w:line="240" w:lineRule="auto" w:before="114"/>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98,175.3</w:t>
            </w:r>
          </w:p>
          <w:p>
            <w:pPr>
              <w:pStyle w:val="TableParagraph"/>
              <w:spacing w:line="240" w:lineRule="auto" w:before="114"/>
              <w:ind w:right="101"/>
              <w:jc w:val="right"/>
              <w:rPr>
                <w:rFonts w:ascii="宋体" w:hAnsi="宋体" w:cs="宋体" w:eastAsia="宋体" w:hint="default"/>
                <w:sz w:val="18"/>
                <w:szCs w:val="18"/>
              </w:rPr>
            </w:pPr>
            <w:r>
              <w:rPr>
                <w:rFonts w:ascii="宋体"/>
                <w:sz w:val="18"/>
              </w:rPr>
              <w:t>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3"/>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23,000,0</w:t>
            </w:r>
          </w:p>
          <w:p>
            <w:pPr>
              <w:pStyle w:val="TableParagraph"/>
              <w:spacing w:line="240" w:lineRule="auto" w:before="113"/>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6</w:t>
            </w: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11</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7</w:t>
            </w:r>
          </w:p>
          <w:p>
            <w:pPr>
              <w:pStyle w:val="TableParagraph"/>
              <w:spacing w:line="240" w:lineRule="auto" w:before="113"/>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23</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3"/>
              <w:ind w:left="103" w:right="0"/>
              <w:jc w:val="lef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93,008.2</w:t>
            </w:r>
          </w:p>
          <w:p>
            <w:pPr>
              <w:pStyle w:val="TableParagraph"/>
              <w:spacing w:line="240" w:lineRule="auto" w:before="113"/>
              <w:ind w:right="101"/>
              <w:jc w:val="right"/>
              <w:rPr>
                <w:rFonts w:ascii="宋体" w:hAnsi="宋体" w:cs="宋体" w:eastAsia="宋体" w:hint="default"/>
                <w:sz w:val="18"/>
                <w:szCs w:val="18"/>
              </w:rPr>
            </w:pPr>
            <w:r>
              <w:rPr>
                <w:rFonts w:ascii="宋体"/>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59" w:right="0"/>
              <w:jc w:val="left"/>
              <w:rPr>
                <w:rFonts w:ascii="宋体" w:hAnsi="宋体" w:cs="宋体" w:eastAsia="宋体" w:hint="default"/>
                <w:sz w:val="18"/>
                <w:szCs w:val="18"/>
              </w:rPr>
            </w:pPr>
            <w:r>
              <w:rPr>
                <w:rFonts w:ascii="宋体"/>
                <w:sz w:val="18"/>
              </w:rPr>
              <w:t>23,000,0</w:t>
            </w:r>
          </w:p>
          <w:p>
            <w:pPr>
              <w:pStyle w:val="TableParagraph"/>
              <w:spacing w:line="240" w:lineRule="auto" w:before="113"/>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93,008.2</w:t>
            </w:r>
          </w:p>
          <w:p>
            <w:pPr>
              <w:pStyle w:val="TableParagraph"/>
              <w:spacing w:line="240" w:lineRule="auto" w:before="113"/>
              <w:ind w:right="101"/>
              <w:jc w:val="right"/>
              <w:rPr>
                <w:rFonts w:ascii="宋体" w:hAnsi="宋体" w:cs="宋体" w:eastAsia="宋体" w:hint="default"/>
                <w:sz w:val="18"/>
                <w:szCs w:val="18"/>
              </w:rPr>
            </w:pPr>
            <w:r>
              <w:rPr>
                <w:rFonts w:ascii="宋体"/>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8</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9</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17</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5"/>
              <w:ind w:left="103" w:right="0"/>
              <w:jc w:val="lef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60,657.5</w:t>
            </w:r>
          </w:p>
          <w:p>
            <w:pPr>
              <w:pStyle w:val="TableParagraph"/>
              <w:spacing w:line="240" w:lineRule="auto" w:before="115"/>
              <w:ind w:right="101"/>
              <w:jc w:val="right"/>
              <w:rPr>
                <w:rFonts w:ascii="宋体" w:hAnsi="宋体" w:cs="宋体" w:eastAsia="宋体" w:hint="default"/>
                <w:sz w:val="18"/>
                <w:szCs w:val="18"/>
              </w:rPr>
            </w:pPr>
            <w:r>
              <w:rPr>
                <w:rFonts w:ascii="宋体"/>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60,657.5</w:t>
            </w:r>
          </w:p>
          <w:p>
            <w:pPr>
              <w:pStyle w:val="TableParagraph"/>
              <w:spacing w:line="240" w:lineRule="auto" w:before="115"/>
              <w:ind w:right="101"/>
              <w:jc w:val="right"/>
              <w:rPr>
                <w:rFonts w:ascii="宋体" w:hAnsi="宋体" w:cs="宋体" w:eastAsia="宋体" w:hint="default"/>
                <w:sz w:val="18"/>
                <w:szCs w:val="18"/>
              </w:rPr>
            </w:pPr>
            <w:r>
              <w:rPr>
                <w:rFonts w:ascii="宋体"/>
                <w:sz w:val="18"/>
              </w:rPr>
              <w:t>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10</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5</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5"/>
              <w:ind w:left="103" w:right="0"/>
              <w:jc w:val="lef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51,780.8</w:t>
            </w:r>
          </w:p>
          <w:p>
            <w:pPr>
              <w:pStyle w:val="TableParagraph"/>
              <w:spacing w:line="240" w:lineRule="auto" w:before="115"/>
              <w:ind w:right="101"/>
              <w:jc w:val="right"/>
              <w:rPr>
                <w:rFonts w:ascii="宋体" w:hAnsi="宋体" w:cs="宋体" w:eastAsia="宋体" w:hint="default"/>
                <w:sz w:val="18"/>
                <w:szCs w:val="18"/>
              </w:rPr>
            </w:pPr>
            <w:r>
              <w:rPr>
                <w:rFonts w:ascii="宋体"/>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51,780.8</w:t>
            </w:r>
          </w:p>
          <w:p>
            <w:pPr>
              <w:pStyle w:val="TableParagraph"/>
              <w:spacing w:line="240" w:lineRule="auto" w:before="115"/>
              <w:ind w:right="101"/>
              <w:jc w:val="right"/>
              <w:rPr>
                <w:rFonts w:ascii="宋体" w:hAnsi="宋体" w:cs="宋体" w:eastAsia="宋体" w:hint="default"/>
                <w:sz w:val="18"/>
                <w:szCs w:val="18"/>
              </w:rPr>
            </w:pPr>
            <w:r>
              <w:rPr>
                <w:rFonts w:ascii="宋体"/>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工商银行北海</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南珠支行</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保本型</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12</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6</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p>
          <w:p>
            <w:pPr>
              <w:pStyle w:val="TableParagraph"/>
              <w:spacing w:line="240" w:lineRule="auto" w:before="115"/>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z w:val="18"/>
                <w:szCs w:val="18"/>
              </w:rPr>
              <w:t>9</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5"/>
              <w:ind w:left="103" w:right="0"/>
              <w:jc w:val="left"/>
              <w:rPr>
                <w:rFonts w:ascii="宋体" w:hAnsi="宋体" w:cs="宋体" w:eastAsia="宋体" w:hint="default"/>
                <w:sz w:val="18"/>
                <w:szCs w:val="18"/>
              </w:rPr>
            </w:pPr>
            <w:r>
              <w:rPr>
                <w:rFonts w:ascii="宋体"/>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51,780.8</w:t>
            </w:r>
          </w:p>
          <w:p>
            <w:pPr>
              <w:pStyle w:val="TableParagraph"/>
              <w:spacing w:line="240" w:lineRule="auto" w:before="115"/>
              <w:ind w:right="101"/>
              <w:jc w:val="right"/>
              <w:rPr>
                <w:rFonts w:ascii="宋体" w:hAnsi="宋体" w:cs="宋体" w:eastAsia="宋体" w:hint="default"/>
                <w:sz w:val="18"/>
                <w:szCs w:val="18"/>
              </w:rPr>
            </w:pPr>
            <w:r>
              <w:rPr>
                <w:rFonts w:ascii="宋体"/>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15,000,0</w:t>
            </w:r>
          </w:p>
          <w:p>
            <w:pPr>
              <w:pStyle w:val="TableParagraph"/>
              <w:spacing w:line="240" w:lineRule="auto" w:before="115"/>
              <w:ind w:left="429" w:right="0"/>
              <w:jc w:val="left"/>
              <w:rPr>
                <w:rFonts w:ascii="宋体" w:hAnsi="宋体" w:cs="宋体" w:eastAsia="宋体" w:hint="default"/>
                <w:sz w:val="18"/>
                <w:szCs w:val="18"/>
              </w:rPr>
            </w:pPr>
            <w:r>
              <w:rPr>
                <w:rFonts w:ascii="宋体"/>
                <w:sz w:val="18"/>
              </w:rPr>
              <w:t>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51,780.8</w:t>
            </w:r>
          </w:p>
          <w:p>
            <w:pPr>
              <w:pStyle w:val="TableParagraph"/>
              <w:spacing w:line="240" w:lineRule="auto" w:before="115"/>
              <w:ind w:right="101"/>
              <w:jc w:val="right"/>
              <w:rPr>
                <w:rFonts w:ascii="宋体" w:hAnsi="宋体" w:cs="宋体" w:eastAsia="宋体" w:hint="default"/>
                <w:sz w:val="18"/>
                <w:szCs w:val="18"/>
              </w:rPr>
            </w:pPr>
            <w:r>
              <w:rPr>
                <w:rFonts w:ascii="宋体"/>
                <w:sz w:val="18"/>
              </w:rPr>
              <w:t>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70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113,000,</w:t>
            </w:r>
          </w:p>
          <w:p>
            <w:pPr>
              <w:pStyle w:val="TableParagraph"/>
              <w:spacing w:line="240" w:lineRule="auto" w:before="115"/>
              <w:ind w:left="609" w:right="0"/>
              <w:jc w:val="left"/>
              <w:rPr>
                <w:rFonts w:ascii="宋体" w:hAnsi="宋体" w:cs="宋体" w:eastAsia="宋体" w:hint="default"/>
                <w:sz w:val="18"/>
                <w:szCs w:val="18"/>
              </w:rPr>
            </w:pPr>
            <w:r>
              <w:rPr>
                <w:rFonts w:ascii="宋体"/>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481,978.</w:t>
            </w:r>
          </w:p>
          <w:p>
            <w:pPr>
              <w:pStyle w:val="TableParagraph"/>
              <w:spacing w:line="240" w:lineRule="auto" w:before="115"/>
              <w:ind w:right="101"/>
              <w:jc w:val="right"/>
              <w:rPr>
                <w:rFonts w:ascii="宋体" w:hAnsi="宋体" w:cs="宋体" w:eastAsia="宋体" w:hint="default"/>
                <w:sz w:val="18"/>
                <w:szCs w:val="18"/>
              </w:rPr>
            </w:pPr>
            <w:r>
              <w:rPr>
                <w:rFonts w:ascii="宋体"/>
                <w:sz w:val="18"/>
              </w:rPr>
              <w:t>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9" w:right="0"/>
              <w:jc w:val="left"/>
              <w:rPr>
                <w:rFonts w:ascii="宋体" w:hAnsi="宋体" w:cs="宋体" w:eastAsia="宋体" w:hint="default"/>
                <w:sz w:val="18"/>
                <w:szCs w:val="18"/>
              </w:rPr>
            </w:pPr>
            <w:r>
              <w:rPr>
                <w:rFonts w:ascii="宋体"/>
                <w:sz w:val="18"/>
              </w:rPr>
              <w:t>113,000,</w:t>
            </w:r>
          </w:p>
          <w:p>
            <w:pPr>
              <w:pStyle w:val="TableParagraph"/>
              <w:spacing w:line="240" w:lineRule="auto" w:before="115"/>
              <w:ind w:left="609" w:right="0"/>
              <w:jc w:val="left"/>
              <w:rPr>
                <w:rFonts w:ascii="宋体" w:hAnsi="宋体" w:cs="宋体" w:eastAsia="宋体" w:hint="default"/>
                <w:sz w:val="18"/>
                <w:szCs w:val="18"/>
              </w:rPr>
            </w:pPr>
            <w:r>
              <w:rPr>
                <w:rFonts w:ascii="宋体"/>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481,978.</w:t>
            </w:r>
          </w:p>
          <w:p>
            <w:pPr>
              <w:pStyle w:val="TableParagraph"/>
              <w:spacing w:line="240" w:lineRule="auto" w:before="115"/>
              <w:ind w:right="101"/>
              <w:jc w:val="right"/>
              <w:rPr>
                <w:rFonts w:ascii="宋体" w:hAnsi="宋体" w:cs="宋体" w:eastAsia="宋体" w:hint="default"/>
                <w:sz w:val="18"/>
                <w:szCs w:val="18"/>
              </w:rPr>
            </w:pPr>
            <w:r>
              <w:rPr>
                <w:rFonts w:ascii="宋体"/>
                <w:sz w:val="18"/>
              </w:rPr>
              <w:t>07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
              <w:jc w:val="center"/>
              <w:rPr>
                <w:rFonts w:ascii="宋体" w:hAnsi="宋体" w:cs="宋体" w:eastAsia="宋体" w:hint="default"/>
                <w:sz w:val="18"/>
                <w:szCs w:val="18"/>
              </w:rPr>
            </w:pPr>
            <w:r>
              <w:rPr>
                <w:rFonts w:ascii="宋体"/>
                <w:sz w:val="18"/>
              </w:rPr>
              <w:t>/</w:t>
            </w:r>
          </w:p>
        </w:tc>
      </w:tr>
      <w:tr>
        <w:trPr>
          <w:trHeight w:val="408"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80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710" w:hRule="exact"/>
        </w:trPr>
        <w:tc>
          <w:tcPr>
            <w:tcW w:w="609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8076" w:type="dxa"/>
            <w:gridSpan w:val="9"/>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经公司第七届董事会第二十八次会议、</w:t>
            </w:r>
            <w:r>
              <w:rPr>
                <w:rFonts w:ascii="宋体" w:hAnsi="宋体" w:cs="宋体" w:eastAsia="宋体" w:hint="default"/>
                <w:sz w:val="18"/>
                <w:szCs w:val="18"/>
              </w:rPr>
              <w:t>2013</w:t>
            </w:r>
            <w:r>
              <w:rPr>
                <w:rFonts w:ascii="宋体" w:hAnsi="宋体" w:cs="宋体" w:eastAsia="宋体" w:hint="default"/>
                <w:sz w:val="18"/>
                <w:szCs w:val="18"/>
              </w:rPr>
              <w:t>年第五次临时股东大会审议通过《关于购买银行理财产品</w:t>
            </w:r>
          </w:p>
          <w:p>
            <w:pPr>
              <w:pStyle w:val="TableParagraph"/>
              <w:spacing w:line="240" w:lineRule="auto" w:before="115"/>
              <w:ind w:left="103" w:right="0"/>
              <w:jc w:val="left"/>
              <w:rPr>
                <w:rFonts w:ascii="宋体" w:hAnsi="宋体" w:cs="宋体" w:eastAsia="宋体" w:hint="default"/>
                <w:sz w:val="18"/>
                <w:szCs w:val="18"/>
              </w:rPr>
            </w:pPr>
            <w:r>
              <w:rPr>
                <w:rFonts w:ascii="宋体" w:hAnsi="宋体" w:cs="宋体" w:eastAsia="宋体" w:hint="default"/>
                <w:sz w:val="18"/>
                <w:szCs w:val="18"/>
              </w:rPr>
              <w:t>的议案》，同意公司使用不超过</w:t>
            </w:r>
            <w:r>
              <w:rPr>
                <w:rFonts w:ascii="宋体" w:hAnsi="宋体" w:cs="宋体" w:eastAsia="宋体" w:hint="default"/>
                <w:sz w:val="18"/>
                <w:szCs w:val="18"/>
              </w:rPr>
              <w:t>2,500</w:t>
            </w:r>
            <w:r>
              <w:rPr>
                <w:rFonts w:ascii="宋体" w:hAnsi="宋体" w:cs="宋体" w:eastAsia="宋体" w:hint="default"/>
                <w:sz w:val="18"/>
                <w:szCs w:val="18"/>
              </w:rPr>
              <w:t>万元的闲置资金进行短期银行保本理财产品投资。</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63"/>
        <w:ind w:left="6958" w:right="6796" w:firstLine="0"/>
        <w:jc w:val="center"/>
        <w:rPr>
          <w:rFonts w:ascii="Calibri" w:hAnsi="Calibri" w:cs="Calibri" w:eastAsia="Calibri" w:hint="default"/>
          <w:sz w:val="18"/>
          <w:szCs w:val="18"/>
        </w:rPr>
      </w:pPr>
      <w:r>
        <w:rPr>
          <w:rFonts w:ascii="Calibri"/>
          <w:b/>
          <w:sz w:val="18"/>
        </w:rPr>
        <w:t>17 </w:t>
      </w:r>
      <w:r>
        <w:rPr>
          <w:rFonts w:ascii="Calibri"/>
          <w:sz w:val="18"/>
        </w:rPr>
        <w:t>/</w:t>
      </w:r>
      <w:r>
        <w:rPr>
          <w:rFonts w:ascii="Calibri"/>
          <w:spacing w:val="-4"/>
          <w:sz w:val="18"/>
        </w:rPr>
        <w:t> </w:t>
      </w:r>
      <w:r>
        <w:rPr>
          <w:rFonts w:ascii="Calibri"/>
          <w:b/>
          <w:sz w:val="18"/>
        </w:rPr>
        <w:t>115</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1400" w:right="1040"/>
        </w:sectPr>
      </w:pPr>
    </w:p>
    <w:p>
      <w:pPr>
        <w:spacing w:line="240" w:lineRule="auto" w:before="0"/>
        <w:rPr>
          <w:rFonts w:ascii="Calibri" w:hAnsi="Calibri" w:cs="Calibri" w:eastAsia="Calibri" w:hint="default"/>
          <w:b/>
          <w:bCs/>
          <w:sz w:val="20"/>
          <w:szCs w:val="20"/>
        </w:rPr>
      </w:pPr>
    </w:p>
    <w:p>
      <w:pPr>
        <w:spacing w:line="240" w:lineRule="auto" w:before="12"/>
        <w:rPr>
          <w:rFonts w:ascii="Calibri" w:hAnsi="Calibri" w:cs="Calibri" w:eastAsia="Calibri" w:hint="default"/>
          <w:b/>
          <w:bCs/>
          <w:sz w:val="14"/>
          <w:szCs w:val="14"/>
        </w:rPr>
      </w:pPr>
    </w:p>
    <w:p>
      <w:pPr>
        <w:pStyle w:val="Heading3"/>
        <w:spacing w:line="240" w:lineRule="auto" w:before="0"/>
        <w:ind w:left="138" w:right="135"/>
        <w:jc w:val="left"/>
        <w:rPr>
          <w:b w:val="0"/>
          <w:bCs w:val="0"/>
        </w:rPr>
      </w:pPr>
      <w:r>
        <w:rPr>
          <w:rFonts w:ascii="宋体" w:hAnsi="宋体" w:cs="宋体" w:eastAsia="宋体" w:hint="default"/>
        </w:rPr>
        <w:t>3</w:t>
      </w:r>
      <w:r>
        <w:rPr/>
        <w:t>、</w:t>
      </w:r>
      <w:r>
        <w:rPr>
          <w:spacing w:val="-6"/>
        </w:rPr>
        <w:t> </w:t>
      </w:r>
      <w:r>
        <w:rPr/>
        <w:t>募集资金使用情况</w:t>
      </w:r>
      <w:r>
        <w:rPr>
          <w:b w:val="0"/>
          <w:bCs w:val="0"/>
        </w:rPr>
      </w:r>
    </w:p>
    <w:p>
      <w:pPr>
        <w:pStyle w:val="Heading3"/>
        <w:spacing w:line="240" w:lineRule="auto" w:before="57"/>
        <w:ind w:left="138" w:right="135"/>
        <w:jc w:val="left"/>
        <w:rPr>
          <w:b w:val="0"/>
          <w:bCs w:val="0"/>
        </w:rPr>
      </w:pPr>
      <w:r>
        <w:rPr>
          <w:rFonts w:ascii="宋体" w:hAnsi="宋体" w:cs="宋体" w:eastAsia="宋体" w:hint="default"/>
        </w:rPr>
        <w:t>(1)</w:t>
      </w:r>
      <w:r>
        <w:rPr>
          <w:rFonts w:ascii="宋体" w:hAnsi="宋体" w:cs="宋体" w:eastAsia="宋体" w:hint="default"/>
          <w:spacing w:val="-6"/>
        </w:rPr>
        <w:t> </w:t>
      </w:r>
      <w:r>
        <w:rPr/>
        <w:t>募集资金总体使用情况</w:t>
      </w:r>
      <w:r>
        <w:rPr>
          <w:b w:val="0"/>
          <w:bCs w:val="0"/>
        </w:rPr>
      </w:r>
    </w:p>
    <w:p>
      <w:pPr>
        <w:pStyle w:val="BodyText"/>
        <w:spacing w:line="240" w:lineRule="auto" w:before="57"/>
        <w:ind w:right="135"/>
        <w:jc w:val="left"/>
      </w:pPr>
      <w:r>
        <w:rPr/>
        <w:t>□适用√不适用</w:t>
      </w:r>
    </w:p>
    <w:p>
      <w:pPr>
        <w:spacing w:line="240" w:lineRule="auto" w:before="3"/>
        <w:rPr>
          <w:rFonts w:ascii="宋体" w:hAnsi="宋体" w:cs="宋体" w:eastAsia="宋体" w:hint="default"/>
          <w:sz w:val="25"/>
          <w:szCs w:val="25"/>
        </w:rPr>
      </w:pPr>
    </w:p>
    <w:p>
      <w:pPr>
        <w:pStyle w:val="Heading3"/>
        <w:spacing w:line="240" w:lineRule="auto" w:before="0"/>
        <w:ind w:left="138" w:right="135"/>
        <w:jc w:val="left"/>
        <w:rPr>
          <w:b w:val="0"/>
          <w:bCs w:val="0"/>
        </w:rPr>
      </w:pPr>
      <w:r>
        <w:rPr>
          <w:rFonts w:ascii="宋体" w:hAnsi="宋体" w:cs="宋体" w:eastAsia="宋体" w:hint="default"/>
        </w:rPr>
        <w:t>(2)</w:t>
      </w:r>
      <w:r>
        <w:rPr>
          <w:rFonts w:ascii="宋体" w:hAnsi="宋体" w:cs="宋体" w:eastAsia="宋体" w:hint="default"/>
          <w:spacing w:val="-6"/>
        </w:rPr>
        <w:t> </w:t>
      </w:r>
      <w:r>
        <w:rPr/>
        <w:t>募集资金承诺项目情况</w:t>
      </w:r>
      <w:r>
        <w:rPr>
          <w:b w:val="0"/>
          <w:bCs w:val="0"/>
        </w:rPr>
      </w:r>
    </w:p>
    <w:p>
      <w:pPr>
        <w:pStyle w:val="BodyText"/>
        <w:spacing w:line="240" w:lineRule="auto" w:before="57"/>
        <w:ind w:right="135"/>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38" w:right="135"/>
        <w:jc w:val="left"/>
        <w:rPr>
          <w:b w:val="0"/>
          <w:bCs w:val="0"/>
        </w:rPr>
      </w:pPr>
      <w:r>
        <w:rPr>
          <w:rFonts w:ascii="宋体" w:hAnsi="宋体" w:cs="宋体" w:eastAsia="宋体" w:hint="default"/>
        </w:rPr>
        <w:t>(3)</w:t>
      </w:r>
      <w:r>
        <w:rPr>
          <w:rFonts w:ascii="宋体" w:hAnsi="宋体" w:cs="宋体" w:eastAsia="宋体" w:hint="default"/>
          <w:spacing w:val="-6"/>
        </w:rPr>
        <w:t> </w:t>
      </w:r>
      <w:r>
        <w:rPr/>
        <w:t>募集资金变更项目情况</w:t>
      </w:r>
      <w:r>
        <w:rPr>
          <w:b w:val="0"/>
          <w:bCs w:val="0"/>
        </w:rPr>
      </w:r>
    </w:p>
    <w:p>
      <w:pPr>
        <w:pStyle w:val="BodyText"/>
        <w:spacing w:line="240" w:lineRule="auto" w:before="56"/>
        <w:ind w:right="135"/>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before="63"/>
        <w:ind w:left="2" w:right="0" w:firstLine="0"/>
        <w:jc w:val="center"/>
        <w:rPr>
          <w:rFonts w:ascii="Calibri" w:hAnsi="Calibri" w:cs="Calibri" w:eastAsia="Calibri" w:hint="default"/>
          <w:sz w:val="18"/>
          <w:szCs w:val="18"/>
        </w:rPr>
      </w:pPr>
      <w:r>
        <w:rPr>
          <w:rFonts w:ascii="Calibri"/>
          <w:b/>
          <w:sz w:val="18"/>
        </w:rPr>
        <w:t>18 </w:t>
      </w:r>
      <w:r>
        <w:rPr>
          <w:rFonts w:ascii="Calibri"/>
          <w:sz w:val="18"/>
        </w:rPr>
        <w:t>/</w:t>
      </w:r>
      <w:r>
        <w:rPr>
          <w:rFonts w:ascii="Calibri"/>
          <w:spacing w:val="-4"/>
          <w:sz w:val="18"/>
        </w:rPr>
        <w:t> </w:t>
      </w:r>
      <w:r>
        <w:rPr>
          <w:rFonts w:ascii="Calibri"/>
          <w:b/>
          <w:sz w:val="18"/>
        </w:rPr>
        <w:t>115</w:t>
      </w:r>
      <w:r>
        <w:rPr>
          <w:rFonts w:ascii="Calibri"/>
          <w:sz w:val="18"/>
        </w:rPr>
      </w:r>
    </w:p>
    <w:p>
      <w:pPr>
        <w:spacing w:after="0"/>
        <w:jc w:val="center"/>
        <w:rPr>
          <w:rFonts w:ascii="Calibri" w:hAnsi="Calibri" w:cs="Calibri" w:eastAsia="Calibri" w:hint="default"/>
          <w:sz w:val="18"/>
          <w:szCs w:val="18"/>
        </w:rPr>
        <w:sectPr>
          <w:headerReference w:type="default" r:id="rId15"/>
          <w:footerReference w:type="default" r:id="rId16"/>
          <w:pgSz w:w="11910" w:h="16840"/>
          <w:pgMar w:header="882" w:footer="0" w:top="1120" w:bottom="280" w:left="1660" w:right="1140"/>
        </w:sectPr>
      </w:pPr>
    </w:p>
    <w:p>
      <w:pPr>
        <w:spacing w:before="20"/>
        <w:ind w:left="0" w:right="404" w:firstLine="0"/>
        <w:jc w:val="righ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0" w:lineRule="exact"/>
        <w:ind w:left="342"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before="0"/>
        <w:ind w:left="380" w:right="0"/>
        <w:jc w:val="left"/>
        <w:rPr>
          <w:b w:val="0"/>
          <w:bCs w:val="0"/>
        </w:rPr>
      </w:pPr>
      <w:r>
        <w:rPr>
          <w:rFonts w:ascii="宋体" w:hAnsi="宋体" w:cs="宋体" w:eastAsia="宋体" w:hint="default"/>
        </w:rPr>
        <w:t>4</w:t>
      </w:r>
      <w:r>
        <w:rPr/>
        <w:t>、</w:t>
      </w:r>
      <w:r>
        <w:rPr>
          <w:spacing w:val="-7"/>
        </w:rPr>
        <w:t> </w:t>
      </w:r>
      <w:r>
        <w:rPr/>
        <w:t>主要子公司、参股公司分析</w:t>
      </w:r>
      <w:r>
        <w:rPr>
          <w:b w:val="0"/>
          <w:bCs w:val="0"/>
        </w:rPr>
      </w:r>
    </w:p>
    <w:p>
      <w:pPr>
        <w:pStyle w:val="BodyText"/>
        <w:tabs>
          <w:tab w:pos="1050" w:val="left" w:leader="none"/>
        </w:tabs>
        <w:spacing w:line="240" w:lineRule="auto" w:before="57"/>
        <w:ind w:left="0" w:right="383"/>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1499"/>
        <w:gridCol w:w="1037"/>
        <w:gridCol w:w="994"/>
        <w:gridCol w:w="2741"/>
        <w:gridCol w:w="1386"/>
        <w:gridCol w:w="1386"/>
        <w:gridCol w:w="1386"/>
        <w:gridCol w:w="1386"/>
        <w:gridCol w:w="1298"/>
        <w:gridCol w:w="1296"/>
      </w:tblGrid>
      <w:tr>
        <w:trPr>
          <w:trHeight w:val="480"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主要产品或服务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3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98"/>
              <w:jc w:val="left"/>
              <w:rPr>
                <w:rFonts w:ascii="宋体" w:hAnsi="宋体" w:cs="宋体" w:eastAsia="宋体" w:hint="default"/>
                <w:sz w:val="18"/>
                <w:szCs w:val="18"/>
              </w:rPr>
            </w:pPr>
            <w:r>
              <w:rPr>
                <w:rFonts w:ascii="宋体" w:hAnsi="宋体" w:cs="宋体" w:eastAsia="宋体" w:hint="default"/>
                <w:spacing w:val="3"/>
                <w:sz w:val="18"/>
                <w:szCs w:val="18"/>
              </w:rPr>
              <w:t>建德郡原物业服 </w:t>
            </w:r>
            <w:r>
              <w:rPr>
                <w:rFonts w:ascii="宋体" w:hAnsi="宋体" w:cs="宋体" w:eastAsia="宋体" w:hint="default"/>
                <w:sz w:val="18"/>
                <w:szCs w:val="18"/>
              </w:rPr>
              <w:t>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9"/>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9"/>
              <w:ind w:left="401" w:right="131" w:hanging="270"/>
              <w:jc w:val="left"/>
              <w:rPr>
                <w:rFonts w:ascii="宋体" w:hAnsi="宋体" w:cs="宋体" w:eastAsia="宋体" w:hint="default"/>
                <w:sz w:val="18"/>
                <w:szCs w:val="18"/>
              </w:rPr>
            </w:pPr>
            <w:r>
              <w:rPr>
                <w:rFonts w:ascii="宋体" w:hAnsi="宋体" w:cs="宋体" w:eastAsia="宋体" w:hint="default"/>
                <w:sz w:val="18"/>
                <w:szCs w:val="18"/>
              </w:rPr>
              <w:t>物业服务 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1,048,121.49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452,743.71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1,733,904.91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1,988.59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1,814.95</w:t>
            </w:r>
          </w:p>
        </w:tc>
      </w:tr>
      <w:tr>
        <w:trPr>
          <w:trHeight w:val="738"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98"/>
              <w:jc w:val="left"/>
              <w:rPr>
                <w:rFonts w:ascii="宋体" w:hAnsi="宋体" w:cs="宋体" w:eastAsia="宋体" w:hint="default"/>
                <w:sz w:val="18"/>
                <w:szCs w:val="18"/>
              </w:rPr>
            </w:pPr>
            <w:r>
              <w:rPr>
                <w:rFonts w:ascii="宋体" w:hAnsi="宋体" w:cs="宋体" w:eastAsia="宋体" w:hint="default"/>
                <w:spacing w:val="3"/>
                <w:sz w:val="18"/>
                <w:szCs w:val="18"/>
              </w:rPr>
              <w:t>杭州郡原物业服 </w:t>
            </w:r>
            <w:r>
              <w:rPr>
                <w:rFonts w:ascii="宋体" w:hAnsi="宋体" w:cs="宋体" w:eastAsia="宋体" w:hint="default"/>
                <w:sz w:val="18"/>
                <w:szCs w:val="18"/>
              </w:rPr>
              <w:t>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401" w:right="131" w:hanging="270"/>
              <w:jc w:val="left"/>
              <w:rPr>
                <w:rFonts w:ascii="宋体" w:hAnsi="宋体" w:cs="宋体" w:eastAsia="宋体" w:hint="default"/>
                <w:sz w:val="18"/>
                <w:szCs w:val="18"/>
              </w:rPr>
            </w:pPr>
            <w:r>
              <w:rPr>
                <w:rFonts w:ascii="宋体" w:hAnsi="宋体" w:cs="宋体" w:eastAsia="宋体" w:hint="default"/>
                <w:sz w:val="18"/>
                <w:szCs w:val="18"/>
              </w:rPr>
              <w:t>物业服务 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23,878,110.78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18,320,312.30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19,820,503.15</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5,576,732.53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4,145,191.58</w:t>
            </w:r>
          </w:p>
        </w:tc>
      </w:tr>
      <w:tr>
        <w:trPr>
          <w:trHeight w:val="738"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8"/>
              <w:ind w:left="103" w:right="98"/>
              <w:jc w:val="left"/>
              <w:rPr>
                <w:rFonts w:ascii="宋体" w:hAnsi="宋体" w:cs="宋体" w:eastAsia="宋体" w:hint="default"/>
                <w:sz w:val="18"/>
                <w:szCs w:val="18"/>
              </w:rPr>
            </w:pPr>
            <w:r>
              <w:rPr>
                <w:rFonts w:ascii="宋体" w:hAnsi="宋体" w:cs="宋体" w:eastAsia="宋体" w:hint="default"/>
                <w:spacing w:val="3"/>
                <w:sz w:val="18"/>
                <w:szCs w:val="18"/>
              </w:rPr>
              <w:t>湖南郡原物业服 </w:t>
            </w:r>
            <w:r>
              <w:rPr>
                <w:rFonts w:ascii="宋体" w:hAnsi="宋体" w:cs="宋体" w:eastAsia="宋体" w:hint="default"/>
                <w:sz w:val="18"/>
                <w:szCs w:val="18"/>
              </w:rPr>
              <w:t>务有限公司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8"/>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8"/>
              <w:ind w:left="401" w:right="131" w:hanging="270"/>
              <w:jc w:val="left"/>
              <w:rPr>
                <w:rFonts w:ascii="宋体" w:hAnsi="宋体" w:cs="宋体" w:eastAsia="宋体" w:hint="default"/>
                <w:sz w:val="18"/>
                <w:szCs w:val="18"/>
              </w:rPr>
            </w:pPr>
            <w:r>
              <w:rPr>
                <w:rFonts w:ascii="宋体" w:hAnsi="宋体" w:cs="宋体" w:eastAsia="宋体" w:hint="default"/>
                <w:sz w:val="18"/>
                <w:szCs w:val="18"/>
              </w:rPr>
              <w:t>物业服务 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
              <w:jc w:val="center"/>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3,000,000.00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15,236,141.97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6,455,138.73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17,651,949.62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1,439,105.59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宋体" w:hAnsi="宋体" w:cs="宋体" w:eastAsia="宋体" w:hint="default"/>
                <w:sz w:val="18"/>
                <w:szCs w:val="18"/>
              </w:rPr>
            </w:pPr>
            <w:r>
              <w:rPr>
                <w:rFonts w:ascii="宋体"/>
                <w:sz w:val="18"/>
              </w:rPr>
              <w:t>1,027,050.28</w:t>
            </w:r>
          </w:p>
        </w:tc>
      </w:tr>
      <w:tr>
        <w:trPr>
          <w:trHeight w:val="738"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98"/>
              <w:jc w:val="left"/>
              <w:rPr>
                <w:rFonts w:ascii="宋体" w:hAnsi="宋体" w:cs="宋体" w:eastAsia="宋体" w:hint="default"/>
                <w:sz w:val="18"/>
                <w:szCs w:val="18"/>
              </w:rPr>
            </w:pPr>
            <w:r>
              <w:rPr>
                <w:rFonts w:ascii="宋体" w:hAnsi="宋体" w:cs="宋体" w:eastAsia="宋体" w:hint="default"/>
                <w:spacing w:val="3"/>
                <w:sz w:val="18"/>
                <w:szCs w:val="18"/>
              </w:rPr>
              <w:t>沈阳辽原物业管 </w:t>
            </w:r>
            <w:r>
              <w:rPr>
                <w:rFonts w:ascii="宋体" w:hAnsi="宋体" w:cs="宋体" w:eastAsia="宋体" w:hint="default"/>
                <w:sz w:val="18"/>
                <w:szCs w:val="18"/>
              </w:rPr>
              <w:t>理有限公司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401" w:right="131" w:hanging="270"/>
              <w:jc w:val="left"/>
              <w:rPr>
                <w:rFonts w:ascii="宋体" w:hAnsi="宋体" w:cs="宋体" w:eastAsia="宋体" w:hint="default"/>
                <w:sz w:val="18"/>
                <w:szCs w:val="18"/>
              </w:rPr>
            </w:pPr>
            <w:r>
              <w:rPr>
                <w:rFonts w:ascii="宋体" w:hAnsi="宋体" w:cs="宋体" w:eastAsia="宋体" w:hint="default"/>
                <w:sz w:val="18"/>
                <w:szCs w:val="18"/>
              </w:rPr>
              <w:t>物业服务 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2"/>
              <w:jc w:val="center"/>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1,293,146.51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-297,760.62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6,724,852.47</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282,933.99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253,269.19</w:t>
            </w:r>
          </w:p>
        </w:tc>
      </w:tr>
      <w:tr>
        <w:trPr>
          <w:trHeight w:val="73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98"/>
              <w:jc w:val="left"/>
              <w:rPr>
                <w:rFonts w:ascii="宋体" w:hAnsi="宋体" w:cs="宋体" w:eastAsia="宋体" w:hint="default"/>
                <w:sz w:val="18"/>
                <w:szCs w:val="18"/>
              </w:rPr>
            </w:pPr>
            <w:r>
              <w:rPr>
                <w:rFonts w:ascii="宋体" w:hAnsi="宋体" w:cs="宋体" w:eastAsia="宋体" w:hint="default"/>
                <w:spacing w:val="3"/>
                <w:sz w:val="18"/>
                <w:szCs w:val="18"/>
              </w:rPr>
              <w:t>成都山外山物业 </w:t>
            </w:r>
            <w:r>
              <w:rPr>
                <w:rFonts w:ascii="宋体" w:hAnsi="宋体" w:cs="宋体" w:eastAsia="宋体" w:hint="default"/>
                <w:sz w:val="18"/>
                <w:szCs w:val="18"/>
              </w:rPr>
              <w:t>管理有限公司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9"/>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全资孙公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9"/>
              <w:ind w:left="401" w:right="131" w:hanging="270"/>
              <w:jc w:val="left"/>
              <w:rPr>
                <w:rFonts w:ascii="宋体" w:hAnsi="宋体" w:cs="宋体" w:eastAsia="宋体" w:hint="default"/>
                <w:sz w:val="18"/>
                <w:szCs w:val="18"/>
              </w:rPr>
            </w:pPr>
            <w:r>
              <w:rPr>
                <w:rFonts w:ascii="宋体" w:hAnsi="宋体" w:cs="宋体" w:eastAsia="宋体" w:hint="default"/>
                <w:sz w:val="18"/>
                <w:szCs w:val="18"/>
              </w:rPr>
              <w:t>物业服务 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宋体" w:hAnsi="宋体" w:cs="宋体" w:eastAsia="宋体" w:hint="default"/>
                <w:sz w:val="18"/>
                <w:szCs w:val="18"/>
              </w:rPr>
            </w:pPr>
            <w:r>
              <w:rPr>
                <w:rFonts w:ascii="宋体" w:hAnsi="宋体" w:cs="宋体" w:eastAsia="宋体" w:hint="default"/>
                <w:sz w:val="18"/>
                <w:szCs w:val="18"/>
              </w:rPr>
              <w:t>物业管理服务、居家生活服务等</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771,150.32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638,513.03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1,437,541.39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66,612.11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宋体" w:hAnsi="宋体" w:cs="宋体" w:eastAsia="宋体" w:hint="default"/>
                <w:sz w:val="18"/>
                <w:szCs w:val="18"/>
              </w:rPr>
            </w:pPr>
            <w:r>
              <w:rPr>
                <w:rFonts w:ascii="宋体"/>
                <w:sz w:val="18"/>
              </w:rPr>
              <w:t>66,612.11</w:t>
            </w:r>
          </w:p>
        </w:tc>
      </w:tr>
      <w:tr>
        <w:trPr>
          <w:trHeight w:val="1299" w:hRule="exact"/>
        </w:trPr>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98"/>
              <w:jc w:val="both"/>
              <w:rPr>
                <w:rFonts w:ascii="宋体" w:hAnsi="宋体" w:cs="宋体" w:eastAsia="宋体" w:hint="default"/>
                <w:sz w:val="18"/>
                <w:szCs w:val="18"/>
              </w:rPr>
            </w:pPr>
            <w:r>
              <w:rPr>
                <w:rFonts w:ascii="宋体" w:hAnsi="宋体" w:cs="宋体" w:eastAsia="宋体" w:hint="default"/>
                <w:spacing w:val="3"/>
                <w:sz w:val="18"/>
                <w:szCs w:val="18"/>
              </w:rPr>
              <w:t>南宁市智诚合讯 信息技术有限公 </w:t>
            </w:r>
            <w:r>
              <w:rPr>
                <w:rFonts w:ascii="宋体" w:hAnsi="宋体" w:cs="宋体" w:eastAsia="宋体" w:hint="default"/>
                <w:sz w:val="18"/>
                <w:szCs w:val="18"/>
              </w:rPr>
              <w:t>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423" w:right="151"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221" w:right="131" w:hanging="90"/>
              <w:jc w:val="left"/>
              <w:rPr>
                <w:rFonts w:ascii="宋体" w:hAnsi="宋体" w:cs="宋体" w:eastAsia="宋体" w:hint="default"/>
                <w:sz w:val="18"/>
                <w:szCs w:val="18"/>
              </w:rPr>
            </w:pPr>
            <w:r>
              <w:rPr>
                <w:rFonts w:ascii="宋体" w:hAnsi="宋体" w:cs="宋体" w:eastAsia="宋体" w:hint="default"/>
                <w:sz w:val="18"/>
                <w:szCs w:val="18"/>
              </w:rPr>
              <w:t>信息技术 服务业</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7"/>
              <w:ind w:left="103" w:right="101"/>
              <w:jc w:val="both"/>
              <w:rPr>
                <w:rFonts w:ascii="宋体" w:hAnsi="宋体" w:cs="宋体" w:eastAsia="宋体" w:hint="default"/>
                <w:sz w:val="18"/>
                <w:szCs w:val="18"/>
              </w:rPr>
            </w:pPr>
            <w:r>
              <w:rPr>
                <w:rFonts w:ascii="宋体" w:hAnsi="宋体" w:cs="宋体" w:eastAsia="宋体" w:hint="default"/>
                <w:sz w:val="18"/>
                <w:szCs w:val="18"/>
              </w:rPr>
              <w:t>计算机、信息科技、通信系统的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技术开发、服务、咨询，通信系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统设备、智能系统工程的设计、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安装、调试、维护</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10,000,000.00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29,994,228.90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9,994,228.90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-5,771.10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01"/>
              <w:jc w:val="right"/>
              <w:rPr>
                <w:rFonts w:ascii="宋体" w:hAnsi="宋体" w:cs="宋体" w:eastAsia="宋体" w:hint="default"/>
                <w:sz w:val="18"/>
                <w:szCs w:val="18"/>
              </w:rPr>
            </w:pPr>
            <w:r>
              <w:rPr>
                <w:rFonts w:ascii="宋体"/>
                <w:sz w:val="18"/>
              </w:rPr>
              <w:t>-5,771.10</w:t>
            </w:r>
          </w:p>
        </w:tc>
      </w:tr>
    </w:tbl>
    <w:p>
      <w:pPr>
        <w:spacing w:line="240" w:lineRule="auto" w:before="11"/>
        <w:rPr>
          <w:rFonts w:ascii="宋体" w:hAnsi="宋体" w:cs="宋体" w:eastAsia="宋体" w:hint="default"/>
          <w:sz w:val="27"/>
          <w:szCs w:val="27"/>
        </w:rPr>
      </w:pPr>
    </w:p>
    <w:p>
      <w:pPr>
        <w:pStyle w:val="Heading3"/>
        <w:spacing w:line="240" w:lineRule="auto"/>
        <w:ind w:left="380" w:right="0"/>
        <w:jc w:val="left"/>
        <w:rPr>
          <w:b w:val="0"/>
          <w:bCs w:val="0"/>
        </w:rPr>
      </w:pPr>
      <w:r>
        <w:rPr>
          <w:rFonts w:ascii="宋体" w:hAnsi="宋体" w:cs="宋体" w:eastAsia="宋体" w:hint="default"/>
        </w:rPr>
        <w:t>5</w:t>
      </w:r>
      <w:r>
        <w:rPr/>
        <w:t>、</w:t>
      </w:r>
      <w:r>
        <w:rPr>
          <w:spacing w:val="-6"/>
        </w:rPr>
        <w:t> </w:t>
      </w:r>
      <w:r>
        <w:rPr/>
        <w:t>非募集资金项目情况</w:t>
      </w:r>
      <w:r>
        <w:rPr>
          <w:b w:val="0"/>
          <w:bCs w:val="0"/>
        </w:rPr>
      </w:r>
    </w:p>
    <w:p>
      <w:pPr>
        <w:pStyle w:val="BodyText"/>
        <w:spacing w:line="240" w:lineRule="auto" w:before="57"/>
        <w:ind w:left="380" w:right="0"/>
        <w:jc w:val="left"/>
      </w:pPr>
      <w:r>
        <w:rPr/>
        <w:t>□适用</w:t>
      </w:r>
      <w:r>
        <w:rPr>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0"/>
        <w:ind w:left="6996" w:right="6999" w:firstLine="0"/>
        <w:jc w:val="center"/>
        <w:rPr>
          <w:rFonts w:ascii="Calibri" w:hAnsi="Calibri" w:cs="Calibri" w:eastAsia="Calibri" w:hint="default"/>
          <w:sz w:val="18"/>
          <w:szCs w:val="18"/>
        </w:rPr>
      </w:pPr>
      <w:r>
        <w:rPr>
          <w:rFonts w:ascii="Calibri"/>
          <w:b/>
          <w:sz w:val="18"/>
        </w:rPr>
        <w:t>19 </w:t>
      </w:r>
      <w:r>
        <w:rPr>
          <w:rFonts w:ascii="Calibri"/>
          <w:sz w:val="18"/>
        </w:rPr>
        <w:t>/</w:t>
      </w:r>
      <w:r>
        <w:rPr>
          <w:rFonts w:ascii="Calibri"/>
          <w:spacing w:val="-4"/>
          <w:sz w:val="18"/>
        </w:rPr>
        <w:t> </w:t>
      </w:r>
      <w:r>
        <w:rPr>
          <w:rFonts w:ascii="Calibri"/>
          <w:b/>
          <w:sz w:val="18"/>
        </w:rPr>
        <w:t>115</w:t>
      </w:r>
      <w:r>
        <w:rPr>
          <w:rFonts w:ascii="Calibri"/>
          <w:sz w:val="18"/>
        </w:rPr>
      </w:r>
    </w:p>
    <w:p>
      <w:pPr>
        <w:spacing w:after="0"/>
        <w:jc w:val="center"/>
        <w:rPr>
          <w:rFonts w:ascii="Calibri" w:hAnsi="Calibri" w:cs="Calibri" w:eastAsia="Calibri" w:hint="default"/>
          <w:sz w:val="18"/>
          <w:szCs w:val="18"/>
        </w:rPr>
        <w:sectPr>
          <w:headerReference w:type="default" r:id="rId17"/>
          <w:footerReference w:type="default" r:id="rId18"/>
          <w:pgSz w:w="16840" w:h="11910" w:orient="landscape"/>
          <w:pgMar w:header="0" w:footer="0" w:top="800" w:bottom="280" w:left="1060" w:right="114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spacing w:line="240" w:lineRule="auto" w:before="3"/>
        <w:rPr>
          <w:rFonts w:ascii="Calibri" w:hAnsi="Calibri" w:cs="Calibri" w:eastAsia="Calibri" w:hint="default"/>
          <w:b/>
          <w:bCs/>
          <w:sz w:val="17"/>
          <w:szCs w:val="17"/>
        </w:rPr>
      </w:pPr>
    </w:p>
    <w:p>
      <w:pPr>
        <w:spacing w:line="350" w:lineRule="auto" w:before="0"/>
        <w:ind w:left="603" w:right="1553" w:hanging="466"/>
        <w:jc w:val="left"/>
        <w:rPr>
          <w:rFonts w:ascii="宋体" w:hAnsi="宋体" w:cs="宋体" w:eastAsia="宋体" w:hint="default"/>
          <w:sz w:val="21"/>
          <w:szCs w:val="21"/>
        </w:rPr>
      </w:pPr>
      <w:r>
        <w:rPr>
          <w:rFonts w:ascii="宋体" w:hAnsi="宋体" w:cs="宋体" w:eastAsia="宋体" w:hint="default"/>
          <w:b/>
          <w:bCs/>
          <w:sz w:val="21"/>
          <w:szCs w:val="21"/>
        </w:rPr>
        <w:t>二、董事会关于公司未来发展的讨论与分析</w:t>
      </w:r>
      <w:r>
        <w:rPr>
          <w:rFonts w:ascii="宋体" w:hAnsi="宋体" w:cs="宋体" w:eastAsia="宋体" w:hint="default"/>
          <w:b/>
          <w:bCs/>
          <w:w w:val="99"/>
          <w:sz w:val="21"/>
          <w:szCs w:val="21"/>
        </w:rPr>
        <w:t> </w:t>
      </w:r>
      <w:r>
        <w:rPr>
          <w:rFonts w:ascii="宋体" w:hAnsi="宋体" w:cs="宋体" w:eastAsia="宋体" w:hint="default"/>
          <w:sz w:val="21"/>
          <w:szCs w:val="21"/>
        </w:rPr>
        <w:t>公司现有主营业务为物业管理服务，物业管理行业的现状及前景展望如下： </w:t>
      </w:r>
      <w:r>
        <w:rPr>
          <w:rFonts w:ascii="宋体" w:hAnsi="宋体" w:cs="宋体" w:eastAsia="宋体" w:hint="default"/>
          <w:sz w:val="21"/>
          <w:szCs w:val="21"/>
        </w:rPr>
        <w:t>1</w:t>
      </w:r>
      <w:r>
        <w:rPr>
          <w:rFonts w:ascii="宋体" w:hAnsi="宋体" w:cs="宋体" w:eastAsia="宋体" w:hint="default"/>
          <w:sz w:val="21"/>
          <w:szCs w:val="21"/>
        </w:rPr>
        <w:t>、我国物业管理行业发展概况</w:t>
      </w:r>
    </w:p>
    <w:p>
      <w:pPr>
        <w:pStyle w:val="BodyText"/>
        <w:spacing w:line="355" w:lineRule="auto" w:before="37"/>
        <w:ind w:right="133" w:firstLine="465"/>
        <w:jc w:val="both"/>
      </w:pPr>
      <w:r>
        <w:rPr/>
        <w:t>物业管理起源于</w:t>
      </w:r>
      <w:r>
        <w:rPr>
          <w:spacing w:val="-58"/>
        </w:rPr>
        <w:t> </w:t>
      </w:r>
      <w:r>
        <w:rPr>
          <w:rFonts w:ascii="宋体" w:hAnsi="宋体" w:cs="宋体" w:eastAsia="宋体" w:hint="default"/>
        </w:rPr>
        <w:t>19</w:t>
      </w:r>
      <w:r>
        <w:rPr>
          <w:rFonts w:ascii="宋体" w:hAnsi="宋体" w:cs="宋体" w:eastAsia="宋体" w:hint="default"/>
          <w:spacing w:val="-57"/>
        </w:rPr>
        <w:t> </w:t>
      </w:r>
      <w:r>
        <w:rPr/>
        <w:t>世纪</w:t>
      </w:r>
      <w:r>
        <w:rPr>
          <w:spacing w:val="-59"/>
        </w:rPr>
        <w:t> </w:t>
      </w:r>
      <w:r>
        <w:rPr>
          <w:rFonts w:ascii="宋体" w:hAnsi="宋体" w:cs="宋体" w:eastAsia="宋体" w:hint="default"/>
        </w:rPr>
        <w:t>60</w:t>
      </w:r>
      <w:r>
        <w:rPr>
          <w:rFonts w:ascii="宋体" w:hAnsi="宋体" w:cs="宋体" w:eastAsia="宋体" w:hint="default"/>
          <w:spacing w:val="-57"/>
        </w:rPr>
        <w:t> </w:t>
      </w:r>
      <w:r>
        <w:rPr>
          <w:spacing w:val="-8"/>
        </w:rPr>
        <w:t>年代的英国，是人口增长及经济发展的必然结果，属第三产业——</w:t>
      </w:r>
      <w:r>
        <w:rPr/>
        <w:t> 服务行业。迄今为止，物业管理作为现代化城市管理和房地产经营管理的重要组成部分，在国际 上十分流行并获得了蓬勃发展，被人们视作现代化城市的朝阳产业。</w:t>
      </w:r>
    </w:p>
    <w:p>
      <w:pPr>
        <w:pStyle w:val="BodyText"/>
        <w:spacing w:line="357" w:lineRule="auto" w:before="33"/>
        <w:ind w:right="133" w:firstLine="465"/>
        <w:jc w:val="both"/>
      </w:pPr>
      <w:r>
        <w:rPr>
          <w:rFonts w:ascii="宋体" w:hAnsi="宋体" w:cs="宋体" w:eastAsia="宋体" w:hint="default"/>
        </w:rPr>
        <w:t>20</w:t>
      </w:r>
      <w:r>
        <w:rPr>
          <w:rFonts w:ascii="宋体" w:hAnsi="宋体" w:cs="宋体" w:eastAsia="宋体" w:hint="default"/>
          <w:spacing w:val="-54"/>
        </w:rPr>
        <w:t> </w:t>
      </w:r>
      <w:r>
        <w:rPr/>
        <w:t>世纪</w:t>
      </w:r>
      <w:r>
        <w:rPr>
          <w:spacing w:val="-55"/>
        </w:rPr>
        <w:t> </w:t>
      </w:r>
      <w:r>
        <w:rPr>
          <w:rFonts w:ascii="宋体" w:hAnsi="宋体" w:cs="宋体" w:eastAsia="宋体" w:hint="default"/>
        </w:rPr>
        <w:t>80</w:t>
      </w:r>
      <w:r>
        <w:rPr>
          <w:rFonts w:ascii="宋体" w:hAnsi="宋体" w:cs="宋体" w:eastAsia="宋体" w:hint="default"/>
          <w:spacing w:val="-54"/>
        </w:rPr>
        <w:t> </w:t>
      </w:r>
      <w:r>
        <w:rPr/>
        <w:t>年代，随着我国经济的发展和城市的开发，全国住宅小区逐渐兴建起来，由此现 代物业管理从香港传入内地。</w:t>
      </w:r>
      <w:r>
        <w:rPr>
          <w:rFonts w:ascii="宋体" w:hAnsi="宋体" w:cs="宋体" w:eastAsia="宋体" w:hint="default"/>
        </w:rPr>
        <w:t>1981</w:t>
      </w:r>
      <w:r>
        <w:rPr>
          <w:rFonts w:ascii="宋体" w:hAnsi="宋体" w:cs="宋体" w:eastAsia="宋体" w:hint="default"/>
          <w:spacing w:val="-67"/>
        </w:rPr>
        <w:t> </w:t>
      </w:r>
      <w:r>
        <w:rPr/>
        <w:t>年</w:t>
      </w:r>
      <w:r>
        <w:rPr>
          <w:spacing w:val="-67"/>
        </w:rPr>
        <w:t> </w:t>
      </w:r>
      <w:r>
        <w:rPr>
          <w:rFonts w:ascii="宋体" w:hAnsi="宋体" w:cs="宋体" w:eastAsia="宋体" w:hint="default"/>
        </w:rPr>
        <w:t>3</w:t>
      </w:r>
      <w:r>
        <w:rPr>
          <w:rFonts w:ascii="宋体" w:hAnsi="宋体" w:cs="宋体" w:eastAsia="宋体" w:hint="default"/>
          <w:spacing w:val="-66"/>
        </w:rPr>
        <w:t> </w:t>
      </w:r>
      <w:r>
        <w:rPr/>
        <w:t>月，全国第一家物业管理公司诞生。此后，物业管理行业 在我国迅速发展，各地物业管理企业和从业人员数量迅速增加，为广大业主营造出一个个安居乐 业的生活和工作环境，从而为和谐社会作出一定贡献。</w:t>
      </w:r>
    </w:p>
    <w:p>
      <w:pPr>
        <w:pStyle w:val="BodyText"/>
        <w:spacing w:line="357" w:lineRule="auto" w:before="31"/>
        <w:ind w:right="132" w:firstLine="465"/>
        <w:jc w:val="both"/>
      </w:pPr>
      <w:r>
        <w:rPr>
          <w:spacing w:val="-1"/>
        </w:rPr>
        <w:t>随着我国社会主义市场经济的深入发展和“全面建设小康社会”进程的推进，人们对生活品</w:t>
      </w:r>
      <w:r>
        <w:rPr/>
        <w:t> 质和居住条件的追求日益提高，房地产业也随之不断发展成熟。物业管理作为房地产业体系的重 要组成部分和配套工程，越来越显示出广阔的市场发展前景，被誉为现代城市的“朝阳产业”。 但是，物业管理在我国还是一种新兴行业，目前尚处在成长壮大阶段，实际中存在许多阻碍发展 的问题，与我国城市管理和房地产业的飞速发展很不相称。</w:t>
      </w:r>
    </w:p>
    <w:p>
      <w:pPr>
        <w:pStyle w:val="BodyText"/>
        <w:spacing w:line="357" w:lineRule="auto" w:before="31"/>
        <w:ind w:left="603" w:right="120"/>
        <w:jc w:val="left"/>
      </w:pPr>
      <w:r>
        <w:rPr>
          <w:rFonts w:ascii="宋体" w:hAnsi="宋体" w:cs="宋体" w:eastAsia="宋体" w:hint="default"/>
        </w:rPr>
        <w:t>2</w:t>
      </w:r>
      <w:r>
        <w:rPr/>
        <w:t>、我国物业管理行业发展的有利因素 物业管理法规是物业管理有序运作的基本前提和重要保障。</w:t>
      </w:r>
      <w:r>
        <w:rPr>
          <w:rFonts w:ascii="宋体" w:hAnsi="宋体" w:cs="宋体" w:eastAsia="宋体" w:hint="default"/>
        </w:rPr>
        <w:t>2003</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61"/>
        </w:rPr>
        <w:t> </w:t>
      </w:r>
      <w:r>
        <w:rPr/>
        <w:t>月</w:t>
      </w:r>
      <w:r>
        <w:rPr>
          <w:spacing w:val="-62"/>
        </w:rPr>
        <w:t> </w:t>
      </w:r>
      <w:r>
        <w:rPr>
          <w:rFonts w:ascii="宋体" w:hAnsi="宋体" w:cs="宋体" w:eastAsia="宋体" w:hint="default"/>
        </w:rPr>
        <w:t>8</w:t>
      </w:r>
      <w:r>
        <w:rPr>
          <w:rFonts w:ascii="宋体" w:hAnsi="宋体" w:cs="宋体" w:eastAsia="宋体" w:hint="default"/>
          <w:spacing w:val="-60"/>
        </w:rPr>
        <w:t> </w:t>
      </w:r>
      <w:r>
        <w:rPr>
          <w:spacing w:val="-6"/>
        </w:rPr>
        <w:t>日，国务院颁布了</w:t>
      </w:r>
    </w:p>
    <w:p>
      <w:pPr>
        <w:pStyle w:val="BodyText"/>
        <w:spacing w:line="355" w:lineRule="auto" w:before="31"/>
        <w:ind w:right="134"/>
        <w:jc w:val="both"/>
      </w:pPr>
      <w:r>
        <w:rPr/>
        <w:t>《物业管理体条例》（国务院令第</w:t>
      </w:r>
      <w:r>
        <w:rPr>
          <w:spacing w:val="-53"/>
        </w:rPr>
        <w:t> </w:t>
      </w:r>
      <w:r>
        <w:rPr>
          <w:rFonts w:ascii="宋体" w:hAnsi="宋体" w:cs="宋体" w:eastAsia="宋体" w:hint="default"/>
        </w:rPr>
        <w:t>379</w:t>
      </w:r>
      <w:r>
        <w:rPr>
          <w:rFonts w:ascii="宋体" w:hAnsi="宋体" w:cs="宋体" w:eastAsia="宋体" w:hint="default"/>
          <w:spacing w:val="-53"/>
        </w:rPr>
        <w:t> </w:t>
      </w:r>
      <w:r>
        <w:rPr/>
        <w:t>号），是我国第一部物业管理行政法规，标志着我国物业 管理进入了法制化、规范化发展的新时期。国务院有关部门还制定了一套有关物业管理的规章和 </w:t>
      </w:r>
      <w:r>
        <w:rPr>
          <w:spacing w:val="-10"/>
        </w:rPr>
        <w:t>规范性文件，如《物业管理服务收费管理法》、《住宅共用部位共用设施设备维修基金管理办法》、</w:t>
      </w:r>
    </w:p>
    <w:p>
      <w:pPr>
        <w:pStyle w:val="BodyText"/>
        <w:spacing w:line="357" w:lineRule="auto" w:before="33"/>
        <w:ind w:right="146"/>
        <w:jc w:val="both"/>
      </w:pPr>
      <w:r>
        <w:rPr/>
        <w:t>《物业管理企业资质管理试行办法》、《城市新建住宅小区管理办法》等；</w:t>
      </w: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16</w:t>
      </w:r>
      <w:r>
        <w:rPr>
          <w:rFonts w:ascii="宋体" w:hAnsi="宋体" w:cs="宋体" w:eastAsia="宋体" w:hint="default"/>
          <w:spacing w:val="-53"/>
        </w:rPr>
        <w:t> </w:t>
      </w:r>
      <w:r>
        <w:rPr/>
        <w:t>日第</w:t>
      </w:r>
      <w:r>
        <w:rPr>
          <w:spacing w:val="-2"/>
        </w:rPr>
        <w:t> </w:t>
      </w:r>
      <w:r>
        <w:rPr/>
        <w:t>七届全国人民代表大会第五次会议颁布了《物权法》。近年来，随着有关物业管理的多部法规相</w:t>
      </w:r>
      <w:r>
        <w:rPr/>
        <w:t> 继出台，我国的物业管理行业得到进一步规范。</w:t>
      </w:r>
    </w:p>
    <w:p>
      <w:pPr>
        <w:pStyle w:val="BodyText"/>
        <w:spacing w:line="357" w:lineRule="auto" w:before="30"/>
        <w:ind w:left="603" w:right="119"/>
        <w:jc w:val="left"/>
      </w:pPr>
      <w:r>
        <w:rPr>
          <w:rFonts w:ascii="宋体" w:hAnsi="宋体" w:cs="宋体" w:eastAsia="宋体" w:hint="default"/>
        </w:rPr>
        <w:t>3</w:t>
      </w:r>
      <w:r>
        <w:rPr/>
        <w:t>、我国物业管理行业发展的不利因素 </w:t>
      </w:r>
      <w:r>
        <w:rPr>
          <w:spacing w:val="-6"/>
        </w:rPr>
        <w:t>目前，我国物业管理存在的首要问题是架构不完善、不科学，体制需进一步理顺和重新构建。</w:t>
      </w:r>
    </w:p>
    <w:p>
      <w:pPr>
        <w:pStyle w:val="BodyText"/>
        <w:spacing w:line="357" w:lineRule="auto" w:before="30"/>
        <w:ind w:right="146"/>
        <w:jc w:val="both"/>
      </w:pPr>
      <w:r>
        <w:rPr/>
        <w:t>一些物业管理企业忽视自身建设，把物业管理看成收费服务和简单生产活动，对企业发展和专业 管理水平提高一无规划，二无措施，三更谈不上科学，没有明确管理目标责任制，企业既无压力 也无动力，使得我国物业管理行业的发展遇到瓶颈。</w:t>
      </w:r>
    </w:p>
    <w:p>
      <w:pPr>
        <w:pStyle w:val="BodyText"/>
        <w:spacing w:line="357" w:lineRule="auto" w:before="30"/>
        <w:ind w:left="603" w:right="123"/>
        <w:jc w:val="left"/>
      </w:pPr>
      <w:r>
        <w:rPr>
          <w:rFonts w:ascii="宋体" w:hAnsi="宋体" w:cs="宋体" w:eastAsia="宋体" w:hint="default"/>
        </w:rPr>
        <w:t>4</w:t>
      </w:r>
      <w:r>
        <w:rPr/>
        <w:t>、我国物业管理行业发展的前景展望 </w:t>
      </w:r>
      <w:r>
        <w:rPr>
          <w:spacing w:val="-1"/>
        </w:rPr>
        <w:t>我国未来的物业管理应涉及到物业设置及使用全过程的管理及服务。根据对国外现代物业管</w:t>
      </w:r>
    </w:p>
    <w:p>
      <w:pPr>
        <w:pStyle w:val="BodyText"/>
        <w:spacing w:line="357" w:lineRule="auto" w:before="30"/>
        <w:ind w:right="133"/>
        <w:jc w:val="both"/>
      </w:pPr>
      <w:r>
        <w:rPr>
          <w:spacing w:val="-5"/>
        </w:rPr>
        <w:t>理实施过程的研究，其发展的业务的内容应包括：物业管理战略的制定；为房地产开发建设服务；</w:t>
      </w:r>
      <w:r>
        <w:rPr>
          <w:spacing w:val="-88"/>
        </w:rPr>
        <w:t> </w:t>
      </w:r>
      <w:r>
        <w:rPr>
          <w:spacing w:val="-88"/>
        </w:rPr>
      </w:r>
      <w:r>
        <w:rPr/>
        <w:t>为房地产经营服务；物业维修运行管理；综合管理服务等。</w:t>
      </w:r>
    </w:p>
    <w:p>
      <w:pPr>
        <w:spacing w:after="0" w:line="357" w:lineRule="auto"/>
        <w:jc w:val="both"/>
        <w:sectPr>
          <w:footerReference w:type="default" r:id="rId19"/>
          <w:pgSz w:w="11910" w:h="16840"/>
          <w:pgMar w:footer="1194" w:header="0" w:top="1120" w:bottom="1380" w:left="1660" w:right="1140"/>
          <w:pgNumType w:start="20"/>
        </w:sectPr>
      </w:pPr>
    </w:p>
    <w:p>
      <w:pPr>
        <w:spacing w:line="240" w:lineRule="auto" w:before="6"/>
        <w:rPr>
          <w:rFonts w:ascii="宋体" w:hAnsi="宋体" w:cs="宋体" w:eastAsia="宋体" w:hint="default"/>
          <w:sz w:val="25"/>
          <w:szCs w:val="25"/>
        </w:rPr>
      </w:pPr>
    </w:p>
    <w:p>
      <w:pPr>
        <w:pStyle w:val="BodyText"/>
        <w:spacing w:line="357" w:lineRule="auto" w:before="35"/>
        <w:ind w:right="132" w:firstLine="465"/>
        <w:jc w:val="both"/>
      </w:pPr>
      <w:r>
        <w:rPr>
          <w:spacing w:val="-1"/>
        </w:rPr>
        <w:t>目前我国物业管理机构以管理物业为主，兼而开展多种经营服务的“一主多副”思路应成为</w:t>
      </w:r>
      <w:r>
        <w:rPr/>
        <w:t> 具有中国特色物业管理服务模式，我国未来的物业管理发展应是专业化、综合性涉及物业建设与 使用全过程的管理和服务。</w:t>
      </w:r>
    </w:p>
    <w:p>
      <w:pPr>
        <w:pStyle w:val="BodyText"/>
        <w:spacing w:line="357" w:lineRule="auto" w:before="30"/>
        <w:ind w:right="133" w:firstLine="465"/>
        <w:jc w:val="both"/>
      </w:pPr>
      <w:r>
        <w:rPr>
          <w:spacing w:val="-1"/>
        </w:rPr>
        <w:t>目前物业管理企业小、弱、散、差的现象普遍存在，随着物业管理招投标大力推行和物业管</w:t>
      </w:r>
      <w:r>
        <w:rPr/>
        <w:t> 理市场化的发展，物业管理将从数量型增长向质量、规模、效益型转变，规模化经营的资产重组 必然驱使物业管理企业向品牌化企业方向发展。在有限的市场资源条件下，企业竞争将进一步加 剧，势必推动物业管理行业整体素质的提高，社会资源配置也将得到进一步优化。随着物业管理 范围和内容的扩展，市场化进程的加快，物业管理招投标的逐步规范，物业管理行业的竞争将日 益激烈，行业间的兼并、整合现象将逐渐加剧、迅速扩展。</w:t>
      </w:r>
    </w:p>
    <w:p>
      <w:pPr>
        <w:pStyle w:val="BodyText"/>
        <w:spacing w:line="355" w:lineRule="auto" w:before="31"/>
        <w:ind w:right="135" w:firstLine="465"/>
        <w:jc w:val="both"/>
      </w:pPr>
      <w:r>
        <w:rPr>
          <w:spacing w:val="-1"/>
        </w:rPr>
        <w:t>公司将通过提升服务水平、增加服务内容、扩大服务范围、树立服务品牌等措施，逐步提升</w:t>
      </w:r>
      <w:r>
        <w:rPr/>
        <w:t> 公司物业管理服务能力，保持并增强该业务的持续盈利能力。</w:t>
      </w:r>
    </w:p>
    <w:p>
      <w:pPr>
        <w:pStyle w:val="BodyText"/>
        <w:spacing w:line="355" w:lineRule="auto" w:before="153"/>
        <w:ind w:right="145" w:firstLine="420"/>
        <w:jc w:val="both"/>
      </w:pPr>
      <w:r>
        <w:rPr/>
        <w:t>公司于</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日公告《非公开发行股票预案》，拟以</w:t>
      </w:r>
      <w:r>
        <w:rPr>
          <w:spacing w:val="-54"/>
        </w:rPr>
        <w:t> </w:t>
      </w:r>
      <w:r>
        <w:rPr>
          <w:rFonts w:ascii="宋体" w:hAnsi="宋体" w:cs="宋体" w:eastAsia="宋体" w:hint="default"/>
        </w:rPr>
        <w:t>3.65</w:t>
      </w:r>
      <w:r>
        <w:rPr>
          <w:rFonts w:ascii="宋体" w:hAnsi="宋体" w:cs="宋体" w:eastAsia="宋体" w:hint="default"/>
          <w:spacing w:val="-53"/>
        </w:rPr>
        <w:t> </w:t>
      </w:r>
      <w:r>
        <w:rPr/>
        <w:t>元</w:t>
      </w:r>
      <w:r>
        <w:rPr>
          <w:rFonts w:ascii="宋体" w:hAnsi="宋体" w:cs="宋体" w:eastAsia="宋体" w:hint="default"/>
        </w:rPr>
        <w:t>/</w:t>
      </w:r>
      <w:r>
        <w:rPr/>
        <w:t>股的发行价格向顾国 平等九名特定对象非公开发行股票方式募集资金以发展智慧城市为主的经营业务。本次非公开发 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5"/>
        </w:rPr>
        <w:t> </w:t>
      </w:r>
      <w:r>
        <w:rPr>
          <w:rFonts w:ascii="宋体" w:hAnsi="宋体" w:cs="宋体" w:eastAsia="宋体" w:hint="default"/>
        </w:rPr>
        <w:t>235,000</w:t>
      </w:r>
      <w:r>
        <w:rPr>
          <w:rFonts w:ascii="宋体" w:hAnsi="宋体" w:cs="宋体" w:eastAsia="宋体" w:hint="default"/>
          <w:spacing w:val="-53"/>
        </w:rPr>
        <w:t> </w:t>
      </w:r>
      <w:r>
        <w:rPr/>
        <w:t>万元），扣除发行费用后的募</w:t>
      </w:r>
    </w:p>
    <w:p>
      <w:pPr>
        <w:pStyle w:val="BodyText"/>
        <w:spacing w:line="357" w:lineRule="auto" w:before="33"/>
        <w:ind w:right="145"/>
        <w:jc w:val="both"/>
      </w:pPr>
      <w:r>
        <w:rPr/>
        <w:t>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万元用于智慧城市研发与运营中心项目，剩余资金用于补充智慧城 市业务的营运资金，支持公司战略转型，构建公司持续经营能力和盈利能力。智慧城市业务隶属 于信息技术服务业，是近年随着城镇化发展及信息化水平提高而形成的新兴产业。</w:t>
      </w:r>
    </w:p>
    <w:p>
      <w:pPr>
        <w:spacing w:line="312" w:lineRule="auto" w:before="149"/>
        <w:ind w:left="558" w:right="5786"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、行业竞争格局</w:t>
      </w:r>
    </w:p>
    <w:p>
      <w:pPr>
        <w:pStyle w:val="BodyText"/>
        <w:spacing w:line="355" w:lineRule="auto" w:before="71"/>
        <w:ind w:left="620" w:right="0" w:hanging="63"/>
        <w:jc w:val="left"/>
      </w:pPr>
      <w:r>
        <w:rPr/>
        <w:t>（</w:t>
      </w:r>
      <w:r>
        <w:rPr>
          <w:rFonts w:ascii="宋体" w:hAnsi="宋体" w:cs="宋体" w:eastAsia="宋体" w:hint="default"/>
        </w:rPr>
        <w:t>1</w:t>
      </w:r>
      <w:r>
        <w:rPr/>
        <w:t>）行业集中度 </w:t>
      </w:r>
      <w:r>
        <w:rPr>
          <w:spacing w:val="-2"/>
        </w:rPr>
        <w:t>由于智慧城市建设涉及领域众多，各地特色与经济发展水平各不相同，目前没有一套统一的</w:t>
      </w:r>
    </w:p>
    <w:p>
      <w:pPr>
        <w:pStyle w:val="BodyText"/>
        <w:spacing w:line="357" w:lineRule="auto" w:before="32"/>
        <w:ind w:right="146"/>
        <w:jc w:val="both"/>
      </w:pPr>
      <w:r>
        <w:rPr/>
        <w:t>管理体系和标准，能够参与竞争的企业也较多。随着行业投资额加大，前期通过总包框架协议取 得的项目资源逐步落地，资金实力和大项目经验将提升行业的隐形壁垒，行业集中度有望逐步提 升，尤其是具备信息技术行业背景、资金实力、区域资源的上市公司，在市场拓展及项目落地能 力上预计将显著高于行业平均水平。</w:t>
      </w:r>
    </w:p>
    <w:p>
      <w:pPr>
        <w:pStyle w:val="BodyText"/>
        <w:spacing w:line="357" w:lineRule="auto" w:before="30"/>
        <w:ind w:left="620" w:right="0" w:hanging="63"/>
        <w:jc w:val="left"/>
      </w:pPr>
      <w:r>
        <w:rPr/>
        <w:t>（</w:t>
      </w:r>
      <w:r>
        <w:rPr>
          <w:rFonts w:ascii="宋体" w:hAnsi="宋体" w:cs="宋体" w:eastAsia="宋体" w:hint="default"/>
        </w:rPr>
        <w:t>2</w:t>
      </w:r>
      <w:r>
        <w:rPr/>
        <w:t>）行业壁垒 </w:t>
      </w:r>
      <w:r>
        <w:rPr>
          <w:spacing w:val="-2"/>
        </w:rPr>
        <w:t>智慧城市涉及产业环节众多，而随着智慧城市建设的横向试点推广及纵向领域渗透，总包的</w:t>
      </w:r>
    </w:p>
    <w:p>
      <w:pPr>
        <w:pStyle w:val="BodyText"/>
        <w:spacing w:line="240" w:lineRule="auto" w:before="30"/>
        <w:ind w:right="0"/>
        <w:jc w:val="both"/>
      </w:pPr>
      <w:r>
        <w:rPr/>
        <w:t>模式逐步兴起，经验、资金、项目资源壁垒将利于行业集中度的提升。</w:t>
      </w:r>
    </w:p>
    <w:p>
      <w:pPr>
        <w:pStyle w:val="BodyText"/>
        <w:spacing w:line="357" w:lineRule="auto" w:before="133"/>
        <w:ind w:left="558" w:right="128"/>
        <w:jc w:val="left"/>
      </w:pPr>
      <w:r>
        <w:rPr/>
        <w:t>①行业经验壁垒 智慧城市建设是一项非常庞大的系统工程，涉及众多信息化领域、技术环节，需要具备专业</w:t>
      </w:r>
    </w:p>
    <w:p>
      <w:pPr>
        <w:pStyle w:val="BodyText"/>
        <w:spacing w:line="357" w:lineRule="auto" w:before="30"/>
        <w:ind w:right="134"/>
        <w:jc w:val="both"/>
      </w:pPr>
      <w:r>
        <w:rPr/>
        <w:t>经验的团队进行规划设计、项目管理以及实施和维护服务。在项目落地实施时，涉及软件开发、</w:t>
      </w:r>
      <w:r>
        <w:rPr>
          <w:spacing w:val="-95"/>
        </w:rPr>
        <w:t> </w:t>
      </w:r>
      <w:r>
        <w:rPr>
          <w:spacing w:val="-95"/>
        </w:rPr>
      </w:r>
      <w:r>
        <w:rPr>
          <w:spacing w:val="-3"/>
        </w:rPr>
        <w:t>系统集成、</w:t>
      </w:r>
      <w:r>
        <w:rPr>
          <w:rFonts w:ascii="宋体" w:hAnsi="宋体" w:cs="宋体" w:eastAsia="宋体" w:hint="default"/>
          <w:spacing w:val="-3"/>
        </w:rPr>
        <w:t>IT</w:t>
      </w:r>
      <w:r>
        <w:rPr>
          <w:rFonts w:ascii="宋体" w:hAnsi="宋体" w:cs="宋体" w:eastAsia="宋体" w:hint="default"/>
          <w:spacing w:val="-73"/>
        </w:rPr>
        <w:t> </w:t>
      </w:r>
      <w:r>
        <w:rPr/>
        <w:t>运维服务等多方面的技术环节，因此实施团队的行业经验、技术水平以及持续的技 术研发能力是保障项目实施效果的关键。建设一支具备行业经验，能够持续保证技术先进性的核</w:t>
      </w:r>
    </w:p>
    <w:p>
      <w:pPr>
        <w:spacing w:after="0" w:line="357" w:lineRule="auto"/>
        <w:jc w:val="both"/>
        <w:sectPr>
          <w:pgSz w:w="11910" w:h="16840"/>
          <w:pgMar w:header="0" w:footer="1194" w:top="1120" w:bottom="1380" w:left="1660" w:right="1140"/>
        </w:sectPr>
      </w:pPr>
    </w:p>
    <w:p>
      <w:pPr>
        <w:spacing w:line="240" w:lineRule="auto" w:before="6"/>
        <w:rPr>
          <w:rFonts w:ascii="宋体" w:hAnsi="宋体" w:cs="宋体" w:eastAsia="宋体" w:hint="default"/>
          <w:sz w:val="25"/>
          <w:szCs w:val="25"/>
        </w:rPr>
      </w:pPr>
    </w:p>
    <w:p>
      <w:pPr>
        <w:pStyle w:val="BodyText"/>
        <w:spacing w:line="240" w:lineRule="auto" w:before="35"/>
        <w:ind w:right="0"/>
        <w:jc w:val="both"/>
      </w:pPr>
      <w:r>
        <w:rPr/>
        <w:t>心团队，能够形成一定的竞争力。</w:t>
      </w:r>
    </w:p>
    <w:p>
      <w:pPr>
        <w:pStyle w:val="BodyText"/>
        <w:spacing w:line="240" w:lineRule="auto" w:before="133"/>
        <w:ind w:left="558" w:right="135"/>
        <w:jc w:val="left"/>
      </w:pPr>
      <w:r>
        <w:rPr/>
        <w:t>②资金实力壁垒</w:t>
      </w:r>
    </w:p>
    <w:p>
      <w:pPr>
        <w:pStyle w:val="BodyText"/>
        <w:spacing w:line="357" w:lineRule="auto" w:before="134"/>
        <w:ind w:right="136" w:firstLine="482"/>
        <w:jc w:val="both"/>
        <w:rPr>
          <w:rFonts w:ascii="宋体" w:hAnsi="宋体" w:cs="宋体" w:eastAsia="宋体" w:hint="default"/>
        </w:rPr>
      </w:pPr>
      <w:r>
        <w:rPr/>
        <w:t>智慧城市面向的对象主要为各级政府，即</w:t>
      </w:r>
      <w:r>
        <w:rPr>
          <w:spacing w:val="-54"/>
        </w:rPr>
        <w:t> </w:t>
      </w:r>
      <w:r>
        <w:rPr>
          <w:rFonts w:ascii="宋体" w:hAnsi="宋体" w:cs="宋体" w:eastAsia="宋体" w:hint="default"/>
        </w:rPr>
        <w:t>B2G</w:t>
      </w:r>
      <w:r>
        <w:rPr/>
        <w:t>（企业对政府）模式，即使在试点阶段的中小 城市或片区，其项目规模均达亿元级别。而在整个实施过程中，由于涉及基础设施集成建设等工 程项目，目前主流的无论</w:t>
      </w:r>
      <w:r>
        <w:rPr>
          <w:spacing w:val="-56"/>
        </w:rPr>
        <w:t> </w:t>
      </w:r>
      <w:r>
        <w:rPr>
          <w:rFonts w:ascii="宋体" w:hAnsi="宋体" w:cs="宋体" w:eastAsia="宋体" w:hint="default"/>
        </w:rPr>
        <w:t>BT</w:t>
      </w:r>
      <w:r>
        <w:rPr/>
        <w:t>（建设</w:t>
      </w:r>
      <w:r>
        <w:rPr>
          <w:rFonts w:ascii="宋体" w:hAnsi="宋体" w:cs="宋体" w:eastAsia="宋体" w:hint="default"/>
        </w:rPr>
        <w:t>-</w:t>
      </w:r>
      <w:r>
        <w:rPr/>
        <w:t>移交）模式、</w:t>
      </w:r>
      <w:r>
        <w:rPr>
          <w:rFonts w:ascii="宋体" w:hAnsi="宋体" w:cs="宋体" w:eastAsia="宋体" w:hint="default"/>
        </w:rPr>
        <w:t>EPC</w:t>
      </w:r>
      <w:r>
        <w:rPr/>
        <w:t>（设计</w:t>
      </w:r>
      <w:r>
        <w:rPr>
          <w:rFonts w:ascii="宋体" w:hAnsi="宋体" w:cs="宋体" w:eastAsia="宋体" w:hint="default"/>
        </w:rPr>
        <w:t>-</w:t>
      </w:r>
      <w:r>
        <w:rPr/>
        <w:t>采购－建造）模式或衍生出的</w:t>
      </w:r>
      <w:r>
        <w:rPr>
          <w:spacing w:val="-56"/>
        </w:rPr>
        <w:t> </w:t>
      </w:r>
      <w:r>
        <w:rPr>
          <w:rFonts w:ascii="宋体" w:hAnsi="宋体" w:cs="宋体" w:eastAsia="宋体" w:hint="default"/>
        </w:rPr>
        <w:t>BOT</w:t>
      </w:r>
    </w:p>
    <w:p>
      <w:pPr>
        <w:pStyle w:val="BodyText"/>
        <w:spacing w:line="357" w:lineRule="auto" w:before="30"/>
        <w:ind w:right="146"/>
        <w:jc w:val="both"/>
      </w:pPr>
      <w:r>
        <w:rPr/>
        <w:t>（建设</w:t>
      </w:r>
      <w:r>
        <w:rPr>
          <w:rFonts w:ascii="宋体" w:hAnsi="宋体" w:cs="宋体" w:eastAsia="宋体" w:hint="default"/>
        </w:rPr>
        <w:t>-</w:t>
      </w:r>
      <w:r>
        <w:rPr/>
        <w:t>运营</w:t>
      </w:r>
      <w:r>
        <w:rPr>
          <w:rFonts w:ascii="宋体" w:hAnsi="宋体" w:cs="宋体" w:eastAsia="宋体" w:hint="default"/>
        </w:rPr>
        <w:t>-</w:t>
      </w:r>
      <w:r>
        <w:rPr/>
        <w:t>移交）、</w:t>
      </w:r>
      <w:r>
        <w:rPr>
          <w:rFonts w:ascii="宋体" w:hAnsi="宋体" w:cs="宋体" w:eastAsia="宋体" w:hint="default"/>
        </w:rPr>
        <w:t>BLT</w:t>
      </w:r>
      <w:r>
        <w:rPr/>
        <w:t>（建设</w:t>
      </w:r>
      <w:r>
        <w:rPr>
          <w:rFonts w:ascii="宋体" w:hAnsi="宋体" w:cs="宋体" w:eastAsia="宋体" w:hint="default"/>
        </w:rPr>
        <w:t>-</w:t>
      </w:r>
      <w:r>
        <w:rPr/>
        <w:t>租赁</w:t>
      </w:r>
      <w:r>
        <w:rPr>
          <w:rFonts w:ascii="宋体" w:hAnsi="宋体" w:cs="宋体" w:eastAsia="宋体" w:hint="default"/>
        </w:rPr>
        <w:t>-</w:t>
      </w:r>
      <w:r>
        <w:rPr/>
        <w:t>转让）、</w:t>
      </w:r>
      <w:r>
        <w:rPr>
          <w:rFonts w:ascii="宋体" w:hAnsi="宋体" w:cs="宋体" w:eastAsia="宋体" w:hint="default"/>
        </w:rPr>
        <w:t>PPP</w:t>
      </w:r>
      <w:r>
        <w:rPr/>
        <w:t>（公私合作）等模式，对业务承接方的资金 储备和运转能力均存在较大考验。因而，具备丰厚的资金实力，并能够借助上市公司平台的多种 融资渠道为资金运转提供保证的公司，将在后续智慧城市建设推进中获得更多业务机会。</w:t>
      </w:r>
    </w:p>
    <w:p>
      <w:pPr>
        <w:pStyle w:val="BodyText"/>
        <w:spacing w:line="357" w:lineRule="auto" w:before="30"/>
        <w:ind w:left="620" w:right="0" w:hanging="63"/>
        <w:jc w:val="left"/>
      </w:pPr>
      <w:r>
        <w:rPr/>
        <w:t>③项目资源壁垒 </w:t>
      </w:r>
      <w:r>
        <w:rPr>
          <w:spacing w:val="-2"/>
        </w:rPr>
        <w:t>智慧城市涉及城市建设的方方面面，因此从规划设计开始，即为需与各级政府层面直接对接</w:t>
      </w:r>
    </w:p>
    <w:p>
      <w:pPr>
        <w:pStyle w:val="BodyText"/>
        <w:spacing w:line="357" w:lineRule="auto" w:before="30"/>
        <w:ind w:right="145"/>
        <w:jc w:val="both"/>
      </w:pPr>
      <w:r>
        <w:rPr/>
        <w:t>的项目。由于政府在我国城市规划和经济发展中扮演的特殊角色，决定了智慧城市相关项目的主 导方为各级政府机关，因而在项目资源上会形成一定壁垒。在试点阶段，智慧城市服务商主要以 规划咨询切入，为各级政府部门提供顶层设计，后续通过框架协议确定整体方案，并在后续具体 项目落地中以招投标的形式取得具体项目的实施、服务等。能够在试点阶段完成一定的咨询规划 方案，签订框架协议并提供其他支持服务从而积累项目资源，进而在行业中形成一定壁垒，有利 于后续业务的实施和开拓。</w:t>
      </w:r>
    </w:p>
    <w:p>
      <w:pPr>
        <w:pStyle w:val="BodyText"/>
        <w:spacing w:line="357" w:lineRule="auto" w:before="31"/>
        <w:ind w:left="620" w:right="0"/>
        <w:jc w:val="left"/>
      </w:pPr>
      <w:r>
        <w:rPr>
          <w:rFonts w:ascii="宋体" w:hAnsi="宋体" w:cs="宋体" w:eastAsia="宋体" w:hint="default"/>
        </w:rPr>
        <w:t>2</w:t>
      </w:r>
      <w:r>
        <w:rPr/>
        <w:t>、行业发展趋势 </w:t>
      </w:r>
      <w:r>
        <w:rPr>
          <w:spacing w:val="-2"/>
        </w:rPr>
        <w:t>随着政策的逐步跟进，智慧城市建设将由点及面逐步渗透，诸如智慧交通、智慧医疗、平安</w:t>
      </w:r>
    </w:p>
    <w:p>
      <w:pPr>
        <w:pStyle w:val="BodyText"/>
        <w:spacing w:line="357" w:lineRule="auto" w:before="31"/>
        <w:ind w:right="131"/>
        <w:jc w:val="both"/>
      </w:pPr>
      <w:r>
        <w:rPr>
          <w:spacing w:val="-8"/>
        </w:rPr>
        <w:t>城市、智能城管等项目不断落地，国内建设浪潮已经兴起。根据国际数据公司（</w:t>
      </w:r>
      <w:r>
        <w:rPr>
          <w:rFonts w:ascii="宋体" w:hAnsi="宋体" w:cs="宋体" w:eastAsia="宋体" w:hint="default"/>
          <w:spacing w:val="-8"/>
        </w:rPr>
        <w:t>International</w:t>
      </w:r>
      <w:r>
        <w:rPr>
          <w:rFonts w:ascii="宋体" w:hAnsi="宋体" w:cs="宋体" w:eastAsia="宋体" w:hint="default"/>
          <w:spacing w:val="-28"/>
        </w:rPr>
        <w:t> </w:t>
      </w:r>
      <w:r>
        <w:rPr>
          <w:rFonts w:ascii="宋体" w:hAnsi="宋体" w:cs="宋体" w:eastAsia="宋体" w:hint="default"/>
        </w:rPr>
        <w:t>Data</w:t>
      </w:r>
      <w:r>
        <w:rPr>
          <w:rFonts w:ascii="宋体" w:hAnsi="宋体" w:cs="宋体" w:eastAsia="宋体" w:hint="default"/>
          <w:spacing w:val="-101"/>
        </w:rPr>
        <w:t> </w:t>
      </w:r>
      <w:r>
        <w:rPr>
          <w:rFonts w:ascii="宋体" w:hAnsi="宋体" w:cs="宋体" w:eastAsia="宋体" w:hint="default"/>
          <w:spacing w:val="-101"/>
        </w:rPr>
      </w:r>
      <w:r>
        <w:rPr>
          <w:rFonts w:ascii="宋体" w:hAnsi="宋体" w:cs="宋体" w:eastAsia="宋体" w:hint="default"/>
          <w:spacing w:val="-3"/>
        </w:rPr>
        <w:t>Corporation</w:t>
      </w:r>
      <w:r>
        <w:rPr>
          <w:spacing w:val="-3"/>
        </w:rPr>
        <w:t>）预测，中国城镇化未来</w:t>
      </w:r>
      <w:r>
        <w:rPr>
          <w:spacing w:val="-52"/>
        </w:rPr>
        <w:t> </w:t>
      </w:r>
      <w:r>
        <w:rPr>
          <w:rFonts w:ascii="宋体" w:hAnsi="宋体" w:cs="宋体" w:eastAsia="宋体" w:hint="default"/>
        </w:rPr>
        <w:t>10</w:t>
      </w:r>
      <w:r>
        <w:rPr>
          <w:rFonts w:ascii="宋体" w:hAnsi="宋体" w:cs="宋体" w:eastAsia="宋体" w:hint="default"/>
          <w:spacing w:val="-52"/>
        </w:rPr>
        <w:t> </w:t>
      </w:r>
      <w:r>
        <w:rPr/>
        <w:t>年建设的总投资将超过</w:t>
      </w:r>
      <w:r>
        <w:rPr>
          <w:spacing w:val="-53"/>
        </w:rPr>
        <w:t> </w:t>
      </w:r>
      <w:r>
        <w:rPr>
          <w:rFonts w:ascii="宋体" w:hAnsi="宋体" w:cs="宋体" w:eastAsia="宋体" w:hint="default"/>
        </w:rPr>
        <w:t>40</w:t>
      </w:r>
      <w:r>
        <w:rPr>
          <w:rFonts w:ascii="宋体" w:hAnsi="宋体" w:cs="宋体" w:eastAsia="宋体" w:hint="default"/>
          <w:spacing w:val="-52"/>
        </w:rPr>
        <w:t> </w:t>
      </w:r>
      <w:r>
        <w:rPr>
          <w:spacing w:val="-3"/>
        </w:rPr>
        <w:t>万亿元人民币，与智慧城市相</w:t>
      </w:r>
      <w:r>
        <w:rPr/>
        <w:t> 关的投资达</w:t>
      </w:r>
      <w:r>
        <w:rPr>
          <w:spacing w:val="-54"/>
        </w:rPr>
        <w:t> </w:t>
      </w:r>
      <w:r>
        <w:rPr>
          <w:rFonts w:ascii="宋体" w:hAnsi="宋体" w:cs="宋体" w:eastAsia="宋体" w:hint="default"/>
        </w:rPr>
        <w:t>2</w:t>
      </w:r>
      <w:r>
        <w:rPr>
          <w:rFonts w:ascii="宋体" w:hAnsi="宋体" w:cs="宋体" w:eastAsia="宋体" w:hint="default"/>
          <w:spacing w:val="-53"/>
        </w:rPr>
        <w:t> </w:t>
      </w:r>
      <w:r>
        <w:rPr/>
        <w:t>万亿元，直接为</w:t>
      </w:r>
      <w:r>
        <w:rPr>
          <w:spacing w:val="-54"/>
        </w:rPr>
        <w:t> </w:t>
      </w:r>
      <w:r>
        <w:rPr>
          <w:rFonts w:ascii="宋体" w:hAnsi="宋体" w:cs="宋体" w:eastAsia="宋体" w:hint="default"/>
        </w:rPr>
        <w:t>IT</w:t>
      </w:r>
      <w:r>
        <w:rPr>
          <w:rFonts w:ascii="宋体" w:hAnsi="宋体" w:cs="宋体" w:eastAsia="宋体" w:hint="default"/>
          <w:spacing w:val="-53"/>
        </w:rPr>
        <w:t> </w:t>
      </w:r>
      <w:r>
        <w:rPr/>
        <w:t>市场带来的价值将超过</w:t>
      </w:r>
      <w:r>
        <w:rPr>
          <w:spacing w:val="-53"/>
        </w:rPr>
        <w:t> </w:t>
      </w:r>
      <w:r>
        <w:rPr>
          <w:rFonts w:ascii="宋体" w:hAnsi="宋体" w:cs="宋体" w:eastAsia="宋体" w:hint="default"/>
        </w:rPr>
        <w:t>1</w:t>
      </w:r>
      <w:r>
        <w:rPr>
          <w:rFonts w:ascii="宋体" w:hAnsi="宋体" w:cs="宋体" w:eastAsia="宋体" w:hint="default"/>
          <w:spacing w:val="-53"/>
        </w:rPr>
        <w:t> </w:t>
      </w:r>
      <w:r>
        <w:rPr/>
        <w:t>万亿元。</w:t>
      </w:r>
      <w:r>
        <w:rPr>
          <w:rFonts w:ascii="宋体" w:hAnsi="宋体" w:cs="宋体" w:eastAsia="宋体" w:hint="default"/>
        </w:rPr>
        <w:t>2010</w:t>
      </w:r>
      <w:r>
        <w:rPr>
          <w:rFonts w:ascii="宋体" w:hAnsi="宋体" w:cs="宋体" w:eastAsia="宋体" w:hint="default"/>
          <w:spacing w:val="-53"/>
        </w:rPr>
        <w:t> </w:t>
      </w:r>
      <w:r>
        <w:rPr/>
        <w:t>年以来全国智慧城市投 资额保持年均</w:t>
      </w:r>
      <w:r>
        <w:rPr>
          <w:spacing w:val="-88"/>
        </w:rPr>
        <w:t> </w:t>
      </w:r>
      <w:r>
        <w:rPr>
          <w:rFonts w:ascii="宋体" w:hAnsi="宋体" w:cs="宋体" w:eastAsia="宋体" w:hint="default"/>
        </w:rPr>
        <w:t>14.81%</w:t>
      </w:r>
      <w:r>
        <w:rPr/>
        <w:t>的复合增长率。前期市场主要处于试点以及咨询规划论证阶段，预计行业将 继续保持快速增长的趋势。</w:t>
      </w:r>
    </w:p>
    <w:p>
      <w:pPr>
        <w:pStyle w:val="BodyText"/>
        <w:spacing w:line="240" w:lineRule="auto" w:before="61"/>
        <w:ind w:left="2979" w:right="135"/>
        <w:jc w:val="left"/>
        <w:rPr>
          <w:rFonts w:ascii="宋体" w:hAnsi="宋体" w:cs="宋体" w:eastAsia="宋体" w:hint="default"/>
        </w:rPr>
      </w:pPr>
      <w:r>
        <w:rPr>
          <w:rFonts w:ascii="宋体" w:hAnsi="宋体" w:cs="宋体" w:eastAsia="宋体" w:hint="default"/>
        </w:rPr>
        <w:t>中国智慧城市投资规模及同比增速</w:t>
      </w:r>
    </w:p>
    <w:p>
      <w:pPr>
        <w:spacing w:line="240" w:lineRule="auto" w:before="10"/>
        <w:rPr>
          <w:rFonts w:ascii="宋体" w:hAnsi="宋体" w:cs="宋体" w:eastAsia="宋体" w:hint="default"/>
          <w:sz w:val="2"/>
          <w:szCs w:val="2"/>
        </w:rPr>
      </w:pPr>
    </w:p>
    <w:p>
      <w:pPr>
        <w:spacing w:line="3909" w:lineRule="exact"/>
        <w:ind w:left="863"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648155" cy="248231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0" cstate="print"/>
                    <a:stretch>
                      <a:fillRect/>
                    </a:stretch>
                  </pic:blipFill>
                  <pic:spPr>
                    <a:xfrm>
                      <a:off x="0" y="0"/>
                      <a:ext cx="4648155" cy="2482310"/>
                    </a:xfrm>
                    <a:prstGeom prst="rect">
                      <a:avLst/>
                    </a:prstGeom>
                  </pic:spPr>
                </pic:pic>
              </a:graphicData>
            </a:graphic>
          </wp:inline>
        </w:drawing>
      </w:r>
      <w:r>
        <w:rPr>
          <w:rFonts w:ascii="宋体" w:hAnsi="宋体" w:cs="宋体" w:eastAsia="宋体" w:hint="default"/>
          <w:position w:val="-77"/>
          <w:sz w:val="20"/>
          <w:szCs w:val="20"/>
        </w:rPr>
      </w:r>
    </w:p>
    <w:p>
      <w:pPr>
        <w:spacing w:after="0" w:line="3909" w:lineRule="exact"/>
        <w:rPr>
          <w:rFonts w:ascii="宋体" w:hAnsi="宋体" w:cs="宋体" w:eastAsia="宋体" w:hint="default"/>
          <w:sz w:val="20"/>
          <w:szCs w:val="20"/>
        </w:rPr>
        <w:sectPr>
          <w:pgSz w:w="11910" w:h="16840"/>
          <w:pgMar w:header="0"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5" w:lineRule="auto" w:before="35"/>
        <w:ind w:left="620" w:right="101" w:hanging="63"/>
        <w:jc w:val="left"/>
      </w:pPr>
      <w:r>
        <w:rPr/>
        <w:t>（</w:t>
      </w:r>
      <w:r>
        <w:rPr>
          <w:rFonts w:ascii="宋体" w:hAnsi="宋体" w:cs="宋体" w:eastAsia="宋体" w:hint="default"/>
        </w:rPr>
        <w:t>1</w:t>
      </w:r>
      <w:r>
        <w:rPr/>
        <w:t>）技术特征 </w:t>
      </w:r>
      <w:r>
        <w:rPr>
          <w:spacing w:val="-2"/>
        </w:rPr>
        <w:t>总体来看，智慧城市建设是一项庞大、长久的系统工程，具有跨部门、跨行业、跨平台等特</w:t>
      </w:r>
    </w:p>
    <w:p>
      <w:pPr>
        <w:pStyle w:val="BodyText"/>
        <w:spacing w:line="357" w:lineRule="auto" w:before="33"/>
        <w:ind w:right="226"/>
        <w:jc w:val="both"/>
      </w:pPr>
      <w:r>
        <w:rPr/>
        <w:t>点。项目具体实施建设没有特定模式可依，没有特定规律可循，没有现成的经验可以借鉴，同时 又需要形成能适合系统长期有效发展的运营模式，以保证系统的稳定性和效果。以信息技术为切 入点，在移动技术等技术创新的推动下，智慧城市体现出物联化、互联化和智能化的特征。</w:t>
      </w:r>
    </w:p>
    <w:p>
      <w:pPr>
        <w:pStyle w:val="BodyText"/>
        <w:spacing w:line="355" w:lineRule="auto" w:before="30"/>
        <w:ind w:left="620" w:right="100" w:hanging="63"/>
        <w:jc w:val="left"/>
      </w:pPr>
      <w:r>
        <w:rPr/>
        <w:t>（</w:t>
      </w:r>
      <w:r>
        <w:rPr>
          <w:rFonts w:ascii="宋体" w:hAnsi="宋体" w:cs="宋体" w:eastAsia="宋体" w:hint="default"/>
        </w:rPr>
        <w:t>2</w:t>
      </w:r>
      <w:r>
        <w:rPr/>
        <w:t>）经营模式特点 </w:t>
      </w:r>
      <w:r>
        <w:rPr>
          <w:spacing w:val="-4"/>
        </w:rPr>
        <w:t>全世界范围来看，因智慧城市建设主要以政府为主导，因此呈现出以下几种典型的经营模式：</w:t>
      </w:r>
    </w:p>
    <w:p>
      <w:pPr>
        <w:pStyle w:val="BodyText"/>
        <w:spacing w:line="240" w:lineRule="auto" w:before="33"/>
        <w:ind w:left="620" w:right="2938"/>
        <w:jc w:val="left"/>
      </w:pPr>
      <w:r>
        <w:rPr/>
        <w:t>①</w:t>
      </w:r>
      <w:r>
        <w:rPr>
          <w:spacing w:val="45"/>
        </w:rPr>
        <w:t> </w:t>
      </w:r>
      <w:r>
        <w:rPr/>
        <w:t>政府自身投资建设与运营。</w:t>
      </w:r>
    </w:p>
    <w:p>
      <w:pPr>
        <w:pStyle w:val="BodyText"/>
        <w:spacing w:line="240" w:lineRule="auto" w:before="133"/>
        <w:ind w:left="620" w:right="2938"/>
        <w:jc w:val="left"/>
      </w:pPr>
      <w:r>
        <w:rPr/>
        <w:t>②</w:t>
      </w:r>
      <w:r>
        <w:rPr>
          <w:spacing w:val="45"/>
        </w:rPr>
        <w:t> </w:t>
      </w:r>
      <w:r>
        <w:rPr/>
        <w:t>政府投资建设，委托第三方运营。</w:t>
      </w:r>
    </w:p>
    <w:p>
      <w:pPr>
        <w:pStyle w:val="BodyText"/>
        <w:spacing w:line="355" w:lineRule="auto" w:before="134"/>
        <w:ind w:left="620" w:right="101"/>
        <w:jc w:val="left"/>
      </w:pPr>
      <w:r>
        <w:rPr/>
        <w:t>③ 政府主导，</w:t>
      </w:r>
      <w:r>
        <w:rPr>
          <w:rFonts w:ascii="宋体" w:hAnsi="宋体" w:cs="宋体" w:eastAsia="宋体" w:hint="default"/>
        </w:rPr>
        <w:t>BT/BOT/BLT/EPC/PPP</w:t>
      </w:r>
      <w:r>
        <w:rPr>
          <w:rFonts w:ascii="宋体" w:hAnsi="宋体" w:cs="宋体" w:eastAsia="宋体" w:hint="default"/>
          <w:spacing w:val="-7"/>
        </w:rPr>
        <w:t> </w:t>
      </w:r>
      <w:r>
        <w:rPr/>
        <w:t>等模式。 </w:t>
      </w:r>
      <w:r>
        <w:rPr>
          <w:spacing w:val="-2"/>
        </w:rPr>
        <w:t>由于智慧城市建设的公共属性较强，政府对于项目所有权较为看重，国内投资通常呈现为政</w:t>
      </w:r>
    </w:p>
    <w:p>
      <w:pPr>
        <w:pStyle w:val="BodyText"/>
        <w:spacing w:line="355" w:lineRule="auto" w:before="33"/>
        <w:ind w:right="212"/>
        <w:jc w:val="both"/>
      </w:pPr>
      <w:r>
        <w:rPr/>
        <w:t>府直接投资且运营（</w:t>
      </w:r>
      <w:r>
        <w:rPr>
          <w:rFonts w:ascii="宋体" w:hAnsi="宋体" w:cs="宋体" w:eastAsia="宋体" w:hint="default"/>
        </w:rPr>
        <w:t>BT</w:t>
      </w:r>
      <w:r>
        <w:rPr>
          <w:rFonts w:ascii="宋体" w:hAnsi="宋体" w:cs="宋体" w:eastAsia="宋体" w:hint="default"/>
          <w:spacing w:val="-54"/>
        </w:rPr>
        <w:t> </w:t>
      </w:r>
      <w:r>
        <w:rPr/>
        <w:t>或者直接支付），或者政府投资运营商进行建设运营（</w:t>
      </w:r>
      <w:r>
        <w:rPr>
          <w:rFonts w:ascii="宋体" w:hAnsi="宋体" w:cs="宋体" w:eastAsia="宋体" w:hint="default"/>
        </w:rPr>
        <w:t>BOT</w:t>
      </w:r>
      <w:r>
        <w:rPr/>
        <w:t>）及其衍生的 </w:t>
      </w:r>
      <w:r>
        <w:rPr>
          <w:spacing w:val="-2"/>
        </w:rPr>
        <w:t>商业模式。由于支付方为政府，</w:t>
      </w:r>
      <w:r>
        <w:rPr>
          <w:rFonts w:ascii="宋体" w:hAnsi="宋体" w:cs="宋体" w:eastAsia="宋体" w:hint="default"/>
          <w:spacing w:val="-2"/>
        </w:rPr>
        <w:t>BT</w:t>
      </w:r>
      <w:r>
        <w:rPr>
          <w:rFonts w:ascii="宋体" w:hAnsi="宋体" w:cs="宋体" w:eastAsia="宋体" w:hint="default"/>
          <w:spacing w:val="-36"/>
        </w:rPr>
        <w:t> </w:t>
      </w:r>
      <w:r>
        <w:rPr>
          <w:spacing w:val="-1"/>
        </w:rPr>
        <w:t>等相关模式一般情况下都能够顺利实现回款，但是账期长短不</w:t>
      </w:r>
    </w:p>
    <w:p>
      <w:pPr>
        <w:pStyle w:val="BodyText"/>
        <w:spacing w:line="357" w:lineRule="auto" w:before="32"/>
        <w:ind w:right="101"/>
        <w:jc w:val="left"/>
      </w:pPr>
      <w:r>
        <w:rPr/>
        <w:t>一，从而导致企业背负一定资金成本。但从企业经营角度分析，</w:t>
      </w:r>
      <w:r>
        <w:rPr>
          <w:rFonts w:ascii="宋体" w:hAnsi="宋体" w:cs="宋体" w:eastAsia="宋体" w:hint="default"/>
        </w:rPr>
        <w:t>BT</w:t>
      </w:r>
      <w:r>
        <w:rPr>
          <w:rFonts w:ascii="宋体" w:hAnsi="宋体" w:cs="宋体" w:eastAsia="宋体" w:hint="default"/>
          <w:spacing w:val="-12"/>
        </w:rPr>
        <w:t> </w:t>
      </w:r>
      <w:r>
        <w:rPr/>
        <w:t>模式并非每个企业都可承担，</w:t>
      </w:r>
      <w:r>
        <w:rPr>
          <w:spacing w:val="-94"/>
        </w:rPr>
        <w:t> </w:t>
      </w:r>
      <w:r>
        <w:rPr>
          <w:spacing w:val="-94"/>
        </w:rPr>
      </w:r>
      <w:r>
        <w:rPr/>
        <w:t>是具备持续融资渠道及项目资源的企业扩大市场份额、提高收入增速的重要途径。</w:t>
      </w:r>
    </w:p>
    <w:p>
      <w:pPr>
        <w:pStyle w:val="BodyText"/>
        <w:spacing w:line="357" w:lineRule="auto" w:before="30"/>
        <w:ind w:left="620" w:right="101" w:hanging="63"/>
        <w:jc w:val="left"/>
      </w:pPr>
      <w:r>
        <w:rPr/>
        <w:t>（</w:t>
      </w:r>
      <w:r>
        <w:rPr>
          <w:rFonts w:ascii="宋体" w:hAnsi="宋体" w:cs="宋体" w:eastAsia="宋体" w:hint="default"/>
        </w:rPr>
        <w:t>3</w:t>
      </w:r>
      <w:r>
        <w:rPr/>
        <w:t>）行业的周期性、区域性和季节性特征 </w:t>
      </w:r>
      <w:r>
        <w:rPr>
          <w:spacing w:val="-2"/>
        </w:rPr>
        <w:t>智慧城市建设属于新型城市化建设的一部分，其周期主要受宏观经济周期影响，与国家政策</w:t>
      </w:r>
    </w:p>
    <w:p>
      <w:pPr>
        <w:pStyle w:val="BodyText"/>
        <w:spacing w:line="357" w:lineRule="auto" w:before="30"/>
        <w:ind w:right="214"/>
        <w:jc w:val="both"/>
      </w:pPr>
      <w:r>
        <w:rPr>
          <w:spacing w:val="-4"/>
        </w:rPr>
        <w:t>紧密相关。在区域方面，智慧城市经历了</w:t>
      </w:r>
      <w:r>
        <w:rPr>
          <w:spacing w:val="-63"/>
        </w:rPr>
        <w:t> </w:t>
      </w:r>
      <w:r>
        <w:rPr>
          <w:rFonts w:ascii="宋体" w:hAnsi="宋体" w:cs="宋体" w:eastAsia="宋体" w:hint="default"/>
        </w:rPr>
        <w:t>2013</w:t>
      </w:r>
      <w:r>
        <w:rPr>
          <w:rFonts w:ascii="宋体" w:hAnsi="宋体" w:cs="宋体" w:eastAsia="宋体" w:hint="default"/>
          <w:spacing w:val="-65"/>
        </w:rPr>
        <w:t> </w:t>
      </w:r>
      <w:r>
        <w:rPr/>
        <w:t>年的试点报批高峰期，试点城市一般为二三线中小 城市或大城市的周边区域，全国均有分布。由于智慧城市建设一般面向各级政府部门，其季节性 会受到政府招标或采购程序影响。</w:t>
      </w:r>
    </w:p>
    <w:p>
      <w:pPr>
        <w:spacing w:line="266" w:lineRule="auto" w:before="149"/>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公司发展战略</w:t>
      </w:r>
      <w:r>
        <w:rPr>
          <w:rFonts w:ascii="宋体" w:hAnsi="宋体" w:cs="宋体" w:eastAsia="宋体" w:hint="default"/>
          <w:b/>
          <w:bCs/>
          <w:w w:val="99"/>
          <w:sz w:val="21"/>
          <w:szCs w:val="21"/>
        </w:rPr>
        <w:t> </w:t>
      </w:r>
      <w:r>
        <w:rPr>
          <w:rFonts w:ascii="宋体" w:hAnsi="宋体" w:cs="宋体" w:eastAsia="宋体" w:hint="default"/>
          <w:sz w:val="21"/>
          <w:szCs w:val="21"/>
        </w:rPr>
        <w:t>公司根据智慧城市业务的经营现状和发展方向，并结合行业特点和经营情况，拟实施以上市</w:t>
      </w:r>
    </w:p>
    <w:p>
      <w:pPr>
        <w:pStyle w:val="BodyText"/>
        <w:spacing w:line="355" w:lineRule="auto" w:before="111"/>
        <w:ind w:right="227"/>
        <w:jc w:val="both"/>
      </w:pPr>
      <w:r>
        <w:rPr/>
        <w:t>公司为平台，以已签署的智慧城市项目为切入，在全国大力拓展智慧城市业务，成为智慧城市领 域一体化服务商的战略。</w:t>
      </w:r>
    </w:p>
    <w:p>
      <w:pPr>
        <w:pStyle w:val="BodyText"/>
        <w:spacing w:line="357" w:lineRule="auto" w:before="33"/>
        <w:ind w:right="211" w:firstLine="420"/>
        <w:jc w:val="both"/>
      </w:pPr>
      <w:r>
        <w:rPr/>
        <w:t>具体来说，就是充分利用公司未来实际控制人顾国平先生及公司研发运营中心的核心团队在 </w:t>
      </w:r>
      <w:r>
        <w:rPr>
          <w:rFonts w:ascii="宋体" w:hAnsi="宋体" w:cs="宋体" w:eastAsia="宋体" w:hint="default"/>
        </w:rPr>
        <w:t>IT</w:t>
      </w:r>
      <w:r>
        <w:rPr>
          <w:rFonts w:ascii="宋体" w:hAnsi="宋体" w:cs="宋体" w:eastAsia="宋体" w:hint="default"/>
          <w:spacing w:val="-88"/>
        </w:rPr>
        <w:t> </w:t>
      </w:r>
      <w:r>
        <w:rPr/>
        <w:t>行业的专业经验及专业优势，积极推进已签署的智慧城市框架协议的落地实施，投入研发与运 营中心项目。随着已签署智慧城市项目相关业务的开展，在做大做强地域性市场的同时，向其他 城市扩展，丰富行业解决方案，拓展公司产品的区域以及行业布局。</w:t>
      </w:r>
    </w:p>
    <w:p>
      <w:pPr>
        <w:pStyle w:val="Heading3"/>
        <w:spacing w:line="240" w:lineRule="auto" w:before="149"/>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42"/>
        </w:rPr>
        <w:t> </w:t>
      </w:r>
      <w:r>
        <w:rPr/>
        <w:t>经营计划</w:t>
      </w:r>
      <w:r>
        <w:rPr>
          <w:b w:val="0"/>
          <w:bCs w:val="0"/>
        </w:rPr>
      </w:r>
    </w:p>
    <w:p>
      <w:pPr>
        <w:pStyle w:val="BodyText"/>
        <w:spacing w:line="357" w:lineRule="auto" w:before="92"/>
        <w:ind w:right="212" w:firstLine="465"/>
        <w:jc w:val="both"/>
      </w:pPr>
      <w:r>
        <w:rPr>
          <w:spacing w:val="-1"/>
        </w:rPr>
        <w:t>公司正积极组建开展运营研发团队及平台搭建。首先将依照项目规划投入研发与运营中心的</w:t>
      </w:r>
      <w:r>
        <w:rPr/>
        <w:t> 平台建设，以此为基础拓展智慧城市业务，并逐步实现项目的实施落地。随着业务开展的深入， 公司将以南宁的团队为核心，利用研发与运营平台搭建在</w:t>
      </w:r>
      <w:r>
        <w:rPr>
          <w:spacing w:val="-53"/>
        </w:rPr>
        <w:t> </w:t>
      </w:r>
      <w:r>
        <w:rPr>
          <w:rFonts w:ascii="宋体" w:hAnsi="宋体" w:cs="宋体" w:eastAsia="宋体" w:hint="default"/>
        </w:rPr>
        <w:t>ICT</w:t>
      </w:r>
      <w:r>
        <w:rPr>
          <w:rFonts w:ascii="宋体" w:hAnsi="宋体" w:cs="宋体" w:eastAsia="宋体" w:hint="default"/>
          <w:spacing w:val="-53"/>
        </w:rPr>
        <w:t> </w:t>
      </w:r>
      <w:r>
        <w:rPr/>
        <w:t>集成平台框架、智慧城市决策支持 与服务系统以及智慧城市集中运营控制中心等三个方面形成的技术成果，进一步拓展细分业务单</w:t>
      </w:r>
    </w:p>
    <w:p>
      <w:pPr>
        <w:spacing w:after="0" w:line="357" w:lineRule="auto"/>
        <w:jc w:val="both"/>
        <w:sectPr>
          <w:pgSz w:w="11910" w:h="16840"/>
          <w:pgMar w:header="0" w:footer="1194" w:top="1120" w:bottom="1380" w:left="1660" w:right="1060"/>
        </w:sectPr>
      </w:pPr>
    </w:p>
    <w:p>
      <w:pPr>
        <w:spacing w:line="240" w:lineRule="auto" w:before="6"/>
        <w:rPr>
          <w:rFonts w:ascii="宋体" w:hAnsi="宋体" w:cs="宋体" w:eastAsia="宋体" w:hint="default"/>
          <w:sz w:val="25"/>
          <w:szCs w:val="25"/>
        </w:rPr>
      </w:pPr>
    </w:p>
    <w:p>
      <w:pPr>
        <w:pStyle w:val="BodyText"/>
        <w:spacing w:line="355" w:lineRule="auto" w:before="35"/>
        <w:ind w:right="146"/>
        <w:jc w:val="both"/>
      </w:pPr>
      <w:r>
        <w:rPr/>
        <w:t>元，提升附加价值。公司还将借助上市公司平台和知名度，将智慧城市业务做大做强，扩展推广 至全国区域，全面转型成为智慧城市的承包、建设、运营商。</w:t>
      </w:r>
    </w:p>
    <w:p>
      <w:pPr>
        <w:pStyle w:val="BodyText"/>
        <w:spacing w:line="357" w:lineRule="auto" w:before="33"/>
        <w:ind w:left="558" w:right="128"/>
        <w:jc w:val="left"/>
      </w:pPr>
      <w:r>
        <w:rPr>
          <w:rFonts w:ascii="宋体" w:hAnsi="宋体" w:cs="宋体" w:eastAsia="宋体" w:hint="default"/>
        </w:rPr>
        <w:t>1</w:t>
      </w:r>
      <w:r>
        <w:rPr/>
        <w:t>、市场开发计划 目前，公司主要依托上市公司资源，发挥区域优势，大力发展智慧城市业务。未来两年，公</w:t>
      </w:r>
    </w:p>
    <w:p>
      <w:pPr>
        <w:pStyle w:val="BodyText"/>
        <w:spacing w:line="355" w:lineRule="auto" w:before="31"/>
        <w:ind w:right="146"/>
        <w:jc w:val="both"/>
      </w:pPr>
      <w:r>
        <w:rPr/>
        <w:t>司将在智慧城市项目实施落地的基础上，积极寻求与其他地区合作，签订智慧城市发展建设的战 略合作协议，积极拓展市场规模。</w:t>
      </w:r>
    </w:p>
    <w:p>
      <w:pPr>
        <w:pStyle w:val="BodyText"/>
        <w:spacing w:line="357" w:lineRule="auto" w:before="32"/>
        <w:ind w:left="558" w:right="128"/>
        <w:jc w:val="left"/>
      </w:pPr>
      <w:r>
        <w:rPr>
          <w:rFonts w:ascii="宋体" w:hAnsi="宋体" w:cs="宋体" w:eastAsia="宋体" w:hint="default"/>
        </w:rPr>
        <w:t>2</w:t>
      </w:r>
      <w:r>
        <w:rPr/>
        <w:t>、技术开发与创新计划 智慧城市研发与运营中心项目将以公司全资子公司智诚合讯为主体实施，项目方案已在南宁</w:t>
      </w:r>
    </w:p>
    <w:p>
      <w:pPr>
        <w:pStyle w:val="BodyText"/>
        <w:spacing w:line="357" w:lineRule="auto" w:before="30"/>
        <w:ind w:right="144"/>
        <w:jc w:val="both"/>
      </w:pPr>
      <w:r>
        <w:rPr/>
        <w:t>市青秀区经信局备案。研发与运营中心将作为公司智慧城市业务开展的基础，提供全方位的技术 支持服务，涵盖智慧城市业务的核心技术、运营团队，初步规划的主要技术研究方向包括</w:t>
      </w:r>
      <w:r>
        <w:rPr>
          <w:spacing w:val="-52"/>
        </w:rPr>
        <w:t> </w:t>
      </w:r>
      <w:r>
        <w:rPr>
          <w:rFonts w:ascii="宋体" w:hAnsi="宋体" w:cs="宋体" w:eastAsia="宋体" w:hint="default"/>
        </w:rPr>
        <w:t>ICT</w:t>
      </w:r>
      <w:r>
        <w:rPr>
          <w:rFonts w:ascii="宋体" w:hAnsi="宋体" w:cs="宋体" w:eastAsia="宋体" w:hint="default"/>
          <w:spacing w:val="-52"/>
        </w:rPr>
        <w:t> </w:t>
      </w:r>
      <w:r>
        <w:rPr/>
        <w:t>集 成平台框架、智慧城市决策支持与服务系统以及智慧城市集中运营控制中心。</w:t>
      </w:r>
    </w:p>
    <w:p>
      <w:pPr>
        <w:pStyle w:val="BodyText"/>
        <w:spacing w:line="355" w:lineRule="auto" w:before="31"/>
        <w:ind w:left="558" w:right="123"/>
        <w:jc w:val="left"/>
      </w:pPr>
      <w:r>
        <w:rPr>
          <w:rFonts w:ascii="宋体" w:hAnsi="宋体" w:cs="宋体" w:eastAsia="宋体" w:hint="default"/>
        </w:rPr>
        <w:t>3</w:t>
      </w:r>
      <w:r>
        <w:rPr/>
        <w:t>、人力资源开发计划 </w:t>
      </w:r>
      <w:r>
        <w:rPr>
          <w:spacing w:val="-5"/>
        </w:rPr>
        <w:t>报告期内，公司已完成子公司智诚合讯的设立与增资，今后将进一步开展人才团队招募计划，</w:t>
      </w:r>
    </w:p>
    <w:p>
      <w:pPr>
        <w:pStyle w:val="BodyText"/>
        <w:spacing w:line="357" w:lineRule="auto" w:before="32"/>
        <w:ind w:right="132"/>
        <w:jc w:val="both"/>
      </w:pPr>
      <w:r>
        <w:rPr/>
        <w:t>依照目前研发与运营中心项目测算，公司拟在两年内扩展至约</w:t>
      </w:r>
      <w:r>
        <w:rPr>
          <w:spacing w:val="-54"/>
        </w:rPr>
        <w:t> </w:t>
      </w:r>
      <w:r>
        <w:rPr>
          <w:rFonts w:ascii="宋体" w:hAnsi="宋体" w:cs="宋体" w:eastAsia="宋体" w:hint="default"/>
        </w:rPr>
        <w:t>200</w:t>
      </w:r>
      <w:r>
        <w:rPr>
          <w:rFonts w:ascii="宋体" w:hAnsi="宋体" w:cs="宋体" w:eastAsia="宋体" w:hint="default"/>
          <w:spacing w:val="-53"/>
        </w:rPr>
        <w:t> </w:t>
      </w:r>
      <w:r>
        <w:rPr/>
        <w:t>人的团队，其中包括：运营、 </w:t>
      </w:r>
      <w:r>
        <w:rPr>
          <w:spacing w:val="-5"/>
        </w:rPr>
        <w:t>人事、行政等后台运营人员以及售前、研发、安全方案架构师、解决方案咨询师以及研发工程师、</w:t>
      </w:r>
      <w:r>
        <w:rPr>
          <w:spacing w:val="-90"/>
        </w:rPr>
        <w:t> </w:t>
      </w:r>
      <w:r>
        <w:rPr>
          <w:spacing w:val="-90"/>
        </w:rPr>
      </w:r>
      <w:r>
        <w:rPr/>
        <w:t>融资租赁咨询师等技术研发及实施咨询人员。此外，公司还将根据业务发展需要，进一步建立与 院校、研究所的技术合作，形成有效的产学研合作机制。</w:t>
      </w:r>
    </w:p>
    <w:p>
      <w:pPr>
        <w:pStyle w:val="BodyText"/>
        <w:spacing w:line="357" w:lineRule="auto" w:before="30"/>
        <w:ind w:left="558" w:right="128"/>
        <w:jc w:val="left"/>
      </w:pPr>
      <w:r>
        <w:rPr>
          <w:rFonts w:ascii="宋体" w:hAnsi="宋体" w:cs="宋体" w:eastAsia="宋体" w:hint="default"/>
        </w:rPr>
        <w:t>4</w:t>
      </w:r>
      <w:r>
        <w:rPr/>
        <w:t>、筹资计划 公司正处于转型及快速发展时期，对资金的需求量较大，而资金是制约智慧城市业务发展的</w:t>
      </w:r>
    </w:p>
    <w:p>
      <w:pPr>
        <w:pStyle w:val="BodyText"/>
        <w:spacing w:line="357" w:lineRule="auto" w:before="30"/>
        <w:ind w:right="145"/>
        <w:jc w:val="both"/>
      </w:pPr>
      <w:r>
        <w:rPr/>
        <w:t>主要瓶颈。融资渠道的拓展不仅需要考量公司发展对资金的需求，而且要权衡各种融资渠道的融 资规模、资金成本、便利性等因素。公司仍将以上市公司主体为平台，总体协调资金运用，结合 各地区战略合作协议推进情况，投入智慧城市建设，提高资金使用效率。</w:t>
      </w:r>
    </w:p>
    <w:p>
      <w:pPr>
        <w:pStyle w:val="BodyText"/>
        <w:spacing w:line="357" w:lineRule="auto" w:before="30"/>
        <w:ind w:right="146" w:firstLine="420"/>
        <w:jc w:val="both"/>
      </w:pPr>
      <w:r>
        <w:rPr/>
        <w:t>公司未来将进一步加强管理，提高利润水平，以优良的业绩、持续的增长、丰厚的回报给广 大投资者以信心，并根据未来业务发展需要，综合考虑公司资本结构、盈利能力、资本市场环境 等因素，选择合适的融资方式，优化公司资产结构，保证公司持续、健康、稳定发展。</w:t>
      </w:r>
    </w:p>
    <w:p>
      <w:pPr>
        <w:spacing w:line="312" w:lineRule="auto" w:before="15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因维持当前业务并完成在建投资项目公司所需的资金需求</w:t>
      </w:r>
      <w:r>
        <w:rPr>
          <w:rFonts w:ascii="宋体" w:hAnsi="宋体" w:cs="宋体" w:eastAsia="宋体" w:hint="default"/>
          <w:b/>
          <w:bCs/>
          <w:w w:val="99"/>
          <w:sz w:val="21"/>
          <w:szCs w:val="21"/>
        </w:rPr>
        <w:t> </w:t>
      </w:r>
      <w:r>
        <w:rPr>
          <w:rFonts w:ascii="宋体" w:hAnsi="宋体" w:cs="宋体" w:eastAsia="宋体" w:hint="default"/>
          <w:sz w:val="21"/>
          <w:szCs w:val="21"/>
        </w:rPr>
        <w:t>智慧城市业务属于技术、资金密集型业务，主要面向各级政府部门，而行业中的主要模式以</w:t>
      </w:r>
    </w:p>
    <w:p>
      <w:pPr>
        <w:pStyle w:val="BodyText"/>
        <w:spacing w:line="355" w:lineRule="auto" w:before="70"/>
        <w:ind w:right="146"/>
        <w:jc w:val="both"/>
      </w:pPr>
      <w:r>
        <w:rPr/>
        <w:t>建设</w:t>
      </w:r>
      <w:r>
        <w:rPr>
          <w:rFonts w:ascii="宋体" w:hAnsi="宋体" w:cs="宋体" w:eastAsia="宋体" w:hint="default"/>
        </w:rPr>
        <w:t>-</w:t>
      </w:r>
      <w:r>
        <w:rPr/>
        <w:t>交付的</w:t>
      </w:r>
      <w:r>
        <w:rPr>
          <w:spacing w:val="-55"/>
        </w:rPr>
        <w:t> </w:t>
      </w:r>
      <w:r>
        <w:rPr>
          <w:rFonts w:ascii="宋体" w:hAnsi="宋体" w:cs="宋体" w:eastAsia="宋体" w:hint="default"/>
        </w:rPr>
        <w:t>BT</w:t>
      </w:r>
      <w:r>
        <w:rPr>
          <w:rFonts w:ascii="宋体" w:hAnsi="宋体" w:cs="宋体" w:eastAsia="宋体" w:hint="default"/>
          <w:spacing w:val="-53"/>
        </w:rPr>
        <w:t> </w:t>
      </w:r>
      <w:r>
        <w:rPr/>
        <w:t>及相关衍生模式为主，在建设前期需要承建方提前投入资金。此外，智慧城市业 务以城市为单元，整体规模较大，周期较长，整体规划一般在</w:t>
      </w:r>
      <w:r>
        <w:rPr>
          <w:spacing w:val="-53"/>
        </w:rPr>
        <w:t> </w:t>
      </w:r>
      <w:r>
        <w:rPr>
          <w:rFonts w:ascii="宋体" w:hAnsi="宋体" w:cs="宋体" w:eastAsia="宋体" w:hint="default"/>
        </w:rPr>
        <w:t>5</w:t>
      </w:r>
      <w:r>
        <w:rPr>
          <w:rFonts w:ascii="宋体" w:hAnsi="宋体" w:cs="宋体" w:eastAsia="宋体" w:hint="default"/>
          <w:spacing w:val="-53"/>
        </w:rPr>
        <w:t> </w:t>
      </w:r>
      <w:r>
        <w:rPr/>
        <w:t>年以上，具体项目从落地到完成</w:t>
      </w:r>
    </w:p>
    <w:p>
      <w:pPr>
        <w:pStyle w:val="BodyText"/>
        <w:spacing w:line="357" w:lineRule="auto" w:before="33"/>
        <w:ind w:right="145"/>
        <w:jc w:val="both"/>
      </w:pPr>
      <w:r>
        <w:rPr/>
        <w:t>交付以</w:t>
      </w:r>
      <w:r>
        <w:rPr>
          <w:spacing w:val="-54"/>
        </w:rPr>
        <w:t> </w:t>
      </w:r>
      <w:r>
        <w:rPr>
          <w:rFonts w:ascii="宋体" w:hAnsi="宋体" w:cs="宋体" w:eastAsia="宋体" w:hint="default"/>
        </w:rPr>
        <w:t>1-2</w:t>
      </w:r>
      <w:r>
        <w:rPr>
          <w:rFonts w:ascii="宋体" w:hAnsi="宋体" w:cs="宋体" w:eastAsia="宋体" w:hint="default"/>
          <w:spacing w:val="-54"/>
        </w:rPr>
        <w:t> </w:t>
      </w:r>
      <w:r>
        <w:rPr/>
        <w:t>年居多。因此，需要承建方具备较强的资金实力及资金运转能力。公司目前将以自筹 资金先行投入发展智慧城市业务；若本次非公开发行成功，非公开发行募集资金总额扣除发行费 用后投入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万元用于智慧城市研发与运营中心项目，剩余资金将全部用于补充智慧城市 业务的营运资金，开展智慧城市业务，支持公司战略转型；若本次非公开发行未能成功，公司也</w:t>
      </w:r>
    </w:p>
    <w:p>
      <w:pPr>
        <w:pStyle w:val="BodyText"/>
        <w:spacing w:line="240" w:lineRule="auto" w:before="31"/>
        <w:ind w:right="0"/>
        <w:jc w:val="both"/>
      </w:pPr>
      <w:r>
        <w:rPr/>
        <w:t>将通过贷款、股东借款等可行的融资方式解决项目资金需求。</w:t>
      </w:r>
    </w:p>
    <w:p>
      <w:pPr>
        <w:spacing w:after="0" w:line="240" w:lineRule="auto"/>
        <w:jc w:val="both"/>
        <w:sectPr>
          <w:pgSz w:w="11910" w:h="16840"/>
          <w:pgMar w:header="0" w:footer="1194" w:top="1120" w:bottom="1380" w:left="1660" w:right="1140"/>
        </w:sectPr>
      </w:pPr>
    </w:p>
    <w:p>
      <w:pPr>
        <w:spacing w:line="240" w:lineRule="auto" w:before="4"/>
        <w:rPr>
          <w:rFonts w:ascii="宋体" w:hAnsi="宋体" w:cs="宋体" w:eastAsia="宋体" w:hint="default"/>
          <w:sz w:val="25"/>
          <w:szCs w:val="25"/>
        </w:rPr>
      </w:pPr>
    </w:p>
    <w:p>
      <w:pPr>
        <w:spacing w:line="333" w:lineRule="auto" w:before="35"/>
        <w:ind w:left="558" w:right="293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五</w:t>
      </w:r>
      <w:r>
        <w:rPr>
          <w:rFonts w:ascii="Calibri" w:hAnsi="Calibri" w:cs="Calibri" w:eastAsia="Calibri" w:hint="default"/>
          <w:b/>
          <w:bCs/>
          <w:sz w:val="21"/>
          <w:szCs w:val="21"/>
        </w:rPr>
        <w:t>)</w:t>
      </w:r>
      <w:r>
        <w:rPr>
          <w:rFonts w:ascii="Calibri" w:hAnsi="Calibri" w:cs="Calibri" w:eastAsia="Calibri" w:hint="default"/>
          <w:b/>
          <w:bCs/>
          <w:spacing w:val="41"/>
          <w:sz w:val="21"/>
          <w:szCs w:val="21"/>
        </w:rPr>
        <w:t> </w:t>
      </w:r>
      <w:r>
        <w:rPr>
          <w:rFonts w:ascii="宋体" w:hAnsi="宋体" w:cs="宋体" w:eastAsia="宋体" w:hint="default"/>
          <w:b/>
          <w:bCs/>
          <w:sz w:val="21"/>
          <w:szCs w:val="21"/>
        </w:rPr>
        <w:t>可能面对的风险</w:t>
      </w:r>
      <w:r>
        <w:rPr>
          <w:rFonts w:ascii="宋体" w:hAnsi="宋体" w:cs="宋体" w:eastAsia="宋体" w:hint="default"/>
          <w:b/>
          <w:bCs/>
          <w:w w:val="99"/>
          <w:sz w:val="21"/>
          <w:szCs w:val="21"/>
        </w:rPr>
        <w:t> </w:t>
      </w:r>
      <w:r>
        <w:rPr>
          <w:rFonts w:ascii="宋体" w:hAnsi="宋体" w:cs="宋体" w:eastAsia="宋体" w:hint="default"/>
          <w:sz w:val="21"/>
          <w:szCs w:val="21"/>
        </w:rPr>
        <w:t>公司刚进入智慧城市领域，可能面对以下风险： </w:t>
      </w:r>
      <w:r>
        <w:rPr>
          <w:rFonts w:ascii="宋体" w:hAnsi="宋体" w:cs="宋体" w:eastAsia="宋体" w:hint="default"/>
          <w:sz w:val="21"/>
          <w:szCs w:val="21"/>
        </w:rPr>
        <w:t>1</w:t>
      </w:r>
      <w:r>
        <w:rPr>
          <w:rFonts w:ascii="宋体" w:hAnsi="宋体" w:cs="宋体" w:eastAsia="宋体" w:hint="default"/>
          <w:sz w:val="21"/>
          <w:szCs w:val="21"/>
        </w:rPr>
        <w:t>、无法及时招募业务人才的风险</w:t>
      </w:r>
    </w:p>
    <w:p>
      <w:pPr>
        <w:pStyle w:val="BodyText"/>
        <w:spacing w:line="357" w:lineRule="auto" w:before="53"/>
        <w:ind w:right="211" w:firstLine="465"/>
        <w:jc w:val="both"/>
      </w:pPr>
      <w:r>
        <w:rPr/>
        <w:t>目前，公司已组建了一支智慧城市业务核心团队，除核心团队人员外，斐讯通信的</w:t>
      </w:r>
      <w:r>
        <w:rPr>
          <w:spacing w:val="-68"/>
        </w:rPr>
        <w:t> </w:t>
      </w:r>
      <w:r>
        <w:rPr>
          <w:rFonts w:ascii="宋体" w:hAnsi="宋体" w:cs="宋体" w:eastAsia="宋体" w:hint="default"/>
        </w:rPr>
        <w:t>ICT</w:t>
      </w:r>
      <w:r>
        <w:rPr>
          <w:rFonts w:ascii="宋体" w:hAnsi="宋体" w:cs="宋体" w:eastAsia="宋体" w:hint="default"/>
          <w:spacing w:val="-68"/>
        </w:rPr>
        <w:t> </w:t>
      </w:r>
      <w:r>
        <w:rPr/>
        <w:t>部门 其他</w:t>
      </w:r>
      <w:r>
        <w:rPr>
          <w:spacing w:val="-54"/>
        </w:rPr>
        <w:t> </w:t>
      </w:r>
      <w:r>
        <w:rPr>
          <w:rFonts w:ascii="宋体" w:hAnsi="宋体" w:cs="宋体" w:eastAsia="宋体" w:hint="default"/>
        </w:rPr>
        <w:t>15</w:t>
      </w:r>
      <w:r>
        <w:rPr>
          <w:rFonts w:ascii="宋体" w:hAnsi="宋体" w:cs="宋体" w:eastAsia="宋体" w:hint="default"/>
          <w:spacing w:val="-53"/>
        </w:rPr>
        <w:t> </w:t>
      </w:r>
      <w:r>
        <w:rPr/>
        <w:t>名业务人员通过变更劳动合同关系已转移至公司名下，斐讯通信</w:t>
      </w:r>
      <w:r>
        <w:rPr>
          <w:spacing w:val="-53"/>
        </w:rPr>
        <w:t> </w:t>
      </w:r>
      <w:r>
        <w:rPr>
          <w:rFonts w:ascii="宋体" w:hAnsi="宋体" w:cs="宋体" w:eastAsia="宋体" w:hint="default"/>
        </w:rPr>
        <w:t>ICT</w:t>
      </w:r>
      <w:r>
        <w:rPr>
          <w:rFonts w:ascii="宋体" w:hAnsi="宋体" w:cs="宋体" w:eastAsia="宋体" w:hint="default"/>
          <w:spacing w:val="-53"/>
        </w:rPr>
        <w:t> </w:t>
      </w:r>
      <w:r>
        <w:rPr/>
        <w:t>业务部门其他</w:t>
      </w:r>
      <w:r>
        <w:rPr>
          <w:spacing w:val="-54"/>
        </w:rPr>
        <w:t> </w:t>
      </w:r>
      <w:r>
        <w:rPr>
          <w:rFonts w:ascii="宋体" w:hAnsi="宋体" w:cs="宋体" w:eastAsia="宋体" w:hint="default"/>
        </w:rPr>
        <w:t>60</w:t>
      </w:r>
      <w:r>
        <w:rPr>
          <w:rFonts w:ascii="宋体" w:hAnsi="宋体" w:cs="宋体" w:eastAsia="宋体" w:hint="default"/>
          <w:spacing w:val="-54"/>
        </w:rPr>
        <w:t> </w:t>
      </w:r>
      <w:r>
        <w:rPr/>
        <w:t>多 名业务人员将随着公司智慧城市业务的开展本着自愿原则陆续从斐讯通信离职后加入智诚合讯。 并且随着募集资金到位，公司将进一步开展人才团队招募计划，依照目前研发与运营中心项目测 算，公司拟在两年内扩展至约</w:t>
      </w:r>
      <w:r>
        <w:rPr>
          <w:spacing w:val="-53"/>
        </w:rPr>
        <w:t> </w:t>
      </w:r>
      <w:r>
        <w:rPr>
          <w:rFonts w:ascii="宋体" w:hAnsi="宋体" w:cs="宋体" w:eastAsia="宋体" w:hint="default"/>
        </w:rPr>
        <w:t>200</w:t>
      </w:r>
      <w:r>
        <w:rPr>
          <w:rFonts w:ascii="宋体" w:hAnsi="宋体" w:cs="宋体" w:eastAsia="宋体" w:hint="default"/>
          <w:spacing w:val="-53"/>
        </w:rPr>
        <w:t> </w:t>
      </w:r>
      <w:r>
        <w:rPr/>
        <w:t>人的团队，其中包括：运营、人事、行政等后台运营人员以及 售前、研发、安全方案架构师、解决方案咨询师以及研发工程师、融资租赁咨询师等技术研发及 实施咨询人员。此外，公司还将根据业务发展需要，进一步建立与院校、研究所的技术合作，形 成有效的产学研合作机制。</w:t>
      </w:r>
    </w:p>
    <w:p>
      <w:pPr>
        <w:pStyle w:val="BodyText"/>
        <w:spacing w:line="357" w:lineRule="auto" w:before="30"/>
        <w:ind w:right="213" w:firstLine="465"/>
        <w:jc w:val="both"/>
      </w:pPr>
      <w:r>
        <w:rPr/>
        <w:t>虽然公司已拥有从事</w:t>
      </w:r>
      <w:r>
        <w:rPr>
          <w:spacing w:val="-69"/>
        </w:rPr>
        <w:t> </w:t>
      </w:r>
      <w:r>
        <w:rPr>
          <w:rFonts w:ascii="宋体" w:hAnsi="宋体" w:cs="宋体" w:eastAsia="宋体" w:hint="default"/>
        </w:rPr>
        <w:t>ICT</w:t>
      </w:r>
      <w:r>
        <w:rPr>
          <w:rFonts w:ascii="宋体" w:hAnsi="宋体" w:cs="宋体" w:eastAsia="宋体" w:hint="default"/>
          <w:spacing w:val="-69"/>
        </w:rPr>
        <w:t> </w:t>
      </w:r>
      <w:r>
        <w:rPr/>
        <w:t>业务的核心人员，有能力开展智慧城市顶层设计及战略咨询相关业 务，并通过签订战略合作框架协议的方式拓展市场。但随着业务的推进，公司如果不能及时有效 的招募到与自身业务相匹配的技术实施等业务人员，将面临在各地智慧城市规划下具体项目推进 中公司因人员不足，不能及时参与实施而错过业务竞标机会的风险。</w:t>
      </w:r>
    </w:p>
    <w:p>
      <w:pPr>
        <w:pStyle w:val="BodyText"/>
        <w:spacing w:line="357" w:lineRule="auto" w:before="31"/>
        <w:ind w:left="603" w:right="373" w:hanging="46"/>
        <w:jc w:val="left"/>
      </w:pPr>
      <w:r>
        <w:rPr>
          <w:rFonts w:ascii="宋体" w:hAnsi="宋体" w:cs="宋体" w:eastAsia="宋体" w:hint="default"/>
        </w:rPr>
        <w:t>2</w:t>
      </w:r>
      <w:r>
        <w:rPr/>
        <w:t>、公司从事智慧城市相关业务在业务及技术方面面临的风险 </w:t>
      </w:r>
      <w:r>
        <w:rPr>
          <w:rFonts w:ascii="宋体" w:hAnsi="宋体" w:cs="宋体" w:eastAsia="宋体" w:hint="default"/>
        </w:rPr>
        <w:t>(1)</w:t>
      </w:r>
      <w:r>
        <w:rPr/>
        <w:t>公司不能及时取得相关业务资质的风险 公司主要通过智慧城市业务核心团队进行市场开拓并与各地方政府签订战略合作框架协议</w:t>
      </w:r>
    </w:p>
    <w:p>
      <w:pPr>
        <w:pStyle w:val="BodyText"/>
        <w:spacing w:line="357" w:lineRule="auto" w:before="30"/>
        <w:ind w:right="108"/>
        <w:jc w:val="both"/>
      </w:pPr>
      <w:r>
        <w:rPr/>
        <w:t>的方式建立业务渠道。业务初期更多以提供智慧城市顶层架构设计咨询服务以及运营维护服务为 切入点，而在后续业务拓展及具体项目实施过程中，如果部分项目在落地招标等环节中涉及系统 集成资质、涉密系统集成等或建筑智能化相关的专项业务资质时，由于获得此类资质需要经过一 段时间的筹备期和评审期，公司在转型初期将面临一定挑战。公司将在公司层面协同资源，根据 </w:t>
      </w:r>
      <w:r>
        <w:rPr>
          <w:spacing w:val="-3"/>
        </w:rPr>
        <w:t>实际业务需要，通过自主申请并结合投资控股具备资质的项目公司的形式尽快获取相关业务资质。</w:t>
      </w:r>
    </w:p>
    <w:p>
      <w:pPr>
        <w:pStyle w:val="BodyText"/>
        <w:spacing w:line="357" w:lineRule="auto" w:before="30"/>
        <w:ind w:left="603" w:right="203"/>
        <w:jc w:val="left"/>
      </w:pPr>
      <w:r>
        <w:rPr/>
        <w:t>（</w:t>
      </w:r>
      <w:r>
        <w:rPr>
          <w:rFonts w:ascii="宋体" w:hAnsi="宋体" w:cs="宋体" w:eastAsia="宋体" w:hint="default"/>
        </w:rPr>
        <w:t>2</w:t>
      </w:r>
      <w:r>
        <w:rPr/>
        <w:t>）公司不能及时、充分投入技术研发而无法保障技术竞争力的风险 </w:t>
      </w:r>
      <w:r>
        <w:rPr>
          <w:spacing w:val="-1"/>
        </w:rPr>
        <w:t>公司主要以提供智慧城市顶层设计及战略咨询服务为切入点，与各级政府签订战略合作框架</w:t>
      </w:r>
    </w:p>
    <w:p>
      <w:pPr>
        <w:pStyle w:val="BodyText"/>
        <w:spacing w:line="357" w:lineRule="auto" w:before="30"/>
        <w:ind w:right="214"/>
        <w:jc w:val="both"/>
      </w:pPr>
      <w:r>
        <w:rPr/>
        <w:t>协议，同时针对重点行业提供定制化的信息化解决方案，承接后续的具体项目落地实施。因此， 公司的研发与运营体系及人员团队是其竞争力的保证。目前公司尚处于业务转型期，与国外智慧 城市领域的领先者</w:t>
      </w:r>
      <w:r>
        <w:rPr>
          <w:spacing w:val="-53"/>
        </w:rPr>
        <w:t> </w:t>
      </w:r>
      <w:r>
        <w:rPr>
          <w:rFonts w:ascii="宋体" w:hAnsi="宋体" w:cs="宋体" w:eastAsia="宋体" w:hint="default"/>
        </w:rPr>
        <w:t>IBM</w:t>
      </w:r>
      <w:r>
        <w:rPr>
          <w:rFonts w:ascii="宋体" w:hAnsi="宋体" w:cs="宋体" w:eastAsia="宋体" w:hint="default"/>
          <w:spacing w:val="-53"/>
        </w:rPr>
        <w:t> </w:t>
      </w:r>
      <w:r>
        <w:rPr/>
        <w:t>等无论在技术研发环境还是产品成熟度上都有一定差距；相比国内智慧城 市服务提供商在市场规模及资金实力上也有一定差距。因此，为了及时把握市场机遇，从容应对 </w:t>
      </w:r>
      <w:r>
        <w:rPr>
          <w:spacing w:val="-5"/>
        </w:rPr>
        <w:t>市场竞争，公司迫切需要投入资金建设运营及研发中心，改善基础研发环境，支持公司业务转型。</w:t>
      </w:r>
    </w:p>
    <w:p>
      <w:pPr>
        <w:pStyle w:val="BodyText"/>
        <w:spacing w:line="357" w:lineRule="auto" w:before="30"/>
        <w:ind w:left="603" w:right="203" w:hanging="46"/>
        <w:jc w:val="left"/>
      </w:pPr>
      <w:r>
        <w:rPr>
          <w:rFonts w:ascii="宋体" w:hAnsi="宋体" w:cs="宋体" w:eastAsia="宋体" w:hint="default"/>
        </w:rPr>
        <w:t>3</w:t>
      </w:r>
      <w:r>
        <w:rPr/>
        <w:t>、公司业务市场开拓缓慢或无足够项目资源的风险 </w:t>
      </w:r>
      <w:r>
        <w:rPr>
          <w:spacing w:val="-1"/>
        </w:rPr>
        <w:t>公司及全资子公司智诚合讯已与南宁市人民政府、鹤壁市人民政府、芜湖市人民政府、江苏</w:t>
      </w:r>
    </w:p>
    <w:p>
      <w:pPr>
        <w:pStyle w:val="BodyText"/>
        <w:spacing w:line="357" w:lineRule="auto" w:before="30"/>
        <w:ind w:right="226"/>
        <w:jc w:val="both"/>
      </w:pPr>
      <w:r>
        <w:rPr/>
        <w:t>沛县经济开发区管委会、韶山市人民政府、武汉新洲区人民政府、重庆市经济和信息化委员会和 重庆两江新区管理委员会、宁波杭州湾新区开发建设管理委员会等政府部门，签订了《智慧城市</w:t>
      </w:r>
    </w:p>
    <w:p>
      <w:pPr>
        <w:spacing w:after="0" w:line="357" w:lineRule="auto"/>
        <w:jc w:val="both"/>
        <w:sectPr>
          <w:footerReference w:type="default" r:id="rId21"/>
          <w:pgSz w:w="11910" w:h="16840"/>
          <w:pgMar w:footer="1194" w:header="0" w:top="1120" w:bottom="1380" w:left="1660" w:right="1060"/>
          <w:pgNumType w:start="25"/>
        </w:sectPr>
      </w:pPr>
    </w:p>
    <w:p>
      <w:pPr>
        <w:spacing w:line="240" w:lineRule="auto" w:before="6"/>
        <w:rPr>
          <w:rFonts w:ascii="宋体" w:hAnsi="宋体" w:cs="宋体" w:eastAsia="宋体" w:hint="default"/>
          <w:sz w:val="25"/>
          <w:szCs w:val="25"/>
        </w:rPr>
      </w:pPr>
    </w:p>
    <w:p>
      <w:pPr>
        <w:pStyle w:val="BodyText"/>
        <w:spacing w:line="357" w:lineRule="auto" w:before="35"/>
        <w:ind w:right="146"/>
        <w:jc w:val="both"/>
      </w:pPr>
      <w:r>
        <w:rPr/>
        <w:t>战略合作协议》。除此之外，智诚合讯还通过与绿地（香港）控股有限公司、湖南省有线电视网 络（集团）股份有限公司等具备区位资源及行业优势的大型企业签署《战略合作协议》，达成战 略合作伙伴关系，以有利于共同开发项目资源、建设智慧城市。</w:t>
      </w:r>
    </w:p>
    <w:p>
      <w:pPr>
        <w:pStyle w:val="BodyText"/>
        <w:spacing w:line="357" w:lineRule="auto" w:before="30"/>
        <w:ind w:right="132" w:firstLine="465"/>
        <w:jc w:val="both"/>
      </w:pPr>
      <w:r>
        <w:rPr/>
        <w:t>虽然公司已经签订或继承的智慧城市的战略合作协议总额达</w:t>
      </w:r>
      <w:r>
        <w:rPr>
          <w:spacing w:val="-52"/>
        </w:rPr>
        <w:t> </w:t>
      </w:r>
      <w:r>
        <w:rPr>
          <w:rFonts w:ascii="宋体" w:hAnsi="宋体" w:cs="宋体" w:eastAsia="宋体" w:hint="default"/>
        </w:rPr>
        <w:t>195</w:t>
      </w:r>
      <w:r>
        <w:rPr>
          <w:rFonts w:ascii="宋体" w:hAnsi="宋体" w:cs="宋体" w:eastAsia="宋体" w:hint="default"/>
          <w:spacing w:val="-52"/>
        </w:rPr>
        <w:t> </w:t>
      </w:r>
      <w:r>
        <w:rPr>
          <w:spacing w:val="-3"/>
        </w:rPr>
        <w:t>亿元之多，但该类框架协议</w:t>
      </w:r>
      <w:r>
        <w:rPr/>
        <w:t> 仅为与相关单位签署的意向性协议，具体项目的实施有赖于具体实施合同的签署，公司能否获得 该类具体项目仍存在一定的风险，即使公司获得具体项目的实施，并不完全等同于公司的实际营 业收入，并且公司在未来亦存在</w:t>
      </w:r>
      <w:r>
        <w:rPr>
          <w:spacing w:val="-54"/>
        </w:rPr>
        <w:t> </w:t>
      </w:r>
      <w:r>
        <w:rPr>
          <w:rFonts w:ascii="宋体" w:hAnsi="宋体" w:cs="宋体" w:eastAsia="宋体" w:hint="default"/>
        </w:rPr>
        <w:t>ICT</w:t>
      </w:r>
      <w:r>
        <w:rPr>
          <w:rFonts w:ascii="宋体" w:hAnsi="宋体" w:cs="宋体" w:eastAsia="宋体" w:hint="default"/>
          <w:spacing w:val="-53"/>
        </w:rPr>
        <w:t> </w:t>
      </w:r>
      <w:r>
        <w:rPr/>
        <w:t>相关业务开拓进展缓慢或无法获得足够项目资源的风险。</w:t>
      </w:r>
    </w:p>
    <w:p>
      <w:pPr>
        <w:pStyle w:val="BodyText"/>
        <w:spacing w:line="355" w:lineRule="auto" w:before="31"/>
        <w:ind w:left="603" w:right="120" w:hanging="46"/>
        <w:jc w:val="left"/>
      </w:pPr>
      <w:r>
        <w:rPr>
          <w:rFonts w:ascii="宋体" w:hAnsi="宋体" w:cs="宋体" w:eastAsia="宋体" w:hint="default"/>
        </w:rPr>
        <w:t>4</w:t>
      </w:r>
      <w:r>
        <w:rPr/>
        <w:t>、公司无法获得充足业务资金的风险 智慧城市项目建设需要政府大量投入，虽然我国目前正在积极推荐以</w:t>
      </w:r>
      <w:r>
        <w:rPr>
          <w:spacing w:val="-50"/>
        </w:rPr>
        <w:t> </w:t>
      </w:r>
      <w:r>
        <w:rPr>
          <w:rFonts w:ascii="宋体" w:hAnsi="宋体" w:cs="宋体" w:eastAsia="宋体" w:hint="default"/>
          <w:spacing w:val="-3"/>
        </w:rPr>
        <w:t>BOT</w:t>
      </w:r>
      <w:r>
        <w:rPr>
          <w:spacing w:val="-3"/>
        </w:rPr>
        <w:t>、</w:t>
      </w:r>
      <w:r>
        <w:rPr>
          <w:rFonts w:ascii="宋体" w:hAnsi="宋体" w:cs="宋体" w:eastAsia="宋体" w:hint="default"/>
          <w:spacing w:val="-3"/>
        </w:rPr>
        <w:t>BT</w:t>
      </w:r>
      <w:r>
        <w:rPr>
          <w:spacing w:val="-3"/>
        </w:rPr>
        <w:t>、</w:t>
      </w:r>
      <w:r>
        <w:rPr>
          <w:rFonts w:ascii="宋体" w:hAnsi="宋体" w:cs="宋体" w:eastAsia="宋体" w:hint="default"/>
          <w:spacing w:val="-3"/>
        </w:rPr>
        <w:t>EPC</w:t>
      </w:r>
      <w:r>
        <w:rPr>
          <w:spacing w:val="-3"/>
        </w:rPr>
        <w:t>、</w:t>
      </w:r>
      <w:r>
        <w:rPr>
          <w:rFonts w:ascii="宋体" w:hAnsi="宋体" w:cs="宋体" w:eastAsia="宋体" w:hint="default"/>
          <w:spacing w:val="-3"/>
        </w:rPr>
        <w:t>PPP</w:t>
      </w:r>
      <w:r>
        <w:rPr>
          <w:rFonts w:ascii="宋体" w:hAnsi="宋体" w:cs="宋体" w:eastAsia="宋体" w:hint="default"/>
          <w:spacing w:val="-50"/>
        </w:rPr>
        <w:t> </w:t>
      </w:r>
      <w:r>
        <w:rPr/>
        <w:t>等</w:t>
      </w:r>
    </w:p>
    <w:p>
      <w:pPr>
        <w:pStyle w:val="BodyText"/>
        <w:spacing w:line="357" w:lineRule="auto" w:before="33"/>
        <w:ind w:right="147"/>
        <w:jc w:val="both"/>
      </w:pPr>
      <w:r>
        <w:rPr/>
        <w:t>多种模式展开基础设施投资项目，但如果政府政策进一步收紧导致政府投入减少，或投资模式的 创新不能落地实施，将导致智慧城市投入减少，在建项目的建设进度亦将放缓。智慧城市建设是 大规模化的信息系统集成项目，前期投入较大，倘若公司无法通过此次非公开发行募集资金或募 集不足，将对于公司的资金产生较大压力，对公司转型发展智慧城市相关业务造成不利影响。</w:t>
      </w:r>
    </w:p>
    <w:p>
      <w:pPr>
        <w:pStyle w:val="BodyText"/>
        <w:spacing w:line="240" w:lineRule="auto" w:before="30"/>
        <w:ind w:left="558" w:right="135"/>
        <w:jc w:val="left"/>
      </w:pPr>
      <w:r>
        <w:rPr>
          <w:rFonts w:ascii="宋体" w:hAnsi="宋体" w:cs="宋体" w:eastAsia="宋体" w:hint="default"/>
        </w:rPr>
        <w:t>5</w:t>
      </w:r>
      <w:r>
        <w:rPr/>
        <w:t>、市场竞争风险</w:t>
      </w:r>
    </w:p>
    <w:p>
      <w:pPr>
        <w:pStyle w:val="BodyText"/>
        <w:spacing w:line="240" w:lineRule="auto" w:before="134"/>
        <w:ind w:left="558" w:right="0"/>
        <w:jc w:val="left"/>
      </w:pPr>
      <w:r>
        <w:rPr/>
        <w:t>智慧城市经历</w:t>
      </w:r>
      <w:r>
        <w:rPr>
          <w:spacing w:val="-51"/>
        </w:rPr>
        <w:t> </w:t>
      </w:r>
      <w:r>
        <w:rPr>
          <w:rFonts w:ascii="宋体" w:hAnsi="宋体" w:cs="宋体" w:eastAsia="宋体" w:hint="default"/>
        </w:rPr>
        <w:t>2013</w:t>
      </w:r>
      <w:r>
        <w:rPr>
          <w:rFonts w:ascii="宋体" w:hAnsi="宋体" w:cs="宋体" w:eastAsia="宋体" w:hint="default"/>
          <w:spacing w:val="-51"/>
        </w:rPr>
        <w:t> </w:t>
      </w:r>
      <w:r>
        <w:rPr/>
        <w:t>年的试点报批高峰期，迎来</w:t>
      </w:r>
      <w:r>
        <w:rPr>
          <w:spacing w:val="-51"/>
        </w:rPr>
        <w:t> </w:t>
      </w:r>
      <w:r>
        <w:rPr>
          <w:rFonts w:ascii="宋体" w:hAnsi="宋体" w:cs="宋体" w:eastAsia="宋体" w:hint="default"/>
        </w:rPr>
        <w:t>2014</w:t>
      </w:r>
      <w:r>
        <w:rPr>
          <w:rFonts w:ascii="宋体" w:hAnsi="宋体" w:cs="宋体" w:eastAsia="宋体" w:hint="default"/>
          <w:spacing w:val="-51"/>
        </w:rPr>
        <w:t> </w:t>
      </w:r>
      <w:r>
        <w:rPr/>
        <w:t>年规划初步落地的元年，由于第一批、</w:t>
      </w:r>
    </w:p>
    <w:p>
      <w:pPr>
        <w:pStyle w:val="BodyText"/>
        <w:spacing w:line="357" w:lineRule="auto" w:before="133"/>
        <w:ind w:right="132"/>
        <w:jc w:val="both"/>
      </w:pPr>
      <w:r>
        <w:rPr/>
        <w:t>第二批</w:t>
      </w:r>
      <w:r>
        <w:rPr>
          <w:spacing w:val="-63"/>
        </w:rPr>
        <w:t> </w:t>
      </w:r>
      <w:r>
        <w:rPr>
          <w:rFonts w:ascii="宋体" w:hAnsi="宋体" w:cs="宋体" w:eastAsia="宋体" w:hint="default"/>
        </w:rPr>
        <w:t>193</w:t>
      </w:r>
      <w:r>
        <w:rPr>
          <w:rFonts w:ascii="宋体" w:hAnsi="宋体" w:cs="宋体" w:eastAsia="宋体" w:hint="default"/>
          <w:spacing w:val="-63"/>
        </w:rPr>
        <w:t> </w:t>
      </w:r>
      <w:r>
        <w:rPr/>
        <w:t>个试点城市中目前大部分尚处于规划阶段，且第三批新批复了</w:t>
      </w:r>
      <w:r>
        <w:rPr>
          <w:spacing w:val="-62"/>
        </w:rPr>
        <w:t> </w:t>
      </w:r>
      <w:r>
        <w:rPr>
          <w:rFonts w:ascii="宋体" w:hAnsi="宋体" w:cs="宋体" w:eastAsia="宋体" w:hint="default"/>
        </w:rPr>
        <w:t>83</w:t>
      </w:r>
      <w:r>
        <w:rPr>
          <w:rFonts w:ascii="宋体" w:hAnsi="宋体" w:cs="宋体" w:eastAsia="宋体" w:hint="default"/>
          <w:spacing w:val="-62"/>
        </w:rPr>
        <w:t> </w:t>
      </w:r>
      <w:r>
        <w:rPr>
          <w:spacing w:val="-6"/>
        </w:rPr>
        <w:t>个试点城市，行业投</w:t>
      </w:r>
      <w:r>
        <w:rPr/>
        <w:t> 资增速显著提升。智慧城市产业趋势明显，但由于业务尚未形成标准模式，市场竞争尚未形成基</w:t>
      </w:r>
      <w:r>
        <w:rPr>
          <w:spacing w:val="-96"/>
        </w:rPr>
        <w:t> </w:t>
      </w:r>
      <w:r>
        <w:rPr>
          <w:spacing w:val="-96"/>
        </w:rPr>
      </w:r>
      <w:r>
        <w:rPr/>
        <w:t>本格局，智慧城市业务面临的市场竞争也较为激烈。目前公司尚处于业务转型期，与国外智慧城</w:t>
      </w:r>
      <w:r>
        <w:rPr>
          <w:spacing w:val="-95"/>
        </w:rPr>
        <w:t> </w:t>
      </w:r>
      <w:r>
        <w:rPr>
          <w:spacing w:val="-95"/>
        </w:rPr>
      </w:r>
      <w:r>
        <w:rPr/>
        <w:t>市领域的领先者</w:t>
      </w:r>
      <w:r>
        <w:rPr>
          <w:spacing w:val="-48"/>
        </w:rPr>
        <w:t> </w:t>
      </w:r>
      <w:r>
        <w:rPr>
          <w:rFonts w:ascii="宋体" w:hAnsi="宋体" w:cs="宋体" w:eastAsia="宋体" w:hint="default"/>
        </w:rPr>
        <w:t>IBM</w:t>
      </w:r>
      <w:r>
        <w:rPr>
          <w:rFonts w:ascii="宋体" w:hAnsi="宋体" w:cs="宋体" w:eastAsia="宋体" w:hint="default"/>
          <w:spacing w:val="-47"/>
        </w:rPr>
        <w:t> </w:t>
      </w:r>
      <w:r>
        <w:rPr/>
        <w:t>等无论在技术研发环境还是产品成熟度上都有一定差距；相比国内智慧城市 服务提供商在市场规模及资金实力上也有一定差距。</w:t>
      </w:r>
    </w:p>
    <w:p>
      <w:pPr>
        <w:pStyle w:val="BodyText"/>
        <w:spacing w:line="357" w:lineRule="auto" w:before="30"/>
        <w:ind w:right="132" w:firstLine="465"/>
        <w:jc w:val="both"/>
      </w:pPr>
      <w:r>
        <w:rPr>
          <w:spacing w:val="-1"/>
        </w:rPr>
        <w:t>智慧城市市场处于快速发展阶段，市场竞争来自方方面面，如不能在先期完成团队搭建、资</w:t>
      </w:r>
      <w:r>
        <w:rPr/>
        <w:t> 金储备、框架协议签订等事项并在规划阶段占得先发优势，公司在后续业务开拓及改造升级等增 值服务中将会面临更为激烈的市场竞争。</w:t>
      </w:r>
    </w:p>
    <w:p>
      <w:pPr>
        <w:pStyle w:val="BodyText"/>
        <w:spacing w:line="355" w:lineRule="auto" w:before="31"/>
        <w:ind w:left="558" w:right="128"/>
        <w:jc w:val="left"/>
      </w:pPr>
      <w:r>
        <w:rPr>
          <w:rFonts w:ascii="宋体" w:hAnsi="宋体" w:cs="宋体" w:eastAsia="宋体" w:hint="default"/>
        </w:rPr>
        <w:t>6</w:t>
      </w:r>
      <w:r>
        <w:rPr/>
        <w:t>、管理风险 公司已建立起比较完善的法人治理结构及公司管理制度，本次非公开发行完成后，公司实际</w:t>
      </w:r>
    </w:p>
    <w:p>
      <w:pPr>
        <w:pStyle w:val="BodyText"/>
        <w:spacing w:line="357" w:lineRule="auto" w:before="33"/>
        <w:ind w:left="0" w:right="134"/>
        <w:jc w:val="right"/>
      </w:pPr>
      <w:r>
        <w:rPr/>
        <w:t>控制人将发生变更，主营业务战略规划将做出转型调整，并将引入新的人员团队开展业务，较之 目前公司的经营规模将迅速扩大，也使公司经营决策、运作管理、风险控制的难度有所增加，对 公司的管理架构、管理人员素质、管理方式等提出了更高的要求，如未来实际控制人及其经营管 理团队不能有效建立适应公司发展的管理体系，可能会给公司的未来经营发展带来一定的影响。 公司现有主营业务为物业管理服务，</w:t>
      </w:r>
      <w:r>
        <w:rPr>
          <w:spacing w:val="-55"/>
        </w:rPr>
        <w:t> </w:t>
      </w:r>
      <w:r>
        <w:rPr>
          <w:spacing w:val="-10"/>
        </w:rPr>
        <w:t>目前我国物业管理企业小、弱、散、差的现象普遍存在，</w:t>
      </w:r>
      <w:r>
        <w:rPr/>
        <w:t> 随着物业管理招投标的大力推行和物业管理市场化的发展，物业管理将从数量型增长向质量、规 模、效益型转变，规模化经营的资产重组必然驱使物业管理企业向品牌化企业方向发展。在有限 的市场资源条件下，企业竞争将进一步加剧，势必推动物业管理行业整体素质的提高，社会资源 配置也将得到进一步优化。随着物业管理范围和内容的扩展，市场化进程的加快，物业管理招投</w:t>
      </w:r>
    </w:p>
    <w:p>
      <w:pPr>
        <w:spacing w:after="0" w:line="357" w:lineRule="auto"/>
        <w:jc w:val="right"/>
        <w:sectPr>
          <w:footerReference w:type="default" r:id="rId22"/>
          <w:pgSz w:w="11910" w:h="16840"/>
          <w:pgMar w:footer="1194" w:header="0" w:top="1120" w:bottom="1380" w:left="1660" w:right="1140"/>
          <w:pgNumType w:start="26"/>
        </w:sectPr>
      </w:pPr>
    </w:p>
    <w:p>
      <w:pPr>
        <w:spacing w:line="240" w:lineRule="auto" w:before="6"/>
        <w:rPr>
          <w:rFonts w:ascii="宋体" w:hAnsi="宋体" w:cs="宋体" w:eastAsia="宋体" w:hint="default"/>
          <w:sz w:val="25"/>
          <w:szCs w:val="25"/>
        </w:rPr>
      </w:pPr>
    </w:p>
    <w:p>
      <w:pPr>
        <w:pStyle w:val="BodyText"/>
        <w:spacing w:line="357" w:lineRule="auto" w:before="35"/>
        <w:ind w:left="178" w:right="147"/>
        <w:jc w:val="both"/>
      </w:pPr>
      <w:r>
        <w:rPr/>
        <w:t>标的逐步规范，物业管理行业的竞争将日益激烈，行业间的兼并、整合现象将逐渐加剧、迅速扩 展。公司将通过提升服务水平、增加服务内容、扩大服务范围、树立服务品牌等措施，逐步提升 公司物业管理服务能力，保持并增强该业务的持续盈利能力。</w:t>
      </w:r>
    </w:p>
    <w:p>
      <w:pPr>
        <w:spacing w:line="240" w:lineRule="auto" w:before="9"/>
        <w:rPr>
          <w:rFonts w:ascii="宋体" w:hAnsi="宋体" w:cs="宋体" w:eastAsia="宋体" w:hint="default"/>
          <w:sz w:val="27"/>
          <w:szCs w:val="27"/>
        </w:rPr>
      </w:pPr>
    </w:p>
    <w:p>
      <w:pPr>
        <w:pStyle w:val="Heading3"/>
        <w:spacing w:line="240" w:lineRule="auto" w:before="0"/>
        <w:ind w:left="178" w:right="0"/>
        <w:jc w:val="both"/>
        <w:rPr>
          <w:b w:val="0"/>
          <w:bCs w:val="0"/>
        </w:rPr>
      </w:pPr>
      <w:r>
        <w:rPr/>
        <w:t>三、董事会对会计师事务所</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pStyle w:val="Heading3"/>
        <w:spacing w:line="240" w:lineRule="auto" w:before="42"/>
        <w:ind w:left="119" w:right="0"/>
        <w:jc w:val="both"/>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6"/>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19" w:right="0"/>
        <w:jc w:val="both"/>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3"/>
        </w:rPr>
        <w:t> </w:t>
      </w:r>
      <w:r>
        <w:rPr/>
        <w:t>董事会对会计政策、会计估计或核算方法变更的原因和影响的分析说明</w:t>
      </w:r>
      <w:r>
        <w:rPr>
          <w:b w:val="0"/>
          <w:bCs w:val="0"/>
        </w:rPr>
      </w:r>
    </w:p>
    <w:p>
      <w:pPr>
        <w:pStyle w:val="BodyText"/>
        <w:spacing w:line="240" w:lineRule="auto" w:before="30"/>
        <w:ind w:left="178" w:right="0"/>
        <w:jc w:val="both"/>
      </w:pPr>
      <w:r>
        <w:rPr/>
        <w:t>√适用</w:t>
      </w:r>
      <w:r>
        <w:rPr>
          <w:spacing w:val="-2"/>
        </w:rPr>
        <w:t> </w:t>
      </w:r>
      <w:r>
        <w:rPr/>
        <w:t>□不适用</w:t>
      </w:r>
    </w:p>
    <w:p>
      <w:pPr>
        <w:pStyle w:val="BodyText"/>
        <w:spacing w:line="240" w:lineRule="auto" w:before="118"/>
        <w:ind w:left="598" w:right="0"/>
        <w:jc w:val="left"/>
      </w:pPr>
      <w:r>
        <w:rPr>
          <w:rFonts w:ascii="宋体" w:hAnsi="宋体" w:cs="宋体" w:eastAsia="宋体" w:hint="default"/>
          <w:spacing w:val="-3"/>
        </w:rPr>
        <w:t>1</w:t>
      </w:r>
      <w:r>
        <w:rPr>
          <w:spacing w:val="-3"/>
        </w:rPr>
        <w:t>、主要会计政策变更：</w:t>
      </w:r>
      <w:r>
        <w:rPr>
          <w:spacing w:val="-28"/>
        </w:rPr>
        <w:t> </w:t>
      </w:r>
      <w:r>
        <w:rPr/>
        <w:t>财政部于</w:t>
      </w:r>
      <w:r>
        <w:rPr>
          <w:spacing w:val="-50"/>
        </w:rPr>
        <w:t> </w:t>
      </w:r>
      <w:r>
        <w:rPr>
          <w:rFonts w:ascii="宋体" w:hAnsi="宋体" w:cs="宋体" w:eastAsia="宋体" w:hint="default"/>
        </w:rPr>
        <w:t>2014</w:t>
      </w:r>
      <w:r>
        <w:rPr>
          <w:rFonts w:ascii="宋体" w:hAnsi="宋体" w:cs="宋体" w:eastAsia="宋体" w:hint="default"/>
          <w:spacing w:val="-51"/>
        </w:rPr>
        <w:t> </w:t>
      </w:r>
      <w:r>
        <w:rPr>
          <w:spacing w:val="-3"/>
        </w:rPr>
        <w:t>年修订和新颁布了《企业会计准则第</w:t>
      </w:r>
      <w:r>
        <w:rPr>
          <w:spacing w:val="-50"/>
        </w:rPr>
        <w:t> </w:t>
      </w:r>
      <w:r>
        <w:rPr>
          <w:rFonts w:ascii="宋体" w:hAnsi="宋体" w:cs="宋体" w:eastAsia="宋体" w:hint="default"/>
        </w:rPr>
        <w:t>2</w:t>
      </w:r>
      <w:r>
        <w:rPr>
          <w:rFonts w:ascii="宋体" w:hAnsi="宋体" w:cs="宋体" w:eastAsia="宋体" w:hint="default"/>
          <w:spacing w:val="-50"/>
        </w:rPr>
        <w:t> </w:t>
      </w:r>
      <w:r>
        <w:rPr/>
        <w:t>号—长期股权</w:t>
      </w:r>
    </w:p>
    <w:p>
      <w:pPr>
        <w:pStyle w:val="BodyText"/>
        <w:spacing w:line="240" w:lineRule="auto" w:before="133"/>
        <w:ind w:left="178" w:right="0"/>
        <w:jc w:val="both"/>
      </w:pPr>
      <w:r>
        <w:rPr/>
        <w:t>投资》等八项企业会计准则，除《企业会计准则第</w:t>
      </w:r>
      <w:r>
        <w:rPr>
          <w:spacing w:val="-53"/>
        </w:rPr>
        <w:t> </w:t>
      </w:r>
      <w:r>
        <w:rPr>
          <w:rFonts w:ascii="宋体" w:hAnsi="宋体" w:cs="宋体" w:eastAsia="宋体" w:hint="default"/>
        </w:rPr>
        <w:t>37</w:t>
      </w:r>
      <w:r>
        <w:rPr>
          <w:rFonts w:ascii="宋体" w:hAnsi="宋体" w:cs="宋体" w:eastAsia="宋体" w:hint="default"/>
          <w:spacing w:val="-53"/>
        </w:rPr>
        <w:t> </w:t>
      </w:r>
      <w:r>
        <w:rPr/>
        <w:t>号—金融工具列报》从</w:t>
      </w:r>
      <w:r>
        <w:rPr>
          <w:spacing w:val="-53"/>
        </w:rPr>
        <w:t> </w:t>
      </w:r>
      <w:r>
        <w:rPr>
          <w:rFonts w:ascii="宋体" w:hAnsi="宋体" w:cs="宋体" w:eastAsia="宋体" w:hint="default"/>
        </w:rPr>
        <w:t>2014</w:t>
      </w:r>
      <w:r>
        <w:rPr>
          <w:rFonts w:ascii="宋体" w:hAnsi="宋体" w:cs="宋体" w:eastAsia="宋体" w:hint="default"/>
          <w:spacing w:val="-55"/>
        </w:rPr>
        <w:t> </w:t>
      </w:r>
      <w:r>
        <w:rPr/>
        <w:t>年度及以后期</w:t>
      </w:r>
    </w:p>
    <w:p>
      <w:pPr>
        <w:pStyle w:val="BodyText"/>
        <w:spacing w:line="240" w:lineRule="auto" w:before="134"/>
        <w:ind w:left="178" w:right="0"/>
        <w:jc w:val="both"/>
      </w:pPr>
      <w:r>
        <w:rPr>
          <w:spacing w:val="-5"/>
        </w:rPr>
        <w:t>间实施外，其他准则从</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7</w:t>
      </w:r>
      <w:r>
        <w:rPr>
          <w:rFonts w:ascii="宋体" w:hAnsi="宋体" w:cs="宋体" w:eastAsia="宋体" w:hint="default"/>
          <w:spacing w:val="-60"/>
        </w:rPr>
        <w:t> </w:t>
      </w:r>
      <w:r>
        <w:rPr/>
        <w:t>月</w:t>
      </w:r>
      <w:r>
        <w:rPr>
          <w:spacing w:val="-61"/>
        </w:rPr>
        <w:t> </w:t>
      </w:r>
      <w:r>
        <w:rPr>
          <w:rFonts w:ascii="宋体" w:hAnsi="宋体" w:cs="宋体" w:eastAsia="宋体" w:hint="default"/>
        </w:rPr>
        <w:t>1</w:t>
      </w:r>
      <w:r>
        <w:rPr>
          <w:rFonts w:ascii="宋体" w:hAnsi="宋体" w:cs="宋体" w:eastAsia="宋体" w:hint="default"/>
          <w:spacing w:val="-60"/>
        </w:rPr>
        <w:t> </w:t>
      </w:r>
      <w:r>
        <w:rPr/>
        <w:t>日起在执行企业会计准则的企业实施。本公司根据准则规定</w:t>
      </w:r>
    </w:p>
    <w:p>
      <w:pPr>
        <w:pStyle w:val="BodyText"/>
        <w:spacing w:line="357" w:lineRule="auto" w:before="133"/>
        <w:ind w:left="598" w:right="1075" w:hanging="420"/>
        <w:jc w:val="left"/>
      </w:pPr>
      <w:r>
        <w:rPr/>
        <w:t>重新厘定了相关会计政策，本次会计政策变更未对</w:t>
      </w:r>
      <w:r>
        <w:rPr>
          <w:spacing w:val="-53"/>
        </w:rPr>
        <w:t> </w:t>
      </w:r>
      <w:r>
        <w:rPr>
          <w:rFonts w:ascii="宋体" w:hAnsi="宋体" w:cs="宋体" w:eastAsia="宋体" w:hint="default"/>
        </w:rPr>
        <w:t>2014</w:t>
      </w:r>
      <w:r>
        <w:rPr>
          <w:rFonts w:ascii="宋体" w:hAnsi="宋体" w:cs="宋体" w:eastAsia="宋体" w:hint="default"/>
          <w:spacing w:val="-54"/>
        </w:rPr>
        <w:t> </w:t>
      </w:r>
      <w:r>
        <w:rPr/>
        <w:t>年度比较财务报表产生影响。 </w:t>
      </w:r>
      <w:r>
        <w:rPr>
          <w:rFonts w:ascii="宋体" w:hAnsi="宋体" w:cs="宋体" w:eastAsia="宋体" w:hint="default"/>
        </w:rPr>
        <w:t>2</w:t>
      </w:r>
      <w:r>
        <w:rPr/>
        <w:t>、会计估计变更：无。</w:t>
      </w:r>
    </w:p>
    <w:p>
      <w:pPr>
        <w:spacing w:line="240" w:lineRule="auto" w:before="8"/>
        <w:rPr>
          <w:rFonts w:ascii="宋体" w:hAnsi="宋体" w:cs="宋体" w:eastAsia="宋体" w:hint="default"/>
          <w:sz w:val="27"/>
          <w:szCs w:val="27"/>
        </w:rPr>
      </w:pPr>
    </w:p>
    <w:p>
      <w:pPr>
        <w:pStyle w:val="Heading3"/>
        <w:spacing w:line="240" w:lineRule="auto" w:before="0"/>
        <w:ind w:left="119"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5"/>
        </w:rPr>
        <w:t> </w:t>
      </w:r>
      <w:r>
        <w:rPr/>
        <w:t>董事会对重要前期差错更正的原因及影响的分析说明</w:t>
      </w:r>
      <w:r>
        <w:rPr>
          <w:b w:val="0"/>
          <w:bCs w:val="0"/>
        </w:rPr>
      </w:r>
    </w:p>
    <w:p>
      <w:pPr>
        <w:pStyle w:val="BodyText"/>
        <w:spacing w:line="240" w:lineRule="auto" w:before="30"/>
        <w:ind w:left="178"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left="178" w:right="0"/>
        <w:jc w:val="both"/>
        <w:rPr>
          <w:b w:val="0"/>
          <w:bCs w:val="0"/>
        </w:rPr>
      </w:pPr>
      <w:r>
        <w:rPr/>
        <w:t>四、利润分配或资本公积金转增预案</w:t>
      </w:r>
      <w:r>
        <w:rPr>
          <w:b w:val="0"/>
          <w:bCs w:val="0"/>
        </w:rPr>
      </w:r>
    </w:p>
    <w:p>
      <w:pPr>
        <w:spacing w:line="312" w:lineRule="auto" w:before="57"/>
        <w:ind w:left="598" w:right="13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b/>
          <w:bCs/>
          <w:w w:val="99"/>
          <w:sz w:val="21"/>
          <w:szCs w:val="21"/>
        </w:rPr>
        <w:t> </w:t>
      </w:r>
      <w:r>
        <w:rPr>
          <w:rFonts w:ascii="宋体" w:hAnsi="宋体" w:cs="宋体" w:eastAsia="宋体" w:hint="default"/>
          <w:spacing w:val="-6"/>
          <w:sz w:val="21"/>
          <w:szCs w:val="21"/>
        </w:rPr>
        <w:t>经大信会计师事务所（特殊普通合伙）审计，</w:t>
      </w:r>
      <w:r>
        <w:rPr>
          <w:rFonts w:ascii="宋体" w:hAnsi="宋体" w:cs="宋体" w:eastAsia="宋体" w:hint="default"/>
          <w:spacing w:val="-6"/>
          <w:sz w:val="21"/>
          <w:szCs w:val="21"/>
        </w:rPr>
        <w:t>2014</w:t>
      </w:r>
      <w:r>
        <w:rPr>
          <w:rFonts w:ascii="宋体" w:hAnsi="宋体" w:cs="宋体" w:eastAsia="宋体" w:hint="default"/>
          <w:spacing w:val="-6"/>
          <w:sz w:val="21"/>
          <w:szCs w:val="21"/>
        </w:rPr>
        <w:t>年末合并报表未分配利润为</w:t>
      </w:r>
      <w:r>
        <w:rPr>
          <w:rFonts w:ascii="宋体" w:hAnsi="宋体" w:cs="宋体" w:eastAsia="宋体" w:hint="default"/>
          <w:spacing w:val="-6"/>
          <w:sz w:val="21"/>
          <w:szCs w:val="21"/>
        </w:rPr>
        <w:t>-793,479,337.48</w:t>
      </w:r>
    </w:p>
    <w:p>
      <w:pPr>
        <w:pStyle w:val="BodyText"/>
        <w:spacing w:line="357" w:lineRule="auto" w:before="70"/>
        <w:ind w:left="178" w:right="133"/>
        <w:jc w:val="both"/>
      </w:pPr>
      <w:r>
        <w:rPr>
          <w:spacing w:val="-2"/>
        </w:rPr>
        <w:t>元，</w:t>
      </w:r>
      <w:r>
        <w:rPr>
          <w:rFonts w:ascii="宋体" w:hAnsi="宋体" w:cs="宋体" w:eastAsia="宋体" w:hint="default"/>
          <w:spacing w:val="-2"/>
        </w:rPr>
        <w:t>2014</w:t>
      </w:r>
      <w:r>
        <w:rPr>
          <w:spacing w:val="-2"/>
        </w:rPr>
        <w:t>年末母公司未分配利润为</w:t>
      </w:r>
      <w:r>
        <w:rPr>
          <w:rFonts w:ascii="宋体" w:hAnsi="宋体" w:cs="宋体" w:eastAsia="宋体" w:hint="default"/>
          <w:spacing w:val="-2"/>
        </w:rPr>
        <w:t>-803,905,155.41</w:t>
      </w:r>
      <w:r>
        <w:rPr>
          <w:spacing w:val="-2"/>
        </w:rPr>
        <w:t>元，根据《公司法》、《公司章程》有关利润</w:t>
      </w:r>
      <w:r>
        <w:rPr>
          <w:spacing w:val="-100"/>
        </w:rPr>
        <w:t> </w:t>
      </w:r>
      <w:r>
        <w:rPr>
          <w:spacing w:val="-100"/>
        </w:rPr>
      </w:r>
      <w:r>
        <w:rPr/>
        <w:t>分配的规定，拟定公司</w:t>
      </w:r>
      <w:r>
        <w:rPr>
          <w:rFonts w:ascii="宋体" w:hAnsi="宋体" w:cs="宋体" w:eastAsia="宋体" w:hint="default"/>
        </w:rPr>
        <w:t>2014</w:t>
      </w:r>
      <w:r>
        <w:rPr/>
        <w:t>年不进行利润分配，也不进行资本公积金转增股本。此预案经公司董 事会审议后尚需提交公司</w:t>
      </w:r>
      <w:r>
        <w:rPr>
          <w:rFonts w:ascii="宋体" w:hAnsi="宋体" w:cs="宋体" w:eastAsia="宋体" w:hint="default"/>
        </w:rPr>
        <w:t>2014</w:t>
      </w:r>
      <w:r>
        <w:rPr/>
        <w:t>年年度股东大会审议。</w:t>
      </w:r>
    </w:p>
    <w:p>
      <w:pPr>
        <w:pStyle w:val="BodyText"/>
        <w:spacing w:line="357" w:lineRule="auto" w:before="30"/>
        <w:ind w:left="178" w:right="133" w:firstLine="420"/>
        <w:jc w:val="both"/>
      </w:pPr>
      <w:r>
        <w:rPr/>
        <w:t>为了建立健全公司的股东回报机制</w:t>
      </w:r>
      <w:r>
        <w:rPr>
          <w:rFonts w:ascii="宋体" w:hAnsi="宋体" w:cs="宋体" w:eastAsia="宋体" w:hint="default"/>
        </w:rPr>
        <w:t>, </w:t>
      </w:r>
      <w:r>
        <w:rPr/>
        <w:t>增加利润分配政策决策透明度和可操作性</w:t>
      </w:r>
      <w:r>
        <w:rPr>
          <w:rFonts w:ascii="宋体" w:hAnsi="宋体" w:cs="宋体" w:eastAsia="宋体" w:hint="default"/>
        </w:rPr>
        <w:t>,</w:t>
      </w:r>
      <w:r>
        <w:rPr>
          <w:rFonts w:ascii="宋体" w:hAnsi="宋体" w:cs="宋体" w:eastAsia="宋体" w:hint="default"/>
          <w:spacing w:val="-3"/>
        </w:rPr>
        <w:t> </w:t>
      </w:r>
      <w:r>
        <w:rPr/>
        <w:t>积极回报投 资者</w:t>
      </w:r>
      <w:r>
        <w:rPr>
          <w:rFonts w:ascii="宋体" w:hAnsi="宋体" w:cs="宋体" w:eastAsia="宋体" w:hint="default"/>
        </w:rPr>
        <w:t>,</w:t>
      </w:r>
      <w:r>
        <w:rPr>
          <w:rFonts w:ascii="宋体" w:hAnsi="宋体" w:cs="宋体" w:eastAsia="宋体" w:hint="default"/>
          <w:spacing w:val="-1"/>
        </w:rPr>
        <w:t> </w:t>
      </w:r>
      <w:r>
        <w:rPr/>
        <w:t>根据《公司法》、《公司章程》以及中国证券监督管理委员会《关于进一步落实上市公司 </w:t>
      </w:r>
      <w:r>
        <w:rPr>
          <w:spacing w:val="-3"/>
        </w:rPr>
        <w:t>现金分红有关事项的通知》、《上市公司监管指引第</w:t>
      </w:r>
      <w:r>
        <w:rPr>
          <w:rFonts w:ascii="宋体" w:hAnsi="宋体" w:cs="宋体" w:eastAsia="宋体" w:hint="default"/>
          <w:spacing w:val="-3"/>
        </w:rPr>
        <w:t>3</w:t>
      </w:r>
      <w:r>
        <w:rPr>
          <w:spacing w:val="-3"/>
        </w:rPr>
        <w:t>号—上市公司现金分红》的相关规定</w:t>
      </w:r>
      <w:r>
        <w:rPr>
          <w:rFonts w:ascii="宋体" w:hAnsi="宋体" w:cs="宋体" w:eastAsia="宋体" w:hint="default"/>
          <w:spacing w:val="-3"/>
        </w:rPr>
        <w:t>,</w:t>
      </w:r>
      <w:r>
        <w:rPr>
          <w:rFonts w:ascii="宋体" w:hAnsi="宋体" w:cs="宋体" w:eastAsia="宋体" w:hint="default"/>
          <w:spacing w:val="21"/>
        </w:rPr>
        <w:t> </w:t>
      </w:r>
      <w:r>
        <w:rPr/>
        <w:t>公司</w:t>
      </w:r>
      <w:r>
        <w:rPr>
          <w:spacing w:val="-103"/>
        </w:rPr>
        <w:t> </w:t>
      </w:r>
      <w:r>
        <w:rPr/>
        <w:t>董事会综合公司所处行业特征、公司发展战略和经营计划、股东回报、社会资金成本以及外部融</w:t>
      </w:r>
      <w:r>
        <w:rPr/>
        <w:t> 资环境等因素</w:t>
      </w:r>
      <w:r>
        <w:rPr>
          <w:rFonts w:ascii="宋体" w:hAnsi="宋体" w:cs="宋体" w:eastAsia="宋体" w:hint="default"/>
        </w:rPr>
        <w:t>,</w:t>
      </w:r>
      <w:r>
        <w:rPr>
          <w:rFonts w:ascii="宋体" w:hAnsi="宋体" w:cs="宋体" w:eastAsia="宋体" w:hint="default"/>
          <w:spacing w:val="-2"/>
        </w:rPr>
        <w:t> </w:t>
      </w:r>
      <w:r>
        <w:rPr/>
        <w:t>经第七届董事会第三十一次会议、</w:t>
      </w:r>
      <w:r>
        <w:rPr>
          <w:rFonts w:ascii="宋体" w:hAnsi="宋体" w:cs="宋体" w:eastAsia="宋体" w:hint="default"/>
        </w:rPr>
        <w:t>2014</w:t>
      </w:r>
      <w:r>
        <w:rPr/>
        <w:t>年第一次临时股东大会审议通过，对《公 </w:t>
      </w:r>
      <w:r>
        <w:rPr>
          <w:spacing w:val="-3"/>
        </w:rPr>
        <w:t>司章程》中利润分配政策条款进行了修订，同时制定了《公司未来三年</w:t>
      </w:r>
      <w:r>
        <w:rPr>
          <w:rFonts w:ascii="宋体" w:hAnsi="宋体" w:cs="宋体" w:eastAsia="宋体" w:hint="default"/>
          <w:spacing w:val="-3"/>
        </w:rPr>
        <w:t>(2014-2016</w:t>
      </w:r>
      <w:r>
        <w:rPr>
          <w:spacing w:val="-3"/>
        </w:rPr>
        <w:t>年度</w:t>
      </w:r>
      <w:r>
        <w:rPr>
          <w:rFonts w:ascii="宋体" w:hAnsi="宋体" w:cs="宋体" w:eastAsia="宋体" w:hint="default"/>
          <w:spacing w:val="-3"/>
        </w:rPr>
        <w:t>)</w:t>
      </w:r>
      <w:r>
        <w:rPr>
          <w:spacing w:val="-3"/>
        </w:rPr>
        <w:t>股东回报</w:t>
      </w:r>
      <w:r>
        <w:rPr>
          <w:spacing w:val="-59"/>
        </w:rPr>
        <w:t> </w:t>
      </w:r>
      <w:r>
        <w:rPr>
          <w:spacing w:val="-59"/>
        </w:rPr>
      </w:r>
      <w:r>
        <w:rPr/>
        <w:t>规划》，目前公司的利润分配政策为：</w:t>
      </w:r>
    </w:p>
    <w:p>
      <w:pPr>
        <w:pStyle w:val="BodyText"/>
        <w:spacing w:line="240" w:lineRule="auto" w:before="30"/>
        <w:ind w:left="598" w:right="0"/>
        <w:jc w:val="left"/>
      </w:pPr>
      <w:r>
        <w:rPr/>
        <w:t>（一）公司利润分配政策的研究论证程序和决策机制</w:t>
      </w:r>
    </w:p>
    <w:p>
      <w:pPr>
        <w:pStyle w:val="BodyText"/>
        <w:spacing w:line="355" w:lineRule="auto" w:before="134"/>
        <w:ind w:left="178" w:right="146" w:firstLine="420"/>
        <w:jc w:val="both"/>
      </w:pPr>
      <w:r>
        <w:rPr/>
        <w:t>公司制订或修改利润分配政策时</w:t>
      </w:r>
      <w:r>
        <w:rPr>
          <w:rFonts w:ascii="宋体" w:hAnsi="宋体" w:cs="宋体" w:eastAsia="宋体" w:hint="default"/>
        </w:rPr>
        <w:t>, </w:t>
      </w:r>
      <w:r>
        <w:rPr/>
        <w:t>应当以股东利益为出发点</w:t>
      </w:r>
      <w:r>
        <w:rPr>
          <w:rFonts w:ascii="宋体" w:hAnsi="宋体" w:cs="宋体" w:eastAsia="宋体" w:hint="default"/>
        </w:rPr>
        <w:t>,</w:t>
      </w:r>
      <w:r>
        <w:rPr>
          <w:rFonts w:ascii="宋体" w:hAnsi="宋体" w:cs="宋体" w:eastAsia="宋体" w:hint="default"/>
          <w:spacing w:val="-1"/>
        </w:rPr>
        <w:t> </w:t>
      </w:r>
      <w:r>
        <w:rPr/>
        <w:t>注重对投资者利益的保护并给 予投资者稳定回报</w:t>
      </w:r>
      <w:r>
        <w:rPr>
          <w:rFonts w:ascii="宋体" w:hAnsi="宋体" w:cs="宋体" w:eastAsia="宋体" w:hint="default"/>
        </w:rPr>
        <w:t>, </w:t>
      </w:r>
      <w:r>
        <w:rPr/>
        <w:t>由董事会充分论证</w:t>
      </w:r>
      <w:r>
        <w:rPr>
          <w:rFonts w:ascii="宋体" w:hAnsi="宋体" w:cs="宋体" w:eastAsia="宋体" w:hint="default"/>
        </w:rPr>
        <w:t>; </w:t>
      </w:r>
      <w:r>
        <w:rPr/>
        <w:t>若修改利润分配政策</w:t>
      </w:r>
      <w:r>
        <w:rPr>
          <w:rFonts w:ascii="宋体" w:hAnsi="宋体" w:cs="宋体" w:eastAsia="宋体" w:hint="default"/>
        </w:rPr>
        <w:t>,</w:t>
      </w:r>
      <w:r>
        <w:rPr>
          <w:rFonts w:ascii="宋体" w:hAnsi="宋体" w:cs="宋体" w:eastAsia="宋体" w:hint="default"/>
          <w:spacing w:val="-3"/>
        </w:rPr>
        <w:t> </w:t>
      </w:r>
      <w:r>
        <w:rPr/>
        <w:t>应详细论证其原因及合理性。</w:t>
      </w:r>
    </w:p>
    <w:p>
      <w:pPr>
        <w:pStyle w:val="BodyText"/>
        <w:spacing w:line="240" w:lineRule="auto" w:before="33"/>
        <w:ind w:left="598" w:right="0"/>
        <w:jc w:val="left"/>
      </w:pPr>
      <w:r>
        <w:rPr/>
        <w:t>公司制订或修改利润分配政策时</w:t>
      </w:r>
      <w:r>
        <w:rPr>
          <w:rFonts w:ascii="宋体" w:hAnsi="宋体" w:cs="宋体" w:eastAsia="宋体" w:hint="default"/>
        </w:rPr>
        <w:t>, </w:t>
      </w:r>
      <w:r>
        <w:rPr/>
        <w:t>独立董事应发表独立意见。</w:t>
      </w:r>
    </w:p>
    <w:p>
      <w:pPr>
        <w:spacing w:after="0" w:line="240" w:lineRule="auto"/>
        <w:jc w:val="left"/>
        <w:sectPr>
          <w:pgSz w:w="11910" w:h="16840"/>
          <w:pgMar w:header="0" w:footer="1194" w:top="1120" w:bottom="1380" w:left="1620" w:right="1140"/>
        </w:sectPr>
      </w:pPr>
    </w:p>
    <w:p>
      <w:pPr>
        <w:spacing w:line="240" w:lineRule="auto" w:before="6"/>
        <w:rPr>
          <w:rFonts w:ascii="宋体" w:hAnsi="宋体" w:cs="宋体" w:eastAsia="宋体" w:hint="default"/>
          <w:sz w:val="25"/>
          <w:szCs w:val="25"/>
        </w:rPr>
      </w:pPr>
    </w:p>
    <w:p>
      <w:pPr>
        <w:pStyle w:val="BodyText"/>
        <w:spacing w:line="357" w:lineRule="auto" w:before="35"/>
        <w:ind w:right="146" w:firstLine="420"/>
        <w:jc w:val="both"/>
      </w:pPr>
      <w:r>
        <w:rPr/>
        <w:t>公司制订或修改利润分配政策时应通过公司网站、公众信箱或者来访接待等渠道充分听取中 小股东的意见和诉求</w:t>
      </w:r>
      <w:r>
        <w:rPr>
          <w:rFonts w:ascii="宋体" w:hAnsi="宋体" w:cs="宋体" w:eastAsia="宋体" w:hint="default"/>
        </w:rPr>
        <w:t>, </w:t>
      </w:r>
      <w:r>
        <w:rPr/>
        <w:t>并及时答复中小股东关心的问题。与中小股东的上述交流和沟通应当形成 记录。</w:t>
      </w:r>
    </w:p>
    <w:p>
      <w:pPr>
        <w:pStyle w:val="BodyText"/>
        <w:spacing w:line="357" w:lineRule="auto" w:before="30"/>
        <w:ind w:right="145" w:firstLine="420"/>
        <w:jc w:val="both"/>
      </w:pPr>
      <w:r>
        <w:rPr/>
        <w:t>公司利润分配政策的变更</w:t>
      </w:r>
      <w:r>
        <w:rPr>
          <w:rFonts w:ascii="宋体" w:hAnsi="宋体" w:cs="宋体" w:eastAsia="宋体" w:hint="default"/>
        </w:rPr>
        <w:t>:</w:t>
      </w:r>
      <w:r>
        <w:rPr>
          <w:rFonts w:ascii="宋体" w:hAnsi="宋体" w:cs="宋体" w:eastAsia="宋体" w:hint="default"/>
          <w:spacing w:val="-1"/>
        </w:rPr>
        <w:t> </w:t>
      </w:r>
      <w:r>
        <w:rPr/>
        <w:t>根据生产经营情况、投资规划、长期发展的需要以及外部经营环 境</w:t>
      </w:r>
      <w:r>
        <w:rPr>
          <w:rFonts w:ascii="宋体" w:hAnsi="宋体" w:cs="宋体" w:eastAsia="宋体" w:hint="default"/>
        </w:rPr>
        <w:t>, </w:t>
      </w:r>
      <w:r>
        <w:rPr/>
        <w:t>确有必要对本章程确定的利润分配政策进行调整或者变更的</w:t>
      </w:r>
      <w:r>
        <w:rPr>
          <w:rFonts w:ascii="宋体" w:hAnsi="宋体" w:cs="宋体" w:eastAsia="宋体" w:hint="default"/>
        </w:rPr>
        <w:t>,</w:t>
      </w:r>
      <w:r>
        <w:rPr>
          <w:rFonts w:ascii="宋体" w:hAnsi="宋体" w:cs="宋体" w:eastAsia="宋体" w:hint="default"/>
          <w:spacing w:val="-2"/>
        </w:rPr>
        <w:t> </w:t>
      </w:r>
      <w:r>
        <w:rPr/>
        <w:t>由董事会将调整或变更议案提 交股东大会审议决定</w:t>
      </w:r>
      <w:r>
        <w:rPr>
          <w:rFonts w:ascii="宋体" w:hAnsi="宋体" w:cs="宋体" w:eastAsia="宋体" w:hint="default"/>
        </w:rPr>
        <w:t>, </w:t>
      </w:r>
      <w:r>
        <w:rPr/>
        <w:t>独立董事应当对此发表独立意见。其中</w:t>
      </w:r>
      <w:r>
        <w:rPr>
          <w:rFonts w:ascii="宋体" w:hAnsi="宋体" w:cs="宋体" w:eastAsia="宋体" w:hint="default"/>
        </w:rPr>
        <w:t>,</w:t>
      </w:r>
      <w:r>
        <w:rPr>
          <w:rFonts w:ascii="宋体" w:hAnsi="宋体" w:cs="宋体" w:eastAsia="宋体" w:hint="default"/>
          <w:spacing w:val="-1"/>
        </w:rPr>
        <w:t> </w:t>
      </w:r>
      <w:r>
        <w:rPr/>
        <w:t>现金分红政策的调整议案需经出 席股东大会的股东所持表决权的</w:t>
      </w:r>
      <w:r>
        <w:rPr>
          <w:spacing w:val="-53"/>
        </w:rPr>
        <w:t> </w:t>
      </w:r>
      <w:r>
        <w:rPr>
          <w:rFonts w:ascii="宋体" w:hAnsi="宋体" w:cs="宋体" w:eastAsia="宋体" w:hint="default"/>
        </w:rPr>
        <w:t>2/3</w:t>
      </w:r>
      <w:r>
        <w:rPr>
          <w:rFonts w:ascii="宋体" w:hAnsi="宋体" w:cs="宋体" w:eastAsia="宋体" w:hint="default"/>
          <w:spacing w:val="-52"/>
        </w:rPr>
        <w:t> </w:t>
      </w:r>
      <w:r>
        <w:rPr/>
        <w:t>以上通过</w:t>
      </w:r>
      <w:r>
        <w:rPr>
          <w:rFonts w:ascii="宋体" w:hAnsi="宋体" w:cs="宋体" w:eastAsia="宋体" w:hint="default"/>
        </w:rPr>
        <w:t>,</w:t>
      </w:r>
      <w:r>
        <w:rPr>
          <w:rFonts w:ascii="宋体" w:hAnsi="宋体" w:cs="宋体" w:eastAsia="宋体" w:hint="default"/>
          <w:spacing w:val="-2"/>
        </w:rPr>
        <w:t> </w:t>
      </w:r>
      <w:r>
        <w:rPr/>
        <w:t>调整后的现金分红政策不得违反中国证监会和上 海证券交易所的相关规定。</w:t>
      </w:r>
    </w:p>
    <w:p>
      <w:pPr>
        <w:pStyle w:val="BodyText"/>
        <w:spacing w:line="240" w:lineRule="auto" w:before="30"/>
        <w:ind w:left="558" w:right="135"/>
        <w:jc w:val="left"/>
      </w:pPr>
      <w:r>
        <w:rPr/>
        <w:t>（二）公司的利润分配政策</w:t>
      </w:r>
    </w:p>
    <w:p>
      <w:pPr>
        <w:pStyle w:val="BodyText"/>
        <w:spacing w:line="355" w:lineRule="auto" w:before="134"/>
        <w:ind w:right="146" w:firstLine="420"/>
        <w:jc w:val="both"/>
      </w:pPr>
      <w:r>
        <w:rPr/>
        <w:t>公司的利润分配政策应重视对投资者的合理投资回报</w:t>
      </w:r>
      <w:r>
        <w:rPr>
          <w:rFonts w:ascii="宋体" w:hAnsi="宋体" w:cs="宋体" w:eastAsia="宋体" w:hint="default"/>
        </w:rPr>
        <w:t>,</w:t>
      </w:r>
      <w:r>
        <w:rPr>
          <w:rFonts w:ascii="宋体" w:hAnsi="宋体" w:cs="宋体" w:eastAsia="宋体" w:hint="default"/>
          <w:spacing w:val="-1"/>
        </w:rPr>
        <w:t> </w:t>
      </w:r>
      <w:r>
        <w:rPr/>
        <w:t>应保持连续性和稳定性。利润分配不 得超过累计可分配利润的范围</w:t>
      </w:r>
      <w:r>
        <w:rPr>
          <w:rFonts w:ascii="宋体" w:hAnsi="宋体" w:cs="宋体" w:eastAsia="宋体" w:hint="default"/>
        </w:rPr>
        <w:t>,</w:t>
      </w:r>
      <w:r>
        <w:rPr>
          <w:rFonts w:ascii="宋体" w:hAnsi="宋体" w:cs="宋体" w:eastAsia="宋体" w:hint="default"/>
          <w:spacing w:val="-1"/>
        </w:rPr>
        <w:t> </w:t>
      </w:r>
      <w:r>
        <w:rPr/>
        <w:t>不得损害公司持续经营能力。</w:t>
      </w:r>
    </w:p>
    <w:p>
      <w:pPr>
        <w:pStyle w:val="BodyText"/>
        <w:spacing w:line="355" w:lineRule="auto" w:before="33"/>
        <w:ind w:right="146" w:firstLine="420"/>
        <w:jc w:val="both"/>
      </w:pPr>
      <w:r>
        <w:rPr/>
        <w:t>利润分配形式</w:t>
      </w:r>
      <w:r>
        <w:rPr>
          <w:rFonts w:ascii="宋体" w:hAnsi="宋体" w:cs="宋体" w:eastAsia="宋体" w:hint="default"/>
        </w:rPr>
        <w:t>:</w:t>
      </w:r>
      <w:r>
        <w:rPr>
          <w:rFonts w:ascii="宋体" w:hAnsi="宋体" w:cs="宋体" w:eastAsia="宋体" w:hint="default"/>
          <w:spacing w:val="-1"/>
        </w:rPr>
        <w:t> </w:t>
      </w:r>
      <w:r>
        <w:rPr/>
        <w:t>公司可以采取现金、股票或现金、股票相结合或法律法规许可的其他形式分 配利润。</w:t>
      </w:r>
    </w:p>
    <w:p>
      <w:pPr>
        <w:pStyle w:val="BodyText"/>
        <w:spacing w:line="357" w:lineRule="auto" w:before="32"/>
        <w:ind w:right="133" w:firstLine="420"/>
        <w:jc w:val="both"/>
      </w:pPr>
      <w:r>
        <w:rPr/>
        <w:t>现金分红的具体条件和比例</w:t>
      </w:r>
      <w:r>
        <w:rPr>
          <w:rFonts w:ascii="宋体" w:hAnsi="宋体" w:cs="宋体" w:eastAsia="宋体" w:hint="default"/>
        </w:rPr>
        <w:t>: </w:t>
      </w:r>
      <w:r>
        <w:rPr/>
        <w:t>根据母公司报表</w:t>
      </w:r>
      <w:r>
        <w:rPr>
          <w:rFonts w:ascii="宋体" w:hAnsi="宋体" w:cs="宋体" w:eastAsia="宋体" w:hint="default"/>
        </w:rPr>
        <w:t>,</w:t>
      </w:r>
      <w:r>
        <w:rPr>
          <w:rFonts w:ascii="宋体" w:hAnsi="宋体" w:cs="宋体" w:eastAsia="宋体" w:hint="default"/>
          <w:spacing w:val="-3"/>
        </w:rPr>
        <w:t> </w:t>
      </w:r>
      <w:r>
        <w:rPr/>
        <w:t>公司当年盈利、可供分配利润为正且公司现 金流满足公司正常经营和长期发展的前提下</w:t>
      </w:r>
      <w:r>
        <w:rPr>
          <w:rFonts w:ascii="宋体" w:hAnsi="宋体" w:cs="宋体" w:eastAsia="宋体" w:hint="default"/>
        </w:rPr>
        <w:t>,</w:t>
      </w:r>
      <w:r>
        <w:rPr>
          <w:rFonts w:ascii="宋体" w:hAnsi="宋体" w:cs="宋体" w:eastAsia="宋体" w:hint="default"/>
          <w:spacing w:val="20"/>
        </w:rPr>
        <w:t> </w:t>
      </w:r>
      <w:r>
        <w:rPr>
          <w:spacing w:val="-5"/>
        </w:rPr>
        <w:t>公司可以进行现金分红。在满足现金分红的条件时</w:t>
      </w:r>
      <w:r>
        <w:rPr>
          <w:rFonts w:ascii="宋体" w:hAnsi="宋体" w:cs="宋体" w:eastAsia="宋体" w:hint="default"/>
          <w:spacing w:val="-5"/>
        </w:rPr>
        <w:t>,</w:t>
      </w:r>
      <w:r>
        <w:rPr>
          <w:rFonts w:ascii="宋体" w:hAnsi="宋体" w:cs="宋体" w:eastAsia="宋体" w:hint="default"/>
        </w:rPr>
        <w:t> </w:t>
      </w:r>
      <w:r>
        <w:rPr/>
        <w:t>公司单一年度以现金方式分配的利润应不少于当年度实现的合并报表可供分配利润的</w:t>
      </w:r>
      <w:r>
        <w:rPr>
          <w:spacing w:val="-52"/>
        </w:rPr>
        <w:t> </w:t>
      </w:r>
      <w:r>
        <w:rPr>
          <w:rFonts w:ascii="宋体" w:hAnsi="宋体" w:cs="宋体" w:eastAsia="宋体" w:hint="default"/>
        </w:rPr>
        <w:t>10%</w:t>
      </w:r>
      <w:r>
        <w:rPr/>
        <w:t>。</w:t>
      </w:r>
    </w:p>
    <w:p>
      <w:pPr>
        <w:pStyle w:val="BodyText"/>
        <w:spacing w:line="357" w:lineRule="auto" w:before="31"/>
        <w:ind w:right="146" w:firstLine="420"/>
        <w:jc w:val="both"/>
        <w:rPr>
          <w:rFonts w:ascii="宋体" w:hAnsi="宋体" w:cs="宋体" w:eastAsia="宋体" w:hint="default"/>
        </w:rPr>
      </w:pPr>
      <w:r>
        <w:rPr/>
        <w:t>公司董事会应当综合考虑所处行业特点、发展阶段、自身经营模式、盈利水平以及是否有重 大资金支出安排等因素</w:t>
      </w:r>
      <w:r>
        <w:rPr>
          <w:rFonts w:ascii="宋体" w:hAnsi="宋体" w:cs="宋体" w:eastAsia="宋体" w:hint="default"/>
        </w:rPr>
        <w:t>, </w:t>
      </w:r>
      <w:r>
        <w:rPr/>
        <w:t>区分下列情形</w:t>
      </w:r>
      <w:r>
        <w:rPr>
          <w:rFonts w:ascii="宋体" w:hAnsi="宋体" w:cs="宋体" w:eastAsia="宋体" w:hint="default"/>
        </w:rPr>
        <w:t>,</w:t>
      </w:r>
      <w:r>
        <w:rPr>
          <w:rFonts w:ascii="宋体" w:hAnsi="宋体" w:cs="宋体" w:eastAsia="宋体" w:hint="default"/>
          <w:spacing w:val="-3"/>
        </w:rPr>
        <w:t> </w:t>
      </w:r>
      <w:r>
        <w:rPr/>
        <w:t>提出具体现金分红政策</w:t>
      </w:r>
      <w:r>
        <w:rPr>
          <w:rFonts w:ascii="宋体" w:hAnsi="宋体" w:cs="宋体" w:eastAsia="宋体" w:hint="default"/>
        </w:rPr>
        <w:t>:</w:t>
      </w:r>
    </w:p>
    <w:p>
      <w:pPr>
        <w:pStyle w:val="BodyText"/>
        <w:spacing w:line="355" w:lineRule="auto" w:before="31"/>
        <w:ind w:right="145" w:firstLine="420"/>
        <w:jc w:val="both"/>
        <w:rPr>
          <w:rFonts w:ascii="宋体" w:hAnsi="宋体" w:cs="宋体" w:eastAsia="宋体" w:hint="default"/>
        </w:rPr>
      </w:pPr>
      <w:r>
        <w:rPr/>
        <w:t>公司发展阶段属成熟期且无重大资金支出安排的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1"/>
        </w:rPr>
        <w:t> </w:t>
      </w:r>
      <w:r>
        <w:rPr/>
        <w:t>现金分红在本次利润分 配中所占比例最低应达到</w:t>
      </w:r>
      <w:r>
        <w:rPr>
          <w:spacing w:val="-53"/>
        </w:rPr>
        <w:t> </w:t>
      </w:r>
      <w:r>
        <w:rPr>
          <w:rFonts w:ascii="宋体" w:hAnsi="宋体" w:cs="宋体" w:eastAsia="宋体" w:hint="default"/>
        </w:rPr>
        <w:t>80%;</w:t>
      </w:r>
    </w:p>
    <w:p>
      <w:pPr>
        <w:pStyle w:val="BodyText"/>
        <w:spacing w:line="357" w:lineRule="auto" w:before="32"/>
        <w:ind w:right="145" w:firstLine="420"/>
        <w:jc w:val="both"/>
        <w:rPr>
          <w:rFonts w:ascii="宋体" w:hAnsi="宋体" w:cs="宋体" w:eastAsia="宋体" w:hint="default"/>
        </w:rPr>
      </w:pPr>
      <w:r>
        <w:rPr/>
        <w:t>公司发展阶段属成熟期且有重大资金支出安排的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1"/>
        </w:rPr>
        <w:t> </w:t>
      </w:r>
      <w:r>
        <w:rPr/>
        <w:t>现金分红在本次利润分 配中所占比例最低应达到</w:t>
      </w:r>
      <w:r>
        <w:rPr>
          <w:spacing w:val="-53"/>
        </w:rPr>
        <w:t> </w:t>
      </w:r>
      <w:r>
        <w:rPr>
          <w:rFonts w:ascii="宋体" w:hAnsi="宋体" w:cs="宋体" w:eastAsia="宋体" w:hint="default"/>
        </w:rPr>
        <w:t>40%;</w:t>
      </w:r>
    </w:p>
    <w:p>
      <w:pPr>
        <w:pStyle w:val="BodyText"/>
        <w:spacing w:line="357" w:lineRule="auto" w:before="30"/>
        <w:ind w:right="145" w:firstLine="420"/>
        <w:jc w:val="both"/>
      </w:pPr>
      <w:r>
        <w:rPr/>
        <w:t>公司发展阶段属成长期且有重大资金支出安排的</w:t>
      </w:r>
      <w:r>
        <w:rPr>
          <w:rFonts w:ascii="宋体" w:hAnsi="宋体" w:cs="宋体" w:eastAsia="宋体" w:hint="default"/>
        </w:rPr>
        <w:t>, </w:t>
      </w:r>
      <w:r>
        <w:rPr/>
        <w:t>进行利润分配时</w:t>
      </w:r>
      <w:r>
        <w:rPr>
          <w:rFonts w:ascii="宋体" w:hAnsi="宋体" w:cs="宋体" w:eastAsia="宋体" w:hint="default"/>
        </w:rPr>
        <w:t>,</w:t>
      </w:r>
      <w:r>
        <w:rPr>
          <w:rFonts w:ascii="宋体" w:hAnsi="宋体" w:cs="宋体" w:eastAsia="宋体" w:hint="default"/>
          <w:spacing w:val="-1"/>
        </w:rPr>
        <w:t> </w:t>
      </w:r>
      <w:r>
        <w:rPr/>
        <w:t>现金分红在本次利润分 配中所占比例最低应达到</w:t>
      </w:r>
      <w:r>
        <w:rPr>
          <w:spacing w:val="-53"/>
        </w:rPr>
        <w:t> </w:t>
      </w:r>
      <w:r>
        <w:rPr>
          <w:rFonts w:ascii="宋体" w:hAnsi="宋体" w:cs="宋体" w:eastAsia="宋体" w:hint="default"/>
        </w:rPr>
        <w:t>20%</w:t>
      </w:r>
      <w:r>
        <w:rPr/>
        <w:t>。</w:t>
      </w:r>
    </w:p>
    <w:p>
      <w:pPr>
        <w:pStyle w:val="BodyText"/>
        <w:spacing w:line="357" w:lineRule="auto" w:before="30"/>
        <w:ind w:right="147" w:firstLine="420"/>
        <w:jc w:val="both"/>
      </w:pPr>
      <w:r>
        <w:rPr/>
        <w:t>本章程中的“重大资金支出安排”是指公司在一年内购买资产以及对外投资等交易涉及的资 产总额达到公司最近一期经审计总资产</w:t>
      </w:r>
      <w:r>
        <w:rPr>
          <w:spacing w:val="-54"/>
        </w:rPr>
        <w:t> </w:t>
      </w:r>
      <w:r>
        <w:rPr>
          <w:rFonts w:ascii="宋体" w:hAnsi="宋体" w:cs="宋体" w:eastAsia="宋体" w:hint="default"/>
        </w:rPr>
        <w:t>30%(</w:t>
      </w:r>
      <w:r>
        <w:rPr/>
        <w:t>包括</w:t>
      </w:r>
      <w:r>
        <w:rPr>
          <w:spacing w:val="-55"/>
        </w:rPr>
        <w:t> </w:t>
      </w:r>
      <w:r>
        <w:rPr>
          <w:rFonts w:ascii="宋体" w:hAnsi="宋体" w:cs="宋体" w:eastAsia="宋体" w:hint="default"/>
        </w:rPr>
        <w:t>30%)</w:t>
      </w:r>
      <w:r>
        <w:rPr/>
        <w:t>。</w:t>
      </w:r>
    </w:p>
    <w:p>
      <w:pPr>
        <w:pStyle w:val="BodyText"/>
        <w:spacing w:line="355" w:lineRule="auto" w:before="30"/>
        <w:ind w:right="147" w:firstLine="420"/>
        <w:jc w:val="both"/>
      </w:pPr>
      <w:r>
        <w:rPr/>
        <w:t>发放股票股利的具体条件</w:t>
      </w:r>
      <w:r>
        <w:rPr>
          <w:rFonts w:ascii="宋体" w:hAnsi="宋体" w:cs="宋体" w:eastAsia="宋体" w:hint="default"/>
        </w:rPr>
        <w:t>: </w:t>
      </w:r>
      <w:r>
        <w:rPr/>
        <w:t>在满足上述现金分配股利之余</w:t>
      </w:r>
      <w:r>
        <w:rPr>
          <w:rFonts w:ascii="宋体" w:hAnsi="宋体" w:cs="宋体" w:eastAsia="宋体" w:hint="default"/>
        </w:rPr>
        <w:t>,</w:t>
      </w:r>
      <w:r>
        <w:rPr>
          <w:rFonts w:ascii="宋体" w:hAnsi="宋体" w:cs="宋体" w:eastAsia="宋体" w:hint="default"/>
          <w:spacing w:val="-3"/>
        </w:rPr>
        <w:t> </w:t>
      </w:r>
      <w:r>
        <w:rPr/>
        <w:t>结合公司股本规模和公司股票价 格情况</w:t>
      </w:r>
      <w:r>
        <w:rPr>
          <w:rFonts w:ascii="宋体" w:hAnsi="宋体" w:cs="宋体" w:eastAsia="宋体" w:hint="default"/>
        </w:rPr>
        <w:t>,</w:t>
      </w:r>
      <w:r>
        <w:rPr>
          <w:rFonts w:ascii="宋体" w:hAnsi="宋体" w:cs="宋体" w:eastAsia="宋体" w:hint="default"/>
          <w:spacing w:val="-1"/>
        </w:rPr>
        <w:t> </w:t>
      </w:r>
      <w:r>
        <w:rPr/>
        <w:t>公司可以与现金分红同时或者单独提出并实施股票股利分配方案。</w:t>
      </w:r>
    </w:p>
    <w:p>
      <w:pPr>
        <w:pStyle w:val="BodyText"/>
        <w:spacing w:line="355" w:lineRule="auto" w:before="33"/>
        <w:ind w:right="144" w:firstLine="420"/>
        <w:jc w:val="both"/>
      </w:pPr>
      <w:r>
        <w:rPr/>
        <w:t>利润分配的时间间隔</w:t>
      </w:r>
      <w:r>
        <w:rPr>
          <w:rFonts w:ascii="宋体" w:hAnsi="宋体" w:cs="宋体" w:eastAsia="宋体" w:hint="default"/>
        </w:rPr>
        <w:t>: </w:t>
      </w:r>
      <w:r>
        <w:rPr/>
        <w:t>公司符合本章程规定的条件</w:t>
      </w:r>
      <w:r>
        <w:rPr>
          <w:rFonts w:ascii="宋体" w:hAnsi="宋体" w:cs="宋体" w:eastAsia="宋体" w:hint="default"/>
        </w:rPr>
        <w:t>, </w:t>
      </w:r>
      <w:r>
        <w:rPr/>
        <w:t>可以每年度进行一次利润分配</w:t>
      </w:r>
      <w:r>
        <w:rPr>
          <w:rFonts w:ascii="宋体" w:hAnsi="宋体" w:cs="宋体" w:eastAsia="宋体" w:hint="default"/>
        </w:rPr>
        <w:t>, </w:t>
      </w:r>
      <w:r>
        <w:rPr/>
        <w:t>也可以 进行中期利润分配。</w:t>
      </w:r>
    </w:p>
    <w:p>
      <w:pPr>
        <w:pStyle w:val="BodyText"/>
        <w:spacing w:line="357" w:lineRule="auto" w:before="33"/>
        <w:ind w:left="558" w:right="128"/>
        <w:jc w:val="left"/>
      </w:pPr>
      <w:r>
        <w:rPr/>
        <w:t>（三）制订利润分配具体方案应履行的审议程序 公司利润分配方案由董事会根据公司经营状况和有关规定拟定</w:t>
      </w:r>
      <w:r>
        <w:rPr>
          <w:rFonts w:ascii="宋体" w:hAnsi="宋体" w:cs="宋体" w:eastAsia="宋体" w:hint="default"/>
        </w:rPr>
        <w:t>, </w:t>
      </w:r>
      <w:r>
        <w:rPr/>
        <w:t>提交股东大会审议决定</w:t>
      </w:r>
      <w:r>
        <w:rPr>
          <w:rFonts w:ascii="宋体" w:hAnsi="宋体" w:cs="宋体" w:eastAsia="宋体" w:hint="default"/>
        </w:rPr>
        <w:t>, </w:t>
      </w:r>
      <w:r>
        <w:rPr/>
        <w:t>独</w:t>
      </w:r>
    </w:p>
    <w:p>
      <w:pPr>
        <w:pStyle w:val="BodyText"/>
        <w:spacing w:line="240" w:lineRule="auto" w:before="31"/>
        <w:ind w:right="135"/>
        <w:jc w:val="left"/>
      </w:pPr>
      <w:r>
        <w:rPr/>
        <w:t>立董事应当对此发表独立意见。</w:t>
      </w:r>
    </w:p>
    <w:p>
      <w:pPr>
        <w:pStyle w:val="BodyText"/>
        <w:spacing w:line="240" w:lineRule="auto" w:before="133"/>
        <w:ind w:left="558" w:right="135"/>
        <w:jc w:val="left"/>
      </w:pPr>
      <w:r>
        <w:rPr/>
        <w:t>独立董事可以征集中小股东的意见</w:t>
      </w:r>
      <w:r>
        <w:rPr>
          <w:rFonts w:ascii="宋体" w:hAnsi="宋体" w:cs="宋体" w:eastAsia="宋体" w:hint="default"/>
        </w:rPr>
        <w:t>, </w:t>
      </w:r>
      <w:r>
        <w:rPr/>
        <w:t>提出分红提案</w:t>
      </w:r>
      <w:r>
        <w:rPr>
          <w:rFonts w:ascii="宋体" w:hAnsi="宋体" w:cs="宋体" w:eastAsia="宋体" w:hint="default"/>
        </w:rPr>
        <w:t>,</w:t>
      </w:r>
      <w:r>
        <w:rPr>
          <w:rFonts w:ascii="宋体" w:hAnsi="宋体" w:cs="宋体" w:eastAsia="宋体" w:hint="default"/>
          <w:spacing w:val="-3"/>
        </w:rPr>
        <w:t> </w:t>
      </w:r>
      <w:r>
        <w:rPr/>
        <w:t>并直接提交董事会审议。</w:t>
      </w:r>
    </w:p>
    <w:p>
      <w:pPr>
        <w:spacing w:after="0" w:line="240" w:lineRule="auto"/>
        <w:jc w:val="left"/>
        <w:sectPr>
          <w:footerReference w:type="default" r:id="rId23"/>
          <w:pgSz w:w="11910" w:h="16840"/>
          <w:pgMar w:footer="1194" w:header="0" w:top="1120" w:bottom="1380" w:left="1660" w:right="1140"/>
          <w:pgNumType w:start="28"/>
        </w:sectPr>
      </w:pPr>
    </w:p>
    <w:p>
      <w:pPr>
        <w:spacing w:line="240" w:lineRule="auto" w:before="6"/>
        <w:rPr>
          <w:rFonts w:ascii="宋体" w:hAnsi="宋体" w:cs="宋体" w:eastAsia="宋体" w:hint="default"/>
          <w:sz w:val="25"/>
          <w:szCs w:val="25"/>
        </w:rPr>
      </w:pPr>
    </w:p>
    <w:p>
      <w:pPr>
        <w:pStyle w:val="BodyText"/>
        <w:spacing w:line="357" w:lineRule="auto" w:before="35"/>
        <w:ind w:right="144" w:firstLine="420"/>
        <w:jc w:val="both"/>
      </w:pPr>
      <w:r>
        <w:rPr/>
        <w:t>制订公司利润分配具体方案时</w:t>
      </w:r>
      <w:r>
        <w:rPr>
          <w:rFonts w:ascii="宋体" w:hAnsi="宋体" w:cs="宋体" w:eastAsia="宋体" w:hint="default"/>
        </w:rPr>
        <w:t>, </w:t>
      </w:r>
      <w:r>
        <w:rPr/>
        <w:t>应当通过公司网站、公众信箱或者来访接待等渠道</w:t>
      </w:r>
      <w:r>
        <w:rPr>
          <w:rFonts w:ascii="宋体" w:hAnsi="宋体" w:cs="宋体" w:eastAsia="宋体" w:hint="default"/>
        </w:rPr>
        <w:t>, </w:t>
      </w:r>
      <w:r>
        <w:rPr/>
        <w:t>充分听 取中小股东的意见和诉求并及时答复中小股东关心的问题。与中小股东的上述交流和沟通应当形 成记录。</w:t>
      </w:r>
    </w:p>
    <w:p>
      <w:pPr>
        <w:pStyle w:val="BodyText"/>
        <w:spacing w:line="357" w:lineRule="auto" w:before="30"/>
        <w:ind w:right="145" w:firstLine="420"/>
        <w:jc w:val="both"/>
      </w:pPr>
      <w:r>
        <w:rPr/>
        <w:t>（四）公司在年度报告中详细披露现金分红政策的制定及执行情况。公司在特殊情况下无法 按照既定的现金分红政策或最低现金分红比例确定当年利润分配方案的</w:t>
      </w:r>
      <w:r>
        <w:rPr>
          <w:rFonts w:ascii="宋体" w:hAnsi="宋体" w:cs="宋体" w:eastAsia="宋体" w:hint="default"/>
        </w:rPr>
        <w:t>,</w:t>
      </w:r>
      <w:r>
        <w:rPr>
          <w:rFonts w:ascii="宋体" w:hAnsi="宋体" w:cs="宋体" w:eastAsia="宋体" w:hint="default"/>
          <w:spacing w:val="-1"/>
        </w:rPr>
        <w:t> </w:t>
      </w:r>
      <w:r>
        <w:rPr/>
        <w:t>应当在年度报告中披露 具体原因以及独立董事的明确意见</w:t>
      </w:r>
      <w:r>
        <w:rPr>
          <w:rFonts w:ascii="宋体" w:hAnsi="宋体" w:cs="宋体" w:eastAsia="宋体" w:hint="default"/>
        </w:rPr>
        <w:t>,</w:t>
      </w:r>
      <w:r>
        <w:rPr>
          <w:rFonts w:ascii="宋体" w:hAnsi="宋体" w:cs="宋体" w:eastAsia="宋体" w:hint="default"/>
          <w:spacing w:val="-2"/>
        </w:rPr>
        <w:t> </w:t>
      </w:r>
      <w:r>
        <w:rPr/>
        <w:t>公司当年利润分配方案应当经出席股东大会的股东所持表决 权的</w:t>
      </w:r>
      <w:r>
        <w:rPr>
          <w:spacing w:val="-54"/>
        </w:rPr>
        <w:t> </w:t>
      </w:r>
      <w:r>
        <w:rPr>
          <w:rFonts w:ascii="宋体" w:hAnsi="宋体" w:cs="宋体" w:eastAsia="宋体" w:hint="default"/>
        </w:rPr>
        <w:t>2/3</w:t>
      </w:r>
      <w:r>
        <w:rPr>
          <w:rFonts w:ascii="宋体" w:hAnsi="宋体" w:cs="宋体" w:eastAsia="宋体" w:hint="default"/>
          <w:spacing w:val="-53"/>
        </w:rPr>
        <w:t> </w:t>
      </w:r>
      <w:r>
        <w:rPr/>
        <w:t>以上通过。</w:t>
      </w:r>
    </w:p>
    <w:p>
      <w:pPr>
        <w:pStyle w:val="BodyText"/>
        <w:spacing w:line="355" w:lineRule="auto" w:before="31"/>
        <w:ind w:right="146" w:firstLine="420"/>
        <w:jc w:val="both"/>
      </w:pPr>
      <w:r>
        <w:rPr/>
        <w:t>（五）公司监事会对董事会执行现金分红政策和股东回报规划以及是否履行相应决策程序和 信息披露等情况进行监督。</w:t>
      </w:r>
    </w:p>
    <w:p>
      <w:pPr>
        <w:pStyle w:val="BodyText"/>
        <w:spacing w:line="355" w:lineRule="auto" w:before="33"/>
        <w:ind w:left="558" w:right="1075"/>
        <w:jc w:val="left"/>
        <w:rPr>
          <w:rFonts w:ascii="宋体" w:hAnsi="宋体" w:cs="宋体" w:eastAsia="宋体" w:hint="default"/>
        </w:rPr>
      </w:pPr>
      <w:r>
        <w:rPr/>
        <w:t>监事会发现董事会存在以下情形之一的</w:t>
      </w:r>
      <w:r>
        <w:rPr>
          <w:rFonts w:ascii="宋体" w:hAnsi="宋体" w:cs="宋体" w:eastAsia="宋体" w:hint="default"/>
        </w:rPr>
        <w:t>, </w:t>
      </w:r>
      <w:r>
        <w:rPr/>
        <w:t>应当发表明确意见</w:t>
      </w:r>
      <w:r>
        <w:rPr>
          <w:rFonts w:ascii="宋体" w:hAnsi="宋体" w:cs="宋体" w:eastAsia="宋体" w:hint="default"/>
        </w:rPr>
        <w:t>,</w:t>
      </w:r>
      <w:r>
        <w:rPr>
          <w:rFonts w:ascii="宋体" w:hAnsi="宋体" w:cs="宋体" w:eastAsia="宋体" w:hint="default"/>
          <w:spacing w:val="-2"/>
        </w:rPr>
        <w:t> </w:t>
      </w:r>
      <w:r>
        <w:rPr/>
        <w:t>并督促其及时改正</w:t>
      </w:r>
      <w:r>
        <w:rPr>
          <w:rFonts w:ascii="宋体" w:hAnsi="宋体" w:cs="宋体" w:eastAsia="宋体" w:hint="default"/>
        </w:rPr>
        <w:t>: </w:t>
      </w:r>
      <w:r>
        <w:rPr/>
        <w:t>未严格执行现金分红政策和股东回报规划</w:t>
      </w:r>
      <w:r>
        <w:rPr>
          <w:rFonts w:ascii="宋体" w:hAnsi="宋体" w:cs="宋体" w:eastAsia="宋体" w:hint="default"/>
        </w:rPr>
        <w:t>;</w:t>
      </w:r>
    </w:p>
    <w:p>
      <w:pPr>
        <w:pStyle w:val="BodyText"/>
        <w:spacing w:line="355" w:lineRule="auto" w:before="33"/>
        <w:ind w:left="558" w:right="3278"/>
        <w:jc w:val="left"/>
      </w:pPr>
      <w:r>
        <w:rPr/>
        <w:t>未严格履行现金分红相应决策程序</w:t>
      </w:r>
      <w:r>
        <w:rPr>
          <w:rFonts w:ascii="宋体" w:hAnsi="宋体" w:cs="宋体" w:eastAsia="宋体" w:hint="default"/>
        </w:rPr>
        <w:t>; </w:t>
      </w:r>
      <w:r>
        <w:rPr/>
        <w:t>未能真实、准确、完整披露现金分红政策及其执行情况。</w:t>
      </w:r>
    </w:p>
    <w:p>
      <w:pPr>
        <w:pStyle w:val="BodyText"/>
        <w:spacing w:line="357" w:lineRule="auto" w:before="32"/>
        <w:ind w:right="198" w:firstLine="420"/>
        <w:jc w:val="both"/>
      </w:pPr>
      <w:r>
        <w:rPr/>
        <w:t>（六）公司分配当年税后利润时</w:t>
      </w:r>
      <w:r>
        <w:rPr>
          <w:rFonts w:ascii="宋体" w:hAnsi="宋体" w:cs="宋体" w:eastAsia="宋体" w:hint="default"/>
        </w:rPr>
        <w:t>, </w:t>
      </w:r>
      <w:r>
        <w:rPr/>
        <w:t>应当提取利润的</w:t>
      </w:r>
      <w:r>
        <w:rPr>
          <w:spacing w:val="-55"/>
        </w:rPr>
        <w:t> </w:t>
      </w:r>
      <w:r>
        <w:rPr>
          <w:rFonts w:ascii="宋体" w:hAnsi="宋体" w:cs="宋体" w:eastAsia="宋体" w:hint="default"/>
        </w:rPr>
        <w:t>10%</w:t>
      </w:r>
      <w:r>
        <w:rPr/>
        <w:t>列入公司法定公积金。公司法定公积 金累计额为公司注册资本的 </w:t>
      </w:r>
      <w:r>
        <w:rPr>
          <w:rFonts w:ascii="宋体" w:hAnsi="宋体" w:cs="宋体" w:eastAsia="宋体" w:hint="default"/>
        </w:rPr>
        <w:t>50%</w:t>
      </w:r>
      <w:r>
        <w:rPr/>
        <w:t>以上的</w:t>
      </w:r>
      <w:r>
        <w:rPr>
          <w:rFonts w:ascii="宋体" w:hAnsi="宋体" w:cs="宋体" w:eastAsia="宋体" w:hint="default"/>
        </w:rPr>
        <w:t>,</w:t>
      </w:r>
      <w:r>
        <w:rPr>
          <w:rFonts w:ascii="宋体" w:hAnsi="宋体" w:cs="宋体" w:eastAsia="宋体" w:hint="default"/>
          <w:spacing w:val="-56"/>
        </w:rPr>
        <w:t> </w:t>
      </w:r>
      <w:r>
        <w:rPr/>
        <w:t>可以不再提取。</w:t>
      </w:r>
    </w:p>
    <w:p>
      <w:pPr>
        <w:pStyle w:val="BodyText"/>
        <w:spacing w:line="357" w:lineRule="auto" w:before="30"/>
        <w:ind w:right="145" w:firstLine="420"/>
        <w:jc w:val="both"/>
      </w:pPr>
      <w:r>
        <w:rPr/>
        <w:t>公司的法定公积金不足以弥补以前年度亏损的</w:t>
      </w:r>
      <w:r>
        <w:rPr>
          <w:rFonts w:ascii="宋体" w:hAnsi="宋体" w:cs="宋体" w:eastAsia="宋体" w:hint="default"/>
        </w:rPr>
        <w:t>, </w:t>
      </w:r>
      <w:r>
        <w:rPr/>
        <w:t>在依照前款规定提取法定公积金之前</w:t>
      </w:r>
      <w:r>
        <w:rPr>
          <w:rFonts w:ascii="宋体" w:hAnsi="宋体" w:cs="宋体" w:eastAsia="宋体" w:hint="default"/>
        </w:rPr>
        <w:t>,</w:t>
      </w:r>
      <w:r>
        <w:rPr>
          <w:rFonts w:ascii="宋体" w:hAnsi="宋体" w:cs="宋体" w:eastAsia="宋体" w:hint="default"/>
          <w:spacing w:val="-1"/>
        </w:rPr>
        <w:t> </w:t>
      </w:r>
      <w:r>
        <w:rPr/>
        <w:t>应当 先用当年利润弥补亏损。</w:t>
      </w:r>
    </w:p>
    <w:p>
      <w:pPr>
        <w:pStyle w:val="BodyText"/>
        <w:spacing w:line="357" w:lineRule="auto" w:before="30"/>
        <w:ind w:right="147" w:firstLine="420"/>
        <w:jc w:val="both"/>
      </w:pPr>
      <w:r>
        <w:rPr/>
        <w:t>公司从税后利润中提取法定公积金后</w:t>
      </w:r>
      <w:r>
        <w:rPr>
          <w:rFonts w:ascii="宋体" w:hAnsi="宋体" w:cs="宋体" w:eastAsia="宋体" w:hint="default"/>
        </w:rPr>
        <w:t>, </w:t>
      </w:r>
      <w:r>
        <w:rPr/>
        <w:t>经股东大会决议</w:t>
      </w:r>
      <w:r>
        <w:rPr>
          <w:rFonts w:ascii="宋体" w:hAnsi="宋体" w:cs="宋体" w:eastAsia="宋体" w:hint="default"/>
        </w:rPr>
        <w:t>,</w:t>
      </w:r>
      <w:r>
        <w:rPr>
          <w:rFonts w:ascii="宋体" w:hAnsi="宋体" w:cs="宋体" w:eastAsia="宋体" w:hint="default"/>
          <w:spacing w:val="-1"/>
        </w:rPr>
        <w:t> </w:t>
      </w:r>
      <w:r>
        <w:rPr/>
        <w:t>还可以从税后利润中提取任意公积 金。</w:t>
      </w:r>
    </w:p>
    <w:p>
      <w:pPr>
        <w:pStyle w:val="BodyText"/>
        <w:spacing w:line="355" w:lineRule="auto" w:before="30"/>
        <w:ind w:right="145" w:firstLine="420"/>
        <w:jc w:val="both"/>
      </w:pPr>
      <w:r>
        <w:rPr/>
        <w:t>公司弥补亏损和提取公积金后所余税后利润</w:t>
      </w:r>
      <w:r>
        <w:rPr>
          <w:rFonts w:ascii="宋体" w:hAnsi="宋体" w:cs="宋体" w:eastAsia="宋体" w:hint="default"/>
        </w:rPr>
        <w:t>, </w:t>
      </w:r>
      <w:r>
        <w:rPr/>
        <w:t>按照股东持有的股份比例分配</w:t>
      </w:r>
      <w:r>
        <w:rPr>
          <w:rFonts w:ascii="宋体" w:hAnsi="宋体" w:cs="宋体" w:eastAsia="宋体" w:hint="default"/>
        </w:rPr>
        <w:t>,</w:t>
      </w:r>
      <w:r>
        <w:rPr>
          <w:rFonts w:ascii="宋体" w:hAnsi="宋体" w:cs="宋体" w:eastAsia="宋体" w:hint="default"/>
          <w:spacing w:val="-1"/>
        </w:rPr>
        <w:t> </w:t>
      </w:r>
      <w:r>
        <w:rPr/>
        <w:t>但本章程规定 不按持股比例分配的除外。</w:t>
      </w:r>
    </w:p>
    <w:p>
      <w:pPr>
        <w:pStyle w:val="BodyText"/>
        <w:spacing w:line="355" w:lineRule="auto" w:before="33"/>
        <w:ind w:right="146" w:firstLine="420"/>
        <w:jc w:val="both"/>
      </w:pPr>
      <w:r>
        <w:rPr/>
        <w:t>股东大会违反前款规定</w:t>
      </w:r>
      <w:r>
        <w:rPr>
          <w:rFonts w:ascii="宋体" w:hAnsi="宋体" w:cs="宋体" w:eastAsia="宋体" w:hint="default"/>
        </w:rPr>
        <w:t>, </w:t>
      </w:r>
      <w:r>
        <w:rPr/>
        <w:t>在公司弥补亏损和提取法定公积金之前向股东分配利润的</w:t>
      </w:r>
      <w:r>
        <w:rPr>
          <w:rFonts w:ascii="宋体" w:hAnsi="宋体" w:cs="宋体" w:eastAsia="宋体" w:hint="default"/>
        </w:rPr>
        <w:t>,</w:t>
      </w:r>
      <w:r>
        <w:rPr>
          <w:rFonts w:ascii="宋体" w:hAnsi="宋体" w:cs="宋体" w:eastAsia="宋体" w:hint="default"/>
          <w:spacing w:val="-2"/>
        </w:rPr>
        <w:t> </w:t>
      </w:r>
      <w:r>
        <w:rPr/>
        <w:t>股东必 须将违反规定分配的利润退还公司。</w:t>
      </w:r>
    </w:p>
    <w:p>
      <w:pPr>
        <w:spacing w:line="240" w:lineRule="auto" w:before="11"/>
        <w:rPr>
          <w:rFonts w:ascii="宋体" w:hAnsi="宋体" w:cs="宋体" w:eastAsia="宋体" w:hint="default"/>
          <w:sz w:val="27"/>
          <w:szCs w:val="27"/>
        </w:rPr>
      </w:pPr>
    </w:p>
    <w:p>
      <w:pPr>
        <w:spacing w:line="312"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公司近三年（含报告期）的利润分配方案或预案、资本公积金转增股本方案或预案</w:t>
      </w:r>
      <w:r>
        <w:rPr>
          <w:rFonts w:ascii="宋体" w:hAnsi="宋体" w:cs="宋体" w:eastAsia="宋体" w:hint="default"/>
          <w:b/>
          <w:bCs/>
          <w:w w:val="99"/>
          <w:sz w:val="21"/>
          <w:szCs w:val="21"/>
        </w:rPr>
        <w:t> </w:t>
      </w:r>
      <w:r>
        <w:rPr>
          <w:rFonts w:ascii="宋体" w:hAnsi="宋体" w:cs="宋体" w:eastAsia="宋体" w:hint="default"/>
          <w:sz w:val="21"/>
          <w:szCs w:val="21"/>
        </w:rPr>
        <w:t>公司</w:t>
      </w:r>
      <w:r>
        <w:rPr>
          <w:rFonts w:ascii="宋体" w:hAnsi="宋体" w:cs="宋体" w:eastAsia="宋体" w:hint="default"/>
          <w:sz w:val="21"/>
          <w:szCs w:val="21"/>
        </w:rPr>
        <w:t>2012</w:t>
      </w:r>
      <w:r>
        <w:rPr>
          <w:rFonts w:ascii="宋体" w:hAnsi="宋体" w:cs="宋体" w:eastAsia="宋体" w:hint="default"/>
          <w:sz w:val="21"/>
          <w:szCs w:val="21"/>
        </w:rPr>
        <w:t>年度、</w:t>
      </w:r>
      <w:r>
        <w:rPr>
          <w:rFonts w:ascii="宋体" w:hAnsi="宋体" w:cs="宋体" w:eastAsia="宋体" w:hint="default"/>
          <w:sz w:val="21"/>
          <w:szCs w:val="21"/>
        </w:rPr>
        <w:t>2013</w:t>
      </w:r>
      <w:r>
        <w:rPr>
          <w:rFonts w:ascii="宋体" w:hAnsi="宋体" w:cs="宋体" w:eastAsia="宋体" w:hint="default"/>
          <w:sz w:val="21"/>
          <w:szCs w:val="21"/>
        </w:rPr>
        <w:t>年度均未进行利润分配、资本公积金转增股本。</w:t>
      </w:r>
      <w:r>
        <w:rPr>
          <w:rFonts w:ascii="宋体" w:hAnsi="宋体" w:cs="宋体" w:eastAsia="宋体" w:hint="default"/>
          <w:sz w:val="21"/>
          <w:szCs w:val="21"/>
        </w:rPr>
        <w:t>2014</w:t>
      </w:r>
      <w:r>
        <w:rPr>
          <w:rFonts w:ascii="宋体" w:hAnsi="宋体" w:cs="宋体" w:eastAsia="宋体" w:hint="default"/>
          <w:sz w:val="21"/>
          <w:szCs w:val="21"/>
        </w:rPr>
        <w:t>年度，公司拟定不</w:t>
      </w:r>
    </w:p>
    <w:p>
      <w:pPr>
        <w:pStyle w:val="BodyText"/>
        <w:spacing w:line="355" w:lineRule="auto" w:before="70"/>
        <w:ind w:right="128"/>
        <w:jc w:val="left"/>
      </w:pPr>
      <w:r>
        <w:rPr/>
        <w:t>进行利润分配，也不进行资本公积金转增股本，此预案经公司董事会审议后尚需提交公司</w:t>
      </w:r>
      <w:r>
        <w:rPr>
          <w:rFonts w:ascii="宋体" w:hAnsi="宋体" w:cs="宋体" w:eastAsia="宋体" w:hint="default"/>
        </w:rPr>
        <w:t>2014</w:t>
      </w:r>
      <w:r>
        <w:rPr/>
        <w:t>年 年度股东大会审议。</w:t>
      </w:r>
    </w:p>
    <w:p>
      <w:pPr>
        <w:spacing w:line="240" w:lineRule="auto" w:before="11"/>
        <w:rPr>
          <w:rFonts w:ascii="宋体" w:hAnsi="宋体" w:cs="宋体" w:eastAsia="宋体" w:hint="default"/>
          <w:sz w:val="27"/>
          <w:szCs w:val="27"/>
        </w:rPr>
      </w:pPr>
    </w:p>
    <w:p>
      <w:pPr>
        <w:pStyle w:val="Heading3"/>
        <w:spacing w:line="290" w:lineRule="auto" w:before="0"/>
        <w:ind w:left="138" w:right="5786"/>
        <w:jc w:val="left"/>
        <w:rPr>
          <w:b w:val="0"/>
          <w:bCs w:val="0"/>
        </w:rPr>
      </w:pPr>
      <w:r>
        <w:rPr/>
        <w:t>五、积极履行社会责任的工作情况</w:t>
      </w:r>
      <w:r>
        <w:rPr>
          <w:w w:val="99"/>
        </w:rPr>
        <w:t> </w:t>
      </w: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7"/>
        </w:rPr>
        <w:t> </w:t>
      </w:r>
      <w:r>
        <w:rPr/>
        <w:t>社会责任工作情况</w:t>
      </w:r>
      <w:r>
        <w:rPr>
          <w:b w:val="0"/>
          <w:bCs w:val="0"/>
        </w:rPr>
      </w:r>
    </w:p>
    <w:p>
      <w:pPr>
        <w:pStyle w:val="BodyText"/>
        <w:spacing w:line="355" w:lineRule="auto" w:before="75"/>
        <w:ind w:right="146" w:firstLine="420"/>
        <w:jc w:val="both"/>
      </w:pPr>
      <w:r>
        <w:rPr/>
        <w:t>公司努力为客户提供“专业、高效、优质、诚信”的服务，为股东创造良好回报、保护股东 权益，和合作伙伴共同成长，为员工提供发展平台，为社会创造公共价值，积极承担对客户、股</w:t>
      </w:r>
    </w:p>
    <w:p>
      <w:pPr>
        <w:spacing w:after="0" w:line="355" w:lineRule="auto"/>
        <w:jc w:val="both"/>
        <w:sectPr>
          <w:pgSz w:w="11910" w:h="16840"/>
          <w:pgMar w:header="0" w:footer="1194" w:top="1120" w:bottom="1380" w:left="1660" w:right="1140"/>
        </w:sectPr>
      </w:pPr>
    </w:p>
    <w:p>
      <w:pPr>
        <w:spacing w:line="240" w:lineRule="auto" w:before="6"/>
        <w:rPr>
          <w:rFonts w:ascii="宋体" w:hAnsi="宋体" w:cs="宋体" w:eastAsia="宋体" w:hint="default"/>
          <w:sz w:val="25"/>
          <w:szCs w:val="25"/>
        </w:rPr>
      </w:pPr>
    </w:p>
    <w:p>
      <w:pPr>
        <w:pStyle w:val="BodyText"/>
        <w:spacing w:line="355" w:lineRule="auto" w:before="35"/>
        <w:ind w:right="146"/>
        <w:jc w:val="both"/>
      </w:pPr>
      <w:r>
        <w:rPr/>
        <w:t>东、合作伙伴、员工、社会等相关利益体的社会责任，努力实现公司与客户、股东、合作伙伴、 员工和社会的和谐发展。</w:t>
      </w:r>
    </w:p>
    <w:p>
      <w:pPr>
        <w:pStyle w:val="BodyText"/>
        <w:spacing w:line="357" w:lineRule="auto" w:before="33"/>
        <w:ind w:left="338" w:right="138" w:firstLine="219"/>
        <w:jc w:val="left"/>
      </w:pPr>
      <w:r>
        <w:rPr>
          <w:rFonts w:ascii="宋体" w:hAnsi="宋体" w:cs="宋体" w:eastAsia="宋体" w:hint="default"/>
        </w:rPr>
        <w:t>1</w:t>
      </w:r>
      <w:r>
        <w:rPr/>
        <w:t>、客户责任 公司作为物业管理服务的提供商，拥有一支专业的物业管理及服务团队，公司注重打造良好的</w:t>
      </w:r>
    </w:p>
    <w:p>
      <w:pPr>
        <w:pStyle w:val="BodyText"/>
        <w:spacing w:line="355" w:lineRule="auto" w:before="31"/>
        <w:ind w:right="146"/>
        <w:jc w:val="both"/>
      </w:pPr>
      <w:r>
        <w:rPr/>
        <w:t>服务意识，按照诚实守信、互利共赢、合法合规的原则，与客户保持了良好的合作关系，并通过 改善服务方法、加强服务手段等方式，为公司客户提供更加全方位的物业管理服务。</w:t>
      </w:r>
    </w:p>
    <w:p>
      <w:pPr>
        <w:pStyle w:val="BodyText"/>
        <w:spacing w:line="357" w:lineRule="auto" w:before="32"/>
        <w:ind w:left="544" w:right="142" w:firstLine="13"/>
        <w:jc w:val="left"/>
      </w:pPr>
      <w:r>
        <w:rPr>
          <w:rFonts w:ascii="宋体" w:hAnsi="宋体" w:cs="宋体" w:eastAsia="宋体" w:hint="default"/>
        </w:rPr>
        <w:t>2</w:t>
      </w:r>
      <w:r>
        <w:rPr/>
        <w:t>、股东责任 公司严格执行《投资者关系管理制度》，加强与投资者之间的信息沟通，切实保护投资者特</w:t>
      </w:r>
    </w:p>
    <w:p>
      <w:pPr>
        <w:pStyle w:val="BodyText"/>
        <w:spacing w:line="357" w:lineRule="auto" w:before="30"/>
        <w:ind w:right="133"/>
        <w:jc w:val="both"/>
      </w:pPr>
      <w:r>
        <w:rPr/>
        <w:t>别是中小投资者的合法权益。</w:t>
      </w:r>
      <w:r>
        <w:rPr>
          <w:rFonts w:ascii="宋体" w:hAnsi="宋体" w:cs="宋体" w:eastAsia="宋体" w:hint="default"/>
        </w:rPr>
        <w:t>2014</w:t>
      </w:r>
      <w:r>
        <w:rPr>
          <w:rFonts w:ascii="宋体" w:hAnsi="宋体" w:cs="宋体" w:eastAsia="宋体" w:hint="default"/>
          <w:spacing w:val="-66"/>
        </w:rPr>
        <w:t> </w:t>
      </w:r>
      <w:r>
        <w:rPr>
          <w:spacing w:val="-3"/>
        </w:rPr>
        <w:t>年度，经第七届董事会第三十一次会议、</w:t>
      </w:r>
      <w:r>
        <w:rPr>
          <w:rFonts w:ascii="宋体" w:hAnsi="宋体" w:cs="宋体" w:eastAsia="宋体" w:hint="default"/>
          <w:spacing w:val="-3"/>
        </w:rPr>
        <w:t>2014</w:t>
      </w:r>
      <w:r>
        <w:rPr>
          <w:rFonts w:ascii="宋体" w:hAnsi="宋体" w:cs="宋体" w:eastAsia="宋体" w:hint="default"/>
          <w:spacing w:val="-67"/>
        </w:rPr>
        <w:t> </w:t>
      </w:r>
      <w:r>
        <w:rPr/>
        <w:t>年第一次临时股 东大会审议通过，公司对《公司章程》中利润分配政策条款进行了修订，同时制定了《公司未来 三年</w:t>
      </w:r>
      <w:r>
        <w:rPr>
          <w:rFonts w:ascii="宋体" w:hAnsi="宋体" w:cs="宋体" w:eastAsia="宋体" w:hint="default"/>
        </w:rPr>
        <w:t>(2014-2016 </w:t>
      </w:r>
      <w:r>
        <w:rPr/>
        <w:t>年度</w:t>
      </w:r>
      <w:r>
        <w:rPr>
          <w:rFonts w:ascii="宋体" w:hAnsi="宋体" w:cs="宋体" w:eastAsia="宋体" w:hint="default"/>
        </w:rPr>
        <w:t>)</w:t>
      </w:r>
      <w:r>
        <w:rPr/>
        <w:t>股东回报规划》，以期建立健全公司的股东回报机制</w:t>
      </w:r>
      <w:r>
        <w:rPr>
          <w:rFonts w:ascii="宋体" w:hAnsi="宋体" w:cs="宋体" w:eastAsia="宋体" w:hint="default"/>
        </w:rPr>
        <w:t>,</w:t>
      </w:r>
      <w:r>
        <w:rPr>
          <w:rFonts w:ascii="宋体" w:hAnsi="宋体" w:cs="宋体" w:eastAsia="宋体" w:hint="default"/>
          <w:spacing w:val="-56"/>
        </w:rPr>
        <w:t> </w:t>
      </w:r>
      <w:r>
        <w:rPr/>
        <w:t>增加利润分配政策 决策透明度和可操作性</w:t>
      </w:r>
      <w:r>
        <w:rPr>
          <w:rFonts w:ascii="宋体" w:hAnsi="宋体" w:cs="宋体" w:eastAsia="宋体" w:hint="default"/>
        </w:rPr>
        <w:t>,</w:t>
      </w:r>
      <w:r>
        <w:rPr>
          <w:rFonts w:ascii="宋体" w:hAnsi="宋体" w:cs="宋体" w:eastAsia="宋体" w:hint="default"/>
          <w:spacing w:val="-2"/>
        </w:rPr>
        <w:t> </w:t>
      </w:r>
      <w:r>
        <w:rPr/>
        <w:t>积极回报广大股东。</w:t>
      </w:r>
    </w:p>
    <w:p>
      <w:pPr>
        <w:pStyle w:val="BodyText"/>
        <w:spacing w:line="355" w:lineRule="auto" w:before="30"/>
        <w:ind w:left="544" w:right="142"/>
        <w:jc w:val="left"/>
      </w:pPr>
      <w:r>
        <w:rPr>
          <w:rFonts w:ascii="宋体" w:hAnsi="宋体" w:cs="宋体" w:eastAsia="宋体" w:hint="default"/>
        </w:rPr>
        <w:t>3</w:t>
      </w:r>
      <w:r>
        <w:rPr/>
        <w:t>、员工责任 公司坚持以人为本，在规范用工、薪酬福利制度、员工培训、员工关怀、员工发展等方面采</w:t>
      </w:r>
    </w:p>
    <w:p>
      <w:pPr>
        <w:pStyle w:val="BodyText"/>
        <w:spacing w:line="357" w:lineRule="auto" w:before="33"/>
        <w:ind w:right="146"/>
        <w:jc w:val="both"/>
      </w:pPr>
      <w:r>
        <w:rPr/>
        <w:t>取积极有力的措施保障员工的合法权益。公司制定多项规章制度保障和规范员工的招聘环节，明 确员工的各项权利；根据行业水平，建立了公平、有竞争力的薪酬体系与调薪机制；根据公司的 发展战略和管理需要，积极鼓励员工参与公司内部及外部的各种培训；通过设立工会，与员工保 持积极沟通，不断改善员工办公条件，力求为员工创建良好、安全、祥和的工作环境；为员工进 行职业规划，每年提供适量管理岗位，通过竞聘的方式为员工提供快速发展的通道。</w:t>
      </w:r>
    </w:p>
    <w:p>
      <w:pPr>
        <w:pStyle w:val="BodyText"/>
        <w:spacing w:line="355" w:lineRule="auto" w:before="30"/>
        <w:ind w:left="544" w:right="142"/>
        <w:jc w:val="left"/>
      </w:pPr>
      <w:r>
        <w:rPr>
          <w:rFonts w:ascii="宋体" w:hAnsi="宋体" w:cs="宋体" w:eastAsia="宋体" w:hint="default"/>
        </w:rPr>
        <w:t>4</w:t>
      </w:r>
      <w:r>
        <w:rPr/>
        <w:t>、伙伴责任 公司坚持“公平、公正、合理、合法”的商业准则，与资质、信誉、产品和服务品质好的供</w:t>
      </w:r>
    </w:p>
    <w:p>
      <w:pPr>
        <w:pStyle w:val="BodyText"/>
        <w:spacing w:line="355" w:lineRule="auto" w:before="33"/>
        <w:ind w:right="146"/>
        <w:jc w:val="both"/>
      </w:pPr>
      <w:r>
        <w:rPr/>
        <w:t>应商建立长期战略合作伙伴关系，通过严谨的合同履约监控机制和淘汰机制，促进供应链上下游 伙伴的共同进步和发展，与他们互利共赢、共创新价值。</w:t>
      </w:r>
    </w:p>
    <w:p>
      <w:pPr>
        <w:pStyle w:val="BodyText"/>
        <w:spacing w:line="355" w:lineRule="auto" w:before="33"/>
        <w:ind w:left="544" w:right="142"/>
        <w:jc w:val="left"/>
      </w:pPr>
      <w:r>
        <w:rPr>
          <w:rFonts w:ascii="宋体" w:hAnsi="宋体" w:cs="宋体" w:eastAsia="宋体" w:hint="default"/>
        </w:rPr>
        <w:t>5</w:t>
      </w:r>
      <w:r>
        <w:rPr/>
        <w:t>、社会责任 公司以诚信纳税回馈社会，随着公司业务的逐步发展，公司将创造更好的效益来提供更多的</w:t>
      </w:r>
    </w:p>
    <w:p>
      <w:pPr>
        <w:pStyle w:val="BodyText"/>
        <w:spacing w:line="355" w:lineRule="auto" w:before="33"/>
        <w:ind w:right="146"/>
        <w:jc w:val="both"/>
      </w:pPr>
      <w:r>
        <w:rPr/>
        <w:t>税收，从而承担更多的社会责任，为社会服务。另外，随着公司规模的不断扩大，公司将加大用 工需求量，并且随着公司业务在其它地区开拓的同时，充分利用当地的人力资源优势，带动当地 就业，以回馈社会。</w:t>
      </w:r>
    </w:p>
    <w:p>
      <w:pPr>
        <w:spacing w:line="240" w:lineRule="auto" w:before="11"/>
        <w:rPr>
          <w:rFonts w:ascii="宋体" w:hAnsi="宋体" w:cs="宋体" w:eastAsia="宋体" w:hint="default"/>
          <w:sz w:val="27"/>
          <w:szCs w:val="27"/>
        </w:rPr>
      </w:pPr>
    </w:p>
    <w:p>
      <w:pPr>
        <w:pStyle w:val="Heading3"/>
        <w:spacing w:line="290" w:lineRule="auto" w:before="0"/>
        <w:ind w:left="138" w:right="934"/>
        <w:jc w:val="left"/>
        <w:rPr>
          <w:rFonts w:ascii="宋体" w:hAnsi="宋体" w:cs="宋体" w:eastAsia="宋体" w:hint="default"/>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1"/>
        </w:rPr>
        <w:t> </w:t>
      </w:r>
      <w:r>
        <w:rPr/>
        <w:t>属于国家环境保护部门规定的重污染行业的上市公司及其子公司的环保情况说明</w:t>
      </w:r>
      <w:r>
        <w:rPr>
          <w:w w:val="99"/>
        </w:rPr>
        <w:t> </w:t>
      </w:r>
      <w:r>
        <w:rPr>
          <w:rFonts w:ascii="宋体" w:hAnsi="宋体" w:cs="宋体" w:eastAsia="宋体" w:hint="default"/>
          <w:b w:val="0"/>
          <w:bCs w:val="0"/>
        </w:rPr>
        <w:t>不适用</w:t>
      </w:r>
    </w:p>
    <w:p>
      <w:pPr>
        <w:spacing w:after="0" w:line="290" w:lineRule="auto"/>
        <w:jc w:val="left"/>
        <w:rPr>
          <w:rFonts w:ascii="宋体" w:hAnsi="宋体" w:cs="宋体" w:eastAsia="宋体" w:hint="default"/>
        </w:rPr>
        <w:sectPr>
          <w:footerReference w:type="default" r:id="rId24"/>
          <w:pgSz w:w="11910" w:h="16840"/>
          <w:pgMar w:footer="1194" w:header="0" w:top="1120" w:bottom="1380" w:left="1660" w:right="1140"/>
        </w:sectPr>
      </w:pPr>
    </w:p>
    <w:p>
      <w:pPr>
        <w:spacing w:line="240" w:lineRule="auto" w:before="2"/>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TOC_250006" w:id="5"/>
      <w:r>
        <w:rPr>
          <w:w w:val="95"/>
        </w:rPr>
        <w:t>第五节</w:t>
        <w:tab/>
      </w:r>
      <w:r>
        <w:rPr/>
        <w:t>重要事项</w:t>
      </w:r>
      <w:bookmarkEnd w:id="5"/>
      <w:r>
        <w:rPr>
          <w:b w:val="0"/>
          <w:bCs w:val="0"/>
        </w:rPr>
      </w:r>
    </w:p>
    <w:p>
      <w:pPr>
        <w:pStyle w:val="Heading3"/>
        <w:spacing w:line="240" w:lineRule="auto" w:before="249"/>
        <w:ind w:right="228"/>
        <w:jc w:val="left"/>
        <w:rPr>
          <w:b w:val="0"/>
          <w:bCs w:val="0"/>
        </w:rPr>
      </w:pPr>
      <w:r>
        <w:rPr/>
        <w:t>一、重大诉讼、仲裁和媒体普遍质疑的事项</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二、报告期内资金被占用情况及清欠进展情况</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2"/>
        <w:rPr>
          <w:rFonts w:ascii="宋体" w:hAnsi="宋体" w:cs="宋体" w:eastAsia="宋体" w:hint="default"/>
          <w:sz w:val="25"/>
          <w:szCs w:val="25"/>
        </w:rPr>
      </w:pPr>
    </w:p>
    <w:p>
      <w:pPr>
        <w:spacing w:line="343" w:lineRule="auto" w:before="0"/>
        <w:ind w:left="218" w:right="5478" w:firstLine="0"/>
        <w:jc w:val="left"/>
        <w:rPr>
          <w:rFonts w:ascii="宋体" w:hAnsi="宋体" w:cs="宋体" w:eastAsia="宋体" w:hint="default"/>
          <w:sz w:val="21"/>
          <w:szCs w:val="21"/>
        </w:rPr>
      </w:pPr>
      <w:r>
        <w:rPr>
          <w:rFonts w:ascii="宋体" w:hAnsi="宋体" w:cs="宋体" w:eastAsia="宋体" w:hint="default"/>
          <w:b/>
          <w:bCs/>
          <w:sz w:val="21"/>
          <w:szCs w:val="21"/>
        </w:rPr>
        <w:t>三、破产重整相关事项</w:t>
      </w:r>
      <w:r>
        <w:rPr>
          <w:rFonts w:ascii="宋体" w:hAnsi="宋体" w:cs="宋体" w:eastAsia="宋体" w:hint="default"/>
          <w:b/>
          <w:bCs/>
          <w:w w:val="99"/>
          <w:sz w:val="21"/>
          <w:szCs w:val="21"/>
        </w:rPr>
        <w:t> </w:t>
      </w:r>
      <w:r>
        <w:rPr>
          <w:rFonts w:ascii="宋体" w:hAnsi="宋体" w:cs="宋体" w:eastAsia="宋体" w:hint="default"/>
          <w:sz w:val="21"/>
          <w:szCs w:val="21"/>
        </w:rPr>
        <w:t>报告期内，公司无破产重整相关事项。</w:t>
      </w:r>
    </w:p>
    <w:p>
      <w:pPr>
        <w:spacing w:line="240" w:lineRule="auto" w:before="4"/>
        <w:rPr>
          <w:rFonts w:ascii="宋体" w:hAnsi="宋体" w:cs="宋体" w:eastAsia="宋体" w:hint="default"/>
          <w:sz w:val="18"/>
          <w:szCs w:val="18"/>
        </w:rPr>
      </w:pPr>
    </w:p>
    <w:p>
      <w:pPr>
        <w:pStyle w:val="Heading3"/>
        <w:spacing w:line="240" w:lineRule="auto" w:before="0"/>
        <w:ind w:right="228"/>
        <w:jc w:val="left"/>
        <w:rPr>
          <w:b w:val="0"/>
          <w:bCs w:val="0"/>
        </w:rPr>
      </w:pPr>
      <w:r>
        <w:rPr/>
        <w:t>四、资产交易、企业合并事项</w:t>
      </w:r>
      <w:r>
        <w:rPr>
          <w:b w:val="0"/>
          <w:bCs w:val="0"/>
        </w:rPr>
      </w:r>
    </w:p>
    <w:p>
      <w:pPr>
        <w:pStyle w:val="BodyText"/>
        <w:spacing w:line="240" w:lineRule="auto" w:before="57"/>
        <w:ind w:left="218" w:right="228"/>
        <w:jc w:val="left"/>
      </w:pPr>
      <w:r>
        <w:rPr/>
        <w:t>□适用√不适用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五、公司股权激励情况及其影响</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六、重大关联交易</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637" w:val="left" w:leader="none"/>
        </w:tabs>
        <w:spacing w:line="290" w:lineRule="auto" w:before="0"/>
        <w:ind w:right="6538"/>
        <w:jc w:val="left"/>
        <w:rPr>
          <w:b w:val="0"/>
          <w:bCs w:val="0"/>
        </w:rPr>
      </w:pPr>
      <w:r>
        <w:rPr/>
        <w:t>七、重大合同及其履行情况</w:t>
      </w:r>
      <w:r>
        <w:rPr>
          <w:w w:val="99"/>
        </w:rPr>
        <w:t> </w:t>
      </w:r>
      <w:r>
        <w:rPr>
          <w:rFonts w:ascii="宋体" w:hAnsi="宋体" w:cs="宋体" w:eastAsia="宋体" w:hint="default"/>
          <w:w w:val="95"/>
        </w:rPr>
        <w:t>1</w:t>
        <w:tab/>
      </w:r>
      <w:r>
        <w:rPr/>
        <w:t>托管、承包、租赁事项</w:t>
      </w:r>
      <w:r>
        <w:rPr>
          <w:b w:val="0"/>
          <w:bCs w:val="0"/>
        </w:rPr>
      </w:r>
    </w:p>
    <w:p>
      <w:pPr>
        <w:pStyle w:val="BodyText"/>
        <w:spacing w:line="240" w:lineRule="auto" w:before="14"/>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tabs>
          <w:tab w:pos="637" w:val="left" w:leader="none"/>
        </w:tabs>
        <w:spacing w:line="240" w:lineRule="auto" w:before="0"/>
        <w:ind w:right="228"/>
        <w:jc w:val="left"/>
        <w:rPr>
          <w:b w:val="0"/>
          <w:bCs w:val="0"/>
        </w:rPr>
      </w:pPr>
      <w:r>
        <w:rPr>
          <w:rFonts w:ascii="宋体" w:hAnsi="宋体" w:cs="宋体" w:eastAsia="宋体" w:hint="default"/>
          <w:w w:val="95"/>
        </w:rPr>
        <w:t>2</w:t>
        <w:tab/>
      </w:r>
      <w:r>
        <w:rPr/>
        <w:t>担保情况</w:t>
      </w:r>
      <w:r>
        <w:rPr>
          <w:b w:val="0"/>
          <w:bCs w:val="0"/>
        </w:rPr>
      </w:r>
    </w:p>
    <w:p>
      <w:pPr>
        <w:pStyle w:val="BodyText"/>
        <w:spacing w:line="240" w:lineRule="auto" w:before="57"/>
        <w:ind w:left="218" w:right="228"/>
        <w:jc w:val="left"/>
      </w:pPr>
      <w:r>
        <w:rPr/>
        <w:t>□适用</w:t>
      </w:r>
      <w:r>
        <w:rPr>
          <w:spacing w:val="-2"/>
        </w:rPr>
        <w:t> </w:t>
      </w:r>
      <w:r>
        <w:rPr/>
        <w:t>√不适用</w:t>
      </w:r>
    </w:p>
    <w:p>
      <w:pPr>
        <w:spacing w:line="240" w:lineRule="auto" w:before="7"/>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25"/>
          <w:pgSz w:w="11910" w:h="16840"/>
          <w:pgMar w:footer="1194" w:header="0" w:top="1120" w:bottom="1380" w:left="1580" w:right="1040"/>
          <w:pgNumType w:start="31"/>
        </w:sectPr>
      </w:pPr>
    </w:p>
    <w:p>
      <w:pPr>
        <w:tabs>
          <w:tab w:pos="637" w:val="left" w:leader="none"/>
        </w:tabs>
        <w:spacing w:line="343" w:lineRule="auto" w:before="35"/>
        <w:ind w:left="638" w:right="0" w:hanging="42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报告期内，公司签署了八个智慧城市框架协议：</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tabs>
          <w:tab w:pos="1223" w:val="left" w:leader="none"/>
        </w:tabs>
        <w:spacing w:line="240" w:lineRule="auto"/>
        <w:ind w:left="217" w:right="0"/>
        <w:jc w:val="left"/>
      </w:pPr>
      <w:r>
        <w:rPr>
          <w:spacing w:val="-12"/>
        </w:rPr>
        <w:t>单位：元</w:t>
        <w:tab/>
      </w:r>
      <w:r>
        <w:rPr>
          <w:spacing w:val="-8"/>
        </w:rPr>
        <w:t>币种：人民币</w:t>
      </w:r>
    </w:p>
    <w:p>
      <w:pPr>
        <w:spacing w:after="0" w:line="240" w:lineRule="auto"/>
        <w:jc w:val="left"/>
        <w:sectPr>
          <w:type w:val="continuous"/>
          <w:pgSz w:w="11910" w:h="16840"/>
          <w:pgMar w:top="1120" w:bottom="1380" w:left="1580" w:right="1040"/>
          <w:cols w:num="2" w:equalWidth="0">
            <w:col w:w="5049" w:space="1568"/>
            <w:col w:w="267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1559"/>
        <w:gridCol w:w="1985"/>
        <w:gridCol w:w="1711"/>
      </w:tblGrid>
      <w:tr>
        <w:trPr>
          <w:trHeight w:val="68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合作对方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框架协议金额</w:t>
            </w:r>
          </w:p>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（亿元）</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签订日期</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90" w:right="0"/>
              <w:jc w:val="left"/>
              <w:rPr>
                <w:rFonts w:ascii="宋体" w:hAnsi="宋体" w:cs="宋体" w:eastAsia="宋体" w:hint="default"/>
                <w:sz w:val="18"/>
                <w:szCs w:val="18"/>
              </w:rPr>
            </w:pPr>
            <w:r>
              <w:rPr>
                <w:rFonts w:ascii="宋体" w:hAnsi="宋体" w:cs="宋体" w:eastAsia="宋体" w:hint="default"/>
                <w:sz w:val="18"/>
                <w:szCs w:val="18"/>
              </w:rPr>
              <w:t>履行期限</w:t>
            </w:r>
          </w:p>
        </w:tc>
      </w:tr>
      <w:tr>
        <w:trPr>
          <w:trHeight w:val="38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江苏沛县经济开发区管委会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hAnsi="宋体" w:cs="宋体" w:eastAsia="宋体" w:hint="default"/>
                <w:sz w:val="18"/>
                <w:szCs w:val="18"/>
              </w:rPr>
              <w:t>2014-2018</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芜湖市人民政府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hAnsi="宋体" w:cs="宋体" w:eastAsia="宋体" w:hint="default"/>
                <w:sz w:val="18"/>
                <w:szCs w:val="18"/>
              </w:rPr>
              <w:t>2014-2020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韶山市人民政府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hAnsi="宋体" w:cs="宋体" w:eastAsia="宋体" w:hint="default"/>
                <w:sz w:val="18"/>
                <w:szCs w:val="18"/>
              </w:rPr>
              <w:t>2014-2019</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绿地（香港）控股有限公司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w:t>
            </w:r>
          </w:p>
        </w:tc>
      </w:tr>
      <w:tr>
        <w:trPr>
          <w:trHeight w:val="385"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武汉新洲区人民政府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2015-2020</w:t>
            </w:r>
          </w:p>
        </w:tc>
      </w:tr>
      <w:tr>
        <w:trPr>
          <w:trHeight w:val="38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鹤壁市人民政府</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86"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湖南省有线电视网络（集团）股份有限公司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w:t>
            </w:r>
          </w:p>
        </w:tc>
      </w:tr>
      <w:tr>
        <w:trPr>
          <w:trHeight w:val="68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3" w:right="101"/>
              <w:jc w:val="left"/>
              <w:rPr>
                <w:rFonts w:ascii="宋体" w:hAnsi="宋体" w:cs="宋体" w:eastAsia="宋体" w:hint="default"/>
                <w:sz w:val="18"/>
                <w:szCs w:val="18"/>
              </w:rPr>
            </w:pPr>
            <w:r>
              <w:rPr>
                <w:rFonts w:ascii="宋体" w:hAnsi="宋体" w:cs="宋体" w:eastAsia="宋体" w:hint="default"/>
                <w:spacing w:val="-2"/>
                <w:sz w:val="18"/>
                <w:szCs w:val="18"/>
              </w:rPr>
              <w:t>重庆市经济和信息化委员会、重庆两江新区管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理委员会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sz w:val="18"/>
              </w:rPr>
              <w:t>40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458" w:right="1133"/>
        <w:jc w:val="left"/>
        <w:rPr>
          <w:b w:val="0"/>
          <w:bCs w:val="0"/>
        </w:rPr>
      </w:pPr>
      <w:r>
        <w:rPr/>
        <w:t>八、承诺事项履行情况</w:t>
      </w:r>
      <w:r>
        <w:rPr>
          <w:b w:val="0"/>
          <w:bCs w:val="0"/>
        </w:rPr>
      </w:r>
    </w:p>
    <w:p>
      <w:pPr>
        <w:pStyle w:val="BodyText"/>
        <w:spacing w:line="240" w:lineRule="auto" w:before="57"/>
        <w:ind w:left="458" w:right="1133"/>
        <w:jc w:val="left"/>
      </w:pPr>
      <w:r>
        <w:rPr/>
        <w:t>√适用</w:t>
      </w:r>
      <w:r>
        <w:rPr>
          <w:spacing w:val="-2"/>
        </w:rPr>
        <w:t> </w:t>
      </w:r>
      <w:r>
        <w:rPr/>
        <w:t>□不适用</w:t>
      </w:r>
    </w:p>
    <w:p>
      <w:pPr>
        <w:spacing w:line="240" w:lineRule="auto" w:before="5"/>
        <w:rPr>
          <w:rFonts w:ascii="宋体" w:hAnsi="宋体" w:cs="宋体" w:eastAsia="宋体" w:hint="default"/>
          <w:sz w:val="27"/>
          <w:szCs w:val="27"/>
        </w:rPr>
      </w:pPr>
    </w:p>
    <w:p>
      <w:pPr>
        <w:pStyle w:val="Heading3"/>
        <w:tabs>
          <w:tab w:pos="1025" w:val="left" w:leader="none"/>
        </w:tabs>
        <w:spacing w:line="272" w:lineRule="exact" w:before="0"/>
        <w:ind w:left="1025" w:right="457" w:hanging="568"/>
        <w:jc w:val="left"/>
        <w:rPr>
          <w:b w:val="0"/>
          <w:bCs w:val="0"/>
        </w:rPr>
      </w:pPr>
      <w:r>
        <w:rPr>
          <w:rFonts w:ascii="Calibri" w:hAnsi="Calibri" w:cs="Calibri" w:eastAsia="Calibri" w:hint="default"/>
        </w:rPr>
        <w:t>(</w:t>
      </w:r>
      <w:r>
        <w:rPr/>
        <w:t>一</w:t>
      </w:r>
      <w:r>
        <w:rPr>
          <w:rFonts w:ascii="Calibri" w:hAnsi="Calibri" w:cs="Calibri" w:eastAsia="Calibri" w:hint="default"/>
        </w:rPr>
        <w:t>)</w:t>
        <w:tab/>
      </w:r>
      <w:r>
        <w:rPr/>
        <w:t>上市公司、持股</w:t>
      </w:r>
      <w:r>
        <w:rPr>
          <w:spacing w:val="-72"/>
        </w:rPr>
        <w:t> </w:t>
      </w:r>
      <w:r>
        <w:rPr>
          <w:rFonts w:ascii="Calibri" w:hAnsi="Calibri" w:cs="Calibri" w:eastAsia="Calibri" w:hint="default"/>
        </w:rPr>
        <w:t>5</w:t>
      </w:r>
      <w:r>
        <w:rPr>
          <w:rFonts w:ascii="宋体" w:hAnsi="宋体" w:cs="宋体" w:eastAsia="宋体" w:hint="default"/>
        </w:rPr>
        <w:t>%</w:t>
      </w:r>
      <w:r>
        <w:rPr/>
        <w:t>以上的股东、控股股东及实际控制人在报告期内或持续到报告期内的承</w:t>
      </w:r>
      <w:r>
        <w:rPr>
          <w:w w:val="99"/>
        </w:rPr>
        <w:t> </w:t>
      </w:r>
      <w:r>
        <w:rPr/>
        <w:t>诺事项</w:t>
      </w:r>
      <w:r>
        <w:rPr>
          <w:b w:val="0"/>
          <w:bCs w:val="0"/>
        </w:rPr>
      </w:r>
    </w:p>
    <w:p>
      <w:pPr>
        <w:spacing w:line="240" w:lineRule="auto" w:before="3"/>
        <w:rPr>
          <w:rFonts w:ascii="宋体" w:hAnsi="宋体" w:cs="宋体" w:eastAsia="宋体" w:hint="default"/>
          <w:b/>
          <w:bCs/>
          <w:sz w:val="5"/>
          <w:szCs w:val="5"/>
        </w:rPr>
      </w:pPr>
    </w:p>
    <w:tbl>
      <w:tblPr>
        <w:tblW w:w="0" w:type="auto"/>
        <w:jc w:val="left"/>
        <w:tblInd w:w="119" w:type="dxa"/>
        <w:tblLayout w:type="fixed"/>
        <w:tblCellMar>
          <w:top w:w="0" w:type="dxa"/>
          <w:left w:w="0" w:type="dxa"/>
          <w:bottom w:w="0" w:type="dxa"/>
          <w:right w:w="0" w:type="dxa"/>
        </w:tblCellMar>
        <w:tblLook w:val="01E0"/>
      </w:tblPr>
      <w:tblGrid>
        <w:gridCol w:w="993"/>
        <w:gridCol w:w="707"/>
        <w:gridCol w:w="712"/>
        <w:gridCol w:w="3262"/>
        <w:gridCol w:w="709"/>
        <w:gridCol w:w="712"/>
        <w:gridCol w:w="708"/>
        <w:gridCol w:w="889"/>
        <w:gridCol w:w="809"/>
      </w:tblGrid>
      <w:tr>
        <w:trPr>
          <w:trHeight w:val="1644"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承诺背景</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9" w:lineRule="auto"/>
              <w:ind w:left="167" w:right="167"/>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09" w:lineRule="auto"/>
              <w:ind w:left="260" w:right="169" w:hanging="90"/>
              <w:jc w:val="left"/>
              <w:rPr>
                <w:rFonts w:ascii="宋体" w:hAnsi="宋体" w:cs="宋体" w:eastAsia="宋体" w:hint="default"/>
                <w:sz w:val="18"/>
                <w:szCs w:val="18"/>
              </w:rPr>
            </w:pPr>
            <w:r>
              <w:rPr>
                <w:rFonts w:ascii="宋体" w:hAnsi="宋体" w:cs="宋体" w:eastAsia="宋体" w:hint="default"/>
                <w:sz w:val="18"/>
                <w:szCs w:val="18"/>
              </w:rPr>
              <w:t>承诺 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69" w:right="168"/>
              <w:jc w:val="both"/>
              <w:rPr>
                <w:rFonts w:ascii="宋体" w:hAnsi="宋体" w:cs="宋体" w:eastAsia="宋体" w:hint="default"/>
                <w:sz w:val="18"/>
                <w:szCs w:val="18"/>
              </w:rPr>
            </w:pPr>
            <w:r>
              <w:rPr>
                <w:rFonts w:ascii="宋体" w:hAnsi="宋体" w:cs="宋体" w:eastAsia="宋体" w:hint="default"/>
                <w:sz w:val="18"/>
                <w:szCs w:val="18"/>
              </w:rPr>
              <w:t>承诺 时间 及期 限</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69" w:right="171"/>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37" w:lineRule="auto"/>
              <w:ind w:left="167" w:right="168"/>
              <w:jc w:val="both"/>
              <w:rPr>
                <w:rFonts w:ascii="宋体" w:hAnsi="宋体" w:cs="宋体" w:eastAsia="宋体" w:hint="default"/>
                <w:sz w:val="18"/>
                <w:szCs w:val="18"/>
              </w:rPr>
            </w:pPr>
            <w:r>
              <w:rPr>
                <w:rFonts w:ascii="宋体" w:hAnsi="宋体" w:cs="宋体" w:eastAsia="宋体" w:hint="default"/>
                <w:sz w:val="18"/>
                <w:szCs w:val="18"/>
              </w:rPr>
              <w:t>是否 及时 严格 履行</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9" w:right="0"/>
              <w:jc w:val="both"/>
              <w:rPr>
                <w:rFonts w:ascii="宋体" w:hAnsi="宋体" w:cs="宋体" w:eastAsia="宋体" w:hint="default"/>
                <w:sz w:val="18"/>
                <w:szCs w:val="18"/>
              </w:rPr>
            </w:pPr>
            <w:r>
              <w:rPr>
                <w:rFonts w:ascii="宋体" w:hAnsi="宋体" w:cs="宋体" w:eastAsia="宋体" w:hint="default"/>
                <w:sz w:val="18"/>
                <w:szCs w:val="18"/>
              </w:rPr>
              <w:t>如未能</w:t>
            </w:r>
          </w:p>
          <w:p>
            <w:pPr>
              <w:pStyle w:val="TableParagraph"/>
              <w:spacing w:line="237" w:lineRule="auto"/>
              <w:ind w:left="169" w:right="168"/>
              <w:jc w:val="both"/>
              <w:rPr>
                <w:rFonts w:ascii="宋体" w:hAnsi="宋体" w:cs="宋体" w:eastAsia="宋体" w:hint="default"/>
                <w:sz w:val="18"/>
                <w:szCs w:val="18"/>
              </w:rPr>
            </w:pPr>
            <w:r>
              <w:rPr>
                <w:rFonts w:ascii="宋体" w:hAnsi="宋体" w:cs="宋体" w:eastAsia="宋体" w:hint="default"/>
                <w:sz w:val="18"/>
                <w:szCs w:val="18"/>
              </w:rPr>
              <w:t>及时履 行应说 明未完 成履行 的具体 原因</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29" w:right="127"/>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8276" w:hRule="exact"/>
        </w:trPr>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57"/>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盈</w:t>
            </w:r>
            <w:r>
              <w:rPr>
                <w:rFonts w:ascii="宋体" w:hAnsi="宋体" w:cs="宋体" w:eastAsia="宋体" w:hint="default"/>
                <w:spacing w:val="40"/>
                <w:sz w:val="18"/>
                <w:szCs w:val="18"/>
              </w:rPr>
              <w:t> </w:t>
            </w:r>
            <w:r>
              <w:rPr>
                <w:rFonts w:ascii="宋体" w:hAnsi="宋体" w:cs="宋体" w:eastAsia="宋体" w:hint="default"/>
                <w:sz w:val="18"/>
                <w:szCs w:val="18"/>
              </w:rPr>
              <w:t>利</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预</w:t>
            </w:r>
            <w:r>
              <w:rPr>
                <w:rFonts w:ascii="宋体" w:hAnsi="宋体" w:cs="宋体" w:eastAsia="宋体" w:hint="default"/>
                <w:spacing w:val="40"/>
                <w:sz w:val="18"/>
                <w:szCs w:val="18"/>
              </w:rPr>
              <w:t> </w:t>
            </w:r>
            <w:r>
              <w:rPr>
                <w:rFonts w:ascii="宋体" w:hAnsi="宋体" w:cs="宋体" w:eastAsia="宋体" w:hint="default"/>
                <w:sz w:val="18"/>
                <w:szCs w:val="18"/>
              </w:rPr>
              <w:t>测</w:t>
            </w:r>
          </w:p>
          <w:p>
            <w:pPr>
              <w:pStyle w:val="TableParagraph"/>
              <w:spacing w:line="309" w:lineRule="auto" w:before="68"/>
              <w:ind w:left="103" w:right="101"/>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40"/>
                <w:sz w:val="18"/>
                <w:szCs w:val="18"/>
              </w:rPr>
              <w:t> </w:t>
            </w:r>
            <w:r>
              <w:rPr>
                <w:rFonts w:ascii="宋体" w:hAnsi="宋体" w:cs="宋体" w:eastAsia="宋体" w:hint="default"/>
                <w:sz w:val="18"/>
                <w:szCs w:val="18"/>
              </w:rPr>
              <w:t>补</w:t>
            </w:r>
            <w:r>
              <w:rPr>
                <w:rFonts w:ascii="宋体" w:hAnsi="宋体" w:cs="宋体" w:eastAsia="宋体" w:hint="default"/>
                <w:sz w:val="18"/>
                <w:szCs w:val="18"/>
              </w:rPr>
              <w:t> 偿</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3" w:right="236"/>
              <w:jc w:val="left"/>
              <w:rPr>
                <w:rFonts w:ascii="宋体" w:hAnsi="宋体" w:cs="宋体" w:eastAsia="宋体" w:hint="default"/>
                <w:sz w:val="18"/>
                <w:szCs w:val="18"/>
              </w:rPr>
            </w:pPr>
            <w:r>
              <w:rPr>
                <w:rFonts w:ascii="宋体" w:hAnsi="宋体" w:cs="宋体" w:eastAsia="宋体" w:hint="default"/>
                <w:sz w:val="18"/>
                <w:szCs w:val="18"/>
              </w:rPr>
              <w:t>郡原 地产</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1" w:right="10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、浙江郡原地产股份有限公司（以下 </w:t>
            </w:r>
            <w:r>
              <w:rPr>
                <w:rFonts w:ascii="宋体" w:hAnsi="宋体" w:cs="宋体" w:eastAsia="宋体" w:hint="default"/>
                <w:spacing w:val="-1"/>
                <w:sz w:val="18"/>
                <w:szCs w:val="18"/>
              </w:rPr>
              <w:t>简称“郡原地产”）承诺，保证无偿赠</w:t>
            </w:r>
            <w:r>
              <w:rPr>
                <w:rFonts w:ascii="宋体" w:hAnsi="宋体" w:cs="宋体" w:eastAsia="宋体" w:hint="default"/>
                <w:sz w:val="18"/>
                <w:szCs w:val="18"/>
              </w:rPr>
              <w:t> 予公司的杭州郡原物业服务有限公司</w:t>
            </w:r>
          </w:p>
          <w:p>
            <w:pPr>
              <w:pStyle w:val="TableParagraph"/>
              <w:spacing w:line="309" w:lineRule="auto" w:before="16"/>
              <w:ind w:left="101" w:right="88"/>
              <w:jc w:val="left"/>
              <w:rPr>
                <w:rFonts w:ascii="宋体" w:hAnsi="宋体" w:cs="宋体" w:eastAsia="宋体" w:hint="default"/>
                <w:sz w:val="18"/>
                <w:szCs w:val="18"/>
              </w:rPr>
            </w:pPr>
            <w:r>
              <w:rPr>
                <w:rFonts w:ascii="宋体" w:hAnsi="宋体" w:cs="宋体" w:eastAsia="宋体" w:hint="default"/>
                <w:spacing w:val="-12"/>
                <w:sz w:val="18"/>
                <w:szCs w:val="18"/>
              </w:rPr>
              <w:t>（以下简称“杭州物业”）</w:t>
            </w:r>
            <w:r>
              <w:rPr>
                <w:rFonts w:ascii="宋体" w:hAnsi="宋体" w:cs="宋体" w:eastAsia="宋体" w:hint="default"/>
                <w:spacing w:val="-12"/>
                <w:sz w:val="18"/>
                <w:szCs w:val="18"/>
              </w:rPr>
              <w:t>2012</w:t>
            </w:r>
            <w:r>
              <w:rPr>
                <w:rFonts w:ascii="宋体" w:hAnsi="宋体" w:cs="宋体" w:eastAsia="宋体" w:hint="default"/>
                <w:spacing w:val="-38"/>
                <w:sz w:val="18"/>
                <w:szCs w:val="18"/>
              </w:rPr>
              <w:t> </w:t>
            </w:r>
            <w:r>
              <w:rPr>
                <w:rFonts w:ascii="宋体" w:hAnsi="宋体" w:cs="宋体" w:eastAsia="宋体" w:hint="default"/>
                <w:spacing w:val="-10"/>
                <w:sz w:val="18"/>
                <w:szCs w:val="18"/>
              </w:rPr>
              <w:t>年、</w:t>
            </w:r>
            <w:r>
              <w:rPr>
                <w:rFonts w:ascii="宋体" w:hAnsi="宋体" w:cs="宋体" w:eastAsia="宋体" w:hint="default"/>
                <w:spacing w:val="-10"/>
                <w:sz w:val="18"/>
                <w:szCs w:val="18"/>
              </w:rPr>
              <w:t>2013</w:t>
            </w:r>
            <w:r>
              <w:rPr>
                <w:rFonts w:ascii="宋体" w:hAnsi="宋体" w:cs="宋体" w:eastAsia="宋体" w:hint="default"/>
                <w:spacing w:val="-86"/>
                <w:sz w:val="18"/>
                <w:szCs w:val="18"/>
              </w:rPr>
              <w:t> </w:t>
            </w:r>
            <w:r>
              <w:rPr>
                <w:rFonts w:ascii="宋体" w:hAnsi="宋体" w:cs="宋体" w:eastAsia="宋体" w:hint="default"/>
                <w:spacing w:val="-10"/>
                <w:sz w:val="18"/>
                <w:szCs w:val="18"/>
              </w:rPr>
              <w:t>年、</w:t>
            </w:r>
            <w:r>
              <w:rPr>
                <w:rFonts w:ascii="宋体" w:hAnsi="宋体" w:cs="宋体" w:eastAsia="宋体" w:hint="default"/>
                <w:spacing w:val="-10"/>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年经审计后的合并报表归属于 母公司所有者的净利润分别不低于人 民币</w:t>
            </w:r>
            <w:r>
              <w:rPr>
                <w:rFonts w:ascii="宋体" w:hAnsi="宋体" w:cs="宋体" w:eastAsia="宋体" w:hint="default"/>
                <w:spacing w:val="-46"/>
                <w:sz w:val="18"/>
                <w:szCs w:val="18"/>
              </w:rPr>
              <w:t> </w:t>
            </w:r>
            <w:r>
              <w:rPr>
                <w:rFonts w:ascii="宋体" w:hAnsi="宋体" w:cs="宋体" w:eastAsia="宋体" w:hint="default"/>
                <w:sz w:val="18"/>
                <w:szCs w:val="18"/>
              </w:rPr>
              <w:t>440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460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z w:val="18"/>
                <w:szCs w:val="18"/>
              </w:rPr>
              <w:t>530</w:t>
            </w:r>
            <w:r>
              <w:rPr>
                <w:rFonts w:ascii="宋体" w:hAnsi="宋体" w:cs="宋体" w:eastAsia="宋体" w:hint="default"/>
                <w:spacing w:val="-46"/>
                <w:sz w:val="18"/>
                <w:szCs w:val="18"/>
              </w:rPr>
              <w:t> </w:t>
            </w:r>
            <w:r>
              <w:rPr>
                <w:rFonts w:ascii="宋体" w:hAnsi="宋体" w:cs="宋体" w:eastAsia="宋体" w:hint="default"/>
                <w:sz w:val="18"/>
                <w:szCs w:val="18"/>
              </w:rPr>
              <w:t>万元； 若杭州物业在</w:t>
            </w:r>
            <w:r>
              <w:rPr>
                <w:rFonts w:ascii="宋体" w:hAnsi="宋体" w:cs="宋体" w:eastAsia="宋体" w:hint="default"/>
                <w:spacing w:val="-46"/>
                <w:sz w:val="18"/>
                <w:szCs w:val="18"/>
              </w:rPr>
              <w:t> </w:t>
            </w: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2013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2014 </w:t>
            </w:r>
            <w:r>
              <w:rPr>
                <w:rFonts w:ascii="宋体" w:hAnsi="宋体" w:cs="宋体" w:eastAsia="宋体" w:hint="default"/>
                <w:sz w:val="18"/>
                <w:szCs w:val="18"/>
              </w:rPr>
              <w:t>年任一年度结束后的经审计后的合并 报表归属于母公司所有者的净利润低 于前述的业绩，郡原地产将以现金方式 向公司补足杭州物业当年度实际盈利 数与前述承诺业绩数之间的差额部分； </w:t>
            </w:r>
            <w:r>
              <w:rPr>
                <w:rFonts w:ascii="宋体" w:hAnsi="宋体" w:cs="宋体" w:eastAsia="宋体" w:hint="default"/>
                <w:sz w:val="18"/>
                <w:szCs w:val="18"/>
              </w:rPr>
              <w:t>2</w:t>
            </w:r>
            <w:r>
              <w:rPr>
                <w:rFonts w:ascii="宋体" w:hAnsi="宋体" w:cs="宋体" w:eastAsia="宋体" w:hint="default"/>
                <w:sz w:val="18"/>
                <w:szCs w:val="18"/>
              </w:rPr>
              <w:t>、郡原地产承诺，郡原地产未来新开 发的房地产项目如需第三方提供物业 管理服务，在同等条件下，杭州物业及 其子公司可以优先获得前述物业管理 服务等相关业务；</w:t>
            </w:r>
            <w:r>
              <w:rPr>
                <w:rFonts w:ascii="宋体" w:hAnsi="宋体" w:cs="宋体" w:eastAsia="宋体" w:hint="default"/>
                <w:sz w:val="18"/>
                <w:szCs w:val="18"/>
              </w:rPr>
              <w:t>3</w:t>
            </w:r>
            <w:r>
              <w:rPr>
                <w:rFonts w:ascii="宋体" w:hAnsi="宋体" w:cs="宋体" w:eastAsia="宋体" w:hint="default"/>
                <w:sz w:val="18"/>
                <w:szCs w:val="18"/>
              </w:rPr>
              <w:t>、郡原地产承诺， 在公司与重组方签署重大资产重组正 式协议之前或筹划非公开发行股份募 集资金等事宜之前，暂不要求公司偿付 对公司享有的</w:t>
            </w:r>
            <w:r>
              <w:rPr>
                <w:rFonts w:ascii="宋体" w:hAnsi="宋体" w:cs="宋体" w:eastAsia="宋体" w:hint="default"/>
                <w:spacing w:val="-46"/>
                <w:sz w:val="18"/>
                <w:szCs w:val="18"/>
              </w:rPr>
              <w:t> </w:t>
            </w:r>
            <w:r>
              <w:rPr>
                <w:rFonts w:ascii="宋体" w:hAnsi="宋体" w:cs="宋体" w:eastAsia="宋体" w:hint="default"/>
                <w:sz w:val="18"/>
                <w:szCs w:val="18"/>
              </w:rPr>
              <w:t>70,372,521.73</w:t>
            </w:r>
            <w:r>
              <w:rPr>
                <w:rFonts w:ascii="宋体" w:hAnsi="宋体" w:cs="宋体" w:eastAsia="宋体" w:hint="default"/>
                <w:spacing w:val="-46"/>
                <w:sz w:val="18"/>
                <w:szCs w:val="18"/>
              </w:rPr>
              <w:t> </w:t>
            </w:r>
            <w:r>
              <w:rPr>
                <w:rFonts w:ascii="宋体" w:hAnsi="宋体" w:cs="宋体" w:eastAsia="宋体" w:hint="default"/>
                <w:sz w:val="18"/>
                <w:szCs w:val="18"/>
              </w:rPr>
              <w:t>元债务； 如果前述重大资产重组或非公开发行 股份募集资金未能实施，郡原地产将采 取包括但不局限于再次注入资产等方 式确保公司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年经审计的期末净资 产为正值。</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承诺</w:t>
            </w:r>
          </w:p>
          <w:p>
            <w:pPr>
              <w:pStyle w:val="TableParagraph"/>
              <w:spacing w:line="240" w:lineRule="auto"/>
              <w:ind w:left="103" w:right="54"/>
              <w:jc w:val="left"/>
              <w:rPr>
                <w:rFonts w:ascii="宋体" w:hAnsi="宋体" w:cs="宋体" w:eastAsia="宋体" w:hint="default"/>
                <w:sz w:val="18"/>
                <w:szCs w:val="18"/>
              </w:rPr>
            </w:pPr>
            <w:r>
              <w:rPr>
                <w:rFonts w:ascii="宋体" w:hAnsi="宋体" w:cs="宋体" w:eastAsia="宋体" w:hint="default"/>
                <w:sz w:val="18"/>
                <w:szCs w:val="18"/>
              </w:rPr>
              <w:t>时间： </w:t>
            </w:r>
            <w:r>
              <w:rPr>
                <w:rFonts w:ascii="宋体" w:hAnsi="宋体" w:cs="宋体" w:eastAsia="宋体" w:hint="default"/>
                <w:sz w:val="18"/>
                <w:szCs w:val="18"/>
              </w:rPr>
              <w:t>2012</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 </w:t>
            </w:r>
            <w:r>
              <w:rPr>
                <w:rFonts w:ascii="宋体" w:hAnsi="宋体" w:cs="宋体" w:eastAsia="宋体" w:hint="default"/>
                <w:spacing w:val="-16"/>
                <w:sz w:val="18"/>
                <w:szCs w:val="18"/>
              </w:rPr>
              <w:t>日；承</w:t>
            </w:r>
            <w:r>
              <w:rPr>
                <w:rFonts w:ascii="宋体" w:hAnsi="宋体" w:cs="宋体" w:eastAsia="宋体" w:hint="default"/>
                <w:sz w:val="18"/>
                <w:szCs w:val="18"/>
              </w:rPr>
              <w:t> 诺期 限： </w:t>
            </w:r>
            <w:r>
              <w:rPr>
                <w:rFonts w:ascii="宋体" w:hAnsi="宋体" w:cs="宋体" w:eastAsia="宋体" w:hint="default"/>
                <w:sz w:val="18"/>
                <w:szCs w:val="18"/>
              </w:rPr>
              <w:t>2012</w:t>
            </w:r>
          </w:p>
          <w:p>
            <w:pPr>
              <w:pStyle w:val="TableParagraph"/>
              <w:spacing w:line="232" w:lineRule="exact" w:before="23"/>
              <w:ind w:left="103" w:right="234"/>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2013</w:t>
            </w:r>
          </w:p>
          <w:p>
            <w:pPr>
              <w:pStyle w:val="TableParagraph"/>
              <w:spacing w:line="232" w:lineRule="exact" w:before="2"/>
              <w:ind w:left="103" w:right="234"/>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2014</w:t>
            </w:r>
          </w:p>
          <w:p>
            <w:pPr>
              <w:pStyle w:val="TableParagraph"/>
              <w:spacing w:line="234" w:lineRule="exact"/>
              <w:ind w:left="103" w:right="234"/>
              <w:jc w:val="left"/>
              <w:rPr>
                <w:rFonts w:ascii="宋体" w:hAnsi="宋体" w:cs="宋体" w:eastAsia="宋体" w:hint="default"/>
                <w:sz w:val="18"/>
                <w:szCs w:val="18"/>
              </w:rPr>
            </w:pPr>
            <w:r>
              <w:rPr>
                <w:rFonts w:ascii="宋体" w:hAnsi="宋体" w:cs="宋体" w:eastAsia="宋体" w:hint="default"/>
                <w:sz w:val="18"/>
                <w:szCs w:val="18"/>
              </w:rPr>
              <w:t>年三 年</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9"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pStyle w:val="Heading3"/>
        <w:tabs>
          <w:tab w:pos="1025" w:val="left" w:leader="none"/>
        </w:tabs>
        <w:spacing w:line="264" w:lineRule="auto"/>
        <w:ind w:left="458" w:right="1133"/>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公司资产或项目存在盈利预测，且报告期仍处在盈利预测期间，公司就资产或项目  </w:t>
      </w:r>
      <w:r>
        <w:rPr>
          <w:spacing w:val="70"/>
          <w:w w:val="95"/>
        </w:rPr>
        <w:t> </w:t>
      </w:r>
      <w:r>
        <w:rPr>
          <w:spacing w:val="70"/>
          <w:w w:val="95"/>
        </w:rPr>
      </w:r>
      <w:r>
        <w:rPr/>
        <w:t>是</w:t>
      </w:r>
      <w:r>
        <w:rPr>
          <w:spacing w:val="-6"/>
        </w:rPr>
        <w:t> </w:t>
      </w:r>
      <w:r>
        <w:rPr/>
        <w:t>达到原盈利预测及其原因作出说明</w:t>
      </w:r>
      <w:r>
        <w:rPr>
          <w:b w:val="0"/>
          <w:bCs w:val="0"/>
        </w:rPr>
      </w:r>
    </w:p>
    <w:p>
      <w:pPr>
        <w:pStyle w:val="BodyText"/>
        <w:spacing w:line="240" w:lineRule="auto" w:before="97"/>
        <w:ind w:left="938" w:right="0"/>
        <w:jc w:val="left"/>
      </w:pP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日，公司第七届董事会第十六次会议审议通过了《关于接受浙江郡原地产股</w:t>
      </w:r>
    </w:p>
    <w:p>
      <w:pPr>
        <w:pStyle w:val="BodyText"/>
        <w:spacing w:line="240" w:lineRule="auto" w:before="93"/>
        <w:ind w:left="458" w:right="0"/>
        <w:jc w:val="left"/>
        <w:rPr>
          <w:rFonts w:ascii="宋体" w:hAnsi="宋体" w:cs="宋体" w:eastAsia="宋体" w:hint="default"/>
        </w:rPr>
      </w:pPr>
      <w:r>
        <w:rPr/>
        <w:t>份有限公司无偿赠予其持有的杭州郡原物业服务有限公司</w:t>
      </w:r>
      <w:r>
        <w:rPr>
          <w:spacing w:val="-53"/>
        </w:rPr>
        <w:t> </w:t>
      </w:r>
      <w:r>
        <w:rPr>
          <w:rFonts w:ascii="宋体" w:hAnsi="宋体" w:cs="宋体" w:eastAsia="宋体" w:hint="default"/>
        </w:rPr>
        <w:t>100%</w:t>
      </w:r>
      <w:r>
        <w:rPr/>
        <w:t>股权的议案》。</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17</w:t>
      </w:r>
    </w:p>
    <w:p>
      <w:pPr>
        <w:spacing w:after="0" w:line="240" w:lineRule="auto"/>
        <w:jc w:val="left"/>
        <w:rPr>
          <w:rFonts w:ascii="宋体" w:hAnsi="宋体" w:cs="宋体" w:eastAsia="宋体" w:hint="default"/>
        </w:rPr>
        <w:sectPr>
          <w:pgSz w:w="11910" w:h="16840"/>
          <w:pgMar w:header="0" w:footer="1194" w:top="1120" w:bottom="1380" w:left="1340" w:right="820"/>
        </w:sectPr>
      </w:pPr>
    </w:p>
    <w:p>
      <w:pPr>
        <w:spacing w:line="240" w:lineRule="auto" w:before="6"/>
        <w:rPr>
          <w:rFonts w:ascii="宋体" w:hAnsi="宋体" w:cs="宋体" w:eastAsia="宋体" w:hint="default"/>
          <w:sz w:val="25"/>
          <w:szCs w:val="25"/>
        </w:rPr>
      </w:pPr>
    </w:p>
    <w:p>
      <w:pPr>
        <w:pStyle w:val="BodyText"/>
        <w:spacing w:line="321" w:lineRule="auto" w:before="35"/>
        <w:ind w:left="218" w:right="208"/>
        <w:jc w:val="left"/>
      </w:pPr>
      <w:r>
        <w:rPr/>
        <w:t>日，公司第七届董事会第十七次会议审议通过了《关于浙江郡原地产股份有限公司相关承诺的议 案》，浙江郡原地产股份有限公司承诺：</w:t>
      </w:r>
    </w:p>
    <w:p>
      <w:pPr>
        <w:pStyle w:val="BodyText"/>
        <w:spacing w:line="321" w:lineRule="auto" w:before="22"/>
        <w:ind w:left="218" w:right="212" w:firstLine="420"/>
        <w:jc w:val="both"/>
      </w:pPr>
      <w:r>
        <w:rPr>
          <w:rFonts w:ascii="宋体" w:hAnsi="宋体" w:cs="宋体" w:eastAsia="宋体" w:hint="default"/>
          <w:spacing w:val="-3"/>
        </w:rPr>
        <w:t>1</w:t>
      </w:r>
      <w:r>
        <w:rPr>
          <w:spacing w:val="-3"/>
        </w:rPr>
        <w:t>、保证无偿赠予公司的杭州郡原物业服务有限公司</w:t>
      </w:r>
      <w:r>
        <w:rPr>
          <w:rFonts w:ascii="宋体" w:hAnsi="宋体" w:cs="宋体" w:eastAsia="宋体" w:hint="default"/>
          <w:spacing w:val="-3"/>
        </w:rPr>
        <w:t>2012</w:t>
      </w:r>
      <w:r>
        <w:rPr>
          <w:spacing w:val="-3"/>
        </w:rPr>
        <w:t>年、</w:t>
      </w:r>
      <w:r>
        <w:rPr>
          <w:rFonts w:ascii="宋体" w:hAnsi="宋体" w:cs="宋体" w:eastAsia="宋体" w:hint="default"/>
          <w:spacing w:val="-3"/>
        </w:rPr>
        <w:t>2013</w:t>
      </w:r>
      <w:r>
        <w:rPr>
          <w:spacing w:val="-3"/>
        </w:rPr>
        <w:t>年、</w:t>
      </w:r>
      <w:r>
        <w:rPr>
          <w:rFonts w:ascii="宋体" w:hAnsi="宋体" w:cs="宋体" w:eastAsia="宋体" w:hint="default"/>
          <w:spacing w:val="-3"/>
        </w:rPr>
        <w:t>2014</w:t>
      </w:r>
      <w:r>
        <w:rPr>
          <w:spacing w:val="-3"/>
        </w:rPr>
        <w:t>年经审计后的合并</w:t>
      </w:r>
      <w:r>
        <w:rPr/>
        <w:t> </w:t>
      </w:r>
      <w:r>
        <w:rPr>
          <w:spacing w:val="-3"/>
        </w:rPr>
        <w:t>报表归属于母公司所有者的净利润分别不低于人民币</w:t>
      </w:r>
      <w:r>
        <w:rPr>
          <w:rFonts w:ascii="宋体" w:hAnsi="宋体" w:cs="宋体" w:eastAsia="宋体" w:hint="default"/>
          <w:spacing w:val="-3"/>
        </w:rPr>
        <w:t>440</w:t>
      </w:r>
      <w:r>
        <w:rPr>
          <w:spacing w:val="-3"/>
        </w:rPr>
        <w:t>万元、</w:t>
      </w:r>
      <w:r>
        <w:rPr>
          <w:rFonts w:ascii="宋体" w:hAnsi="宋体" w:cs="宋体" w:eastAsia="宋体" w:hint="default"/>
          <w:spacing w:val="-3"/>
        </w:rPr>
        <w:t>460</w:t>
      </w:r>
      <w:r>
        <w:rPr>
          <w:spacing w:val="-3"/>
        </w:rPr>
        <w:t>万元、</w:t>
      </w:r>
      <w:r>
        <w:rPr>
          <w:rFonts w:ascii="宋体" w:hAnsi="宋体" w:cs="宋体" w:eastAsia="宋体" w:hint="default"/>
          <w:spacing w:val="-3"/>
        </w:rPr>
        <w:t>530</w:t>
      </w:r>
      <w:r>
        <w:rPr>
          <w:spacing w:val="-3"/>
        </w:rPr>
        <w:t>万元；若杭州物业在</w:t>
      </w:r>
      <w:r>
        <w:rPr>
          <w:spacing w:val="-64"/>
        </w:rPr>
        <w:t> </w:t>
      </w:r>
      <w:r>
        <w:rPr>
          <w:spacing w:val="-64"/>
        </w:rPr>
      </w:r>
      <w:r>
        <w:rPr>
          <w:rFonts w:ascii="宋体" w:hAnsi="宋体" w:cs="宋体" w:eastAsia="宋体" w:hint="default"/>
        </w:rPr>
        <w:t>2012</w:t>
      </w:r>
      <w:r>
        <w:rPr/>
        <w:t>年、</w:t>
      </w:r>
      <w:r>
        <w:rPr>
          <w:rFonts w:ascii="宋体" w:hAnsi="宋体" w:cs="宋体" w:eastAsia="宋体" w:hint="default"/>
        </w:rPr>
        <w:t>2013</w:t>
      </w:r>
      <w:r>
        <w:rPr/>
        <w:t>年、</w:t>
      </w:r>
      <w:r>
        <w:rPr>
          <w:rFonts w:ascii="宋体" w:hAnsi="宋体" w:cs="宋体" w:eastAsia="宋体" w:hint="default"/>
        </w:rPr>
        <w:t>2014</w:t>
      </w:r>
      <w:r>
        <w:rPr/>
        <w:t>年任一年度结束后的经审计后的合并报表归属于母公司所有者的净利润低 于前述的业绩，郡原地产将以现金方式向公司补足杭州物业当年度实际盈利数与前述承诺业绩数 之间的差额部分；</w:t>
      </w:r>
    </w:p>
    <w:p>
      <w:pPr>
        <w:pStyle w:val="BodyText"/>
        <w:spacing w:line="321" w:lineRule="auto" w:before="22"/>
        <w:ind w:left="218" w:right="214" w:firstLine="420"/>
        <w:jc w:val="both"/>
      </w:pPr>
      <w:r>
        <w:rPr>
          <w:rFonts w:ascii="宋体" w:hAnsi="宋体" w:cs="宋体" w:eastAsia="宋体" w:hint="default"/>
          <w:spacing w:val="-3"/>
        </w:rPr>
        <w:t>2</w:t>
      </w:r>
      <w:r>
        <w:rPr>
          <w:spacing w:val="-3"/>
        </w:rPr>
        <w:t>、郡原地产未来新开发的房地产项目如需第三方提供物业管理服务，在同等条件下，杭州物</w:t>
      </w:r>
      <w:r>
        <w:rPr/>
        <w:t> 业及其子公司可以优先获得前述物业管理服务等相关业务；</w:t>
      </w:r>
    </w:p>
    <w:p>
      <w:pPr>
        <w:pStyle w:val="BodyText"/>
        <w:spacing w:line="321" w:lineRule="auto" w:before="21"/>
        <w:ind w:left="218" w:right="212" w:firstLine="420"/>
        <w:jc w:val="both"/>
      </w:pPr>
      <w:r>
        <w:rPr>
          <w:rFonts w:ascii="宋体" w:hAnsi="宋体" w:cs="宋体" w:eastAsia="宋体" w:hint="default"/>
          <w:spacing w:val="-3"/>
        </w:rPr>
        <w:t>3</w:t>
      </w:r>
      <w:r>
        <w:rPr>
          <w:spacing w:val="-3"/>
        </w:rPr>
        <w:t>、在公司与重组方签署重大资产重组正式协议之前或筹划非公开发行股份募集资金等事宜之</w:t>
      </w:r>
      <w:r>
        <w:rPr/>
        <w:t> </w:t>
      </w:r>
      <w:r>
        <w:rPr>
          <w:spacing w:val="-2"/>
        </w:rPr>
        <w:t>前，暂不要求公司偿付对公司享有的</w:t>
      </w:r>
      <w:r>
        <w:rPr>
          <w:rFonts w:ascii="宋体" w:hAnsi="宋体" w:cs="宋体" w:eastAsia="宋体" w:hint="default"/>
          <w:spacing w:val="-2"/>
        </w:rPr>
        <w:t>70,372,521.73</w:t>
      </w:r>
      <w:r>
        <w:rPr>
          <w:spacing w:val="-2"/>
        </w:rPr>
        <w:t>元债务；如果前述重大资产重组或非公开发行</w:t>
      </w:r>
      <w:r>
        <w:rPr>
          <w:spacing w:val="-103"/>
        </w:rPr>
        <w:t> </w:t>
      </w:r>
      <w:r>
        <w:rPr>
          <w:spacing w:val="-103"/>
        </w:rPr>
      </w:r>
      <w:r>
        <w:rPr/>
        <w:t>股份募集资金未能实施，郡原地产将采取包括但不局限于再次注入资产等方式确保公司</w:t>
      </w:r>
      <w:r>
        <w:rPr>
          <w:rFonts w:ascii="宋体" w:hAnsi="宋体" w:cs="宋体" w:eastAsia="宋体" w:hint="default"/>
        </w:rPr>
        <w:t>2013</w:t>
      </w:r>
      <w:r>
        <w:rPr/>
        <w:t>年经 审计的期末净资产为正值。</w:t>
      </w:r>
    </w:p>
    <w:p>
      <w:pPr>
        <w:pStyle w:val="BodyText"/>
        <w:spacing w:line="321" w:lineRule="auto" w:before="22"/>
        <w:ind w:left="218" w:right="213" w:firstLine="420"/>
        <w:jc w:val="both"/>
      </w:pPr>
      <w:r>
        <w:rPr>
          <w:spacing w:val="-5"/>
        </w:rPr>
        <w:t>经审计，杭州物业在</w:t>
      </w:r>
      <w:r>
        <w:rPr>
          <w:rFonts w:ascii="宋体" w:hAnsi="宋体" w:cs="宋体" w:eastAsia="宋体" w:hint="default"/>
          <w:spacing w:val="-5"/>
        </w:rPr>
        <w:t>2014</w:t>
      </w:r>
      <w:r>
        <w:rPr>
          <w:spacing w:val="-5"/>
        </w:rPr>
        <w:t>年度合并报表归属于母公司所有者的净利润为</w:t>
      </w:r>
      <w:r>
        <w:rPr>
          <w:rFonts w:ascii="宋体" w:hAnsi="宋体" w:cs="宋体" w:eastAsia="宋体" w:hint="default"/>
          <w:spacing w:val="-5"/>
        </w:rPr>
        <w:t>549.39</w:t>
      </w:r>
      <w:r>
        <w:rPr>
          <w:spacing w:val="-5"/>
        </w:rPr>
        <w:t>万元，达到</w:t>
      </w:r>
      <w:r>
        <w:rPr>
          <w:rFonts w:ascii="宋体" w:hAnsi="宋体" w:cs="宋体" w:eastAsia="宋体" w:hint="default"/>
          <w:spacing w:val="-5"/>
        </w:rPr>
        <w:t>2014</w:t>
      </w:r>
      <w:r>
        <w:rPr>
          <w:rFonts w:ascii="宋体" w:hAnsi="宋体" w:cs="宋体" w:eastAsia="宋体" w:hint="default"/>
        </w:rPr>
        <w:t> </w:t>
      </w:r>
      <w:r>
        <w:rPr/>
        <w:t>年度业绩承诺的要求。</w:t>
      </w:r>
    </w:p>
    <w:p>
      <w:pPr>
        <w:spacing w:line="240" w:lineRule="auto" w:before="4"/>
        <w:rPr>
          <w:rFonts w:ascii="宋体" w:hAnsi="宋体" w:cs="宋体" w:eastAsia="宋体" w:hint="default"/>
          <w:sz w:val="24"/>
          <w:szCs w:val="24"/>
        </w:rPr>
      </w:pPr>
    </w:p>
    <w:p>
      <w:pPr>
        <w:pStyle w:val="Heading3"/>
        <w:spacing w:line="240" w:lineRule="auto"/>
        <w:ind w:right="208"/>
        <w:jc w:val="left"/>
        <w:rPr>
          <w:b w:val="0"/>
          <w:bCs w:val="0"/>
        </w:rPr>
      </w:pPr>
      <w:r>
        <w:rPr/>
        <w:t>九、聘任、解聘会计师事务所情况</w:t>
      </w:r>
      <w:r>
        <w:rPr>
          <w:b w:val="0"/>
          <w:bCs w:val="0"/>
        </w:rPr>
      </w:r>
    </w:p>
    <w:p>
      <w:pPr>
        <w:pStyle w:val="BodyText"/>
        <w:tabs>
          <w:tab w:pos="1049" w:val="left" w:leader="none"/>
        </w:tabs>
        <w:spacing w:line="240" w:lineRule="auto" w:before="57"/>
        <w:ind w:left="0" w:right="2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20"/>
      </w:tblGrid>
      <w:tr>
        <w:trPr>
          <w:trHeight w:val="337"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是否改聘会计师事务所：</w:t>
            </w:r>
          </w:p>
        </w:tc>
        <w:tc>
          <w:tcPr>
            <w:tcW w:w="6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39"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原聘任</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现聘任</w:t>
            </w:r>
          </w:p>
        </w:tc>
      </w:tr>
      <w:tr>
        <w:trPr>
          <w:trHeight w:val="33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5"/>
              <w:jc w:val="right"/>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r>
      <w:tr>
        <w:trPr>
          <w:trHeight w:val="33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境内会计师事务所报酬</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300,000</w:t>
            </w:r>
          </w:p>
        </w:tc>
      </w:tr>
      <w:tr>
        <w:trPr>
          <w:trHeight w:val="33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境内会计师事务所审计年限</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3</w:t>
            </w:r>
          </w:p>
        </w:tc>
      </w:tr>
    </w:tbl>
    <w:p>
      <w:pPr>
        <w:spacing w:line="240" w:lineRule="auto" w:before="0"/>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802"/>
        <w:gridCol w:w="3118"/>
        <w:gridCol w:w="3120"/>
      </w:tblGrid>
      <w:tr>
        <w:trPr>
          <w:trHeight w:val="338" w:hRule="exact"/>
        </w:trPr>
        <w:tc>
          <w:tcPr>
            <w:tcW w:w="2802"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报酬</w:t>
            </w:r>
          </w:p>
        </w:tc>
      </w:tr>
      <w:tr>
        <w:trPr>
          <w:trHeight w:val="338"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内部控制审计会计师事务所</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center"/>
              <w:rPr>
                <w:rFonts w:ascii="宋体" w:hAnsi="宋体" w:cs="宋体" w:eastAsia="宋体" w:hint="default"/>
                <w:sz w:val="18"/>
                <w:szCs w:val="18"/>
              </w:rPr>
            </w:pPr>
            <w:r>
              <w:rPr>
                <w:rFonts w:ascii="宋体" w:hAnsi="宋体" w:cs="宋体" w:eastAsia="宋体" w:hint="default"/>
                <w:sz w:val="18"/>
                <w:szCs w:val="18"/>
              </w:rPr>
              <w:t>大信会计师事务所（特殊普通合伙）</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200,000</w:t>
            </w:r>
          </w:p>
        </w:tc>
      </w:tr>
    </w:tbl>
    <w:p>
      <w:pPr>
        <w:spacing w:line="240" w:lineRule="auto" w:before="0"/>
        <w:rPr>
          <w:rFonts w:ascii="宋体" w:hAnsi="宋体" w:cs="宋体" w:eastAsia="宋体" w:hint="default"/>
          <w:sz w:val="20"/>
          <w:szCs w:val="20"/>
        </w:rPr>
      </w:pPr>
    </w:p>
    <w:p>
      <w:pPr>
        <w:pStyle w:val="Heading3"/>
        <w:spacing w:line="272" w:lineRule="exact" w:before="63"/>
        <w:ind w:left="638" w:right="201" w:hanging="420"/>
        <w:jc w:val="left"/>
        <w:rPr>
          <w:b w:val="0"/>
          <w:bCs w:val="0"/>
        </w:rPr>
      </w:pPr>
      <w:r>
        <w:rPr>
          <w:spacing w:val="-2"/>
        </w:rPr>
        <w:t>十、上市公司及其董事、监事、高级管理人员、持有</w:t>
      </w:r>
      <w:r>
        <w:rPr>
          <w:spacing w:val="-59"/>
        </w:rPr>
        <w:t> </w:t>
      </w:r>
      <w:r>
        <w:rPr>
          <w:rFonts w:ascii="Arial" w:hAnsi="Arial" w:cs="Arial" w:eastAsia="Arial" w:hint="default"/>
          <w:spacing w:val="-2"/>
        </w:rPr>
        <w:t>5</w:t>
      </w:r>
      <w:r>
        <w:rPr>
          <w:rFonts w:ascii="宋体" w:hAnsi="宋体" w:cs="宋体" w:eastAsia="宋体" w:hint="default"/>
          <w:spacing w:val="-2"/>
        </w:rPr>
        <w:t>%</w:t>
      </w:r>
      <w:r>
        <w:rPr>
          <w:spacing w:val="-2"/>
        </w:rPr>
        <w:t>以上股份的股东、实际控制人、收购人处</w:t>
      </w:r>
      <w:r>
        <w:rPr>
          <w:w w:val="99"/>
        </w:rPr>
        <w:t> </w:t>
      </w:r>
      <w:r>
        <w:rPr/>
        <w:t>罚及整改情况</w:t>
      </w:r>
      <w:r>
        <w:rPr>
          <w:b w:val="0"/>
          <w:bCs w:val="0"/>
        </w:rPr>
      </w:r>
    </w:p>
    <w:p>
      <w:pPr>
        <w:pStyle w:val="BodyText"/>
        <w:spacing w:line="321" w:lineRule="auto" w:before="34"/>
        <w:ind w:left="218" w:right="212" w:firstLine="480"/>
        <w:jc w:val="both"/>
      </w:pPr>
      <w:r>
        <w:rPr>
          <w:rFonts w:ascii="宋体" w:hAnsi="宋体" w:cs="宋体" w:eastAsia="宋体" w:hint="default"/>
        </w:rPr>
        <w:t>2007</w:t>
      </w:r>
      <w:r>
        <w:rPr/>
        <w:t>年</w:t>
      </w:r>
      <w:r>
        <w:rPr>
          <w:rFonts w:ascii="宋体" w:hAnsi="宋体" w:cs="宋体" w:eastAsia="宋体" w:hint="default"/>
        </w:rPr>
        <w:t>07</w:t>
      </w:r>
      <w:r>
        <w:rPr/>
        <w:t>月</w:t>
      </w:r>
      <w:r>
        <w:rPr>
          <w:rFonts w:ascii="宋体" w:hAnsi="宋体" w:cs="宋体" w:eastAsia="宋体" w:hint="default"/>
        </w:rPr>
        <w:t>30</w:t>
      </w:r>
      <w:r>
        <w:rPr/>
        <w:t>日</w:t>
      </w:r>
      <w:r>
        <w:rPr>
          <w:rFonts w:ascii="宋体" w:hAnsi="宋体" w:cs="宋体" w:eastAsia="宋体" w:hint="default"/>
        </w:rPr>
        <w:t>, </w:t>
      </w:r>
      <w:r>
        <w:rPr/>
        <w:t>广西北生药业股份有限公司（以下简称“公司”、“北生药业”）</w:t>
      </w:r>
      <w:r>
        <w:rPr>
          <w:spacing w:val="-5"/>
        </w:rPr>
        <w:t> </w:t>
      </w:r>
      <w:r>
        <w:rPr/>
        <w:t>接到</w:t>
      </w:r>
      <w:r>
        <w:rPr/>
        <w:t> 中国证券监督管理委员会立案调查通知书（</w:t>
      </w:r>
      <w:r>
        <w:rPr>
          <w:spacing w:val="-4"/>
        </w:rPr>
        <w:t> </w:t>
      </w:r>
      <w:r>
        <w:rPr>
          <w:rFonts w:ascii="宋体" w:hAnsi="宋体" w:cs="宋体" w:eastAsia="宋体" w:hint="default"/>
        </w:rPr>
        <w:t>[</w:t>
      </w:r>
      <w:r>
        <w:rPr/>
        <w:t>（</w:t>
      </w:r>
      <w:r>
        <w:rPr>
          <w:rFonts w:ascii="宋体" w:hAnsi="宋体" w:cs="宋体" w:eastAsia="宋体" w:hint="default"/>
        </w:rPr>
        <w:t>2007</w:t>
      </w:r>
      <w:r>
        <w:rPr/>
        <w:t>）桂证监立通</w:t>
      </w:r>
      <w:r>
        <w:rPr>
          <w:rFonts w:ascii="宋体" w:hAnsi="宋体" w:cs="宋体" w:eastAsia="宋体" w:hint="default"/>
        </w:rPr>
        <w:t>001</w:t>
      </w:r>
      <w:r>
        <w:rPr/>
        <w:t>号</w:t>
      </w:r>
      <w:r>
        <w:rPr>
          <w:rFonts w:ascii="宋体" w:hAnsi="宋体" w:cs="宋体" w:eastAsia="宋体" w:hint="default"/>
        </w:rPr>
        <w:t>]</w:t>
      </w:r>
      <w:r>
        <w:rPr/>
        <w:t>），因公司涉嫌证券违 法违规一案，决定对公司进行立案调查（详见公司临</w:t>
      </w:r>
      <w:r>
        <w:rPr>
          <w:rFonts w:ascii="宋体" w:hAnsi="宋体" w:cs="宋体" w:eastAsia="宋体" w:hint="default"/>
        </w:rPr>
        <w:t>2007-027</w:t>
      </w:r>
      <w:r>
        <w:rPr/>
        <w:t>号公告</w:t>
      </w:r>
      <w:r>
        <w:rPr>
          <w:spacing w:val="-34"/>
        </w:rPr>
        <w:t> </w:t>
      </w:r>
      <w:r>
        <w:rPr>
          <w:spacing w:val="-4"/>
        </w:rPr>
        <w:t>）。</w:t>
      </w:r>
      <w:r>
        <w:rPr>
          <w:rFonts w:ascii="宋体" w:hAnsi="宋体" w:cs="宋体" w:eastAsia="宋体" w:hint="default"/>
          <w:spacing w:val="-4"/>
        </w:rPr>
        <w:t>2014</w:t>
      </w:r>
      <w:r>
        <w:rPr>
          <w:spacing w:val="-4"/>
        </w:rPr>
        <w:t>年</w:t>
      </w:r>
      <w:r>
        <w:rPr>
          <w:rFonts w:ascii="宋体" w:hAnsi="宋体" w:cs="宋体" w:eastAsia="宋体" w:hint="default"/>
          <w:spacing w:val="-4"/>
        </w:rPr>
        <w:t>11</w:t>
      </w:r>
      <w:r>
        <w:rPr>
          <w:spacing w:val="-4"/>
        </w:rPr>
        <w:t>月，公司收到</w:t>
      </w:r>
      <w:r>
        <w:rPr/>
        <w:t> 中国证监会《行政处罚决定书》（</w:t>
      </w:r>
      <w:r>
        <w:rPr>
          <w:rFonts w:ascii="宋体" w:hAnsi="宋体" w:cs="宋体" w:eastAsia="宋体" w:hint="default"/>
        </w:rPr>
        <w:t>2014[95]</w:t>
      </w:r>
      <w:r>
        <w:rPr/>
        <w:t>号）和《市场禁入决定书》（</w:t>
      </w:r>
      <w:r>
        <w:rPr>
          <w:rFonts w:ascii="宋体" w:hAnsi="宋体" w:cs="宋体" w:eastAsia="宋体" w:hint="default"/>
        </w:rPr>
        <w:t>2014[17]</w:t>
      </w:r>
      <w:r>
        <w:rPr>
          <w:rFonts w:ascii="宋体" w:hAnsi="宋体" w:cs="宋体" w:eastAsia="宋体" w:hint="default"/>
          <w:spacing w:val="-66"/>
        </w:rPr>
        <w:t> </w:t>
      </w:r>
      <w:r>
        <w:rPr>
          <w:spacing w:val="-4"/>
        </w:rPr>
        <w:t>号），本案现</w:t>
      </w:r>
      <w:r>
        <w:rPr/>
        <w:t> 已调查、审理终结。中国证监会根据当事人违法行为的事实、性质、情节与社会危害程度，依据 原《证券法》第一百七十七条和《证券法》第一百九十三条规定，作出以下行政处罚：</w:t>
      </w:r>
    </w:p>
    <w:p>
      <w:pPr>
        <w:pStyle w:val="BodyText"/>
        <w:spacing w:line="240" w:lineRule="auto" w:before="21"/>
        <w:ind w:left="638" w:right="208"/>
        <w:jc w:val="left"/>
      </w:pPr>
      <w:r>
        <w:rPr>
          <w:rFonts w:ascii="宋体" w:hAnsi="宋体" w:cs="宋体" w:eastAsia="宋体" w:hint="default"/>
        </w:rPr>
        <w:t>1</w:t>
      </w:r>
      <w:r>
        <w:rPr/>
        <w:t>、对北生药业给予警告，并处以</w:t>
      </w:r>
      <w:r>
        <w:rPr>
          <w:spacing w:val="-54"/>
        </w:rPr>
        <w:t> </w:t>
      </w:r>
      <w:r>
        <w:rPr>
          <w:rFonts w:ascii="宋体" w:hAnsi="宋体" w:cs="宋体" w:eastAsia="宋体" w:hint="default"/>
        </w:rPr>
        <w:t>60</w:t>
      </w:r>
      <w:r>
        <w:rPr>
          <w:rFonts w:ascii="宋体" w:hAnsi="宋体" w:cs="宋体" w:eastAsia="宋体" w:hint="default"/>
          <w:spacing w:val="-55"/>
        </w:rPr>
        <w:t> </w:t>
      </w:r>
      <w:r>
        <w:rPr/>
        <w:t>万元罚款；</w:t>
      </w:r>
    </w:p>
    <w:p>
      <w:pPr>
        <w:pStyle w:val="BodyText"/>
        <w:spacing w:line="240" w:lineRule="auto" w:before="93"/>
        <w:ind w:left="638" w:right="208"/>
        <w:jc w:val="left"/>
      </w:pPr>
      <w:r>
        <w:rPr>
          <w:rFonts w:ascii="宋体" w:hAnsi="宋体" w:cs="宋体" w:eastAsia="宋体" w:hint="default"/>
        </w:rPr>
        <w:t>2</w:t>
      </w:r>
      <w:r>
        <w:rPr/>
        <w:t>、对刘俊奕给予警告，并处以</w:t>
      </w:r>
      <w:r>
        <w:rPr>
          <w:rFonts w:ascii="宋体" w:hAnsi="宋体" w:cs="宋体" w:eastAsia="宋体" w:hint="default"/>
        </w:rPr>
        <w:t>30</w:t>
      </w:r>
      <w:r>
        <w:rPr/>
        <w:t>万元罚款；</w:t>
      </w:r>
    </w:p>
    <w:p>
      <w:pPr>
        <w:pStyle w:val="BodyText"/>
        <w:spacing w:line="240" w:lineRule="auto" w:before="92"/>
        <w:ind w:left="638" w:right="208"/>
        <w:jc w:val="left"/>
      </w:pPr>
      <w:r>
        <w:rPr>
          <w:rFonts w:ascii="宋体" w:hAnsi="宋体" w:cs="宋体" w:eastAsia="宋体" w:hint="default"/>
        </w:rPr>
        <w:t>3</w:t>
      </w:r>
      <w:r>
        <w:rPr/>
        <w:t>、对姚全、刘惠民、胡钢给予警告，并分别处以</w:t>
      </w:r>
      <w:r>
        <w:rPr>
          <w:rFonts w:ascii="宋体" w:hAnsi="宋体" w:cs="宋体" w:eastAsia="宋体" w:hint="default"/>
        </w:rPr>
        <w:t>10</w:t>
      </w:r>
      <w:r>
        <w:rPr/>
        <w:t>万元罚款；</w:t>
      </w:r>
    </w:p>
    <w:p>
      <w:pPr>
        <w:pStyle w:val="BodyText"/>
        <w:spacing w:line="240" w:lineRule="auto" w:before="92"/>
        <w:ind w:left="638" w:right="208"/>
        <w:jc w:val="left"/>
      </w:pPr>
      <w:r>
        <w:rPr>
          <w:rFonts w:ascii="宋体" w:hAnsi="宋体" w:cs="宋体" w:eastAsia="宋体" w:hint="default"/>
        </w:rPr>
        <w:t>4</w:t>
      </w:r>
      <w:r>
        <w:rPr/>
        <w:t>、对赵民给予警告，并处以</w:t>
      </w:r>
      <w:r>
        <w:rPr>
          <w:rFonts w:ascii="宋体" w:hAnsi="宋体" w:cs="宋体" w:eastAsia="宋体" w:hint="default"/>
        </w:rPr>
        <w:t>3</w:t>
      </w:r>
      <w:r>
        <w:rPr/>
        <w:t>万元罚款；</w:t>
      </w:r>
    </w:p>
    <w:p>
      <w:pPr>
        <w:spacing w:after="0" w:line="240" w:lineRule="auto"/>
        <w:jc w:val="left"/>
        <w:sectPr>
          <w:pgSz w:w="11910" w:h="16840"/>
          <w:pgMar w:header="0" w:footer="1194" w:top="1120" w:bottom="1380" w:left="1580" w:right="1060"/>
        </w:sectPr>
      </w:pPr>
    </w:p>
    <w:p>
      <w:pPr>
        <w:spacing w:line="240" w:lineRule="auto" w:before="6"/>
        <w:rPr>
          <w:rFonts w:ascii="宋体" w:hAnsi="宋体" w:cs="宋体" w:eastAsia="宋体" w:hint="default"/>
          <w:sz w:val="25"/>
          <w:szCs w:val="25"/>
        </w:rPr>
      </w:pPr>
    </w:p>
    <w:p>
      <w:pPr>
        <w:pStyle w:val="BodyText"/>
        <w:spacing w:line="321" w:lineRule="auto" w:before="35"/>
        <w:ind w:left="558" w:right="128"/>
        <w:jc w:val="left"/>
      </w:pPr>
      <w:r>
        <w:rPr/>
        <w:t>鉴于责任人何玉良已于</w:t>
      </w:r>
      <w:r>
        <w:rPr>
          <w:rFonts w:ascii="宋体" w:hAnsi="宋体" w:cs="宋体" w:eastAsia="宋体" w:hint="default"/>
        </w:rPr>
        <w:t>2008</w:t>
      </w:r>
      <w:r>
        <w:rPr/>
        <w:t>年</w:t>
      </w:r>
      <w:r>
        <w:rPr>
          <w:rFonts w:ascii="宋体" w:hAnsi="宋体" w:cs="宋体" w:eastAsia="宋体" w:hint="default"/>
        </w:rPr>
        <w:t>4</w:t>
      </w:r>
      <w:r>
        <w:rPr/>
        <w:t>月死亡，证监会不再对其予以行政处罚。 中国证监会根据当事人违法行为的事实、性质、情节与社会危害程度，依据《证券法》第二</w:t>
      </w:r>
    </w:p>
    <w:p>
      <w:pPr>
        <w:pStyle w:val="BodyText"/>
        <w:spacing w:line="321" w:lineRule="auto" w:before="22"/>
        <w:ind w:left="558" w:right="0" w:hanging="420"/>
        <w:jc w:val="left"/>
      </w:pPr>
      <w:r>
        <w:rPr/>
        <w:t>百三十三条和《证券市场禁入规定》第五条第一款的规定，作出以下市场禁入决定： </w:t>
      </w:r>
      <w:r>
        <w:rPr>
          <w:rFonts w:ascii="宋体" w:hAnsi="宋体" w:cs="宋体" w:eastAsia="宋体" w:hint="default"/>
          <w:spacing w:val="-3"/>
        </w:rPr>
        <w:t>1</w:t>
      </w:r>
      <w:r>
        <w:rPr>
          <w:spacing w:val="-3"/>
        </w:rPr>
        <w:t>、对刘俊奕采取</w:t>
      </w:r>
      <w:r>
        <w:rPr>
          <w:rFonts w:ascii="宋体" w:hAnsi="宋体" w:cs="宋体" w:eastAsia="宋体" w:hint="default"/>
          <w:spacing w:val="-3"/>
        </w:rPr>
        <w:t>10</w:t>
      </w:r>
      <w:r>
        <w:rPr>
          <w:spacing w:val="-3"/>
        </w:rPr>
        <w:t>年市场禁入措施，自证监会宣布决定之日起，在禁入期间内，不得从事证</w:t>
      </w:r>
    </w:p>
    <w:p>
      <w:pPr>
        <w:pStyle w:val="BodyText"/>
        <w:spacing w:line="321" w:lineRule="auto" w:before="21"/>
        <w:ind w:left="558" w:right="128" w:hanging="420"/>
        <w:jc w:val="left"/>
      </w:pPr>
      <w:r>
        <w:rPr/>
        <w:t>券业务或者担任上市公司董事、监事、高级管理人员职务； </w:t>
      </w:r>
      <w:r>
        <w:rPr>
          <w:rFonts w:ascii="宋体" w:hAnsi="宋体" w:cs="宋体" w:eastAsia="宋体" w:hint="default"/>
        </w:rPr>
        <w:t>2</w:t>
      </w:r>
      <w:r>
        <w:rPr/>
        <w:t>、对姚全采取</w:t>
      </w:r>
      <w:r>
        <w:rPr>
          <w:rFonts w:ascii="宋体" w:hAnsi="宋体" w:cs="宋体" w:eastAsia="宋体" w:hint="default"/>
        </w:rPr>
        <w:t>5</w:t>
      </w:r>
      <w:r>
        <w:rPr/>
        <w:t>年市场禁入措施，自证监会宣布决定之日起，在禁入期间内，不得从事证券</w:t>
      </w:r>
    </w:p>
    <w:p>
      <w:pPr>
        <w:pStyle w:val="BodyText"/>
        <w:spacing w:line="321" w:lineRule="auto" w:before="21"/>
        <w:ind w:left="558" w:right="128" w:hanging="420"/>
        <w:jc w:val="left"/>
      </w:pPr>
      <w:r>
        <w:rPr/>
        <w:t>业务或者担任上市公司董事、监事、高级管理人员职务； 鉴于责任人何玉良已于</w:t>
      </w:r>
      <w:r>
        <w:rPr>
          <w:rFonts w:ascii="宋体" w:hAnsi="宋体" w:cs="宋体" w:eastAsia="宋体" w:hint="default"/>
        </w:rPr>
        <w:t>2008</w:t>
      </w:r>
      <w:r>
        <w:rPr/>
        <w:t>年</w:t>
      </w:r>
      <w:r>
        <w:rPr>
          <w:rFonts w:ascii="宋体" w:hAnsi="宋体" w:cs="宋体" w:eastAsia="宋体" w:hint="default"/>
        </w:rPr>
        <w:t>4</w:t>
      </w:r>
      <w:r>
        <w:rPr/>
        <w:t>月死亡，证监会不再对其采取市场禁入措施。 公司接到《行政处罚决定书》和《市场禁入决定书》后表示，公司接受中国证监会的行政处</w:t>
      </w:r>
    </w:p>
    <w:p>
      <w:pPr>
        <w:pStyle w:val="BodyText"/>
        <w:spacing w:line="321" w:lineRule="auto" w:before="21"/>
        <w:ind w:right="145"/>
        <w:jc w:val="both"/>
      </w:pPr>
      <w:r>
        <w:rPr/>
        <w:t>罚，不申请行政复议和提起行政诉讼。另外，上述处罚涉及事项均为公司</w:t>
      </w:r>
      <w:r>
        <w:rPr>
          <w:rFonts w:ascii="宋体" w:hAnsi="宋体" w:cs="宋体" w:eastAsia="宋体" w:hint="default"/>
        </w:rPr>
        <w:t>2008</w:t>
      </w:r>
      <w:r>
        <w:rPr/>
        <w:t>年破产重整前之行 为，不涉及重整后现在的公司及公司管理层，但公司及现任董事、监事、高级管理人员将以此为 戒，提高规范运作意识，完善公司治理、强化内部控制体系建设，严格按照《公司法》、《证券 法》、《上海证券交易所股票上市规则》、《上市公司信息披露管理办法》等法律法规的要求， 规范运作、诚信为本，真实、准确、完整、及时地履行信息披露义务。</w:t>
      </w:r>
    </w:p>
    <w:p>
      <w:pPr>
        <w:spacing w:line="240" w:lineRule="auto" w:before="12"/>
        <w:rPr>
          <w:rFonts w:ascii="宋体" w:hAnsi="宋体" w:cs="宋体" w:eastAsia="宋体" w:hint="default"/>
          <w:sz w:val="26"/>
          <w:szCs w:val="26"/>
        </w:rPr>
      </w:pPr>
    </w:p>
    <w:p>
      <w:pPr>
        <w:pStyle w:val="Heading3"/>
        <w:spacing w:line="240" w:lineRule="auto" w:before="0"/>
        <w:ind w:left="138" w:right="0"/>
        <w:jc w:val="both"/>
        <w:rPr>
          <w:b w:val="0"/>
          <w:bCs w:val="0"/>
        </w:rPr>
      </w:pPr>
      <w:r>
        <w:rPr/>
        <w:t>十一、面临暂停上市和终止上市风险的情况</w:t>
      </w:r>
      <w:r>
        <w:rPr>
          <w:b w:val="0"/>
          <w:bCs w:val="0"/>
        </w:rPr>
      </w:r>
    </w:p>
    <w:p>
      <w:pPr>
        <w:pStyle w:val="Heading3"/>
        <w:spacing w:line="264" w:lineRule="auto" w:before="57"/>
        <w:ind w:left="138" w:right="736"/>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导致暂停上市或终止上市的原因以及公司采取的消除暂停上市或终止上市情形的措施</w:t>
      </w:r>
      <w:r>
        <w:rPr>
          <w:w w:val="99"/>
        </w:rPr>
        <w:t> </w:t>
      </w:r>
      <w:r>
        <w:rPr>
          <w:rFonts w:ascii="宋体" w:hAnsi="宋体" w:cs="宋体" w:eastAsia="宋体" w:hint="default"/>
          <w:b w:val="0"/>
          <w:bCs w:val="0"/>
        </w:rPr>
        <w:t>不适用</w:t>
      </w:r>
    </w:p>
    <w:p>
      <w:pPr>
        <w:spacing w:line="240" w:lineRule="auto" w:before="8"/>
        <w:rPr>
          <w:rFonts w:ascii="宋体" w:hAnsi="宋体" w:cs="宋体" w:eastAsia="宋体" w:hint="default"/>
          <w:sz w:val="23"/>
          <w:szCs w:val="23"/>
        </w:rPr>
      </w:pPr>
    </w:p>
    <w:p>
      <w:pPr>
        <w:pStyle w:val="Heading3"/>
        <w:spacing w:line="264" w:lineRule="auto" w:before="0"/>
        <w:ind w:left="138" w:right="3896"/>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5"/>
        </w:rPr>
        <w:t> </w:t>
      </w:r>
      <w:r>
        <w:rPr/>
        <w:t>终止上市后投资者关系管理工作的详细安排和计划</w:t>
      </w:r>
      <w:r>
        <w:rPr>
          <w:w w:val="99"/>
        </w:rPr>
        <w:t> </w:t>
      </w:r>
      <w:r>
        <w:rPr>
          <w:rFonts w:ascii="宋体" w:hAnsi="宋体" w:cs="宋体" w:eastAsia="宋体" w:hint="default"/>
          <w:b w:val="0"/>
          <w:bCs w:val="0"/>
        </w:rPr>
        <w:t>不适用</w:t>
      </w:r>
    </w:p>
    <w:p>
      <w:pPr>
        <w:spacing w:line="240" w:lineRule="auto" w:before="8"/>
        <w:rPr>
          <w:rFonts w:ascii="宋体" w:hAnsi="宋体" w:cs="宋体" w:eastAsia="宋体" w:hint="default"/>
          <w:sz w:val="23"/>
          <w:szCs w:val="23"/>
        </w:rPr>
      </w:pPr>
    </w:p>
    <w:p>
      <w:pPr>
        <w:pStyle w:val="Heading3"/>
        <w:spacing w:line="240" w:lineRule="auto" w:before="0"/>
        <w:ind w:left="138" w:right="0"/>
        <w:jc w:val="both"/>
        <w:rPr>
          <w:b w:val="0"/>
          <w:bCs w:val="0"/>
        </w:rPr>
      </w:pPr>
      <w:r>
        <w:rPr/>
        <w:t>十二、可转换公司债券情况</w:t>
      </w:r>
      <w:r>
        <w:rPr>
          <w:b w:val="0"/>
          <w:bCs w:val="0"/>
        </w:rPr>
      </w:r>
    </w:p>
    <w:p>
      <w:pPr>
        <w:pStyle w:val="BodyText"/>
        <w:spacing w:line="240" w:lineRule="auto" w:before="57"/>
        <w:ind w:right="0"/>
        <w:jc w:val="both"/>
      </w:pPr>
      <w:r>
        <w:rPr/>
        <w:t>□适用</w:t>
      </w:r>
      <w:r>
        <w:rPr>
          <w:spacing w:val="-2"/>
        </w:rPr>
        <w:t> </w:t>
      </w:r>
      <w:r>
        <w:rPr/>
        <w:t>√不适用</w:t>
      </w:r>
    </w:p>
    <w:p>
      <w:pPr>
        <w:spacing w:line="240" w:lineRule="auto" w:before="3"/>
        <w:rPr>
          <w:rFonts w:ascii="宋体" w:hAnsi="宋体" w:cs="宋体" w:eastAsia="宋体" w:hint="default"/>
          <w:sz w:val="25"/>
          <w:szCs w:val="25"/>
        </w:rPr>
      </w:pPr>
    </w:p>
    <w:p>
      <w:pPr>
        <w:spacing w:line="343" w:lineRule="auto" w:before="0"/>
        <w:ind w:left="138" w:right="4732" w:firstLine="0"/>
        <w:jc w:val="left"/>
        <w:rPr>
          <w:rFonts w:ascii="宋体" w:hAnsi="宋体" w:cs="宋体" w:eastAsia="宋体" w:hint="default"/>
          <w:sz w:val="21"/>
          <w:szCs w:val="21"/>
        </w:rPr>
      </w:pPr>
      <w:r>
        <w:rPr>
          <w:rFonts w:ascii="宋体" w:hAnsi="宋体" w:cs="宋体" w:eastAsia="宋体" w:hint="default"/>
          <w:b/>
          <w:bCs/>
          <w:sz w:val="21"/>
          <w:szCs w:val="21"/>
        </w:rPr>
        <w:t>十三、执行新会计准则对合并财务报表的影响</w:t>
      </w:r>
      <w:r>
        <w:rPr>
          <w:rFonts w:ascii="宋体" w:hAnsi="宋体" w:cs="宋体" w:eastAsia="宋体" w:hint="default"/>
          <w:b/>
          <w:bCs/>
          <w:w w:val="99"/>
          <w:sz w:val="21"/>
          <w:szCs w:val="21"/>
        </w:rPr>
        <w:t> </w:t>
      </w:r>
      <w:r>
        <w:rPr>
          <w:rFonts w:ascii="宋体" w:hAnsi="宋体" w:cs="宋体" w:eastAsia="宋体" w:hint="default"/>
          <w:sz w:val="21"/>
          <w:szCs w:val="21"/>
        </w:rPr>
        <w:t>执行新会计准则对公司合并财务报表无影响。</w:t>
      </w:r>
    </w:p>
    <w:p>
      <w:pPr>
        <w:spacing w:line="240" w:lineRule="auto" w:before="0"/>
        <w:rPr>
          <w:rFonts w:ascii="宋体" w:hAnsi="宋体" w:cs="宋体" w:eastAsia="宋体" w:hint="default"/>
          <w:sz w:val="17"/>
          <w:szCs w:val="17"/>
        </w:rPr>
      </w:pPr>
    </w:p>
    <w:p>
      <w:pPr>
        <w:pStyle w:val="Heading3"/>
        <w:spacing w:line="240" w:lineRule="auto" w:before="0"/>
        <w:ind w:left="138" w:right="0"/>
        <w:jc w:val="both"/>
        <w:rPr>
          <w:b w:val="0"/>
          <w:bCs w:val="0"/>
        </w:rPr>
      </w:pPr>
      <w:r>
        <w:rPr/>
        <w:t>十四、其他重大事项的说明</w:t>
      </w:r>
      <w:r>
        <w:rPr>
          <w:b w:val="0"/>
          <w:bCs w:val="0"/>
        </w:rPr>
      </w:r>
    </w:p>
    <w:p>
      <w:pPr>
        <w:pStyle w:val="BodyText"/>
        <w:spacing w:line="240" w:lineRule="auto" w:before="57"/>
        <w:ind w:right="0"/>
        <w:jc w:val="both"/>
      </w:pPr>
      <w:r>
        <w:rPr/>
        <w:t>√适用</w:t>
      </w:r>
      <w:r>
        <w:rPr>
          <w:spacing w:val="-2"/>
        </w:rPr>
        <w:t> </w:t>
      </w:r>
      <w:r>
        <w:rPr/>
        <w:t>□不适用</w:t>
      </w:r>
    </w:p>
    <w:p>
      <w:pPr>
        <w:pStyle w:val="BodyText"/>
        <w:spacing w:line="240" w:lineRule="auto" w:before="118"/>
        <w:ind w:left="558" w:right="0"/>
        <w:jc w:val="left"/>
        <w:rPr>
          <w:rFonts w:ascii="宋体" w:hAnsi="宋体" w:cs="宋体" w:eastAsia="宋体" w:hint="default"/>
        </w:rPr>
      </w:pPr>
      <w:r>
        <w:rPr/>
        <w:t>公司于</w:t>
      </w:r>
      <w:r>
        <w:rPr>
          <w:spacing w:val="-49"/>
        </w:rPr>
        <w:t> </w:t>
      </w:r>
      <w:r>
        <w:rPr>
          <w:rFonts w:ascii="宋体" w:hAnsi="宋体" w:cs="宋体" w:eastAsia="宋体" w:hint="default"/>
        </w:rPr>
        <w:t>2014</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1</w:t>
      </w:r>
      <w:r>
        <w:rPr>
          <w:rFonts w:ascii="宋体" w:hAnsi="宋体" w:cs="宋体" w:eastAsia="宋体" w:hint="default"/>
          <w:spacing w:val="-48"/>
        </w:rPr>
        <w:t> </w:t>
      </w:r>
      <w:r>
        <w:rPr>
          <w:spacing w:val="-6"/>
        </w:rPr>
        <w:t>日披露《关于筹划非公开发行股票事项并继续停牌的公告》，并于</w:t>
      </w:r>
      <w:r>
        <w:rPr>
          <w:spacing w:val="-49"/>
        </w:rPr>
        <w:t> </w:t>
      </w:r>
      <w:r>
        <w:rPr>
          <w:rFonts w:ascii="宋体" w:hAnsi="宋体" w:cs="宋体" w:eastAsia="宋体" w:hint="default"/>
        </w:rPr>
        <w:t>2014</w:t>
      </w:r>
    </w:p>
    <w:p>
      <w:pPr>
        <w:pStyle w:val="BodyText"/>
        <w:spacing w:line="355" w:lineRule="auto" w:before="134"/>
        <w:ind w:right="132"/>
        <w:jc w:val="both"/>
      </w:pP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29</w:t>
      </w:r>
      <w:r>
        <w:rPr>
          <w:rFonts w:ascii="宋体" w:hAnsi="宋体" w:cs="宋体" w:eastAsia="宋体" w:hint="default"/>
          <w:spacing w:val="-48"/>
        </w:rPr>
        <w:t> </w:t>
      </w:r>
      <w:r>
        <w:rPr>
          <w:spacing w:val="-3"/>
        </w:rPr>
        <w:t>日披露《非公开发行股票预案》。公司基于对发展智慧城市业务的可行性论证，拟筹划</w:t>
      </w:r>
      <w:r>
        <w:rPr/>
        <w:t> 通过向顾国平等九名特定对象非公开发行股票方式募集资金以发展智慧城市为主的经营业务。本 次非公开发行募集资金总额（含发行费用）不超过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4"/>
        </w:rPr>
        <w:t> </w:t>
      </w:r>
      <w:r>
        <w:rPr>
          <w:rFonts w:ascii="宋体" w:hAnsi="宋体" w:cs="宋体" w:eastAsia="宋体" w:hint="default"/>
        </w:rPr>
        <w:t>235,000</w:t>
      </w:r>
      <w:r>
        <w:rPr>
          <w:rFonts w:ascii="宋体" w:hAnsi="宋体" w:cs="宋体" w:eastAsia="宋体" w:hint="default"/>
          <w:spacing w:val="-53"/>
        </w:rPr>
        <w:t> </w:t>
      </w:r>
      <w:r>
        <w:rPr/>
        <w:t>万元），扣除发行</w:t>
      </w:r>
    </w:p>
    <w:p>
      <w:pPr>
        <w:pStyle w:val="BodyText"/>
        <w:spacing w:line="240" w:lineRule="auto" w:before="33"/>
        <w:ind w:right="0"/>
        <w:jc w:val="both"/>
      </w:pPr>
      <w:r>
        <w:rPr/>
        <w:t>费用后的募集资金净额拟投入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w:t>
      </w:r>
    </w:p>
    <w:p>
      <w:pPr>
        <w:pStyle w:val="BodyText"/>
        <w:spacing w:line="357" w:lineRule="auto" w:before="133"/>
        <w:ind w:right="145"/>
        <w:jc w:val="both"/>
      </w:pPr>
      <w:r>
        <w:rPr/>
        <w:t>补充智慧城市业务的营运资金，支持公司战略转型。</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日，公司收到中国证监会发 来的《中国证监会行政许可申请受理通知书》【</w:t>
      </w:r>
      <w:r>
        <w:rPr>
          <w:rFonts w:ascii="宋体" w:hAnsi="宋体" w:cs="宋体" w:eastAsia="宋体" w:hint="default"/>
        </w:rPr>
        <w:t>141168</w:t>
      </w:r>
      <w:r>
        <w:rPr/>
        <w:t>】号，中国证监会决定对公司非公开发行 股票的行政许可申请予以受理；截止至报告期末，公司本次非公开发行事宜尚在中国证监会审核</w:t>
      </w:r>
    </w:p>
    <w:p>
      <w:pPr>
        <w:pStyle w:val="BodyText"/>
        <w:spacing w:line="240" w:lineRule="auto" w:before="31"/>
        <w:ind w:right="0"/>
        <w:jc w:val="both"/>
      </w:pPr>
      <w:r>
        <w:rPr/>
        <w:t>中。</w:t>
      </w:r>
    </w:p>
    <w:p>
      <w:pPr>
        <w:spacing w:after="0" w:line="240" w:lineRule="auto"/>
        <w:jc w:val="both"/>
        <w:sectPr>
          <w:pgSz w:w="11910" w:h="16840"/>
          <w:pgMar w:header="0" w:footer="1194" w:top="1120" w:bottom="1380" w:left="1660" w:right="1140"/>
        </w:sectPr>
      </w:pPr>
    </w:p>
    <w:p>
      <w:pPr>
        <w:spacing w:line="240" w:lineRule="auto" w:before="2"/>
        <w:rPr>
          <w:rFonts w:ascii="宋体" w:hAnsi="宋体" w:cs="宋体" w:eastAsia="宋体" w:hint="default"/>
          <w:sz w:val="26"/>
          <w:szCs w:val="26"/>
        </w:rPr>
      </w:pPr>
    </w:p>
    <w:p>
      <w:pPr>
        <w:pStyle w:val="Heading1"/>
        <w:tabs>
          <w:tab w:pos="4019" w:val="left" w:leader="none"/>
        </w:tabs>
        <w:spacing w:line="240" w:lineRule="auto"/>
        <w:ind w:left="2759" w:right="0"/>
        <w:jc w:val="left"/>
        <w:rPr>
          <w:b w:val="0"/>
          <w:bCs w:val="0"/>
        </w:rPr>
      </w:pPr>
      <w:bookmarkStart w:name="_TOC_250005" w:id="6"/>
      <w:r>
        <w:rPr>
          <w:w w:val="95"/>
        </w:rPr>
        <w:t>第六节</w:t>
        <w:tab/>
      </w:r>
      <w:r>
        <w:rPr/>
        <w:t>股份变动及股东情况</w:t>
      </w:r>
      <w:bookmarkEnd w:id="6"/>
      <w:r>
        <w:rPr>
          <w:b w:val="0"/>
          <w:bCs w:val="0"/>
        </w:rPr>
      </w:r>
    </w:p>
    <w:p>
      <w:pPr>
        <w:spacing w:line="240" w:lineRule="auto" w:before="5"/>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0" w:footer="1194" w:top="1120" w:bottom="1380" w:left="1560" w:right="1020"/>
        </w:sectPr>
      </w:pPr>
    </w:p>
    <w:p>
      <w:pPr>
        <w:pStyle w:val="Heading3"/>
        <w:tabs>
          <w:tab w:pos="805" w:val="left" w:leader="none"/>
        </w:tabs>
        <w:spacing w:line="278" w:lineRule="auto"/>
        <w:ind w:left="238" w:right="0"/>
        <w:jc w:val="left"/>
        <w:rPr>
          <w:b w:val="0"/>
          <w:bCs w:val="0"/>
        </w:rPr>
      </w:pPr>
      <w:r>
        <w:rPr/>
        <w:t>一、</w:t>
      </w:r>
      <w:r>
        <w:rPr>
          <w:spacing w:val="-79"/>
        </w:rPr>
        <w:t> </w:t>
      </w:r>
      <w:r>
        <w:rPr/>
        <w:t>股本变动情况</w:t>
      </w:r>
      <w:r>
        <w:rPr>
          <w:w w:val="99"/>
        </w:rPr>
        <w:t> </w:t>
      </w:r>
      <w:r>
        <w:rPr>
          <w:rFonts w:ascii="Calibri" w:hAnsi="Calibri" w:cs="Calibri" w:eastAsia="Calibri" w:hint="default"/>
        </w:rPr>
        <w:t>(</w:t>
      </w:r>
      <w:r>
        <w:rPr/>
        <w:t>一</w:t>
      </w:r>
      <w:r>
        <w:rPr>
          <w:rFonts w:ascii="Calibri" w:hAnsi="Calibri" w:cs="Calibri" w:eastAsia="Calibri" w:hint="default"/>
        </w:rPr>
        <w:t>)</w:t>
        <w:tab/>
      </w:r>
      <w:r>
        <w:rPr>
          <w:w w:val="95"/>
        </w:rPr>
        <w:t>股份变动情况表</w:t>
      </w:r>
      <w:r>
        <w:rPr>
          <w:spacing w:val="-29"/>
          <w:w w:val="95"/>
        </w:rPr>
        <w:t> </w:t>
      </w:r>
      <w:r>
        <w:rPr>
          <w:spacing w:val="-29"/>
          <w:w w:val="95"/>
        </w:rPr>
      </w:r>
      <w:r>
        <w:rPr>
          <w:rFonts w:ascii="Cambria" w:hAnsi="Cambria" w:cs="Cambria" w:eastAsia="Cambria" w:hint="default"/>
        </w:rPr>
        <w:t>1</w:t>
      </w:r>
      <w:r>
        <w:rPr/>
        <w:t>、</w:t>
      </w:r>
      <w:r>
        <w:rPr>
          <w:spacing w:val="-24"/>
        </w:rPr>
        <w:t> </w:t>
      </w:r>
      <w:r>
        <w:rPr/>
        <w:t>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spacing w:line="240" w:lineRule="auto"/>
        <w:ind w:left="237" w:right="0"/>
        <w:jc w:val="left"/>
      </w:pPr>
      <w:r>
        <w:rPr/>
        <w:t>单位：股</w:t>
      </w:r>
    </w:p>
    <w:p>
      <w:pPr>
        <w:spacing w:after="0" w:line="240" w:lineRule="auto"/>
        <w:jc w:val="left"/>
        <w:sectPr>
          <w:type w:val="continuous"/>
          <w:pgSz w:w="11910" w:h="16840"/>
          <w:pgMar w:top="1120" w:bottom="1380" w:left="1560" w:right="1020"/>
          <w:cols w:num="2" w:equalWidth="0">
            <w:col w:w="2280" w:space="5714"/>
            <w:col w:w="1336"/>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705"/>
        <w:gridCol w:w="1206"/>
        <w:gridCol w:w="666"/>
        <w:gridCol w:w="396"/>
        <w:gridCol w:w="396"/>
        <w:gridCol w:w="396"/>
        <w:gridCol w:w="1296"/>
        <w:gridCol w:w="1296"/>
        <w:gridCol w:w="1206"/>
        <w:gridCol w:w="486"/>
      </w:tblGrid>
      <w:tr>
        <w:trPr>
          <w:trHeight w:val="242" w:hRule="exact"/>
        </w:trPr>
        <w:tc>
          <w:tcPr>
            <w:tcW w:w="1705" w:type="dxa"/>
            <w:vMerge w:val="restart"/>
            <w:tcBorders>
              <w:top w:val="single" w:sz="4" w:space="0" w:color="000000"/>
              <w:left w:val="single" w:sz="4" w:space="0" w:color="000000"/>
              <w:right w:val="single" w:sz="4" w:space="0" w:color="000000"/>
            </w:tcBorders>
          </w:tcPr>
          <w:p>
            <w:pP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7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9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9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177" w:hRule="exact"/>
        </w:trPr>
        <w:tc>
          <w:tcPr>
            <w:tcW w:w="1705" w:type="dxa"/>
            <w:vMerge/>
            <w:tcBorders>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91" w:right="148"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01" w:right="102"/>
              <w:jc w:val="both"/>
              <w:rPr>
                <w:rFonts w:ascii="宋体" w:hAnsi="宋体" w:cs="宋体" w:eastAsia="宋体" w:hint="default"/>
                <w:sz w:val="18"/>
                <w:szCs w:val="18"/>
              </w:rPr>
            </w:pPr>
            <w:r>
              <w:rPr>
                <w:rFonts w:ascii="宋体" w:hAnsi="宋体" w:cs="宋体" w:eastAsia="宋体" w:hint="default"/>
                <w:sz w:val="18"/>
                <w:szCs w:val="18"/>
              </w:rPr>
              <w:t>发 行 新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32" w:lineRule="exact"/>
              <w:ind w:left="102" w:right="102"/>
              <w:jc w:val="left"/>
              <w:rPr>
                <w:rFonts w:ascii="宋体" w:hAnsi="宋体" w:cs="宋体" w:eastAsia="宋体" w:hint="default"/>
                <w:sz w:val="18"/>
                <w:szCs w:val="18"/>
              </w:rPr>
            </w:pPr>
            <w:r>
              <w:rPr>
                <w:rFonts w:ascii="宋体" w:hAnsi="宋体" w:cs="宋体" w:eastAsia="宋体" w:hint="default"/>
                <w:sz w:val="18"/>
                <w:szCs w:val="18"/>
              </w:rPr>
              <w:t>送 股</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both"/>
              <w:rPr>
                <w:rFonts w:ascii="宋体" w:hAnsi="宋体" w:cs="宋体" w:eastAsia="宋体" w:hint="default"/>
                <w:sz w:val="18"/>
                <w:szCs w:val="18"/>
              </w:rPr>
            </w:pPr>
            <w:r>
              <w:rPr>
                <w:rFonts w:ascii="宋体" w:hAnsi="宋体" w:cs="宋体" w:eastAsia="宋体" w:hint="default"/>
                <w:sz w:val="18"/>
                <w:szCs w:val="18"/>
              </w:rPr>
              <w:t>公</w:t>
            </w:r>
          </w:p>
          <w:p>
            <w:pPr>
              <w:pStyle w:val="TableParagraph"/>
              <w:spacing w:line="237" w:lineRule="auto"/>
              <w:ind w:left="101" w:right="102"/>
              <w:jc w:val="both"/>
              <w:rPr>
                <w:rFonts w:ascii="宋体" w:hAnsi="宋体" w:cs="宋体" w:eastAsia="宋体" w:hint="default"/>
                <w:sz w:val="18"/>
                <w:szCs w:val="18"/>
              </w:rPr>
            </w:pPr>
            <w:r>
              <w:rPr>
                <w:rFonts w:ascii="宋体" w:hAnsi="宋体" w:cs="宋体" w:eastAsia="宋体" w:hint="default"/>
                <w:sz w:val="18"/>
                <w:szCs w:val="18"/>
              </w:rPr>
              <w:t>积 金 转 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01" w:right="102" w:firstLine="44"/>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r>
      <w:tr>
        <w:trPr>
          <w:trHeight w:val="47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份</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135,357,000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34.29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-135,357,000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-135,357,000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135,357,000</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34.29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-135,357,000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-135,357,000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47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其中：境内非国有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132,589,259</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33.59</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-132,589,259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-132,589,259</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0</w:t>
            </w:r>
          </w:p>
        </w:tc>
      </w:tr>
      <w:tr>
        <w:trPr>
          <w:trHeight w:val="47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境内自然人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2,767,741</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0.7</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-2,767,741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-2,767,741</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z w:val="18"/>
                <w:szCs w:val="18"/>
              </w:rPr>
              <w:t>境外自然人</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二、无限售条件流</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通股份</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259,436,708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65.71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135,357,000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135,357,000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394,793,708</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259,436,708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65.71</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135,357,000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135,357,000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394,793,708</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2"/>
              <w:jc w:val="right"/>
              <w:rPr>
                <w:rFonts w:ascii="宋体" w:hAnsi="宋体" w:cs="宋体" w:eastAsia="宋体" w:hint="default"/>
                <w:sz w:val="18"/>
                <w:szCs w:val="18"/>
              </w:rPr>
            </w:pPr>
            <w:r>
              <w:rPr>
                <w:rFonts w:ascii="宋体"/>
                <w:sz w:val="18"/>
              </w:rPr>
              <w:t>100</w:t>
            </w:r>
          </w:p>
        </w:tc>
      </w:tr>
      <w:tr>
        <w:trPr>
          <w:trHeight w:val="47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、境内上市的外资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、境外上市的外资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6"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394,793,708</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0</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394,793,708</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100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560" w:right="1020"/>
        </w:sectPr>
      </w:pPr>
    </w:p>
    <w:p>
      <w:pPr>
        <w:pStyle w:val="Heading3"/>
        <w:spacing w:line="240" w:lineRule="auto"/>
        <w:ind w:left="238" w:right="-13"/>
        <w:jc w:val="left"/>
        <w:rPr>
          <w:b w:val="0"/>
          <w:bCs w:val="0"/>
        </w:rPr>
      </w:pPr>
      <w:r>
        <w:rPr>
          <w:rFonts w:ascii="Cambria" w:hAnsi="Cambria" w:cs="Cambria" w:eastAsia="Cambria" w:hint="default"/>
        </w:rPr>
        <w:t>2</w:t>
      </w:r>
      <w:r>
        <w:rPr/>
        <w:t>、</w:t>
      </w:r>
      <w:r>
        <w:rPr>
          <w:spacing w:val="-24"/>
        </w:rPr>
        <w:t> </w:t>
      </w:r>
      <w:r>
        <w:rPr/>
        <w:t>股份变动情况说明</w:t>
      </w:r>
      <w:r>
        <w:rPr>
          <w:b w:val="0"/>
          <w:bCs w:val="0"/>
        </w:rPr>
      </w:r>
    </w:p>
    <w:p>
      <w:pPr>
        <w:pStyle w:val="BodyText"/>
        <w:spacing w:line="321" w:lineRule="auto" w:before="101"/>
        <w:ind w:left="238" w:right="-13"/>
        <w:jc w:val="left"/>
      </w:pPr>
      <w:r>
        <w:rPr/>
        <w:t>报告期内</w:t>
      </w:r>
      <w:r>
        <w:rPr>
          <w:rFonts w:ascii="宋体" w:hAnsi="宋体" w:cs="宋体" w:eastAsia="宋体" w:hint="default"/>
        </w:rPr>
        <w:t>,</w:t>
      </w:r>
      <w:r>
        <w:rPr/>
        <w:t>公司有</w:t>
      </w:r>
      <w:r>
        <w:rPr>
          <w:spacing w:val="-54"/>
        </w:rPr>
        <w:t> </w:t>
      </w:r>
      <w:r>
        <w:rPr>
          <w:rFonts w:ascii="宋体" w:hAnsi="宋体" w:cs="宋体" w:eastAsia="宋体" w:hint="default"/>
        </w:rPr>
        <w:t>135,357,000</w:t>
      </w:r>
      <w:r>
        <w:rPr>
          <w:rFonts w:ascii="宋体" w:hAnsi="宋体" w:cs="宋体" w:eastAsia="宋体" w:hint="default"/>
          <w:spacing w:val="-53"/>
        </w:rPr>
        <w:t> </w:t>
      </w:r>
      <w:r>
        <w:rPr/>
        <w:t>股有限售条件的流通股于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日上市流通。 本次有限售条件的流通股上市明细清单如下：</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167" w:right="0"/>
        <w:jc w:val="left"/>
      </w:pPr>
      <w:r>
        <w:rPr>
          <w:spacing w:val="1"/>
        </w:rPr>
        <w:t>单位</w:t>
      </w:r>
      <w:r>
        <w:rPr>
          <w:spacing w:val="-92"/>
        </w:rPr>
        <w:t>：</w:t>
      </w:r>
      <w:r>
        <w:rPr/>
        <w:t>股</w:t>
      </w:r>
    </w:p>
    <w:p>
      <w:pPr>
        <w:spacing w:after="0" w:line="240" w:lineRule="auto"/>
        <w:jc w:val="left"/>
        <w:sectPr>
          <w:type w:val="continuous"/>
          <w:pgSz w:w="11910" w:h="16840"/>
          <w:pgMar w:top="1120" w:bottom="1380" w:left="1560" w:right="1020"/>
          <w:cols w:num="2" w:equalWidth="0">
            <w:col w:w="8112" w:space="40"/>
            <w:col w:w="1178"/>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694"/>
        <w:gridCol w:w="1842"/>
        <w:gridCol w:w="1728"/>
        <w:gridCol w:w="1814"/>
        <w:gridCol w:w="1500"/>
        <w:gridCol w:w="1507"/>
      </w:tblGrid>
      <w:tr>
        <w:trPr>
          <w:trHeight w:val="85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5"/>
              <w:jc w:val="center"/>
              <w:rPr>
                <w:rFonts w:ascii="宋体" w:hAnsi="宋体" w:cs="宋体" w:eastAsia="宋体" w:hint="default"/>
                <w:sz w:val="18"/>
                <w:szCs w:val="18"/>
              </w:rPr>
            </w:pPr>
            <w:r>
              <w:rPr>
                <w:rFonts w:ascii="宋体" w:hAnsi="宋体" w:cs="宋体" w:eastAsia="宋体" w:hint="default"/>
                <w:sz w:val="18"/>
                <w:szCs w:val="18"/>
              </w:rPr>
              <w:t>序号</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10"/>
              <w:ind w:left="259" w:right="107" w:hanging="90"/>
              <w:jc w:val="left"/>
              <w:rPr>
                <w:rFonts w:ascii="宋体" w:hAnsi="宋体" w:cs="宋体" w:eastAsia="宋体" w:hint="default"/>
                <w:sz w:val="18"/>
                <w:szCs w:val="18"/>
              </w:rPr>
            </w:pPr>
            <w:r>
              <w:rPr>
                <w:rFonts w:ascii="宋体" w:hAnsi="宋体" w:cs="宋体" w:eastAsia="宋体" w:hint="default"/>
                <w:sz w:val="18"/>
                <w:szCs w:val="18"/>
              </w:rPr>
              <w:t>所持有限售条件的 流通股股份数量</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hAnsi="宋体" w:cs="宋体" w:eastAsia="宋体" w:hint="default"/>
                <w:sz w:val="18"/>
                <w:szCs w:val="18"/>
              </w:rPr>
              <w:t>持有有限售条件的</w:t>
            </w:r>
          </w:p>
          <w:p>
            <w:pPr>
              <w:pStyle w:val="TableParagraph"/>
              <w:spacing w:line="285" w:lineRule="auto" w:before="44"/>
              <w:ind w:left="435" w:right="197" w:hanging="270"/>
              <w:jc w:val="left"/>
              <w:rPr>
                <w:rFonts w:ascii="宋体" w:hAnsi="宋体" w:cs="宋体" w:eastAsia="宋体" w:hint="default"/>
                <w:sz w:val="18"/>
                <w:szCs w:val="18"/>
              </w:rPr>
            </w:pPr>
            <w:r>
              <w:rPr>
                <w:rFonts w:ascii="宋体" w:hAnsi="宋体" w:cs="宋体" w:eastAsia="宋体" w:hint="default"/>
                <w:sz w:val="18"/>
                <w:szCs w:val="18"/>
              </w:rPr>
              <w:t>流通股股份占公司 总股本比例</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本次上市数量</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jc w:val="left"/>
              <w:rPr>
                <w:rFonts w:ascii="宋体" w:hAnsi="宋体" w:cs="宋体" w:eastAsia="宋体" w:hint="default"/>
                <w:sz w:val="18"/>
                <w:szCs w:val="18"/>
              </w:rPr>
            </w:pPr>
            <w:r>
              <w:rPr>
                <w:rFonts w:ascii="宋体" w:hAnsi="宋体" w:cs="宋体" w:eastAsia="宋体" w:hint="default"/>
                <w:sz w:val="18"/>
                <w:szCs w:val="18"/>
              </w:rPr>
              <w:t>剩余有限售条</w:t>
            </w:r>
          </w:p>
          <w:p>
            <w:pPr>
              <w:pStyle w:val="TableParagraph"/>
              <w:spacing w:line="285" w:lineRule="auto" w:before="44"/>
              <w:ind w:left="461" w:right="223" w:hanging="270"/>
              <w:jc w:val="left"/>
              <w:rPr>
                <w:rFonts w:ascii="宋体" w:hAnsi="宋体" w:cs="宋体" w:eastAsia="宋体" w:hint="default"/>
                <w:sz w:val="18"/>
                <w:szCs w:val="18"/>
              </w:rPr>
            </w:pPr>
            <w:r>
              <w:rPr>
                <w:rFonts w:ascii="宋体" w:hAnsi="宋体" w:cs="宋体" w:eastAsia="宋体" w:hint="default"/>
                <w:sz w:val="18"/>
                <w:szCs w:val="18"/>
              </w:rPr>
              <w:t>件的流通股股 份数量</w:t>
            </w:r>
          </w:p>
        </w:tc>
      </w:tr>
      <w:tr>
        <w:trPr>
          <w:trHeight w:val="618"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4" w:right="0"/>
              <w:jc w:val="center"/>
              <w:rPr>
                <w:rFonts w:ascii="宋体" w:hAnsi="宋体" w:cs="宋体" w:eastAsia="宋体" w:hint="default"/>
                <w:sz w:val="18"/>
                <w:szCs w:val="18"/>
              </w:rPr>
            </w:pPr>
            <w:r>
              <w:rPr>
                <w:rFonts w:ascii="宋体"/>
                <w:sz w:val="18"/>
              </w:rPr>
              <w:t>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1" w:right="288"/>
              <w:jc w:val="left"/>
              <w:rPr>
                <w:rFonts w:ascii="宋体" w:hAnsi="宋体" w:cs="宋体" w:eastAsia="宋体" w:hint="default"/>
                <w:sz w:val="18"/>
                <w:szCs w:val="18"/>
              </w:rPr>
            </w:pPr>
            <w:r>
              <w:rPr>
                <w:rFonts w:ascii="宋体" w:hAnsi="宋体" w:cs="宋体" w:eastAsia="宋体" w:hint="default"/>
                <w:sz w:val="18"/>
                <w:szCs w:val="18"/>
              </w:rPr>
              <w:t>广西北生集团有限 责任公司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424"/>
              <w:jc w:val="right"/>
              <w:rPr>
                <w:rFonts w:ascii="宋体" w:hAnsi="宋体" w:cs="宋体" w:eastAsia="宋体" w:hint="default"/>
                <w:sz w:val="18"/>
                <w:szCs w:val="18"/>
              </w:rPr>
            </w:pPr>
            <w:r>
              <w:rPr>
                <w:rFonts w:ascii="宋体"/>
                <w:sz w:val="18"/>
              </w:rPr>
              <w:t>28,016,800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15" w:right="0"/>
              <w:jc w:val="left"/>
              <w:rPr>
                <w:rFonts w:ascii="宋体" w:hAnsi="宋体" w:cs="宋体" w:eastAsia="宋体" w:hint="default"/>
                <w:sz w:val="18"/>
                <w:szCs w:val="18"/>
              </w:rPr>
            </w:pPr>
            <w:r>
              <w:rPr>
                <w:rFonts w:ascii="宋体"/>
                <w:sz w:val="18"/>
              </w:rPr>
              <w:t>7.096%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78" w:right="0"/>
              <w:jc w:val="left"/>
              <w:rPr>
                <w:rFonts w:ascii="宋体" w:hAnsi="宋体" w:cs="宋体" w:eastAsia="宋体" w:hint="default"/>
                <w:sz w:val="18"/>
                <w:szCs w:val="18"/>
              </w:rPr>
            </w:pPr>
            <w:r>
              <w:rPr>
                <w:rFonts w:ascii="宋体"/>
                <w:sz w:val="18"/>
              </w:rPr>
              <w:t>28,016,800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687" w:right="0"/>
              <w:jc w:val="left"/>
              <w:rPr>
                <w:rFonts w:ascii="宋体" w:hAnsi="宋体" w:cs="宋体" w:eastAsia="宋体" w:hint="default"/>
                <w:sz w:val="18"/>
                <w:szCs w:val="18"/>
              </w:rPr>
            </w:pPr>
            <w:r>
              <w:rPr>
                <w:rFonts w:ascii="宋体"/>
                <w:sz w:val="18"/>
              </w:rPr>
              <w:t>0</w:t>
            </w:r>
          </w:p>
        </w:tc>
      </w:tr>
      <w:tr>
        <w:trPr>
          <w:trHeight w:val="620"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32"/>
              <w:jc w:val="center"/>
              <w:rPr>
                <w:rFonts w:ascii="宋体" w:hAnsi="宋体" w:cs="宋体" w:eastAsia="宋体" w:hint="default"/>
                <w:sz w:val="18"/>
                <w:szCs w:val="18"/>
              </w:rPr>
            </w:pPr>
            <w:r>
              <w:rPr>
                <w:rFonts w:ascii="宋体"/>
                <w:sz w:val="18"/>
              </w:rPr>
              <w:t>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1" w:right="288"/>
              <w:jc w:val="left"/>
              <w:rPr>
                <w:rFonts w:ascii="宋体" w:hAnsi="宋体" w:cs="宋体" w:eastAsia="宋体" w:hint="default"/>
                <w:sz w:val="18"/>
                <w:szCs w:val="18"/>
              </w:rPr>
            </w:pPr>
            <w:r>
              <w:rPr>
                <w:rFonts w:ascii="宋体" w:hAnsi="宋体" w:cs="宋体" w:eastAsia="宋体" w:hint="default"/>
                <w:sz w:val="18"/>
                <w:szCs w:val="18"/>
              </w:rPr>
              <w:t>北海腾辉商贸有限 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424"/>
              <w:jc w:val="right"/>
              <w:rPr>
                <w:rFonts w:ascii="宋体" w:hAnsi="宋体" w:cs="宋体" w:eastAsia="宋体" w:hint="default"/>
                <w:sz w:val="18"/>
                <w:szCs w:val="18"/>
              </w:rPr>
            </w:pPr>
            <w:r>
              <w:rPr>
                <w:rFonts w:ascii="宋体"/>
                <w:sz w:val="18"/>
              </w:rPr>
              <w:t>16,233,960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15" w:right="0"/>
              <w:jc w:val="left"/>
              <w:rPr>
                <w:rFonts w:ascii="宋体" w:hAnsi="宋体" w:cs="宋体" w:eastAsia="宋体" w:hint="default"/>
                <w:sz w:val="18"/>
                <w:szCs w:val="18"/>
              </w:rPr>
            </w:pPr>
            <w:r>
              <w:rPr>
                <w:rFonts w:ascii="宋体"/>
                <w:sz w:val="18"/>
              </w:rPr>
              <w:t>4.112%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78" w:right="0"/>
              <w:jc w:val="left"/>
              <w:rPr>
                <w:rFonts w:ascii="宋体" w:hAnsi="宋体" w:cs="宋体" w:eastAsia="宋体" w:hint="default"/>
                <w:sz w:val="18"/>
                <w:szCs w:val="18"/>
              </w:rPr>
            </w:pPr>
            <w:r>
              <w:rPr>
                <w:rFonts w:ascii="宋体"/>
                <w:sz w:val="18"/>
              </w:rPr>
              <w:t>16,233,960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687" w:right="0"/>
              <w:jc w:val="left"/>
              <w:rPr>
                <w:rFonts w:ascii="宋体" w:hAnsi="宋体" w:cs="宋体" w:eastAsia="宋体" w:hint="default"/>
                <w:sz w:val="18"/>
                <w:szCs w:val="18"/>
              </w:rPr>
            </w:pPr>
            <w:r>
              <w:rPr>
                <w:rFonts w:ascii="宋体"/>
                <w:sz w:val="18"/>
              </w:rPr>
              <w:t>0</w:t>
            </w:r>
          </w:p>
        </w:tc>
      </w:tr>
      <w:tr>
        <w:trPr>
          <w:trHeight w:val="329"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32"/>
              <w:jc w:val="center"/>
              <w:rPr>
                <w:rFonts w:ascii="宋体" w:hAnsi="宋体" w:cs="宋体" w:eastAsia="宋体" w:hint="default"/>
                <w:sz w:val="18"/>
                <w:szCs w:val="18"/>
              </w:rPr>
            </w:pPr>
            <w:r>
              <w:rPr>
                <w:rFonts w:ascii="宋体"/>
                <w:sz w:val="18"/>
              </w:rPr>
              <w:t>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1" w:right="0"/>
              <w:jc w:val="left"/>
              <w:rPr>
                <w:rFonts w:ascii="宋体" w:hAnsi="宋体" w:cs="宋体" w:eastAsia="宋体" w:hint="default"/>
                <w:sz w:val="18"/>
                <w:szCs w:val="18"/>
              </w:rPr>
            </w:pPr>
            <w:r>
              <w:rPr>
                <w:rFonts w:ascii="宋体" w:hAnsi="宋体" w:cs="宋体" w:eastAsia="宋体" w:hint="default"/>
                <w:sz w:val="18"/>
                <w:szCs w:val="18"/>
              </w:rPr>
              <w:t>其他全部帐户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424"/>
              <w:jc w:val="right"/>
              <w:rPr>
                <w:rFonts w:ascii="宋体" w:hAnsi="宋体" w:cs="宋体" w:eastAsia="宋体" w:hint="default"/>
                <w:sz w:val="18"/>
                <w:szCs w:val="18"/>
              </w:rPr>
            </w:pPr>
            <w:r>
              <w:rPr>
                <w:rFonts w:ascii="宋体"/>
                <w:sz w:val="18"/>
              </w:rPr>
              <w:t>91,106,240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569" w:right="0"/>
              <w:jc w:val="left"/>
              <w:rPr>
                <w:rFonts w:ascii="宋体" w:hAnsi="宋体" w:cs="宋体" w:eastAsia="宋体" w:hint="default"/>
                <w:sz w:val="18"/>
                <w:szCs w:val="18"/>
              </w:rPr>
            </w:pPr>
            <w:r>
              <w:rPr>
                <w:rFonts w:ascii="宋体"/>
                <w:sz w:val="18"/>
              </w:rPr>
              <w:t>23.077%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278" w:right="0"/>
              <w:jc w:val="left"/>
              <w:rPr>
                <w:rFonts w:ascii="宋体" w:hAnsi="宋体" w:cs="宋体" w:eastAsia="宋体" w:hint="default"/>
                <w:sz w:val="18"/>
                <w:szCs w:val="18"/>
              </w:rPr>
            </w:pPr>
            <w:r>
              <w:rPr>
                <w:rFonts w:ascii="宋体"/>
                <w:sz w:val="18"/>
              </w:rPr>
              <w:t>91,106,240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687" w:right="0"/>
              <w:jc w:val="left"/>
              <w:rPr>
                <w:rFonts w:ascii="宋体" w:hAnsi="宋体" w:cs="宋体" w:eastAsia="宋体" w:hint="default"/>
                <w:sz w:val="18"/>
                <w:szCs w:val="18"/>
              </w:rPr>
            </w:pPr>
            <w:r>
              <w:rPr>
                <w:rFonts w:ascii="宋体"/>
                <w:sz w:val="18"/>
              </w:rPr>
              <w:t>0</w:t>
            </w:r>
          </w:p>
        </w:tc>
      </w:tr>
      <w:tr>
        <w:trPr>
          <w:trHeight w:val="290" w:hRule="exact"/>
        </w:trPr>
        <w:tc>
          <w:tcPr>
            <w:tcW w:w="25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2"/>
              <w:jc w:val="center"/>
              <w:rPr>
                <w:rFonts w:ascii="宋体" w:hAnsi="宋体" w:cs="宋体" w:eastAsia="宋体" w:hint="default"/>
                <w:sz w:val="18"/>
                <w:szCs w:val="18"/>
              </w:rPr>
            </w:pPr>
            <w:r>
              <w:rPr>
                <w:rFonts w:ascii="宋体" w:hAnsi="宋体" w:cs="宋体" w:eastAsia="宋体" w:hint="default"/>
                <w:sz w:val="18"/>
                <w:szCs w:val="18"/>
              </w:rPr>
              <w:t>合  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81"/>
              <w:jc w:val="right"/>
              <w:rPr>
                <w:rFonts w:ascii="宋体" w:hAnsi="宋体" w:cs="宋体" w:eastAsia="宋体" w:hint="default"/>
                <w:sz w:val="18"/>
                <w:szCs w:val="18"/>
              </w:rPr>
            </w:pPr>
            <w:r>
              <w:rPr>
                <w:rFonts w:ascii="宋体"/>
                <w:sz w:val="18"/>
              </w:rPr>
              <w:t>135,357,000</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9" w:right="0"/>
              <w:jc w:val="left"/>
              <w:rPr>
                <w:rFonts w:ascii="宋体" w:hAnsi="宋体" w:cs="宋体" w:eastAsia="宋体" w:hint="default"/>
                <w:sz w:val="18"/>
                <w:szCs w:val="18"/>
              </w:rPr>
            </w:pPr>
            <w:r>
              <w:rPr>
                <w:rFonts w:ascii="宋体"/>
                <w:sz w:val="18"/>
              </w:rPr>
              <w:t>34.285%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4" w:right="0"/>
              <w:jc w:val="left"/>
              <w:rPr>
                <w:rFonts w:ascii="宋体" w:hAnsi="宋体" w:cs="宋体" w:eastAsia="宋体" w:hint="default"/>
                <w:sz w:val="18"/>
                <w:szCs w:val="18"/>
              </w:rPr>
            </w:pPr>
            <w:r>
              <w:rPr>
                <w:rFonts w:ascii="宋体"/>
                <w:sz w:val="18"/>
              </w:rPr>
              <w:t>135,357,000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87" w:right="0"/>
              <w:jc w:val="left"/>
              <w:rPr>
                <w:rFonts w:ascii="宋体" w:hAnsi="宋体" w:cs="宋体" w:eastAsia="宋体" w:hint="default"/>
                <w:sz w:val="18"/>
                <w:szCs w:val="18"/>
              </w:rPr>
            </w:pPr>
            <w:r>
              <w:rPr>
                <w:rFonts w:ascii="宋体"/>
                <w:sz w:val="18"/>
              </w:rPr>
              <w:t>0</w:t>
            </w:r>
          </w:p>
        </w:tc>
      </w:tr>
    </w:tbl>
    <w:p>
      <w:pPr>
        <w:spacing w:before="89"/>
        <w:ind w:left="238" w:right="0" w:firstLine="0"/>
        <w:jc w:val="left"/>
        <w:rPr>
          <w:rFonts w:ascii="宋体" w:hAnsi="宋体" w:cs="宋体" w:eastAsia="宋体" w:hint="default"/>
          <w:sz w:val="18"/>
          <w:szCs w:val="18"/>
        </w:rPr>
      </w:pPr>
      <w:r>
        <w:rPr>
          <w:rFonts w:ascii="宋体" w:hAnsi="宋体" w:cs="宋体" w:eastAsia="宋体" w:hint="default"/>
          <w:sz w:val="18"/>
          <w:szCs w:val="18"/>
        </w:rPr>
        <w:t>注：其他全部账户系</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年因执行重整计划将转增股权抵偿给债权人形成的限售流通股。</w:t>
      </w:r>
    </w:p>
    <w:p>
      <w:pPr>
        <w:spacing w:after="0"/>
        <w:jc w:val="left"/>
        <w:rPr>
          <w:rFonts w:ascii="宋体" w:hAnsi="宋体" w:cs="宋体" w:eastAsia="宋体" w:hint="default"/>
          <w:sz w:val="18"/>
          <w:szCs w:val="18"/>
        </w:rPr>
        <w:sectPr>
          <w:type w:val="continuous"/>
          <w:pgSz w:w="11910" w:h="16840"/>
          <w:pgMar w:top="1120" w:bottom="1380" w:left="1560" w:right="1020"/>
        </w:sectPr>
      </w:pPr>
    </w:p>
    <w:p>
      <w:pPr>
        <w:spacing w:line="240" w:lineRule="auto" w:before="4"/>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4" w:top="1120" w:bottom="1380" w:left="1580" w:right="1040"/>
        </w:sectPr>
      </w:pPr>
    </w:p>
    <w:p>
      <w:pPr>
        <w:pStyle w:val="Heading3"/>
        <w:tabs>
          <w:tab w:pos="785"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限售股份变动情况</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217" w:right="0"/>
        <w:jc w:val="left"/>
      </w:pPr>
      <w:r>
        <w:rPr/>
        <w:t>单位</w:t>
      </w:r>
      <w:r>
        <w:rPr>
          <w:rFonts w:ascii="宋体" w:hAnsi="宋体" w:cs="宋体" w:eastAsia="宋体" w:hint="default"/>
        </w:rPr>
        <w:t>:</w:t>
      </w:r>
      <w:r>
        <w:rPr>
          <w:rFonts w:ascii="宋体" w:hAnsi="宋体" w:cs="宋体" w:eastAsia="宋体" w:hint="default"/>
          <w:spacing w:val="1"/>
        </w:rPr>
        <w:t> </w:t>
      </w:r>
      <w:r>
        <w:rPr/>
        <w:t>股</w:t>
      </w:r>
    </w:p>
    <w:p>
      <w:pPr>
        <w:spacing w:after="0" w:line="240" w:lineRule="auto"/>
        <w:jc w:val="left"/>
        <w:sectPr>
          <w:type w:val="continuous"/>
          <w:pgSz w:w="11910" w:h="16840"/>
          <w:pgMar w:top="1120" w:bottom="1380" w:left="1580" w:right="1040"/>
          <w:cols w:num="2" w:equalWidth="0">
            <w:col w:w="2471" w:space="5523"/>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276"/>
        <w:gridCol w:w="1276"/>
        <w:gridCol w:w="992"/>
        <w:gridCol w:w="992"/>
        <w:gridCol w:w="1560"/>
        <w:gridCol w:w="1142"/>
      </w:tblGrid>
      <w:tr>
        <w:trPr>
          <w:trHeight w:val="66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451" w:right="272" w:hanging="180"/>
              <w:jc w:val="left"/>
              <w:rPr>
                <w:rFonts w:ascii="宋体" w:hAnsi="宋体" w:cs="宋体" w:eastAsia="宋体" w:hint="default"/>
                <w:sz w:val="18"/>
                <w:szCs w:val="18"/>
              </w:rPr>
            </w:pPr>
            <w:r>
              <w:rPr>
                <w:rFonts w:ascii="宋体" w:hAnsi="宋体" w:cs="宋体" w:eastAsia="宋体" w:hint="default"/>
                <w:sz w:val="18"/>
                <w:szCs w:val="18"/>
              </w:rPr>
              <w:t>年初限售 股数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1"/>
              <w:ind w:left="361" w:right="182" w:hanging="180"/>
              <w:jc w:val="left"/>
              <w:rPr>
                <w:rFonts w:ascii="宋体" w:hAnsi="宋体" w:cs="宋体" w:eastAsia="宋体" w:hint="default"/>
                <w:sz w:val="18"/>
                <w:szCs w:val="18"/>
              </w:rPr>
            </w:pPr>
            <w:r>
              <w:rPr>
                <w:rFonts w:ascii="宋体" w:hAnsi="宋体" w:cs="宋体" w:eastAsia="宋体" w:hint="default"/>
                <w:sz w:val="18"/>
                <w:szCs w:val="18"/>
              </w:rPr>
              <w:t>本年解除限 售股数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1"/>
              <w:ind w:left="130" w:right="131"/>
              <w:jc w:val="left"/>
              <w:rPr>
                <w:rFonts w:ascii="宋体" w:hAnsi="宋体" w:cs="宋体" w:eastAsia="宋体" w:hint="default"/>
                <w:sz w:val="18"/>
                <w:szCs w:val="18"/>
              </w:rPr>
            </w:pPr>
            <w:r>
              <w:rPr>
                <w:rFonts w:ascii="宋体" w:hAnsi="宋体" w:cs="宋体" w:eastAsia="宋体" w:hint="default"/>
                <w:sz w:val="18"/>
                <w:szCs w:val="18"/>
              </w:rPr>
              <w:t>本年增加 限售股数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309" w:right="131" w:hanging="180"/>
              <w:jc w:val="left"/>
              <w:rPr>
                <w:rFonts w:ascii="宋体" w:hAnsi="宋体" w:cs="宋体" w:eastAsia="宋体" w:hint="default"/>
                <w:sz w:val="18"/>
                <w:szCs w:val="18"/>
              </w:rPr>
            </w:pPr>
            <w:r>
              <w:rPr>
                <w:rFonts w:ascii="宋体" w:hAnsi="宋体" w:cs="宋体" w:eastAsia="宋体" w:hint="default"/>
                <w:sz w:val="18"/>
                <w:szCs w:val="18"/>
              </w:rPr>
              <w:t>年末限售 股数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385" w:right="205" w:hanging="180"/>
              <w:jc w:val="left"/>
              <w:rPr>
                <w:rFonts w:ascii="宋体" w:hAnsi="宋体" w:cs="宋体" w:eastAsia="宋体" w:hint="default"/>
                <w:sz w:val="18"/>
                <w:szCs w:val="18"/>
              </w:rPr>
            </w:pPr>
            <w:r>
              <w:rPr>
                <w:rFonts w:ascii="宋体" w:hAnsi="宋体" w:cs="宋体" w:eastAsia="宋体" w:hint="default"/>
                <w:sz w:val="18"/>
                <w:szCs w:val="18"/>
              </w:rPr>
              <w:t>解除限售 日期</w:t>
            </w:r>
          </w:p>
        </w:tc>
      </w:tr>
      <w:tr>
        <w:trPr>
          <w:trHeight w:val="89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254"/>
              <w:jc w:val="left"/>
              <w:rPr>
                <w:rFonts w:ascii="宋体" w:hAnsi="宋体" w:cs="宋体" w:eastAsia="宋体" w:hint="default"/>
                <w:sz w:val="18"/>
                <w:szCs w:val="18"/>
              </w:rPr>
            </w:pPr>
            <w:r>
              <w:rPr>
                <w:rFonts w:ascii="宋体" w:hAnsi="宋体" w:cs="宋体" w:eastAsia="宋体" w:hint="default"/>
                <w:sz w:val="18"/>
                <w:szCs w:val="18"/>
              </w:rPr>
              <w:t>广西北生集团有限 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7" w:right="0"/>
              <w:jc w:val="center"/>
              <w:rPr>
                <w:rFonts w:ascii="宋体" w:hAnsi="宋体" w:cs="宋体" w:eastAsia="宋体" w:hint="default"/>
                <w:sz w:val="18"/>
                <w:szCs w:val="18"/>
              </w:rPr>
            </w:pPr>
            <w:r>
              <w:rPr>
                <w:rFonts w:ascii="宋体"/>
                <w:sz w:val="18"/>
              </w:rPr>
              <w:t>28,016,800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7" w:right="0"/>
              <w:jc w:val="center"/>
              <w:rPr>
                <w:rFonts w:ascii="宋体" w:hAnsi="宋体" w:cs="宋体" w:eastAsia="宋体" w:hint="default"/>
                <w:sz w:val="18"/>
                <w:szCs w:val="18"/>
              </w:rPr>
            </w:pPr>
            <w:r>
              <w:rPr>
                <w:rFonts w:ascii="宋体"/>
                <w:sz w:val="18"/>
              </w:rPr>
              <w:t>28,016,800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2" w:right="186"/>
              <w:jc w:val="both"/>
              <w:rPr>
                <w:rFonts w:ascii="宋体" w:hAnsi="宋体" w:cs="宋体" w:eastAsia="宋体" w:hint="default"/>
                <w:sz w:val="18"/>
                <w:szCs w:val="18"/>
              </w:rPr>
            </w:pPr>
            <w:r>
              <w:rPr>
                <w:rFonts w:ascii="宋体" w:hAnsi="宋体" w:cs="宋体" w:eastAsia="宋体" w:hint="default"/>
                <w:sz w:val="18"/>
                <w:szCs w:val="18"/>
              </w:rPr>
              <w:t>因经济诉讼案件 被有关法院暂时 予以轮候冻结</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45"/>
              <w:ind w:left="10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89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254"/>
              <w:jc w:val="left"/>
              <w:rPr>
                <w:rFonts w:ascii="宋体" w:hAnsi="宋体" w:cs="宋体" w:eastAsia="宋体" w:hint="default"/>
                <w:sz w:val="18"/>
                <w:szCs w:val="18"/>
              </w:rPr>
            </w:pPr>
            <w:r>
              <w:rPr>
                <w:rFonts w:ascii="宋体" w:hAnsi="宋体" w:cs="宋体" w:eastAsia="宋体" w:hint="default"/>
                <w:sz w:val="18"/>
                <w:szCs w:val="18"/>
              </w:rPr>
              <w:t>北海腾辉商贸有限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7" w:right="0"/>
              <w:jc w:val="center"/>
              <w:rPr>
                <w:rFonts w:ascii="宋体" w:hAnsi="宋体" w:cs="宋体" w:eastAsia="宋体" w:hint="default"/>
                <w:sz w:val="18"/>
                <w:szCs w:val="18"/>
              </w:rPr>
            </w:pPr>
            <w:r>
              <w:rPr>
                <w:rFonts w:ascii="宋体"/>
                <w:sz w:val="18"/>
              </w:rPr>
              <w:t>16,233,960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7" w:right="0"/>
              <w:jc w:val="center"/>
              <w:rPr>
                <w:rFonts w:ascii="宋体" w:hAnsi="宋体" w:cs="宋体" w:eastAsia="宋体" w:hint="default"/>
                <w:sz w:val="18"/>
                <w:szCs w:val="18"/>
              </w:rPr>
            </w:pPr>
            <w:r>
              <w:rPr>
                <w:rFonts w:ascii="宋体"/>
                <w:sz w:val="18"/>
              </w:rPr>
              <w:t>16,233,960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2" w:right="186"/>
              <w:jc w:val="both"/>
              <w:rPr>
                <w:rFonts w:ascii="宋体" w:hAnsi="宋体" w:cs="宋体" w:eastAsia="宋体" w:hint="default"/>
                <w:sz w:val="18"/>
                <w:szCs w:val="18"/>
              </w:rPr>
            </w:pPr>
            <w:r>
              <w:rPr>
                <w:rFonts w:ascii="宋体" w:hAnsi="宋体" w:cs="宋体" w:eastAsia="宋体" w:hint="default"/>
                <w:sz w:val="18"/>
                <w:szCs w:val="18"/>
              </w:rPr>
              <w:t>因经济诉讼案件 被有关法院暂时 予以轮候冻结</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61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其他全部帐户</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57" w:right="0"/>
              <w:jc w:val="center"/>
              <w:rPr>
                <w:rFonts w:ascii="宋体" w:hAnsi="宋体" w:cs="宋体" w:eastAsia="宋体" w:hint="default"/>
                <w:sz w:val="18"/>
                <w:szCs w:val="18"/>
              </w:rPr>
            </w:pPr>
            <w:r>
              <w:rPr>
                <w:rFonts w:ascii="宋体"/>
                <w:sz w:val="18"/>
              </w:rPr>
              <w:t>91,106,240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57" w:right="0"/>
              <w:jc w:val="center"/>
              <w:rPr>
                <w:rFonts w:ascii="宋体" w:hAnsi="宋体" w:cs="宋体" w:eastAsia="宋体" w:hint="default"/>
                <w:sz w:val="18"/>
                <w:szCs w:val="18"/>
              </w:rPr>
            </w:pPr>
            <w:r>
              <w:rPr>
                <w:rFonts w:ascii="宋体"/>
                <w:sz w:val="18"/>
              </w:rPr>
              <w:t>91,106,240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1"/>
                <w:sz w:val="18"/>
                <w:szCs w:val="18"/>
              </w:rPr>
              <w:t> </w:t>
            </w:r>
            <w:r>
              <w:rPr>
                <w:rFonts w:ascii="宋体" w:hAnsi="宋体" w:cs="宋体" w:eastAsia="宋体" w:hint="default"/>
                <w:sz w:val="18"/>
                <w:szCs w:val="18"/>
              </w:rPr>
              <w:t>月</w:t>
            </w:r>
          </w:p>
          <w:p>
            <w:pPr>
              <w:pStyle w:val="TableParagraph"/>
              <w:spacing w:line="240" w:lineRule="auto" w:before="44"/>
              <w:ind w:left="101"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4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7" w:right="0"/>
              <w:jc w:val="center"/>
              <w:rPr>
                <w:rFonts w:ascii="宋体" w:hAnsi="宋体" w:cs="宋体" w:eastAsia="宋体" w:hint="default"/>
                <w:sz w:val="18"/>
                <w:szCs w:val="18"/>
              </w:rPr>
            </w:pPr>
            <w:r>
              <w:rPr>
                <w:rFonts w:ascii="宋体"/>
                <w:sz w:val="18"/>
              </w:rPr>
              <w:t>135,357,000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7" w:right="0"/>
              <w:jc w:val="center"/>
              <w:rPr>
                <w:rFonts w:ascii="宋体" w:hAnsi="宋体" w:cs="宋体" w:eastAsia="宋体" w:hint="default"/>
                <w:sz w:val="18"/>
                <w:szCs w:val="18"/>
              </w:rPr>
            </w:pPr>
            <w:r>
              <w:rPr>
                <w:rFonts w:ascii="宋体"/>
                <w:sz w:val="18"/>
              </w:rPr>
              <w:t>135,357,000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sz w:val="18"/>
              </w:rPr>
              <w:t>/</w:t>
            </w:r>
          </w:p>
        </w:tc>
      </w:tr>
    </w:tbl>
    <w:p>
      <w:pPr>
        <w:spacing w:before="89"/>
        <w:ind w:left="218" w:right="228" w:firstLine="0"/>
        <w:jc w:val="left"/>
        <w:rPr>
          <w:rFonts w:ascii="宋体" w:hAnsi="宋体" w:cs="宋体" w:eastAsia="宋体" w:hint="default"/>
          <w:sz w:val="18"/>
          <w:szCs w:val="18"/>
        </w:rPr>
      </w:pPr>
      <w:r>
        <w:rPr>
          <w:rFonts w:ascii="宋体" w:hAnsi="宋体" w:cs="宋体" w:eastAsia="宋体" w:hint="default"/>
          <w:sz w:val="18"/>
          <w:szCs w:val="18"/>
        </w:rPr>
        <w:t>注：其他全部账户系</w:t>
      </w:r>
      <w:r>
        <w:rPr>
          <w:rFonts w:ascii="宋体" w:hAnsi="宋体" w:cs="宋体" w:eastAsia="宋体" w:hint="default"/>
          <w:spacing w:val="-46"/>
          <w:sz w:val="18"/>
          <w:szCs w:val="18"/>
        </w:rPr>
        <w:t> </w:t>
      </w: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年因执行重整计划将转增股权抵偿给债权人形成的限售流通股。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3"/>
        <w:spacing w:line="240" w:lineRule="auto" w:before="0"/>
        <w:ind w:right="228"/>
        <w:jc w:val="left"/>
        <w:rPr>
          <w:b w:val="0"/>
          <w:bCs w:val="0"/>
        </w:rPr>
      </w:pPr>
      <w:r>
        <w:rPr/>
        <w:t>二、</w:t>
      </w:r>
      <w:r>
        <w:rPr>
          <w:spacing w:val="-81"/>
        </w:rPr>
        <w:t> </w:t>
      </w:r>
      <w:r>
        <w:rPr/>
        <w:t>证券发行与上市情况</w:t>
      </w:r>
      <w:r>
        <w:rPr>
          <w:b w:val="0"/>
          <w:bCs w:val="0"/>
        </w:rPr>
      </w:r>
    </w:p>
    <w:p>
      <w:pPr>
        <w:spacing w:line="312" w:lineRule="auto" w:before="57"/>
        <w:ind w:left="218" w:right="464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z w:val="21"/>
          <w:szCs w:val="21"/>
        </w:rPr>
        <w:t>截至报告期末近 </w:t>
      </w:r>
      <w:r>
        <w:rPr>
          <w:rFonts w:ascii="Calibri" w:hAnsi="Calibri" w:cs="Calibri" w:eastAsia="Calibri" w:hint="default"/>
          <w:b/>
          <w:bCs/>
          <w:sz w:val="21"/>
          <w:szCs w:val="21"/>
        </w:rPr>
        <w:t>3</w:t>
      </w:r>
      <w:r>
        <w:rPr>
          <w:rFonts w:ascii="Calibri" w:hAnsi="Calibri" w:cs="Calibri" w:eastAsia="Calibri" w:hint="default"/>
          <w:b/>
          <w:bCs/>
          <w:spacing w:val="-15"/>
          <w:sz w:val="21"/>
          <w:szCs w:val="21"/>
        </w:rPr>
        <w:t> </w:t>
      </w:r>
      <w:r>
        <w:rPr>
          <w:rFonts w:ascii="宋体" w:hAnsi="宋体" w:cs="宋体" w:eastAsia="宋体" w:hint="default"/>
          <w:b/>
          <w:bCs/>
          <w:sz w:val="21"/>
          <w:szCs w:val="21"/>
        </w:rPr>
        <w:t>年历次证券发行情况</w:t>
      </w:r>
      <w:r>
        <w:rPr>
          <w:rFonts w:ascii="宋体" w:hAnsi="宋体" w:cs="宋体" w:eastAsia="宋体" w:hint="default"/>
          <w:b/>
          <w:bCs/>
          <w:w w:val="99"/>
          <w:sz w:val="21"/>
          <w:szCs w:val="21"/>
        </w:rPr>
        <w:t> </w:t>
      </w:r>
      <w:r>
        <w:rPr>
          <w:rFonts w:ascii="宋体" w:hAnsi="宋体" w:cs="宋体" w:eastAsia="宋体" w:hint="default"/>
          <w:sz w:val="21"/>
          <w:szCs w:val="21"/>
        </w:rPr>
        <w:t>截至报告期末，公司近</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年未有证券发行情况。</w:t>
      </w:r>
    </w:p>
    <w:p>
      <w:pPr>
        <w:spacing w:line="240" w:lineRule="auto" w:before="0"/>
        <w:rPr>
          <w:rFonts w:ascii="宋体" w:hAnsi="宋体" w:cs="宋体" w:eastAsia="宋体" w:hint="default"/>
          <w:sz w:val="20"/>
          <w:szCs w:val="20"/>
        </w:rPr>
      </w:pPr>
    </w:p>
    <w:p>
      <w:pPr>
        <w:spacing w:line="336" w:lineRule="auto" w:before="139"/>
        <w:ind w:left="218" w:right="22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公司股份总数及股东结构变动及公司资产和负债结构的变动情况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报告期内，公司未有因送股、转增股本、配股、增发新股、非公开发行股票、权证行权、实施股 权激励计划、企业合并、可转换公司债券转股、减资、内部职工股上市、债券发行或其他原因引</w:t>
      </w:r>
    </w:p>
    <w:p>
      <w:pPr>
        <w:pStyle w:val="BodyText"/>
        <w:spacing w:line="240" w:lineRule="auto" w:before="49"/>
        <w:ind w:left="218" w:right="228"/>
        <w:jc w:val="left"/>
      </w:pPr>
      <w:r>
        <w:rPr/>
        <w:t>起公司股份总数及股东结构的变动、公司资产和负债结构的变动情况。</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312" w:lineRule="auto" w:before="0"/>
        <w:ind w:left="218" w:right="484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现存的内部职工股情况</w:t>
      </w:r>
      <w:r>
        <w:rPr>
          <w:rFonts w:ascii="宋体" w:hAnsi="宋体" w:cs="宋体" w:eastAsia="宋体" w:hint="default"/>
          <w:b/>
          <w:bCs/>
          <w:w w:val="99"/>
          <w:sz w:val="21"/>
          <w:szCs w:val="21"/>
        </w:rPr>
        <w:t> </w:t>
      </w:r>
      <w:r>
        <w:rPr>
          <w:rFonts w:ascii="宋体" w:hAnsi="宋体" w:cs="宋体" w:eastAsia="宋体" w:hint="default"/>
          <w:sz w:val="21"/>
          <w:szCs w:val="21"/>
        </w:rPr>
        <w:t>截至报告期末，公司未有内部职工股的情况。</w:t>
      </w:r>
    </w:p>
    <w:p>
      <w:pPr>
        <w:spacing w:line="240" w:lineRule="auto" w:before="0"/>
        <w:rPr>
          <w:rFonts w:ascii="宋体" w:hAnsi="宋体" w:cs="宋体" w:eastAsia="宋体" w:hint="default"/>
          <w:sz w:val="20"/>
          <w:szCs w:val="20"/>
        </w:rPr>
      </w:pPr>
    </w:p>
    <w:p>
      <w:pPr>
        <w:pStyle w:val="Heading3"/>
        <w:spacing w:line="240" w:lineRule="auto" w:before="141"/>
        <w:ind w:right="228"/>
        <w:jc w:val="left"/>
        <w:rPr>
          <w:b w:val="0"/>
          <w:bCs w:val="0"/>
        </w:rPr>
      </w:pPr>
      <w:r>
        <w:rPr/>
        <w:t>三、</w:t>
      </w:r>
      <w:r>
        <w:rPr>
          <w:spacing w:val="-81"/>
        </w:rPr>
        <w:t> </w:t>
      </w:r>
      <w:r>
        <w:rPr/>
        <w:t>股东和实际控制人情况</w:t>
      </w:r>
      <w:r>
        <w:rPr>
          <w:b w:val="0"/>
          <w:bCs w:val="0"/>
        </w:rPr>
      </w:r>
    </w:p>
    <w:p>
      <w:pPr>
        <w:pStyle w:val="Heading3"/>
        <w:tabs>
          <w:tab w:pos="785" w:val="left" w:leader="none"/>
        </w:tabs>
        <w:spacing w:line="240" w:lineRule="auto" w:before="57"/>
        <w:ind w:right="228"/>
        <w:jc w:val="left"/>
        <w:rPr>
          <w:rFonts w:ascii="Calibri" w:hAnsi="Calibri" w:cs="Calibri" w:eastAsia="Calibri" w:hint="default"/>
          <w:b w:val="0"/>
          <w:bCs w:val="0"/>
        </w:rPr>
      </w:pPr>
      <w:r>
        <w:rPr>
          <w:rFonts w:ascii="Calibri" w:hAnsi="Calibri" w:cs="Calibri" w:eastAsia="Calibri" w:hint="default"/>
        </w:rPr>
        <w:t>(</w:t>
      </w:r>
      <w:r>
        <w:rPr/>
        <w:t>一</w:t>
      </w:r>
      <w:r>
        <w:rPr>
          <w:rFonts w:ascii="Calibri" w:hAnsi="Calibri" w:cs="Calibri" w:eastAsia="Calibri" w:hint="default"/>
        </w:rPr>
        <w:t>)</w:t>
        <w:tab/>
      </w:r>
      <w:r>
        <w:rPr/>
        <w:t>股东总数</w:t>
      </w:r>
      <w:r>
        <w:rPr>
          <w:rFonts w:ascii="Calibri" w:hAnsi="Calibri" w:cs="Calibri" w:eastAsia="Calibri" w:hint="default"/>
        </w:rPr>
        <w:t>:</w:t>
      </w:r>
      <w:r>
        <w:rPr>
          <w:rFonts w:ascii="Calibri" w:hAnsi="Calibri" w:cs="Calibri" w:eastAsia="Calibri" w:hint="default"/>
          <w:b w:val="0"/>
          <w:bCs w:val="0"/>
        </w:rPr>
      </w:r>
    </w:p>
    <w:p>
      <w:pPr>
        <w:spacing w:line="240" w:lineRule="auto" w:before="5"/>
        <w:rPr>
          <w:rFonts w:ascii="Calibri" w:hAnsi="Calibri" w:cs="Calibri" w:eastAsia="Calibri"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929"/>
        <w:gridCol w:w="4120"/>
      </w:tblGrid>
      <w:tr>
        <w:trPr>
          <w:trHeight w:val="504"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截止报告期末股东总数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z w:val="21"/>
              </w:rPr>
              <w:t>23,537</w:t>
            </w:r>
          </w:p>
        </w:tc>
      </w:tr>
      <w:tr>
        <w:trPr>
          <w:trHeight w:val="505"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年度报告披露日前第五个交易日末的股东总数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02"/>
              <w:jc w:val="right"/>
              <w:rPr>
                <w:rFonts w:ascii="宋体" w:hAnsi="宋体" w:cs="宋体" w:eastAsia="宋体" w:hint="default"/>
                <w:sz w:val="21"/>
                <w:szCs w:val="21"/>
              </w:rPr>
            </w:pPr>
            <w:r>
              <w:rPr>
                <w:rFonts w:ascii="宋体"/>
                <w:sz w:val="21"/>
              </w:rPr>
              <w:t>23,022</w:t>
            </w:r>
          </w:p>
        </w:tc>
      </w:tr>
      <w:tr>
        <w:trPr>
          <w:trHeight w:val="505"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0</w:t>
            </w:r>
          </w:p>
        </w:tc>
      </w:tr>
      <w:tr>
        <w:trPr>
          <w:trHeight w:val="832" w:hRule="exact"/>
        </w:trPr>
        <w:tc>
          <w:tcPr>
            <w:tcW w:w="492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86"/>
              <w:ind w:left="103" w:right="107"/>
              <w:jc w:val="left"/>
              <w:rPr>
                <w:rFonts w:ascii="宋体" w:hAnsi="宋体" w:cs="宋体" w:eastAsia="宋体" w:hint="default"/>
                <w:sz w:val="21"/>
                <w:szCs w:val="21"/>
              </w:rPr>
            </w:pPr>
            <w:r>
              <w:rPr>
                <w:rFonts w:ascii="宋体" w:hAnsi="宋体" w:cs="宋体" w:eastAsia="宋体" w:hint="default"/>
                <w:spacing w:val="3"/>
                <w:sz w:val="21"/>
                <w:szCs w:val="21"/>
              </w:rPr>
              <w:t>年度报告披露日前第五个交易日末表决权恢复的优</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先股股东总数（户）</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2"/>
        <w:rPr>
          <w:rFonts w:ascii="Calibri" w:hAnsi="Calibri" w:cs="Calibri" w:eastAsia="Calibri" w:hint="default"/>
          <w:b/>
          <w:bCs/>
          <w:sz w:val="27"/>
          <w:szCs w:val="27"/>
        </w:rPr>
      </w:pPr>
    </w:p>
    <w:p>
      <w:pPr>
        <w:spacing w:after="0" w:line="240" w:lineRule="auto"/>
        <w:rPr>
          <w:rFonts w:ascii="Calibri" w:hAnsi="Calibri" w:cs="Calibri" w:eastAsia="Calibri" w:hint="default"/>
          <w:sz w:val="27"/>
          <w:szCs w:val="27"/>
        </w:rPr>
        <w:sectPr>
          <w:pgSz w:w="11910" w:h="16840"/>
          <w:pgMar w:header="0" w:footer="1194" w:top="1120" w:bottom="1380" w:left="1460" w:right="920"/>
        </w:sectPr>
      </w:pPr>
    </w:p>
    <w:p>
      <w:pPr>
        <w:pStyle w:val="Heading3"/>
        <w:tabs>
          <w:tab w:pos="905" w:val="left" w:leader="none"/>
        </w:tabs>
        <w:spacing w:line="240" w:lineRule="auto"/>
        <w:ind w:left="338"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w w:val="95"/>
        </w:rPr>
        <w:t>截止报告期末前十名股东、前十名流通股东（或无限售条件股东）持股情况表</w:t>
      </w:r>
      <w:r>
        <w:rPr>
          <w:b w:val="0"/>
          <w:bCs w:val="0"/>
        </w:rPr>
      </w:r>
    </w:p>
    <w:p>
      <w:pPr>
        <w:spacing w:line="240" w:lineRule="auto" w:before="1"/>
        <w:rPr>
          <w:rFonts w:ascii="宋体" w:hAnsi="宋体" w:cs="宋体" w:eastAsia="宋体" w:hint="default"/>
          <w:b/>
          <w:bCs/>
          <w:sz w:val="28"/>
          <w:szCs w:val="28"/>
        </w:rPr>
      </w:pPr>
      <w:r>
        <w:rPr/>
        <w:br w:type="column"/>
      </w:r>
      <w:r>
        <w:rPr>
          <w:rFonts w:ascii="宋体"/>
          <w:b/>
          <w:sz w:val="28"/>
        </w:rPr>
      </w:r>
    </w:p>
    <w:p>
      <w:pPr>
        <w:pStyle w:val="BodyText"/>
        <w:spacing w:line="240" w:lineRule="auto"/>
        <w:ind w:left="329" w:right="0"/>
        <w:jc w:val="left"/>
      </w:pPr>
      <w:r>
        <w:rPr/>
        <w:t>单位</w:t>
      </w:r>
      <w:r>
        <w:rPr>
          <w:rFonts w:ascii="宋体" w:hAnsi="宋体" w:cs="宋体" w:eastAsia="宋体" w:hint="default"/>
        </w:rPr>
        <w:t>:</w:t>
      </w:r>
      <w:r>
        <w:rPr/>
        <w:t>股</w:t>
      </w:r>
    </w:p>
    <w:p>
      <w:pPr>
        <w:spacing w:after="0" w:line="240" w:lineRule="auto"/>
        <w:jc w:val="left"/>
        <w:sectPr>
          <w:type w:val="continuous"/>
          <w:pgSz w:w="11910" w:h="16840"/>
          <w:pgMar w:top="1120" w:bottom="1380" w:left="1460" w:right="920"/>
          <w:cols w:num="2" w:equalWidth="0">
            <w:col w:w="8068" w:space="40"/>
            <w:col w:w="1422"/>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94"/>
        <w:gridCol w:w="1206"/>
        <w:gridCol w:w="1160"/>
        <w:gridCol w:w="691"/>
        <w:gridCol w:w="923"/>
        <w:gridCol w:w="796"/>
        <w:gridCol w:w="377"/>
        <w:gridCol w:w="649"/>
        <w:gridCol w:w="1195"/>
      </w:tblGrid>
      <w:tr>
        <w:trPr>
          <w:trHeight w:val="338" w:hRule="exact"/>
        </w:trPr>
        <w:tc>
          <w:tcPr>
            <w:tcW w:w="92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338"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（全称）</w:t>
            </w:r>
          </w:p>
        </w:tc>
        <w:tc>
          <w:tcPr>
            <w:tcW w:w="120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85" w:lineRule="auto"/>
              <w:ind w:left="506" w:right="148" w:hanging="360"/>
              <w:jc w:val="left"/>
              <w:rPr>
                <w:rFonts w:ascii="宋体" w:hAnsi="宋体" w:cs="宋体" w:eastAsia="宋体" w:hint="default"/>
                <w:sz w:val="18"/>
                <w:szCs w:val="18"/>
              </w:rPr>
            </w:pPr>
            <w:r>
              <w:rPr>
                <w:rFonts w:ascii="宋体" w:hAnsi="宋体" w:cs="宋体" w:eastAsia="宋体" w:hint="default"/>
                <w:sz w:val="18"/>
                <w:szCs w:val="18"/>
              </w:rPr>
              <w:t>报告期内增 减</w:t>
            </w:r>
          </w:p>
        </w:tc>
        <w:tc>
          <w:tcPr>
            <w:tcW w:w="116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85" w:lineRule="auto"/>
              <w:ind w:left="484" w:right="125" w:hanging="360"/>
              <w:jc w:val="left"/>
              <w:rPr>
                <w:rFonts w:ascii="宋体" w:hAnsi="宋体" w:cs="宋体" w:eastAsia="宋体" w:hint="default"/>
                <w:sz w:val="18"/>
                <w:szCs w:val="18"/>
              </w:rPr>
            </w:pPr>
            <w:r>
              <w:rPr>
                <w:rFonts w:ascii="宋体" w:hAnsi="宋体" w:cs="宋体" w:eastAsia="宋体" w:hint="default"/>
                <w:sz w:val="18"/>
                <w:szCs w:val="18"/>
              </w:rPr>
              <w:t>期末持股数 量</w:t>
            </w:r>
          </w:p>
        </w:tc>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85" w:lineRule="auto"/>
              <w:ind w:left="205" w:right="161"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23" w:type="dxa"/>
            <w:vMerge w:val="restart"/>
            <w:tcBorders>
              <w:top w:val="single" w:sz="4" w:space="0" w:color="000000"/>
              <w:left w:val="single" w:sz="4" w:space="0" w:color="000000"/>
              <w:right w:val="single" w:sz="4" w:space="0" w:color="000000"/>
            </w:tcBorders>
          </w:tcPr>
          <w:p>
            <w:pPr>
              <w:pStyle w:val="TableParagraph"/>
              <w:spacing w:line="285" w:lineRule="auto" w:before="17"/>
              <w:ind w:left="185" w:right="185"/>
              <w:jc w:val="both"/>
              <w:rPr>
                <w:rFonts w:ascii="宋体" w:hAnsi="宋体" w:cs="宋体" w:eastAsia="宋体" w:hint="default"/>
                <w:sz w:val="18"/>
                <w:szCs w:val="18"/>
              </w:rPr>
            </w:pPr>
            <w:r>
              <w:rPr>
                <w:rFonts w:ascii="宋体" w:hAnsi="宋体" w:cs="宋体" w:eastAsia="宋体" w:hint="default"/>
                <w:sz w:val="18"/>
                <w:szCs w:val="18"/>
              </w:rPr>
              <w:t>持有有 限售条 件股份 数量</w:t>
            </w:r>
          </w:p>
        </w:tc>
        <w:tc>
          <w:tcPr>
            <w:tcW w:w="18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336" w:lineRule="auto"/>
              <w:ind w:left="412" w:right="410"/>
              <w:jc w:val="center"/>
              <w:rPr>
                <w:rFonts w:ascii="宋体" w:hAnsi="宋体" w:cs="宋体" w:eastAsia="宋体" w:hint="default"/>
                <w:sz w:val="18"/>
                <w:szCs w:val="18"/>
              </w:rPr>
            </w:pPr>
            <w:r>
              <w:rPr>
                <w:rFonts w:ascii="宋体" w:hAnsi="宋体" w:cs="宋体" w:eastAsia="宋体" w:hint="default"/>
                <w:sz w:val="18"/>
                <w:szCs w:val="18"/>
              </w:rPr>
              <w:t>股东 性质</w:t>
            </w:r>
          </w:p>
        </w:tc>
      </w:tr>
      <w:tr>
        <w:trPr>
          <w:trHeight w:val="841" w:hRule="exact"/>
        </w:trPr>
        <w:tc>
          <w:tcPr>
            <w:tcW w:w="2294"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160" w:type="dxa"/>
            <w:vMerge/>
            <w:tcBorders>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923" w:type="dxa"/>
            <w:vMerge/>
            <w:tcBorders>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05"/>
              <w:ind w:left="211" w:right="213"/>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195" w:type="dxa"/>
            <w:vMerge/>
            <w:tcBorders>
              <w:left w:val="single" w:sz="4" w:space="0" w:color="000000"/>
              <w:bottom w:val="single" w:sz="4" w:space="0" w:color="000000"/>
              <w:right w:val="single" w:sz="4" w:space="0" w:color="000000"/>
            </w:tcBorders>
          </w:tcPr>
          <w:p>
            <w:pPr/>
          </w:p>
        </w:tc>
      </w:tr>
      <w:tr>
        <w:trPr>
          <w:trHeight w:val="61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98"/>
              <w:jc w:val="left"/>
              <w:rPr>
                <w:rFonts w:ascii="宋体" w:hAnsi="宋体" w:cs="宋体" w:eastAsia="宋体" w:hint="default"/>
                <w:sz w:val="18"/>
                <w:szCs w:val="18"/>
              </w:rPr>
            </w:pPr>
            <w:r>
              <w:rPr>
                <w:rFonts w:ascii="宋体" w:hAnsi="宋体" w:cs="宋体" w:eastAsia="宋体" w:hint="default"/>
                <w:sz w:val="18"/>
                <w:szCs w:val="18"/>
              </w:rPr>
              <w:t>中国工商银行股份有限公 司广西壮族自治区分行</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-19,650,000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15,993,106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33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3.80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3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14,800,050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3.75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3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吴鸣霄</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14,000,000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3.55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1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98"/>
              <w:jc w:val="left"/>
              <w:rPr>
                <w:rFonts w:ascii="宋体" w:hAnsi="宋体" w:cs="宋体" w:eastAsia="宋体" w:hint="default"/>
                <w:sz w:val="18"/>
                <w:szCs w:val="18"/>
              </w:rPr>
            </w:pPr>
            <w:r>
              <w:rPr>
                <w:rFonts w:ascii="宋体" w:hAnsi="宋体" w:cs="宋体" w:eastAsia="宋体" w:hint="default"/>
                <w:sz w:val="18"/>
                <w:szCs w:val="18"/>
              </w:rPr>
              <w:t>中国农业银行股份有限公 司广西壮族自治区分行</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9,802,070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2.48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国有法人</w:t>
            </w:r>
          </w:p>
        </w:tc>
      </w:tr>
      <w:tr>
        <w:trPr>
          <w:trHeight w:val="89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02"/>
              <w:jc w:val="left"/>
              <w:rPr>
                <w:rFonts w:ascii="宋体" w:hAnsi="宋体" w:cs="宋体" w:eastAsia="宋体" w:hint="default"/>
                <w:sz w:val="18"/>
                <w:szCs w:val="18"/>
              </w:rPr>
            </w:pPr>
            <w:r>
              <w:rPr>
                <w:rFonts w:ascii="宋体" w:hAnsi="宋体" w:cs="宋体" w:eastAsia="宋体" w:hint="default"/>
                <w:sz w:val="18"/>
                <w:szCs w:val="18"/>
              </w:rPr>
              <w:t>华融国际信托有限责任公 </w:t>
            </w:r>
            <w:r>
              <w:rPr>
                <w:rFonts w:ascii="宋体" w:hAnsi="宋体" w:cs="宋体" w:eastAsia="宋体" w:hint="default"/>
                <w:spacing w:val="-12"/>
                <w:sz w:val="18"/>
                <w:szCs w:val="18"/>
              </w:rPr>
              <w:t>司</w:t>
            </w:r>
            <w:r>
              <w:rPr>
                <w:rFonts w:ascii="宋体" w:hAnsi="宋体" w:cs="宋体" w:eastAsia="宋体" w:hint="default"/>
                <w:spacing w:val="-12"/>
                <w:sz w:val="18"/>
                <w:szCs w:val="18"/>
              </w:rPr>
              <w:t>-</w:t>
            </w:r>
            <w:r>
              <w:rPr>
                <w:rFonts w:ascii="宋体" w:hAnsi="宋体" w:cs="宋体" w:eastAsia="宋体" w:hint="default"/>
                <w:spacing w:val="-12"/>
                <w:sz w:val="18"/>
                <w:szCs w:val="18"/>
              </w:rPr>
              <w:t>华融·汇盈</w:t>
            </w:r>
            <w:r>
              <w:rPr>
                <w:rFonts w:ascii="宋体" w:hAnsi="宋体" w:cs="宋体" w:eastAsia="宋体" w:hint="default"/>
                <w:spacing w:val="-46"/>
                <w:sz w:val="18"/>
                <w:szCs w:val="18"/>
              </w:rPr>
              <w:t>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号证券投 资单一资金信托</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7,464,886</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1.89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3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4,822,800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6,000,000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61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98"/>
              <w:jc w:val="left"/>
              <w:rPr>
                <w:rFonts w:ascii="宋体" w:hAnsi="宋体" w:cs="宋体" w:eastAsia="宋体" w:hint="default"/>
                <w:sz w:val="18"/>
                <w:szCs w:val="18"/>
              </w:rPr>
            </w:pPr>
            <w:r>
              <w:rPr>
                <w:rFonts w:ascii="宋体" w:hAnsi="宋体" w:cs="宋体" w:eastAsia="宋体" w:hint="default"/>
                <w:sz w:val="18"/>
                <w:szCs w:val="18"/>
              </w:rPr>
              <w:t>北京桀亚莱福生物技术有 限责任公司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4,403,700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1.12</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10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sz w:val="18"/>
              </w:rPr>
              <w:t>4,403,700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80"/>
              <w:jc w:val="left"/>
              <w:rPr>
                <w:rFonts w:ascii="宋体" w:hAnsi="宋体" w:cs="宋体" w:eastAsia="宋体" w:hint="default"/>
                <w:sz w:val="18"/>
                <w:szCs w:val="18"/>
              </w:rPr>
            </w:pPr>
            <w:r>
              <w:rPr>
                <w:rFonts w:ascii="宋体" w:hAnsi="宋体" w:cs="宋体" w:eastAsia="宋体" w:hint="default"/>
                <w:sz w:val="18"/>
                <w:szCs w:val="18"/>
              </w:rPr>
              <w:t>境内非国有 法人</w:t>
            </w:r>
          </w:p>
        </w:tc>
      </w:tr>
      <w:tr>
        <w:trPr>
          <w:trHeight w:val="33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季爱琴</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3,454,412</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0.87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39"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马阿毛</w:t>
            </w:r>
          </w:p>
        </w:tc>
        <w:tc>
          <w:tcPr>
            <w:tcW w:w="1206"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2,880,000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0.73</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026" w:type="dxa"/>
            <w:gridSpan w:val="2"/>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境内自然人</w:t>
            </w:r>
          </w:p>
        </w:tc>
      </w:tr>
      <w:tr>
        <w:trPr>
          <w:trHeight w:val="337" w:hRule="exact"/>
        </w:trPr>
        <w:tc>
          <w:tcPr>
            <w:tcW w:w="9292"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前十名无限售条件股东持股情况</w:t>
            </w:r>
          </w:p>
        </w:tc>
      </w:tr>
      <w:tr>
        <w:trPr>
          <w:trHeight w:val="338" w:hRule="exact"/>
        </w:trPr>
        <w:tc>
          <w:tcPr>
            <w:tcW w:w="3500" w:type="dxa"/>
            <w:gridSpan w:val="2"/>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852" w:type="dxa"/>
            <w:gridSpan w:val="2"/>
            <w:vMerge w:val="restart"/>
            <w:tcBorders>
              <w:top w:val="single" w:sz="4" w:space="0" w:color="000000"/>
              <w:left w:val="single" w:sz="4" w:space="0" w:color="000000"/>
              <w:right w:val="single" w:sz="4" w:space="0" w:color="000000"/>
            </w:tcBorders>
          </w:tcPr>
          <w:p>
            <w:pPr>
              <w:pStyle w:val="TableParagraph"/>
              <w:spacing w:line="285" w:lineRule="auto" w:before="47"/>
              <w:ind w:left="560" w:right="109" w:hanging="450"/>
              <w:jc w:val="left"/>
              <w:rPr>
                <w:rFonts w:ascii="宋体" w:hAnsi="宋体" w:cs="宋体" w:eastAsia="宋体" w:hint="default"/>
                <w:sz w:val="18"/>
                <w:szCs w:val="18"/>
              </w:rPr>
            </w:pPr>
            <w:r>
              <w:rPr>
                <w:rFonts w:ascii="宋体" w:hAnsi="宋体" w:cs="宋体" w:eastAsia="宋体" w:hint="default"/>
                <w:sz w:val="18"/>
                <w:szCs w:val="18"/>
              </w:rPr>
              <w:t>持有无限售条件流通 股的数量</w:t>
            </w:r>
          </w:p>
        </w:tc>
        <w:tc>
          <w:tcPr>
            <w:tcW w:w="39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股份种类及数量</w:t>
            </w:r>
          </w:p>
        </w:tc>
      </w:tr>
      <w:tr>
        <w:trPr>
          <w:trHeight w:val="338" w:hRule="exact"/>
        </w:trPr>
        <w:tc>
          <w:tcPr>
            <w:tcW w:w="3500" w:type="dxa"/>
            <w:gridSpan w:val="2"/>
            <w:vMerge/>
            <w:tcBorders>
              <w:left w:val="single" w:sz="4" w:space="0" w:color="000000"/>
              <w:bottom w:val="single" w:sz="4" w:space="0" w:color="000000"/>
              <w:right w:val="single" w:sz="4" w:space="0" w:color="000000"/>
            </w:tcBorders>
          </w:tcPr>
          <w:p>
            <w:pPr/>
          </w:p>
        </w:tc>
        <w:tc>
          <w:tcPr>
            <w:tcW w:w="1852" w:type="dxa"/>
            <w:gridSpan w:val="2"/>
            <w:vMerge/>
            <w:tcBorders>
              <w:left w:val="single" w:sz="4" w:space="0" w:color="000000"/>
              <w:bottom w:val="single" w:sz="4" w:space="0" w:color="000000"/>
              <w:right w:val="single" w:sz="4" w:space="0" w:color="000000"/>
            </w:tcBorders>
          </w:tcPr>
          <w:p>
            <w:pP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61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44"/>
              <w:jc w:val="left"/>
              <w:rPr>
                <w:rFonts w:ascii="宋体" w:hAnsi="宋体" w:cs="宋体" w:eastAsia="宋体" w:hint="default"/>
                <w:sz w:val="18"/>
                <w:szCs w:val="18"/>
              </w:rPr>
            </w:pPr>
            <w:r>
              <w:rPr>
                <w:rFonts w:ascii="宋体" w:hAnsi="宋体" w:cs="宋体" w:eastAsia="宋体" w:hint="default"/>
                <w:sz w:val="18"/>
                <w:szCs w:val="18"/>
              </w:rPr>
              <w:t>中国工商银行股份有限公司广西壮族自治 区分行</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8" w:right="0"/>
              <w:jc w:val="left"/>
              <w:rPr>
                <w:rFonts w:ascii="宋体" w:hAnsi="宋体" w:cs="宋体" w:eastAsia="宋体" w:hint="default"/>
                <w:sz w:val="18"/>
                <w:szCs w:val="18"/>
              </w:rPr>
            </w:pPr>
            <w:r>
              <w:rPr>
                <w:rFonts w:ascii="宋体"/>
                <w:sz w:val="18"/>
              </w:rPr>
              <w:t>15,993,106</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1" w:right="0"/>
              <w:jc w:val="left"/>
              <w:rPr>
                <w:rFonts w:ascii="宋体" w:hAnsi="宋体" w:cs="宋体" w:eastAsia="宋体" w:hint="default"/>
                <w:sz w:val="18"/>
                <w:szCs w:val="18"/>
              </w:rPr>
            </w:pPr>
            <w:r>
              <w:rPr>
                <w:rFonts w:ascii="宋体"/>
                <w:sz w:val="18"/>
              </w:rPr>
              <w:t>15,993,106</w:t>
            </w:r>
          </w:p>
        </w:tc>
      </w:tr>
      <w:tr>
        <w:trPr>
          <w:trHeight w:val="33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8" w:right="0"/>
              <w:jc w:val="left"/>
              <w:rPr>
                <w:rFonts w:ascii="宋体" w:hAnsi="宋体" w:cs="宋体" w:eastAsia="宋体" w:hint="default"/>
                <w:sz w:val="18"/>
                <w:szCs w:val="18"/>
              </w:rPr>
            </w:pPr>
            <w:r>
              <w:rPr>
                <w:rFonts w:ascii="宋体"/>
                <w:sz w:val="18"/>
              </w:rPr>
              <w:t>15,000,000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1" w:right="0"/>
              <w:jc w:val="left"/>
              <w:rPr>
                <w:rFonts w:ascii="宋体" w:hAnsi="宋体" w:cs="宋体" w:eastAsia="宋体" w:hint="default"/>
                <w:sz w:val="18"/>
                <w:szCs w:val="18"/>
              </w:rPr>
            </w:pPr>
            <w:r>
              <w:rPr>
                <w:rFonts w:ascii="宋体"/>
                <w:sz w:val="18"/>
              </w:rPr>
              <w:t>15,000,000</w:t>
            </w:r>
          </w:p>
        </w:tc>
      </w:tr>
      <w:tr>
        <w:trPr>
          <w:trHeight w:val="33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8" w:right="0"/>
              <w:jc w:val="left"/>
              <w:rPr>
                <w:rFonts w:ascii="宋体" w:hAnsi="宋体" w:cs="宋体" w:eastAsia="宋体" w:hint="default"/>
                <w:sz w:val="18"/>
                <w:szCs w:val="18"/>
              </w:rPr>
            </w:pPr>
            <w:r>
              <w:rPr>
                <w:rFonts w:ascii="宋体"/>
                <w:sz w:val="18"/>
              </w:rPr>
              <w:t>14,800,050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1" w:right="0"/>
              <w:jc w:val="left"/>
              <w:rPr>
                <w:rFonts w:ascii="宋体" w:hAnsi="宋体" w:cs="宋体" w:eastAsia="宋体" w:hint="default"/>
                <w:sz w:val="18"/>
                <w:szCs w:val="18"/>
              </w:rPr>
            </w:pPr>
            <w:r>
              <w:rPr>
                <w:rFonts w:ascii="宋体"/>
                <w:sz w:val="18"/>
              </w:rPr>
              <w:t>14,800,050</w:t>
            </w:r>
          </w:p>
        </w:tc>
      </w:tr>
      <w:tr>
        <w:trPr>
          <w:trHeight w:val="337"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吴鸣霄</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8" w:right="0"/>
              <w:jc w:val="left"/>
              <w:rPr>
                <w:rFonts w:ascii="宋体" w:hAnsi="宋体" w:cs="宋体" w:eastAsia="宋体" w:hint="default"/>
                <w:sz w:val="18"/>
                <w:szCs w:val="18"/>
              </w:rPr>
            </w:pPr>
            <w:r>
              <w:rPr>
                <w:rFonts w:ascii="宋体"/>
                <w:sz w:val="18"/>
              </w:rPr>
              <w:t>14,000,000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31" w:right="0"/>
              <w:jc w:val="left"/>
              <w:rPr>
                <w:rFonts w:ascii="宋体" w:hAnsi="宋体" w:cs="宋体" w:eastAsia="宋体" w:hint="default"/>
                <w:sz w:val="18"/>
                <w:szCs w:val="18"/>
              </w:rPr>
            </w:pPr>
            <w:r>
              <w:rPr>
                <w:rFonts w:ascii="宋体"/>
                <w:sz w:val="18"/>
              </w:rPr>
              <w:t>14,000,000</w:t>
            </w:r>
          </w:p>
        </w:tc>
      </w:tr>
      <w:tr>
        <w:trPr>
          <w:trHeight w:val="619"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103" w:right="144"/>
              <w:jc w:val="left"/>
              <w:rPr>
                <w:rFonts w:ascii="宋体" w:hAnsi="宋体" w:cs="宋体" w:eastAsia="宋体" w:hint="default"/>
                <w:sz w:val="18"/>
                <w:szCs w:val="18"/>
              </w:rPr>
            </w:pPr>
            <w:r>
              <w:rPr>
                <w:rFonts w:ascii="宋体" w:hAnsi="宋体" w:cs="宋体" w:eastAsia="宋体" w:hint="default"/>
                <w:sz w:val="18"/>
                <w:szCs w:val="18"/>
              </w:rPr>
              <w:t>中国农业银行股份有限公司广西壮族自治 区分行</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28" w:right="0"/>
              <w:jc w:val="left"/>
              <w:rPr>
                <w:rFonts w:ascii="宋体" w:hAnsi="宋体" w:cs="宋体" w:eastAsia="宋体" w:hint="default"/>
                <w:sz w:val="18"/>
                <w:szCs w:val="18"/>
              </w:rPr>
            </w:pPr>
            <w:r>
              <w:rPr>
                <w:rFonts w:ascii="宋体"/>
                <w:sz w:val="18"/>
              </w:rPr>
              <w:t>9,802,070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21" w:right="0"/>
              <w:jc w:val="left"/>
              <w:rPr>
                <w:rFonts w:ascii="宋体" w:hAnsi="宋体" w:cs="宋体" w:eastAsia="宋体" w:hint="default"/>
                <w:sz w:val="18"/>
                <w:szCs w:val="18"/>
              </w:rPr>
            </w:pPr>
            <w:r>
              <w:rPr>
                <w:rFonts w:ascii="宋体"/>
                <w:sz w:val="18"/>
              </w:rPr>
              <w:t>9,802,070</w:t>
            </w:r>
          </w:p>
        </w:tc>
      </w:tr>
      <w:tr>
        <w:trPr>
          <w:trHeight w:val="61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234"/>
              <w:jc w:val="left"/>
              <w:rPr>
                <w:rFonts w:ascii="宋体" w:hAnsi="宋体" w:cs="宋体" w:eastAsia="宋体" w:hint="default"/>
                <w:sz w:val="18"/>
                <w:szCs w:val="18"/>
              </w:rPr>
            </w:pPr>
            <w:r>
              <w:rPr>
                <w:rFonts w:ascii="宋体" w:hAnsi="宋体" w:cs="宋体" w:eastAsia="宋体" w:hint="default"/>
                <w:sz w:val="18"/>
                <w:szCs w:val="18"/>
              </w:rPr>
              <w:t>华融国际信托有限责任公司</w:t>
            </w:r>
            <w:r>
              <w:rPr>
                <w:rFonts w:ascii="宋体" w:hAnsi="宋体" w:cs="宋体" w:eastAsia="宋体" w:hint="default"/>
                <w:sz w:val="18"/>
                <w:szCs w:val="18"/>
              </w:rPr>
              <w:t>-</w:t>
            </w:r>
            <w:r>
              <w:rPr>
                <w:rFonts w:ascii="宋体" w:hAnsi="宋体" w:cs="宋体" w:eastAsia="宋体" w:hint="default"/>
                <w:sz w:val="18"/>
                <w:szCs w:val="18"/>
              </w:rPr>
              <w:t>华融·汇盈 </w:t>
            </w:r>
            <w:r>
              <w:rPr>
                <w:rFonts w:ascii="宋体" w:hAnsi="宋体" w:cs="宋体" w:eastAsia="宋体" w:hint="default"/>
                <w:sz w:val="18"/>
                <w:szCs w:val="18"/>
              </w:rPr>
              <w:t>32</w:t>
            </w:r>
            <w:r>
              <w:rPr>
                <w:rFonts w:ascii="宋体" w:hAnsi="宋体" w:cs="宋体" w:eastAsia="宋体" w:hint="default"/>
                <w:spacing w:val="-46"/>
                <w:sz w:val="18"/>
                <w:szCs w:val="18"/>
              </w:rPr>
              <w:t> </w:t>
            </w:r>
            <w:r>
              <w:rPr>
                <w:rFonts w:ascii="宋体" w:hAnsi="宋体" w:cs="宋体" w:eastAsia="宋体" w:hint="default"/>
                <w:sz w:val="18"/>
                <w:szCs w:val="18"/>
              </w:rPr>
              <w:t>号证券投资单一资金信托</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8" w:right="0"/>
              <w:jc w:val="left"/>
              <w:rPr>
                <w:rFonts w:ascii="宋体" w:hAnsi="宋体" w:cs="宋体" w:eastAsia="宋体" w:hint="default"/>
                <w:sz w:val="18"/>
                <w:szCs w:val="18"/>
              </w:rPr>
            </w:pPr>
            <w:r>
              <w:rPr>
                <w:rFonts w:ascii="宋体"/>
                <w:sz w:val="18"/>
              </w:rPr>
              <w:t>7,464,886</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1" w:right="0"/>
              <w:jc w:val="left"/>
              <w:rPr>
                <w:rFonts w:ascii="宋体" w:hAnsi="宋体" w:cs="宋体" w:eastAsia="宋体" w:hint="default"/>
                <w:sz w:val="18"/>
                <w:szCs w:val="18"/>
              </w:rPr>
            </w:pPr>
            <w:r>
              <w:rPr>
                <w:rFonts w:ascii="宋体"/>
                <w:sz w:val="18"/>
              </w:rPr>
              <w:t>7,464,886</w:t>
            </w:r>
          </w:p>
        </w:tc>
      </w:tr>
      <w:tr>
        <w:trPr>
          <w:trHeight w:val="33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孙伟</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8" w:right="0"/>
              <w:jc w:val="left"/>
              <w:rPr>
                <w:rFonts w:ascii="宋体" w:hAnsi="宋体" w:cs="宋体" w:eastAsia="宋体" w:hint="default"/>
                <w:sz w:val="18"/>
                <w:szCs w:val="18"/>
              </w:rPr>
            </w:pPr>
            <w:r>
              <w:rPr>
                <w:rFonts w:ascii="宋体"/>
                <w:sz w:val="18"/>
              </w:rPr>
              <w:t>6,000,000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1" w:right="0"/>
              <w:jc w:val="left"/>
              <w:rPr>
                <w:rFonts w:ascii="宋体" w:hAnsi="宋体" w:cs="宋体" w:eastAsia="宋体" w:hint="default"/>
                <w:sz w:val="18"/>
                <w:szCs w:val="18"/>
              </w:rPr>
            </w:pPr>
            <w:r>
              <w:rPr>
                <w:rFonts w:ascii="宋体"/>
                <w:sz w:val="18"/>
              </w:rPr>
              <w:t>6,000,000</w:t>
            </w:r>
          </w:p>
        </w:tc>
      </w:tr>
      <w:tr>
        <w:trPr>
          <w:trHeight w:val="337"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北京桀亚莱福生物技术有限责任公司</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8" w:right="0"/>
              <w:jc w:val="left"/>
              <w:rPr>
                <w:rFonts w:ascii="宋体" w:hAnsi="宋体" w:cs="宋体" w:eastAsia="宋体" w:hint="default"/>
                <w:sz w:val="18"/>
                <w:szCs w:val="18"/>
              </w:rPr>
            </w:pPr>
            <w:r>
              <w:rPr>
                <w:rFonts w:ascii="宋体"/>
                <w:sz w:val="18"/>
              </w:rPr>
              <w:t>4,403,700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1" w:right="0"/>
              <w:jc w:val="left"/>
              <w:rPr>
                <w:rFonts w:ascii="宋体" w:hAnsi="宋体" w:cs="宋体" w:eastAsia="宋体" w:hint="default"/>
                <w:sz w:val="18"/>
                <w:szCs w:val="18"/>
              </w:rPr>
            </w:pPr>
            <w:r>
              <w:rPr>
                <w:rFonts w:ascii="宋体"/>
                <w:sz w:val="18"/>
              </w:rPr>
              <w:t>4,403,700</w:t>
            </w:r>
          </w:p>
        </w:tc>
      </w:tr>
      <w:tr>
        <w:trPr>
          <w:trHeight w:val="33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季爱琴</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28" w:right="0"/>
              <w:jc w:val="left"/>
              <w:rPr>
                <w:rFonts w:ascii="宋体" w:hAnsi="宋体" w:cs="宋体" w:eastAsia="宋体" w:hint="default"/>
                <w:sz w:val="18"/>
                <w:szCs w:val="18"/>
              </w:rPr>
            </w:pPr>
            <w:r>
              <w:rPr>
                <w:rFonts w:ascii="宋体"/>
                <w:sz w:val="18"/>
              </w:rPr>
              <w:t>3,454,412</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921" w:right="0"/>
              <w:jc w:val="left"/>
              <w:rPr>
                <w:rFonts w:ascii="宋体" w:hAnsi="宋体" w:cs="宋体" w:eastAsia="宋体" w:hint="default"/>
                <w:sz w:val="18"/>
                <w:szCs w:val="18"/>
              </w:rPr>
            </w:pPr>
            <w:r>
              <w:rPr>
                <w:rFonts w:ascii="宋体"/>
                <w:sz w:val="18"/>
              </w:rPr>
              <w:t>3,454,412</w:t>
            </w:r>
          </w:p>
        </w:tc>
      </w:tr>
      <w:tr>
        <w:trPr>
          <w:trHeight w:val="338"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马阿毛</w:t>
            </w:r>
          </w:p>
        </w:tc>
        <w:tc>
          <w:tcPr>
            <w:tcW w:w="1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8" w:right="0"/>
              <w:jc w:val="left"/>
              <w:rPr>
                <w:rFonts w:ascii="宋体" w:hAnsi="宋体" w:cs="宋体" w:eastAsia="宋体" w:hint="default"/>
                <w:sz w:val="18"/>
                <w:szCs w:val="18"/>
              </w:rPr>
            </w:pPr>
            <w:r>
              <w:rPr>
                <w:rFonts w:ascii="宋体"/>
                <w:sz w:val="18"/>
              </w:rPr>
              <w:t>2,880,000</w:t>
            </w:r>
          </w:p>
        </w:tc>
        <w:tc>
          <w:tcPr>
            <w:tcW w:w="20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0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21" w:right="0"/>
              <w:jc w:val="left"/>
              <w:rPr>
                <w:rFonts w:ascii="宋体" w:hAnsi="宋体" w:cs="宋体" w:eastAsia="宋体" w:hint="default"/>
                <w:sz w:val="18"/>
                <w:szCs w:val="18"/>
              </w:rPr>
            </w:pPr>
            <w:r>
              <w:rPr>
                <w:rFonts w:ascii="宋体"/>
                <w:sz w:val="18"/>
              </w:rPr>
              <w:t>2,880,000</w:t>
            </w:r>
          </w:p>
        </w:tc>
      </w:tr>
      <w:tr>
        <w:trPr>
          <w:trHeight w:val="899" w:hRule="exact"/>
        </w:trPr>
        <w:tc>
          <w:tcPr>
            <w:tcW w:w="3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57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03" w:right="101"/>
              <w:jc w:val="both"/>
              <w:rPr>
                <w:rFonts w:ascii="宋体" w:hAnsi="宋体" w:cs="宋体" w:eastAsia="宋体" w:hint="default"/>
                <w:sz w:val="18"/>
                <w:szCs w:val="18"/>
              </w:rPr>
            </w:pPr>
            <w:r>
              <w:rPr>
                <w:rFonts w:ascii="宋体" w:hAnsi="宋体" w:cs="宋体" w:eastAsia="宋体" w:hint="default"/>
                <w:sz w:val="18"/>
                <w:szCs w:val="18"/>
              </w:rPr>
              <w:t>公司未知前十名股东之间、前十名无限售条件股东之间、前十名股东和 前十名无限售条件股东之间是否存在关联关系或是否属于《上市公司收 购管理办法》规定的一致行动人。</w:t>
            </w:r>
          </w:p>
        </w:tc>
      </w:tr>
    </w:tbl>
    <w:p>
      <w:pPr>
        <w:spacing w:after="0" w:line="285" w:lineRule="auto"/>
        <w:jc w:val="both"/>
        <w:rPr>
          <w:rFonts w:ascii="宋体" w:hAnsi="宋体" w:cs="宋体" w:eastAsia="宋体" w:hint="default"/>
          <w:sz w:val="18"/>
          <w:szCs w:val="18"/>
        </w:rPr>
        <w:sectPr>
          <w:type w:val="continuous"/>
          <w:pgSz w:w="11910" w:h="16840"/>
          <w:pgMar w:top="1120" w:bottom="1380" w:left="1460" w:right="920"/>
        </w:sectPr>
      </w:pPr>
    </w:p>
    <w:p>
      <w:pPr>
        <w:spacing w:line="240" w:lineRule="auto" w:before="4"/>
        <w:rPr>
          <w:rFonts w:ascii="宋体" w:hAnsi="宋体" w:cs="宋体" w:eastAsia="宋体" w:hint="default"/>
          <w:sz w:val="25"/>
          <w:szCs w:val="25"/>
        </w:rPr>
      </w:pPr>
    </w:p>
    <w:p>
      <w:pPr>
        <w:pStyle w:val="Heading3"/>
        <w:spacing w:line="240" w:lineRule="auto"/>
        <w:ind w:left="138" w:right="228"/>
        <w:jc w:val="left"/>
        <w:rPr>
          <w:b w:val="0"/>
          <w:bCs w:val="0"/>
        </w:rPr>
      </w:pPr>
      <w:r>
        <w:rPr/>
        <w:t>四、</w:t>
      </w:r>
      <w:r>
        <w:rPr>
          <w:spacing w:val="-82"/>
        </w:rPr>
        <w:t> </w:t>
      </w:r>
      <w:r>
        <w:rPr/>
        <w:t>控股股东及实际控制人情况</w:t>
      </w:r>
      <w:r>
        <w:rPr>
          <w:b w:val="0"/>
          <w:bCs w:val="0"/>
        </w:rPr>
      </w:r>
    </w:p>
    <w:p>
      <w:pPr>
        <w:pStyle w:val="Heading3"/>
        <w:spacing w:line="240" w:lineRule="auto" w:before="57"/>
        <w:ind w:left="138"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控股股东情况</w:t>
      </w:r>
      <w:r>
        <w:rPr>
          <w:b w:val="0"/>
          <w:bCs w:val="0"/>
        </w:rPr>
      </w:r>
    </w:p>
    <w:p>
      <w:pPr>
        <w:pStyle w:val="Heading3"/>
        <w:tabs>
          <w:tab w:pos="557" w:val="left" w:leader="none"/>
        </w:tabs>
        <w:spacing w:line="240" w:lineRule="auto" w:before="30"/>
        <w:ind w:left="138" w:right="228"/>
        <w:jc w:val="left"/>
        <w:rPr>
          <w:b w:val="0"/>
          <w:bCs w:val="0"/>
        </w:rPr>
      </w:pPr>
      <w:r>
        <w:rPr>
          <w:rFonts w:ascii="宋体" w:hAnsi="宋体" w:cs="宋体" w:eastAsia="宋体" w:hint="default"/>
          <w:w w:val="95"/>
        </w:rPr>
        <w:t>1</w:t>
        <w:tab/>
      </w:r>
      <w:r>
        <w:rPr/>
        <w:t>公司不存在控股股东情况的特别说明</w:t>
      </w:r>
      <w:r>
        <w:rPr>
          <w:b w:val="0"/>
          <w:bCs w:val="0"/>
        </w:rPr>
      </w:r>
    </w:p>
    <w:p>
      <w:pPr>
        <w:pStyle w:val="BodyText"/>
        <w:spacing w:line="357" w:lineRule="auto" w:before="118"/>
        <w:ind w:right="301" w:firstLine="480"/>
        <w:jc w:val="left"/>
      </w:pPr>
      <w:r>
        <w:rPr/>
        <w:t>报告期初至</w:t>
      </w:r>
      <w:r>
        <w:rPr>
          <w:spacing w:val="-61"/>
        </w:rPr>
        <w:t> </w:t>
      </w:r>
      <w:r>
        <w:rPr>
          <w:rFonts w:ascii="宋体" w:hAnsi="宋体" w:cs="宋体" w:eastAsia="宋体" w:hint="default"/>
        </w:rPr>
        <w:t>2014</w:t>
      </w:r>
      <w:r>
        <w:rPr>
          <w:rFonts w:ascii="宋体" w:hAnsi="宋体" w:cs="宋体" w:eastAsia="宋体" w:hint="default"/>
          <w:spacing w:val="-61"/>
        </w:rPr>
        <w:t> </w:t>
      </w:r>
      <w:r>
        <w:rPr/>
        <w:t>年</w:t>
      </w:r>
      <w:r>
        <w:rPr>
          <w:spacing w:val="-62"/>
        </w:rPr>
        <w:t> </w:t>
      </w:r>
      <w:r>
        <w:rPr>
          <w:rFonts w:ascii="宋体" w:hAnsi="宋体" w:cs="宋体" w:eastAsia="宋体" w:hint="default"/>
        </w:rPr>
        <w:t>8</w:t>
      </w:r>
      <w:r>
        <w:rPr>
          <w:rFonts w:ascii="宋体" w:hAnsi="宋体" w:cs="宋体" w:eastAsia="宋体" w:hint="default"/>
          <w:spacing w:val="-61"/>
        </w:rPr>
        <w:t> </w:t>
      </w:r>
      <w:r>
        <w:rPr/>
        <w:t>月</w:t>
      </w:r>
      <w:r>
        <w:rPr>
          <w:spacing w:val="-62"/>
        </w:rPr>
        <w:t> </w:t>
      </w:r>
      <w:r>
        <w:rPr>
          <w:rFonts w:ascii="宋体" w:hAnsi="宋体" w:cs="宋体" w:eastAsia="宋体" w:hint="default"/>
        </w:rPr>
        <w:t>18</w:t>
      </w:r>
      <w:r>
        <w:rPr>
          <w:rFonts w:ascii="宋体" w:hAnsi="宋体" w:cs="宋体" w:eastAsia="宋体" w:hint="default"/>
          <w:spacing w:val="-61"/>
        </w:rPr>
        <w:t> </w:t>
      </w:r>
      <w:r>
        <w:rPr/>
        <w:t>日广西北生集团有限责任公司股份被司法划转前，广西北生集团 有限责任公司持有上市公司</w:t>
      </w:r>
      <w:r>
        <w:rPr>
          <w:spacing w:val="-53"/>
        </w:rPr>
        <w:t> </w:t>
      </w:r>
      <w:r>
        <w:rPr>
          <w:rFonts w:ascii="宋体" w:hAnsi="宋体" w:cs="宋体" w:eastAsia="宋体" w:hint="default"/>
        </w:rPr>
        <w:t>7.097%</w:t>
      </w:r>
      <w:r>
        <w:rPr/>
        <w:t>的股份，为公司控股股东。</w:t>
      </w:r>
    </w:p>
    <w:p>
      <w:pPr>
        <w:pStyle w:val="BodyText"/>
        <w:spacing w:line="240" w:lineRule="auto" w:before="31"/>
        <w:ind w:left="558" w:right="228"/>
        <w:jc w:val="left"/>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8</w:t>
      </w:r>
      <w:r>
        <w:rPr>
          <w:rFonts w:ascii="宋体" w:hAnsi="宋体" w:cs="宋体" w:eastAsia="宋体" w:hint="default"/>
          <w:spacing w:val="-40"/>
        </w:rPr>
        <w:t> </w:t>
      </w:r>
      <w:r>
        <w:rPr/>
        <w:t>月</w:t>
      </w:r>
      <w:r>
        <w:rPr>
          <w:spacing w:val="-42"/>
        </w:rPr>
        <w:t> </w:t>
      </w:r>
      <w:r>
        <w:rPr>
          <w:rFonts w:ascii="宋体" w:hAnsi="宋体" w:cs="宋体" w:eastAsia="宋体" w:hint="default"/>
        </w:rPr>
        <w:t>18</w:t>
      </w:r>
      <w:r>
        <w:rPr>
          <w:rFonts w:ascii="宋体" w:hAnsi="宋体" w:cs="宋体" w:eastAsia="宋体" w:hint="default"/>
          <w:spacing w:val="-40"/>
        </w:rPr>
        <w:t> </w:t>
      </w:r>
      <w:r>
        <w:rPr/>
        <w:t>日，中国证券登记结算有限责任公司上海分公司根据广西壮族自治区北海市</w:t>
      </w:r>
    </w:p>
    <w:p>
      <w:pPr>
        <w:pStyle w:val="BodyText"/>
        <w:spacing w:line="240" w:lineRule="auto" w:before="133"/>
        <w:ind w:right="228"/>
        <w:jc w:val="left"/>
      </w:pPr>
      <w:r>
        <w:rPr/>
        <w:t>中级人民法院（</w:t>
      </w:r>
      <w:r>
        <w:rPr>
          <w:rFonts w:ascii="宋体" w:hAnsi="宋体" w:cs="宋体" w:eastAsia="宋体" w:hint="default"/>
        </w:rPr>
        <w:t>2010</w:t>
      </w:r>
      <w:r>
        <w:rPr/>
        <w:t>）北执一查字第</w:t>
      </w:r>
      <w:r>
        <w:rPr>
          <w:spacing w:val="-48"/>
        </w:rPr>
        <w:t> </w:t>
      </w:r>
      <w:r>
        <w:rPr>
          <w:rFonts w:ascii="宋体" w:hAnsi="宋体" w:cs="宋体" w:eastAsia="宋体" w:hint="default"/>
        </w:rPr>
        <w:t>28-21</w:t>
      </w:r>
      <w:r>
        <w:rPr>
          <w:rFonts w:ascii="宋体" w:hAnsi="宋体" w:cs="宋体" w:eastAsia="宋体" w:hint="default"/>
          <w:spacing w:val="-48"/>
        </w:rPr>
        <w:t> </w:t>
      </w:r>
      <w:r>
        <w:rPr/>
        <w:t>号《协助扣划通知书》的要求，将公司股东北生集团</w:t>
      </w:r>
    </w:p>
    <w:p>
      <w:pPr>
        <w:pStyle w:val="BodyText"/>
        <w:spacing w:line="357" w:lineRule="auto" w:before="133"/>
        <w:ind w:right="86"/>
        <w:jc w:val="left"/>
      </w:pPr>
      <w:r>
        <w:rPr/>
        <w:t>所持有的公司</w:t>
      </w:r>
      <w:r>
        <w:rPr>
          <w:spacing w:val="-46"/>
        </w:rPr>
        <w:t> </w:t>
      </w:r>
      <w:r>
        <w:rPr>
          <w:rFonts w:ascii="宋体" w:hAnsi="宋体" w:cs="宋体" w:eastAsia="宋体" w:hint="default"/>
        </w:rPr>
        <w:t>28,011,200</w:t>
      </w:r>
      <w:r>
        <w:rPr>
          <w:rFonts w:ascii="宋体" w:hAnsi="宋体" w:cs="宋体" w:eastAsia="宋体" w:hint="default"/>
          <w:spacing w:val="-46"/>
        </w:rPr>
        <w:t> </w:t>
      </w:r>
      <w:r>
        <w:rPr>
          <w:spacing w:val="-4"/>
        </w:rPr>
        <w:t>股无限售流通股划转至瑞尔德嘉，划转后，北生集团对公司已不具有实</w:t>
      </w:r>
      <w:r>
        <w:rPr>
          <w:spacing w:val="-90"/>
        </w:rPr>
        <w:t> </w:t>
      </w:r>
      <w:r>
        <w:rPr>
          <w:spacing w:val="-90"/>
        </w:rPr>
      </w:r>
      <w:r>
        <w:rPr>
          <w:spacing w:val="-3"/>
        </w:rPr>
        <w:t>际控制力，同时考虑到公司目前除北生集团外的其他前五大股东持股比例较为接近且均占比较小，</w:t>
      </w:r>
      <w:r>
        <w:rPr>
          <w:spacing w:val="-69"/>
        </w:rPr>
        <w:t> </w:t>
      </w:r>
      <w:r>
        <w:rPr>
          <w:spacing w:val="-69"/>
        </w:rPr>
      </w:r>
      <w:r>
        <w:rPr/>
        <w:t>均无法依其持有的股份对应之表决权而对公司经营决策产生重大影响，至此，公司自股份扣划之</w:t>
      </w:r>
      <w:r>
        <w:rPr>
          <w:spacing w:val="-96"/>
        </w:rPr>
        <w:t> </w:t>
      </w:r>
      <w:r>
        <w:rPr>
          <w:spacing w:val="-96"/>
        </w:rPr>
      </w:r>
      <w:r>
        <w:rPr/>
        <w:t>日起无控股股东。</w:t>
      </w:r>
    </w:p>
    <w:p>
      <w:pPr>
        <w:spacing w:line="240" w:lineRule="auto" w:before="8"/>
        <w:rPr>
          <w:rFonts w:ascii="宋体" w:hAnsi="宋体" w:cs="宋体" w:eastAsia="宋体" w:hint="default"/>
          <w:sz w:val="27"/>
          <w:szCs w:val="27"/>
        </w:rPr>
      </w:pPr>
    </w:p>
    <w:p>
      <w:pPr>
        <w:pStyle w:val="Heading3"/>
        <w:tabs>
          <w:tab w:pos="557" w:val="left" w:leader="none"/>
        </w:tabs>
        <w:spacing w:line="240" w:lineRule="auto" w:before="0"/>
        <w:ind w:left="138" w:right="228"/>
        <w:jc w:val="left"/>
        <w:rPr>
          <w:b w:val="0"/>
          <w:bCs w:val="0"/>
        </w:rPr>
      </w:pPr>
      <w:r>
        <w:rPr>
          <w:rFonts w:ascii="宋体" w:hAnsi="宋体" w:cs="宋体" w:eastAsia="宋体" w:hint="default"/>
          <w:w w:val="95"/>
        </w:rPr>
        <w:t>2</w:t>
        <w:tab/>
      </w:r>
      <w:r>
        <w:rPr/>
        <w:t>报告期内控股股东变更情况索引及日期</w:t>
      </w:r>
      <w:r>
        <w:rPr>
          <w:b w:val="0"/>
          <w:bCs w:val="0"/>
        </w:rPr>
      </w:r>
    </w:p>
    <w:p>
      <w:pPr>
        <w:pStyle w:val="BodyText"/>
        <w:spacing w:line="357" w:lineRule="auto" w:before="118"/>
        <w:ind w:right="92" w:firstLine="411"/>
        <w:jc w:val="left"/>
      </w:pPr>
      <w:r>
        <w:rPr/>
        <w:t>公司控股股东变更情况详见公司于</w:t>
      </w:r>
      <w:r>
        <w:rPr>
          <w:spacing w:val="-67"/>
        </w:rPr>
        <w:t> </w:t>
      </w:r>
      <w:r>
        <w:rPr>
          <w:rFonts w:ascii="宋体" w:hAnsi="宋体" w:cs="宋体" w:eastAsia="宋体" w:hint="default"/>
        </w:rPr>
        <w:t>2014</w:t>
      </w:r>
      <w:r>
        <w:rPr>
          <w:rFonts w:ascii="宋体" w:hAnsi="宋体" w:cs="宋体" w:eastAsia="宋体" w:hint="default"/>
          <w:spacing w:val="-66"/>
        </w:rPr>
        <w:t> </w:t>
      </w:r>
      <w:r>
        <w:rPr/>
        <w:t>年</w:t>
      </w:r>
      <w:r>
        <w:rPr>
          <w:spacing w:val="-68"/>
        </w:rPr>
        <w:t> </w:t>
      </w:r>
      <w:r>
        <w:rPr>
          <w:rFonts w:ascii="宋体" w:hAnsi="宋体" w:cs="宋体" w:eastAsia="宋体" w:hint="default"/>
        </w:rPr>
        <w:t>8</w:t>
      </w:r>
      <w:r>
        <w:rPr>
          <w:rFonts w:ascii="宋体" w:hAnsi="宋体" w:cs="宋体" w:eastAsia="宋体" w:hint="default"/>
          <w:spacing w:val="-66"/>
        </w:rPr>
        <w:t> </w:t>
      </w:r>
      <w:r>
        <w:rPr/>
        <w:t>月</w:t>
      </w:r>
      <w:r>
        <w:rPr>
          <w:spacing w:val="-67"/>
        </w:rPr>
        <w:t> </w:t>
      </w:r>
      <w:r>
        <w:rPr>
          <w:rFonts w:ascii="宋体" w:hAnsi="宋体" w:cs="宋体" w:eastAsia="宋体" w:hint="default"/>
          <w:spacing w:val="-1"/>
        </w:rPr>
        <w:t>16</w:t>
      </w:r>
      <w:r>
        <w:rPr>
          <w:rFonts w:ascii="宋体" w:hAnsi="宋体" w:cs="宋体" w:eastAsia="宋体" w:hint="default"/>
          <w:spacing w:val="-66"/>
        </w:rPr>
        <w:t> </w:t>
      </w:r>
      <w:r>
        <w:rPr>
          <w:spacing w:val="-4"/>
        </w:rPr>
        <w:t>日在上海证券交易所网站（</w:t>
      </w:r>
      <w:hyperlink r:id="rId9">
        <w:r>
          <w:rPr>
            <w:rFonts w:ascii="宋体" w:hAnsi="宋体" w:cs="宋体" w:eastAsia="宋体" w:hint="default"/>
            <w:spacing w:val="-4"/>
          </w:rPr>
          <w:t>www.sse.com.cn</w:t>
        </w:r>
      </w:hyperlink>
      <w:r>
        <w:rPr>
          <w:spacing w:val="-4"/>
        </w:rPr>
        <w:t>）</w:t>
      </w:r>
      <w:r>
        <w:rPr/>
        <w:t> 披露的如下公告：《关于法院执行裁定的公告》，公告编号：临</w:t>
      </w:r>
      <w:r>
        <w:rPr>
          <w:spacing w:val="-61"/>
        </w:rPr>
        <w:t> </w:t>
      </w:r>
      <w:r>
        <w:rPr>
          <w:rFonts w:ascii="宋体" w:hAnsi="宋体" w:cs="宋体" w:eastAsia="宋体" w:hint="default"/>
        </w:rPr>
        <w:t>2014-050</w:t>
      </w:r>
      <w:r>
        <w:rPr/>
        <w:t>；《关于公司实际控制 人变更的提示性公告》，公告编号：临</w:t>
      </w:r>
      <w:r>
        <w:rPr>
          <w:spacing w:val="-54"/>
        </w:rPr>
        <w:t> </w:t>
      </w:r>
      <w:r>
        <w:rPr>
          <w:rFonts w:ascii="宋体" w:hAnsi="宋体" w:cs="宋体" w:eastAsia="宋体" w:hint="default"/>
        </w:rPr>
        <w:t>2014</w:t>
      </w:r>
      <w:r>
        <w:rPr/>
        <w:t>—</w:t>
      </w:r>
      <w:r>
        <w:rPr>
          <w:rFonts w:ascii="宋体" w:hAnsi="宋体" w:cs="宋体" w:eastAsia="宋体" w:hint="default"/>
        </w:rPr>
        <w:t>051</w:t>
      </w:r>
      <w:r>
        <w:rPr/>
        <w:t>。</w:t>
      </w:r>
    </w:p>
    <w:p>
      <w:pPr>
        <w:spacing w:line="240" w:lineRule="auto" w:before="8"/>
        <w:rPr>
          <w:rFonts w:ascii="宋体" w:hAnsi="宋体" w:cs="宋体" w:eastAsia="宋体" w:hint="default"/>
          <w:sz w:val="27"/>
          <w:szCs w:val="27"/>
        </w:rPr>
      </w:pPr>
    </w:p>
    <w:p>
      <w:pPr>
        <w:pStyle w:val="Heading3"/>
        <w:spacing w:line="240" w:lineRule="auto" w:before="0"/>
        <w:ind w:left="138"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实际控制人情况</w:t>
      </w:r>
      <w:r>
        <w:rPr>
          <w:b w:val="0"/>
          <w:bCs w:val="0"/>
        </w:rPr>
      </w:r>
    </w:p>
    <w:p>
      <w:pPr>
        <w:tabs>
          <w:tab w:pos="562" w:val="left" w:leader="none"/>
        </w:tabs>
        <w:spacing w:line="343" w:lineRule="auto" w:before="31"/>
        <w:ind w:left="618" w:right="312" w:hanging="48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公司不存在实际控制人情况的特别说明</w:t>
      </w:r>
      <w:r>
        <w:rPr>
          <w:rFonts w:ascii="宋体" w:hAnsi="宋体" w:cs="宋体" w:eastAsia="宋体" w:hint="default"/>
          <w:b/>
          <w:bCs/>
          <w:w w:val="99"/>
          <w:sz w:val="21"/>
          <w:szCs w:val="21"/>
        </w:rPr>
        <w:t> </w:t>
      </w:r>
      <w:r>
        <w:rPr>
          <w:rFonts w:ascii="宋体" w:hAnsi="宋体" w:cs="宋体" w:eastAsia="宋体" w:hint="default"/>
          <w:spacing w:val="-2"/>
          <w:sz w:val="21"/>
          <w:szCs w:val="21"/>
        </w:rPr>
        <w:t>公司原董事长何玉良先生逝世前是公司的实际控制人，持有广西北海汇金贸易有限责任公司</w:t>
      </w:r>
    </w:p>
    <w:p>
      <w:pPr>
        <w:pStyle w:val="BodyText"/>
        <w:spacing w:line="240" w:lineRule="auto" w:before="44"/>
        <w:ind w:right="228"/>
        <w:jc w:val="left"/>
      </w:pPr>
      <w:r>
        <w:rPr>
          <w:rFonts w:ascii="宋体" w:hAnsi="宋体" w:cs="宋体" w:eastAsia="宋体" w:hint="default"/>
          <w:spacing w:val="-3"/>
        </w:rPr>
        <w:t>53.75%</w:t>
      </w:r>
      <w:r>
        <w:rPr>
          <w:spacing w:val="-3"/>
        </w:rPr>
        <w:t>的股份（其余 </w:t>
      </w:r>
      <w:r>
        <w:rPr>
          <w:rFonts w:ascii="宋体" w:hAnsi="宋体" w:cs="宋体" w:eastAsia="宋体" w:hint="default"/>
          <w:spacing w:val="-3"/>
        </w:rPr>
        <w:t>46.25%</w:t>
      </w:r>
      <w:r>
        <w:rPr>
          <w:spacing w:val="-3"/>
        </w:rPr>
        <w:t>股份由何京云持有），并通过北海汇金间接持有北生集团</w:t>
      </w:r>
      <w:r>
        <w:rPr>
          <w:spacing w:val="-69"/>
        </w:rPr>
        <w:t> </w:t>
      </w:r>
      <w:r>
        <w:rPr>
          <w:rFonts w:ascii="宋体" w:hAnsi="宋体" w:cs="宋体" w:eastAsia="宋体" w:hint="default"/>
        </w:rPr>
        <w:t>38.34%</w:t>
      </w:r>
      <w:r>
        <w:rPr/>
        <w:t>股份</w:t>
      </w:r>
    </w:p>
    <w:p>
      <w:pPr>
        <w:pStyle w:val="BodyText"/>
        <w:spacing w:line="357" w:lineRule="auto" w:before="133"/>
        <w:ind w:right="311"/>
        <w:jc w:val="both"/>
      </w:pPr>
      <w:r>
        <w:rPr/>
        <w:t>（何玉良直接持有北生集团</w:t>
      </w:r>
      <w:r>
        <w:rPr>
          <w:spacing w:val="-64"/>
        </w:rPr>
        <w:t> </w:t>
      </w:r>
      <w:r>
        <w:rPr>
          <w:rFonts w:ascii="宋体" w:hAnsi="宋体" w:cs="宋体" w:eastAsia="宋体" w:hint="default"/>
        </w:rPr>
        <w:t>35.33%</w:t>
      </w:r>
      <w:r>
        <w:rPr/>
        <w:t>股份，陈巧仙持有北生集团</w:t>
      </w:r>
      <w:r>
        <w:rPr>
          <w:spacing w:val="-64"/>
        </w:rPr>
        <w:t> </w:t>
      </w:r>
      <w:r>
        <w:rPr>
          <w:rFonts w:ascii="宋体" w:hAnsi="宋体" w:cs="宋体" w:eastAsia="宋体" w:hint="default"/>
          <w:spacing w:val="-4"/>
        </w:rPr>
        <w:t>26.33%</w:t>
      </w:r>
      <w:r>
        <w:rPr>
          <w:spacing w:val="-4"/>
        </w:rPr>
        <w:t>股份），间接持有上市公司</w:t>
      </w:r>
      <w:r>
        <w:rPr/>
        <w:t> </w:t>
      </w:r>
      <w:r>
        <w:rPr>
          <w:rFonts w:ascii="宋体" w:hAnsi="宋体" w:cs="宋体" w:eastAsia="宋体" w:hint="default"/>
        </w:rPr>
        <w:t>28,016,800</w:t>
      </w:r>
      <w:r>
        <w:rPr>
          <w:rFonts w:ascii="宋体" w:hAnsi="宋体" w:cs="宋体" w:eastAsia="宋体" w:hint="default"/>
          <w:spacing w:val="-88"/>
        </w:rPr>
        <w:t> </w:t>
      </w:r>
      <w:r>
        <w:rPr/>
        <w:t>股股份，是公司第二大股东。在相关遗产继承法律手续办理完毕前公司实际控制人为 何玉良的妻子陈巧仙女士、女儿何京云女士。</w:t>
      </w:r>
    </w:p>
    <w:p>
      <w:pPr>
        <w:pStyle w:val="BodyText"/>
        <w:spacing w:line="357" w:lineRule="auto" w:before="30"/>
        <w:ind w:right="312" w:firstLine="420"/>
        <w:jc w:val="both"/>
      </w:pPr>
      <w:r>
        <w:rPr>
          <w:rFonts w:ascii="宋体" w:hAnsi="宋体" w:cs="宋体" w:eastAsia="宋体" w:hint="default"/>
          <w:spacing w:val="-3"/>
        </w:rPr>
        <w:t>2014</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18</w:t>
      </w:r>
      <w:r>
        <w:rPr>
          <w:spacing w:val="-3"/>
        </w:rPr>
        <w:t>日，中国证券登记结算有限责任公司上海分公司根据广西壮族自治区北海市中级</w:t>
      </w:r>
      <w:r>
        <w:rPr/>
        <w:t> </w:t>
      </w:r>
      <w:r>
        <w:rPr>
          <w:spacing w:val="-3"/>
        </w:rPr>
        <w:t>人民法院（</w:t>
      </w:r>
      <w:r>
        <w:rPr>
          <w:rFonts w:ascii="宋体" w:hAnsi="宋体" w:cs="宋体" w:eastAsia="宋体" w:hint="default"/>
          <w:spacing w:val="-3"/>
        </w:rPr>
        <w:t>2010</w:t>
      </w:r>
      <w:r>
        <w:rPr>
          <w:spacing w:val="-3"/>
        </w:rPr>
        <w:t>）北执一查字第</w:t>
      </w:r>
      <w:r>
        <w:rPr>
          <w:rFonts w:ascii="宋体" w:hAnsi="宋体" w:cs="宋体" w:eastAsia="宋体" w:hint="default"/>
          <w:spacing w:val="-3"/>
        </w:rPr>
        <w:t>28-21</w:t>
      </w:r>
      <w:r>
        <w:rPr>
          <w:spacing w:val="-3"/>
        </w:rPr>
        <w:t>号《协助扣划通知书》的要求，将公司股东北生集团所持有</w:t>
      </w:r>
      <w:r>
        <w:rPr>
          <w:spacing w:val="-64"/>
        </w:rPr>
        <w:t> </w:t>
      </w:r>
      <w:r>
        <w:rPr>
          <w:spacing w:val="-64"/>
        </w:rPr>
      </w:r>
      <w:r>
        <w:rPr/>
        <w:t>的公司</w:t>
      </w:r>
      <w:r>
        <w:rPr>
          <w:rFonts w:ascii="宋体" w:hAnsi="宋体" w:cs="宋体" w:eastAsia="宋体" w:hint="default"/>
        </w:rPr>
        <w:t>28,011,200</w:t>
      </w:r>
      <w:r>
        <w:rPr/>
        <w:t>股无限售流通股划转至瑞尔德嘉，划转后，北生集团对公司已不具有实际控制 力，同时考虑到公司目前除北生集团外的其他前五大股东持股比例较为接近且均占比较小，均无 法依其持有的股份对应之表决权而对公司经营决策产生重大影响，至此，公司自股份扣划之日起 无实际控制人。</w:t>
      </w:r>
    </w:p>
    <w:p>
      <w:pPr>
        <w:spacing w:line="240" w:lineRule="auto" w:before="9"/>
        <w:rPr>
          <w:rFonts w:ascii="宋体" w:hAnsi="宋体" w:cs="宋体" w:eastAsia="宋体" w:hint="default"/>
          <w:sz w:val="27"/>
          <w:szCs w:val="27"/>
        </w:rPr>
      </w:pPr>
    </w:p>
    <w:p>
      <w:pPr>
        <w:pStyle w:val="Heading3"/>
        <w:tabs>
          <w:tab w:pos="562" w:val="left" w:leader="none"/>
        </w:tabs>
        <w:spacing w:line="240" w:lineRule="auto" w:before="0"/>
        <w:ind w:left="138" w:right="228"/>
        <w:jc w:val="left"/>
        <w:rPr>
          <w:b w:val="0"/>
          <w:bCs w:val="0"/>
        </w:rPr>
      </w:pPr>
      <w:r>
        <w:rPr>
          <w:rFonts w:ascii="宋体" w:hAnsi="宋体" w:cs="宋体" w:eastAsia="宋体" w:hint="default"/>
          <w:w w:val="95"/>
        </w:rPr>
        <w:t>2</w:t>
        <w:tab/>
      </w:r>
      <w:r>
        <w:rPr/>
        <w:t>报告期内实际控制人变更情况索引及日期</w:t>
      </w:r>
      <w:r>
        <w:rPr>
          <w:b w:val="0"/>
          <w:bCs w:val="0"/>
        </w:rPr>
      </w:r>
    </w:p>
    <w:p>
      <w:pPr>
        <w:pStyle w:val="BodyText"/>
        <w:spacing w:line="240" w:lineRule="auto" w:before="119"/>
        <w:ind w:left="558" w:right="228"/>
        <w:jc w:val="left"/>
      </w:pPr>
      <w:r>
        <w:rPr/>
        <w:t>公司实际控制人变更情况详见公司于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日在上海证券交易所网站</w:t>
      </w:r>
    </w:p>
    <w:p>
      <w:pPr>
        <w:pStyle w:val="BodyText"/>
        <w:spacing w:line="240" w:lineRule="auto" w:before="133"/>
        <w:ind w:right="86"/>
        <w:jc w:val="left"/>
      </w:pPr>
      <w:r>
        <w:rPr/>
        <w:t>（</w:t>
      </w:r>
      <w:hyperlink r:id="rId9">
        <w:r>
          <w:rPr>
            <w:rFonts w:ascii="宋体" w:hAnsi="宋体" w:cs="宋体" w:eastAsia="宋体" w:hint="default"/>
          </w:rPr>
          <w:t>www.sse.com.cn</w:t>
        </w:r>
      </w:hyperlink>
      <w:r>
        <w:rPr/>
        <w:t>）披露的如下公告：《关于法院执行裁定的公告》，公告编号：临</w:t>
      </w:r>
      <w:r>
        <w:rPr>
          <w:spacing w:val="1"/>
        </w:rPr>
        <w:t> </w:t>
      </w:r>
      <w:r>
        <w:rPr>
          <w:rFonts w:ascii="宋体" w:hAnsi="宋体" w:cs="宋体" w:eastAsia="宋体" w:hint="default"/>
        </w:rPr>
        <w:t>2014-050</w:t>
      </w:r>
      <w:r>
        <w:rPr/>
        <w:t>；</w:t>
      </w:r>
    </w:p>
    <w:p>
      <w:pPr>
        <w:pStyle w:val="BodyText"/>
        <w:spacing w:line="240" w:lineRule="auto" w:before="134"/>
        <w:ind w:right="228"/>
        <w:jc w:val="left"/>
      </w:pPr>
      <w:r>
        <w:rPr/>
        <w:t>《关于公司实际控制人变更的提示性公告》，公告编号：临</w:t>
      </w:r>
      <w:r>
        <w:rPr>
          <w:spacing w:val="-55"/>
        </w:rPr>
        <w:t> </w:t>
      </w:r>
      <w:r>
        <w:rPr>
          <w:rFonts w:ascii="宋体" w:hAnsi="宋体" w:cs="宋体" w:eastAsia="宋体" w:hint="default"/>
        </w:rPr>
        <w:t>2014</w:t>
      </w:r>
      <w:r>
        <w:rPr/>
        <w:t>—</w:t>
      </w:r>
      <w:r>
        <w:rPr>
          <w:rFonts w:ascii="宋体" w:hAnsi="宋体" w:cs="宋体" w:eastAsia="宋体" w:hint="default"/>
        </w:rPr>
        <w:t>051</w:t>
      </w:r>
      <w:r>
        <w:rPr/>
        <w:t>。</w:t>
      </w:r>
    </w:p>
    <w:p>
      <w:pPr>
        <w:spacing w:after="0" w:line="240" w:lineRule="auto"/>
        <w:jc w:val="left"/>
        <w:sectPr>
          <w:pgSz w:w="11910" w:h="16840"/>
          <w:pgMar w:header="0" w:footer="1194" w:top="1120" w:bottom="1380" w:left="16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138" w:right="0"/>
        <w:jc w:val="both"/>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5"/>
        </w:rPr>
        <w:t> </w:t>
      </w:r>
      <w:r>
        <w:rPr/>
        <w:t>控股股东及实际控制人其他情况介绍</w:t>
      </w:r>
      <w:r>
        <w:rPr>
          <w:b w:val="0"/>
          <w:bCs w:val="0"/>
        </w:rPr>
      </w:r>
    </w:p>
    <w:p>
      <w:pPr>
        <w:pStyle w:val="BodyText"/>
        <w:spacing w:line="240" w:lineRule="auto" w:before="92"/>
        <w:ind w:left="558" w:right="0"/>
        <w:jc w:val="left"/>
        <w:rPr>
          <w:rFonts w:ascii="宋体" w:hAnsi="宋体" w:cs="宋体" w:eastAsia="宋体" w:hint="default"/>
        </w:rPr>
      </w:pPr>
      <w:r>
        <w:rPr/>
        <w:t>公司于</w:t>
      </w:r>
      <w:r>
        <w:rPr>
          <w:spacing w:val="-49"/>
        </w:rPr>
        <w:t> </w:t>
      </w:r>
      <w:r>
        <w:rPr>
          <w:rFonts w:ascii="宋体" w:hAnsi="宋体" w:cs="宋体" w:eastAsia="宋体" w:hint="default"/>
        </w:rPr>
        <w:t>2014</w:t>
      </w:r>
      <w:r>
        <w:rPr>
          <w:rFonts w:ascii="宋体" w:hAnsi="宋体" w:cs="宋体" w:eastAsia="宋体" w:hint="default"/>
          <w:spacing w:val="-51"/>
        </w:rPr>
        <w:t> </w:t>
      </w: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1"/>
        </w:rPr>
        <w:t> </w:t>
      </w:r>
      <w:r>
        <w:rPr>
          <w:rFonts w:ascii="宋体" w:hAnsi="宋体" w:cs="宋体" w:eastAsia="宋体" w:hint="default"/>
        </w:rPr>
        <w:t>1</w:t>
      </w:r>
      <w:r>
        <w:rPr>
          <w:rFonts w:ascii="宋体" w:hAnsi="宋体" w:cs="宋体" w:eastAsia="宋体" w:hint="default"/>
          <w:spacing w:val="-48"/>
        </w:rPr>
        <w:t> </w:t>
      </w:r>
      <w:r>
        <w:rPr>
          <w:spacing w:val="-6"/>
        </w:rPr>
        <w:t>日披露《关于筹划非公开发行股票事项并继续停牌的公告》，并于</w:t>
      </w:r>
      <w:r>
        <w:rPr>
          <w:spacing w:val="-49"/>
        </w:rPr>
        <w:t> </w:t>
      </w:r>
      <w:r>
        <w:rPr>
          <w:rFonts w:ascii="宋体" w:hAnsi="宋体" w:cs="宋体" w:eastAsia="宋体" w:hint="default"/>
        </w:rPr>
        <w:t>2014</w:t>
      </w:r>
    </w:p>
    <w:p>
      <w:pPr>
        <w:pStyle w:val="BodyText"/>
        <w:spacing w:line="357" w:lineRule="auto" w:before="133"/>
        <w:ind w:right="132"/>
        <w:jc w:val="both"/>
      </w:pPr>
      <w:r>
        <w:rPr/>
        <w:t>年</w:t>
      </w:r>
      <w:r>
        <w:rPr>
          <w:spacing w:val="-49"/>
        </w:rPr>
        <w:t> </w:t>
      </w:r>
      <w:r>
        <w:rPr>
          <w:rFonts w:ascii="宋体" w:hAnsi="宋体" w:cs="宋体" w:eastAsia="宋体" w:hint="default"/>
        </w:rPr>
        <w:t>7</w:t>
      </w:r>
      <w:r>
        <w:rPr>
          <w:rFonts w:ascii="宋体" w:hAnsi="宋体" w:cs="宋体" w:eastAsia="宋体" w:hint="default"/>
          <w:spacing w:val="-48"/>
        </w:rPr>
        <w:t> </w:t>
      </w:r>
      <w:r>
        <w:rPr/>
        <w:t>月</w:t>
      </w:r>
      <w:r>
        <w:rPr>
          <w:spacing w:val="-50"/>
        </w:rPr>
        <w:t> </w:t>
      </w:r>
      <w:r>
        <w:rPr>
          <w:rFonts w:ascii="宋体" w:hAnsi="宋体" w:cs="宋体" w:eastAsia="宋体" w:hint="default"/>
        </w:rPr>
        <w:t>29</w:t>
      </w:r>
      <w:r>
        <w:rPr>
          <w:rFonts w:ascii="宋体" w:hAnsi="宋体" w:cs="宋体" w:eastAsia="宋体" w:hint="default"/>
          <w:spacing w:val="-48"/>
        </w:rPr>
        <w:t> </w:t>
      </w:r>
      <w:r>
        <w:rPr>
          <w:spacing w:val="-3"/>
        </w:rPr>
        <w:t>日披露《非公开发行股票预案》。公司基于对发展智慧城市业务的可行性论证，拟筹划</w:t>
      </w:r>
      <w:r>
        <w:rPr/>
        <w:t> 通过向顾国平等九名特定对象非公开发行股票方式募集资金以发展智慧城市为主的经营业务。本 次非公开发行募集资金总额（含发行费用）不超过</w:t>
      </w:r>
      <w:r>
        <w:rPr>
          <w:spacing w:val="-53"/>
        </w:rPr>
        <w:t> </w:t>
      </w:r>
      <w:r>
        <w:rPr>
          <w:rFonts w:ascii="宋体" w:hAnsi="宋体" w:cs="宋体" w:eastAsia="宋体" w:hint="default"/>
        </w:rPr>
        <w:t>235,000</w:t>
      </w:r>
      <w:r>
        <w:rPr>
          <w:rFonts w:ascii="宋体" w:hAnsi="宋体" w:cs="宋体" w:eastAsia="宋体" w:hint="default"/>
          <w:spacing w:val="-53"/>
        </w:rPr>
        <w:t> </w:t>
      </w:r>
      <w:r>
        <w:rPr/>
        <w:t>万元（含</w:t>
      </w:r>
      <w:r>
        <w:rPr>
          <w:spacing w:val="-54"/>
        </w:rPr>
        <w:t> </w:t>
      </w:r>
      <w:r>
        <w:rPr>
          <w:rFonts w:ascii="宋体" w:hAnsi="宋体" w:cs="宋体" w:eastAsia="宋体" w:hint="default"/>
        </w:rPr>
        <w:t>235,000</w:t>
      </w:r>
      <w:r>
        <w:rPr>
          <w:rFonts w:ascii="宋体" w:hAnsi="宋体" w:cs="宋体" w:eastAsia="宋体" w:hint="default"/>
          <w:spacing w:val="-53"/>
        </w:rPr>
        <w:t> </w:t>
      </w:r>
      <w:r>
        <w:rPr/>
        <w:t>万元），扣除发行</w:t>
      </w:r>
    </w:p>
    <w:p>
      <w:pPr>
        <w:pStyle w:val="BodyText"/>
        <w:spacing w:line="357" w:lineRule="auto" w:before="30"/>
        <w:ind w:right="146"/>
        <w:jc w:val="both"/>
      </w:pPr>
      <w:r>
        <w:rPr/>
        <w:t>费用后的募集资金净额拟投入</w:t>
      </w:r>
      <w:r>
        <w:rPr>
          <w:spacing w:val="-54"/>
        </w:rPr>
        <w:t> </w:t>
      </w:r>
      <w:r>
        <w:rPr>
          <w:rFonts w:ascii="宋体" w:hAnsi="宋体" w:cs="宋体" w:eastAsia="宋体" w:hint="default"/>
        </w:rPr>
        <w:t>24,123.39</w:t>
      </w:r>
      <w:r>
        <w:rPr>
          <w:rFonts w:ascii="宋体" w:hAnsi="宋体" w:cs="宋体" w:eastAsia="宋体" w:hint="default"/>
          <w:spacing w:val="-53"/>
        </w:rPr>
        <w:t> </w:t>
      </w:r>
      <w:r>
        <w:rPr/>
        <w:t>万元用于智慧城市研发与运营中心项目，剩余资金用于 补充智慧城市业务的营运资金，支持公司战略转型。</w:t>
      </w:r>
    </w:p>
    <w:p>
      <w:pPr>
        <w:pStyle w:val="BodyText"/>
        <w:spacing w:line="240" w:lineRule="auto" w:before="30"/>
        <w:ind w:left="558" w:right="0"/>
        <w:jc w:val="left"/>
        <w:rPr>
          <w:rFonts w:ascii="宋体" w:hAnsi="宋体" w:cs="宋体" w:eastAsia="宋体" w:hint="default"/>
        </w:rPr>
      </w:pPr>
      <w:r>
        <w:rPr>
          <w:spacing w:val="-2"/>
        </w:rPr>
        <w:t>如公司本次非公开发行能够顺利实施，顾国平及其一致行动人将通过非公开认购公司</w:t>
      </w:r>
      <w:r>
        <w:rPr>
          <w:spacing w:val="-19"/>
        </w:rPr>
        <w:t> </w:t>
      </w:r>
      <w:r>
        <w:rPr>
          <w:rFonts w:ascii="宋体" w:hAnsi="宋体" w:cs="宋体" w:eastAsia="宋体" w:hint="default"/>
        </w:rPr>
        <w:t>28.17%</w:t>
      </w:r>
    </w:p>
    <w:p>
      <w:pPr>
        <w:pStyle w:val="BodyText"/>
        <w:spacing w:line="240" w:lineRule="auto" w:before="134"/>
        <w:ind w:right="0"/>
        <w:jc w:val="both"/>
      </w:pPr>
      <w:r>
        <w:rPr>
          <w:spacing w:val="-4"/>
        </w:rPr>
        <w:t>的股份，顾国平将成为公司控股股东及实际控制人。公司关于</w:t>
      </w:r>
      <w:r>
        <w:rPr>
          <w:spacing w:val="-47"/>
        </w:rPr>
        <w:t> </w:t>
      </w:r>
      <w:r>
        <w:rPr>
          <w:rFonts w:ascii="宋体" w:hAnsi="宋体" w:cs="宋体" w:eastAsia="宋体" w:hint="default"/>
        </w:rPr>
        <w:t>2014</w:t>
      </w:r>
      <w:r>
        <w:rPr>
          <w:rFonts w:ascii="宋体" w:hAnsi="宋体" w:cs="宋体" w:eastAsia="宋体" w:hint="default"/>
          <w:spacing w:val="-47"/>
        </w:rPr>
        <w:t> </w:t>
      </w:r>
      <w:r>
        <w:rPr/>
        <w:t>年非公开发行将导致实际控制</w:t>
      </w:r>
    </w:p>
    <w:p>
      <w:pPr>
        <w:pStyle w:val="BodyText"/>
        <w:spacing w:line="240" w:lineRule="auto" w:before="133"/>
        <w:ind w:right="0"/>
        <w:jc w:val="both"/>
      </w:pPr>
      <w:r>
        <w:rPr/>
        <w:t>人变更的提示性公告详见公司于</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29</w:t>
      </w:r>
      <w:r>
        <w:rPr>
          <w:rFonts w:ascii="宋体" w:hAnsi="宋体" w:cs="宋体" w:eastAsia="宋体" w:hint="default"/>
          <w:spacing w:val="-53"/>
        </w:rPr>
        <w:t> </w:t>
      </w:r>
      <w:r>
        <w:rPr/>
        <w:t>日在上海证券交易所网站（</w:t>
      </w:r>
      <w:hyperlink r:id="rId9">
        <w:r>
          <w:rPr>
            <w:rFonts w:ascii="宋体" w:hAnsi="宋体" w:cs="宋体" w:eastAsia="宋体" w:hint="default"/>
          </w:rPr>
          <w:t>www.sse.com.cn</w:t>
        </w:r>
      </w:hyperlink>
      <w:r>
        <w:rPr/>
        <w:t>）披</w:t>
      </w:r>
    </w:p>
    <w:p>
      <w:pPr>
        <w:pStyle w:val="BodyText"/>
        <w:spacing w:line="355" w:lineRule="auto" w:before="134"/>
        <w:ind w:right="133"/>
        <w:jc w:val="both"/>
      </w:pPr>
      <w:r>
        <w:rPr>
          <w:spacing w:val="-21"/>
        </w:rPr>
        <w:t>露的如下公告：《关于</w:t>
      </w:r>
      <w:r>
        <w:rPr>
          <w:spacing w:val="-40"/>
        </w:rPr>
        <w:t> </w:t>
      </w:r>
      <w:r>
        <w:rPr>
          <w:rFonts w:ascii="宋体" w:hAnsi="宋体" w:cs="宋体" w:eastAsia="宋体" w:hint="default"/>
        </w:rPr>
        <w:t>2014</w:t>
      </w:r>
      <w:r>
        <w:rPr>
          <w:rFonts w:ascii="宋体" w:hAnsi="宋体" w:cs="宋体" w:eastAsia="宋体" w:hint="default"/>
          <w:spacing w:val="-40"/>
        </w:rPr>
        <w:t> </w:t>
      </w:r>
      <w:r>
        <w:rPr>
          <w:spacing w:val="-4"/>
        </w:rPr>
        <w:t>年非公开发行将导致实际控制人变更及股东权益变动的提示性公告》，</w:t>
      </w:r>
      <w:r>
        <w:rPr>
          <w:spacing w:val="-103"/>
        </w:rPr>
        <w:t> </w:t>
      </w:r>
      <w:r>
        <w:rPr>
          <w:spacing w:val="-103"/>
        </w:rPr>
      </w:r>
      <w:r>
        <w:rPr/>
        <w:t>公告编号：临</w:t>
      </w:r>
      <w:r>
        <w:rPr>
          <w:spacing w:val="-55"/>
        </w:rPr>
        <w:t> </w:t>
      </w:r>
      <w:r>
        <w:rPr>
          <w:rFonts w:ascii="宋体" w:hAnsi="宋体" w:cs="宋体" w:eastAsia="宋体" w:hint="default"/>
        </w:rPr>
        <w:t>2014-038</w:t>
      </w:r>
      <w:r>
        <w:rPr/>
        <w:t>。</w:t>
      </w:r>
    </w:p>
    <w:p>
      <w:pPr>
        <w:spacing w:line="240" w:lineRule="auto" w:before="10"/>
        <w:rPr>
          <w:rFonts w:ascii="宋体" w:hAnsi="宋体" w:cs="宋体" w:eastAsia="宋体" w:hint="default"/>
          <w:sz w:val="27"/>
          <w:szCs w:val="27"/>
        </w:rPr>
      </w:pPr>
    </w:p>
    <w:p>
      <w:pPr>
        <w:spacing w:line="343" w:lineRule="auto" w:before="0"/>
        <w:ind w:left="138" w:right="3698"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9"/>
          <w:sz w:val="21"/>
          <w:szCs w:val="21"/>
        </w:rPr>
        <w:t> </w:t>
      </w:r>
      <w:r>
        <w:rPr>
          <w:rFonts w:ascii="宋体" w:hAnsi="宋体" w:cs="宋体" w:eastAsia="宋体" w:hint="default"/>
          <w:b/>
          <w:bCs/>
          <w:sz w:val="21"/>
          <w:szCs w:val="21"/>
        </w:rPr>
        <w:t>其他持股在百分之十以上的法人股东</w:t>
      </w:r>
      <w:r>
        <w:rPr>
          <w:rFonts w:ascii="宋体" w:hAnsi="宋体" w:cs="宋体" w:eastAsia="宋体" w:hint="default"/>
          <w:b/>
          <w:bCs/>
          <w:w w:val="99"/>
          <w:sz w:val="21"/>
          <w:szCs w:val="21"/>
        </w:rPr>
        <w:t> </w:t>
      </w:r>
      <w:r>
        <w:rPr>
          <w:rFonts w:ascii="宋体" w:hAnsi="宋体" w:cs="宋体" w:eastAsia="宋体" w:hint="default"/>
          <w:sz w:val="21"/>
          <w:szCs w:val="21"/>
        </w:rPr>
        <w:t>截至报告期末，公司无持股在百分之十以上的法人股东。</w:t>
      </w:r>
    </w:p>
    <w:p>
      <w:pPr>
        <w:spacing w:after="0" w:line="343" w:lineRule="auto"/>
        <w:jc w:val="left"/>
        <w:rPr>
          <w:rFonts w:ascii="宋体" w:hAnsi="宋体" w:cs="宋体" w:eastAsia="宋体" w:hint="default"/>
          <w:sz w:val="21"/>
          <w:szCs w:val="21"/>
        </w:rPr>
        <w:sectPr>
          <w:pgSz w:w="11910" w:h="16840"/>
          <w:pgMar w:header="0"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p>
      <w:pPr>
        <w:pStyle w:val="Heading1"/>
        <w:tabs>
          <w:tab w:pos="5397" w:val="left" w:leader="none"/>
        </w:tabs>
        <w:spacing w:line="240" w:lineRule="auto"/>
        <w:ind w:left="4137" w:right="0"/>
        <w:jc w:val="left"/>
        <w:rPr>
          <w:b w:val="0"/>
          <w:bCs w:val="0"/>
        </w:rPr>
      </w:pPr>
      <w:bookmarkStart w:name="_TOC_250004" w:id="7"/>
      <w:r>
        <w:rPr>
          <w:w w:val="95"/>
        </w:rPr>
        <w:t>第七节</w:t>
        <w:tab/>
      </w:r>
      <w:r>
        <w:rPr/>
        <w:t>董事、监事、高级管理人员和员工情况</w:t>
      </w:r>
      <w:bookmarkEnd w:id="7"/>
      <w:r>
        <w:rPr>
          <w:b w:val="0"/>
          <w:bCs w:val="0"/>
        </w:rPr>
      </w:r>
    </w:p>
    <w:p>
      <w:pPr>
        <w:spacing w:line="240" w:lineRule="auto" w:before="4"/>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6"/>
          <w:footerReference w:type="default" r:id="rId27"/>
          <w:pgSz w:w="16840" w:h="11910" w:orient="landscape"/>
          <w:pgMar w:header="882" w:footer="1194" w:top="1120" w:bottom="1380" w:left="1220" w:right="1280"/>
          <w:pgNumType w:start="40"/>
        </w:sectPr>
      </w:pPr>
    </w:p>
    <w:p>
      <w:pPr>
        <w:pStyle w:val="Heading3"/>
        <w:spacing w:line="240" w:lineRule="auto"/>
        <w:ind w:left="220" w:right="-17"/>
        <w:jc w:val="left"/>
        <w:rPr>
          <w:b w:val="0"/>
          <w:bCs w:val="0"/>
        </w:rPr>
      </w:pPr>
      <w:r>
        <w:rPr/>
        <w:t>一、持股变动情况及报酬情况</w:t>
      </w:r>
      <w:r>
        <w:rPr>
          <w:b w:val="0"/>
          <w:bCs w:val="0"/>
        </w:rPr>
      </w:r>
    </w:p>
    <w:p>
      <w:pPr>
        <w:pStyle w:val="Heading3"/>
        <w:spacing w:line="240" w:lineRule="auto" w:before="57"/>
        <w:ind w:left="220" w:right="-17"/>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2"/>
        </w:rPr>
        <w:t> </w:t>
      </w:r>
      <w:r>
        <w:rPr/>
        <w:t>现任及报告期内离任董事、监事和高级管理人员持股变动及报酬情况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6"/>
        <w:ind w:left="220" w:right="0"/>
        <w:jc w:val="left"/>
      </w:pPr>
      <w:r>
        <w:rPr/>
        <w:t>单位：股</w:t>
      </w:r>
    </w:p>
    <w:p>
      <w:pPr>
        <w:spacing w:after="0" w:line="240" w:lineRule="auto"/>
        <w:jc w:val="left"/>
        <w:sectPr>
          <w:type w:val="continuous"/>
          <w:pgSz w:w="16840" w:h="11910" w:orient="landscape"/>
          <w:pgMar w:top="1120" w:bottom="1380" w:left="1220" w:right="1280"/>
          <w:cols w:num="2" w:equalWidth="0">
            <w:col w:w="6960" w:space="6075"/>
            <w:col w:w="1305"/>
          </w:cols>
        </w:sectPr>
      </w:pP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959"/>
        <w:gridCol w:w="1271"/>
        <w:gridCol w:w="858"/>
        <w:gridCol w:w="858"/>
        <w:gridCol w:w="1224"/>
        <w:gridCol w:w="1222"/>
        <w:gridCol w:w="1152"/>
        <w:gridCol w:w="1138"/>
        <w:gridCol w:w="1363"/>
        <w:gridCol w:w="1181"/>
        <w:gridCol w:w="1418"/>
        <w:gridCol w:w="1454"/>
      </w:tblGrid>
      <w:tr>
        <w:trPr>
          <w:trHeight w:val="137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0"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6" w:right="186"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94" w:right="185"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65" w:right="149" w:hanging="315"/>
              <w:jc w:val="left"/>
              <w:rPr>
                <w:rFonts w:ascii="宋体" w:hAnsi="宋体" w:cs="宋体" w:eastAsia="宋体" w:hint="default"/>
                <w:sz w:val="21"/>
                <w:szCs w:val="21"/>
              </w:rPr>
            </w:pPr>
            <w:r>
              <w:rPr>
                <w:rFonts w:ascii="宋体" w:hAnsi="宋体" w:cs="宋体" w:eastAsia="宋体" w:hint="default"/>
                <w:sz w:val="21"/>
                <w:szCs w:val="21"/>
              </w:rPr>
              <w:t>年初持股 数</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458" w:right="143" w:hanging="315"/>
              <w:jc w:val="left"/>
              <w:rPr>
                <w:rFonts w:ascii="宋体" w:hAnsi="宋体" w:cs="宋体" w:eastAsia="宋体" w:hint="default"/>
                <w:sz w:val="21"/>
                <w:szCs w:val="21"/>
              </w:rPr>
            </w:pPr>
            <w:r>
              <w:rPr>
                <w:rFonts w:ascii="宋体" w:hAnsi="宋体" w:cs="宋体" w:eastAsia="宋体" w:hint="default"/>
                <w:sz w:val="21"/>
                <w:szCs w:val="21"/>
              </w:rPr>
              <w:t>年末持股 数</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1" w:right="150"/>
              <w:jc w:val="left"/>
              <w:rPr>
                <w:rFonts w:ascii="宋体" w:hAnsi="宋体" w:cs="宋体" w:eastAsia="宋体" w:hint="default"/>
                <w:sz w:val="21"/>
                <w:szCs w:val="21"/>
              </w:rPr>
            </w:pPr>
            <w:r>
              <w:rPr>
                <w:rFonts w:ascii="宋体" w:hAnsi="宋体" w:cs="宋体" w:eastAsia="宋体" w:hint="default"/>
                <w:sz w:val="21"/>
                <w:szCs w:val="21"/>
              </w:rPr>
              <w:t>年度内股份 增减变动量</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75" w:right="163" w:hanging="210"/>
              <w:jc w:val="left"/>
              <w:rPr>
                <w:rFonts w:ascii="宋体" w:hAnsi="宋体" w:cs="宋体" w:eastAsia="宋体" w:hint="default"/>
                <w:sz w:val="21"/>
                <w:szCs w:val="21"/>
              </w:rPr>
            </w:pPr>
            <w:r>
              <w:rPr>
                <w:rFonts w:ascii="宋体" w:hAnsi="宋体" w:cs="宋体" w:eastAsia="宋体" w:hint="default"/>
                <w:sz w:val="21"/>
                <w:szCs w:val="21"/>
              </w:rPr>
              <w:t>增减变动 原因</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before="1"/>
              <w:ind w:left="103" w:right="100" w:hanging="3"/>
              <w:jc w:val="center"/>
              <w:rPr>
                <w:rFonts w:ascii="宋体" w:hAnsi="宋体" w:cs="宋体" w:eastAsia="宋体" w:hint="default"/>
                <w:sz w:val="21"/>
                <w:szCs w:val="21"/>
              </w:rPr>
            </w:pPr>
            <w:r>
              <w:rPr>
                <w:rFonts w:ascii="宋体" w:hAnsi="宋体" w:cs="宋体" w:eastAsia="宋体" w:hint="default"/>
                <w:sz w:val="21"/>
                <w:szCs w:val="21"/>
              </w:rPr>
              <w:t>公司领取的 应付报酬总 </w:t>
            </w:r>
            <w:r>
              <w:rPr>
                <w:rFonts w:ascii="宋体" w:hAnsi="宋体" w:cs="宋体" w:eastAsia="宋体" w:hint="default"/>
                <w:spacing w:val="-39"/>
                <w:sz w:val="21"/>
                <w:szCs w:val="21"/>
              </w:rPr>
              <w:t>额（万元）（税</w:t>
            </w:r>
            <w:r>
              <w:rPr>
                <w:rFonts w:ascii="宋体" w:hAnsi="宋体" w:cs="宋体" w:eastAsia="宋体" w:hint="default"/>
                <w:sz w:val="21"/>
                <w:szCs w:val="21"/>
              </w:rPr>
              <w:t> 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7" w:right="0"/>
              <w:jc w:val="left"/>
              <w:rPr>
                <w:rFonts w:ascii="宋体" w:hAnsi="宋体" w:cs="宋体" w:eastAsia="宋体" w:hint="default"/>
                <w:sz w:val="21"/>
                <w:szCs w:val="21"/>
              </w:rPr>
            </w:pPr>
            <w:r>
              <w:rPr>
                <w:rFonts w:ascii="宋体" w:hAnsi="宋体" w:cs="宋体" w:eastAsia="宋体" w:hint="default"/>
                <w:sz w:val="21"/>
                <w:szCs w:val="21"/>
              </w:rPr>
              <w:t>报告期在其</w:t>
            </w:r>
          </w:p>
          <w:p>
            <w:pPr>
              <w:pStyle w:val="TableParagraph"/>
              <w:spacing w:line="272" w:lineRule="exact" w:before="26"/>
              <w:ind w:left="407" w:right="194" w:hanging="210"/>
              <w:jc w:val="left"/>
              <w:rPr>
                <w:rFonts w:ascii="宋体" w:hAnsi="宋体" w:cs="宋体" w:eastAsia="宋体" w:hint="default"/>
                <w:sz w:val="21"/>
                <w:szCs w:val="21"/>
              </w:rPr>
            </w:pPr>
            <w:r>
              <w:rPr>
                <w:rFonts w:ascii="宋体" w:hAnsi="宋体" w:cs="宋体" w:eastAsia="宋体" w:hint="default"/>
                <w:sz w:val="21"/>
                <w:szCs w:val="21"/>
              </w:rPr>
              <w:t>股东单位领 薪情况</w:t>
            </w: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董事长、总经</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张凌兴</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王忠华</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郑敏</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花炳灿</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李占国</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57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刘士林</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50</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顾云锋</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959"/>
        <w:gridCol w:w="1271"/>
        <w:gridCol w:w="858"/>
        <w:gridCol w:w="858"/>
        <w:gridCol w:w="1224"/>
        <w:gridCol w:w="1222"/>
        <w:gridCol w:w="1152"/>
        <w:gridCol w:w="1138"/>
        <w:gridCol w:w="1363"/>
        <w:gridCol w:w="1181"/>
        <w:gridCol w:w="1418"/>
        <w:gridCol w:w="1454"/>
      </w:tblGrid>
      <w:tr>
        <w:trPr>
          <w:trHeight w:val="324" w:hRule="exact"/>
        </w:trPr>
        <w:tc>
          <w:tcPr>
            <w:tcW w:w="959"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陈琳</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34</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苏忠</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39</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宋体" w:hAnsi="宋体" w:cs="宋体" w:eastAsia="宋体" w:hint="default"/>
                <w:sz w:val="18"/>
                <w:szCs w:val="18"/>
              </w:rPr>
              <w:t>11</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董事长、董事</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会秘书</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16.2</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钱骏</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4"/>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宋体" w:hAnsi="宋体" w:cs="宋体" w:eastAsia="宋体" w:hint="default"/>
                <w:sz w:val="18"/>
                <w:szCs w:val="18"/>
              </w:rPr>
              <w:t>8</w:t>
            </w:r>
            <w:r>
              <w:rPr>
                <w:rFonts w:ascii="宋体" w:hAnsi="宋体" w:cs="宋体" w:eastAsia="宋体" w:hint="default"/>
                <w:spacing w:val="-64"/>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宋体" w:hAnsi="宋体" w:cs="宋体" w:eastAsia="宋体" w:hint="default"/>
                <w:sz w:val="18"/>
                <w:szCs w:val="18"/>
              </w:rPr>
              <w:t>1</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sz w:val="18"/>
              </w:rPr>
              <w:t>47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79"/>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43</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1"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640"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61</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24"/>
                <w:sz w:val="18"/>
                <w:szCs w:val="18"/>
              </w:rPr>
              <w:t> </w:t>
            </w:r>
            <w:r>
              <w:rPr>
                <w:rFonts w:ascii="宋体" w:hAnsi="宋体" w:cs="宋体" w:eastAsia="宋体" w:hint="default"/>
                <w:sz w:val="18"/>
                <w:szCs w:val="18"/>
              </w:rPr>
              <w:t>年</w:t>
            </w:r>
            <w:r>
              <w:rPr>
                <w:rFonts w:ascii="宋体" w:hAnsi="宋体" w:cs="宋体" w:eastAsia="宋体" w:hint="default"/>
                <w:spacing w:val="-24"/>
                <w:sz w:val="18"/>
                <w:szCs w:val="18"/>
              </w:rPr>
              <w:t> </w:t>
            </w:r>
            <w:r>
              <w:rPr>
                <w:rFonts w:ascii="宋体" w:hAnsi="宋体" w:cs="宋体" w:eastAsia="宋体" w:hint="default"/>
                <w:sz w:val="18"/>
                <w:szCs w:val="18"/>
              </w:rPr>
              <w:t>6</w:t>
            </w:r>
            <w:r>
              <w:rPr>
                <w:rFonts w:ascii="宋体" w:hAnsi="宋体" w:cs="宋体" w:eastAsia="宋体" w:hint="default"/>
                <w:spacing w:val="-24"/>
                <w:sz w:val="18"/>
                <w:szCs w:val="18"/>
              </w:rPr>
              <w:t> </w:t>
            </w:r>
            <w:r>
              <w:rPr>
                <w:rFonts w:ascii="宋体" w:hAnsi="宋体" w:cs="宋体" w:eastAsia="宋体" w:hint="default"/>
                <w:sz w:val="18"/>
                <w:szCs w:val="18"/>
              </w:rPr>
              <w:t>月</w:t>
            </w:r>
          </w:p>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6"/>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宋体" w:hAnsi="宋体" w:cs="宋体" w:eastAsia="宋体" w:hint="default"/>
                <w:sz w:val="18"/>
                <w:szCs w:val="18"/>
              </w:rPr>
              <w:t>12</w:t>
            </w:r>
            <w:r>
              <w:rPr>
                <w:rFonts w:ascii="宋体" w:hAnsi="宋体" w:cs="宋体" w:eastAsia="宋体" w:hint="default"/>
                <w:spacing w:val="-56"/>
                <w:sz w:val="18"/>
                <w:szCs w:val="18"/>
              </w:rPr>
              <w:t> </w:t>
            </w:r>
            <w:r>
              <w:rPr>
                <w:rFonts w:ascii="宋体" w:hAnsi="宋体" w:cs="宋体" w:eastAsia="宋体" w:hint="default"/>
                <w:sz w:val="18"/>
                <w:szCs w:val="18"/>
              </w:rPr>
              <w:t>月</w:t>
            </w:r>
          </w:p>
          <w:p>
            <w:pPr>
              <w:pStyle w:val="TableParagraph"/>
              <w:spacing w:line="240" w:lineRule="auto" w:before="80"/>
              <w:ind w:left="101"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1.7</w:t>
            </w:r>
          </w:p>
        </w:tc>
        <w:tc>
          <w:tcPr>
            <w:tcW w:w="1454" w:type="dxa"/>
            <w:tcBorders>
              <w:top w:val="single" w:sz="4" w:space="0" w:color="000000"/>
              <w:left w:val="single" w:sz="4" w:space="0" w:color="000000"/>
              <w:bottom w:val="single" w:sz="4" w:space="0" w:color="000000"/>
              <w:right w:val="single" w:sz="4" w:space="0" w:color="000000"/>
            </w:tcBorders>
          </w:tcPr>
          <w:p>
            <w:pPr/>
          </w:p>
        </w:tc>
      </w:tr>
      <w:tr>
        <w:trPr>
          <w:trHeight w:val="326"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32.9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after="0" w:line="207" w:lineRule="exact"/>
        <w:jc w:val="center"/>
        <w:rPr>
          <w:rFonts w:ascii="宋体" w:hAnsi="宋体" w:cs="宋体" w:eastAsia="宋体" w:hint="default"/>
          <w:sz w:val="18"/>
          <w:szCs w:val="18"/>
        </w:rPr>
        <w:sectPr>
          <w:pgSz w:w="16840" w:h="11910" w:orient="landscape"/>
          <w:pgMar w:header="882" w:footer="1194" w:top="1120" w:bottom="1380" w:left="1220" w:right="12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28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年的主要工作经历</w:t>
            </w:r>
          </w:p>
        </w:tc>
      </w:tr>
      <w:tr>
        <w:trPr>
          <w:trHeight w:val="10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01"/>
              <w:jc w:val="both"/>
              <w:rPr>
                <w:rFonts w:ascii="宋体" w:hAnsi="宋体" w:cs="宋体" w:eastAsia="宋体" w:hint="default"/>
                <w:sz w:val="18"/>
                <w:szCs w:val="18"/>
              </w:rPr>
            </w:pPr>
            <w:r>
              <w:rPr>
                <w:rFonts w:ascii="宋体" w:hAnsi="宋体" w:cs="宋体" w:eastAsia="宋体" w:hint="default"/>
                <w:sz w:val="18"/>
                <w:szCs w:val="18"/>
              </w:rPr>
              <w:t>自 </w:t>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年起至今担任上海斐讯数据通信技术有限公司董事长；</w:t>
            </w:r>
            <w:r>
              <w:rPr>
                <w:rFonts w:ascii="宋体" w:hAnsi="宋体" w:cs="宋体" w:eastAsia="宋体" w:hint="default"/>
                <w:sz w:val="18"/>
                <w:szCs w:val="18"/>
              </w:rPr>
              <w:t>2008</w:t>
            </w:r>
            <w:r>
              <w:rPr>
                <w:rFonts w:ascii="宋体" w:hAnsi="宋体" w:cs="宋体" w:eastAsia="宋体" w:hint="default"/>
                <w:spacing w:val="-42"/>
                <w:sz w:val="18"/>
                <w:szCs w:val="18"/>
              </w:rPr>
              <w:t> </w:t>
            </w:r>
            <w:r>
              <w:rPr>
                <w:rFonts w:ascii="宋体" w:hAnsi="宋体" w:cs="宋体" w:eastAsia="宋体" w:hint="default"/>
                <w:sz w:val="18"/>
                <w:szCs w:val="18"/>
              </w:rPr>
              <w:t>年至</w:t>
            </w:r>
            <w:r>
              <w:rPr>
                <w:rFonts w:ascii="宋体" w:hAnsi="宋体" w:cs="宋体" w:eastAsia="宋体" w:hint="default"/>
                <w:spacing w:val="-42"/>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11</w:t>
            </w:r>
            <w:r>
              <w:rPr>
                <w:rFonts w:ascii="宋体" w:hAnsi="宋体" w:cs="宋体" w:eastAsia="宋体" w:hint="default"/>
                <w:spacing w:val="-41"/>
                <w:sz w:val="18"/>
                <w:szCs w:val="18"/>
              </w:rPr>
              <w:t> </w:t>
            </w:r>
            <w:r>
              <w:rPr>
                <w:rFonts w:ascii="宋体" w:hAnsi="宋体" w:cs="宋体" w:eastAsia="宋体" w:hint="default"/>
                <w:sz w:val="18"/>
                <w:szCs w:val="18"/>
              </w:rPr>
              <w:t>月期间担任上海斐讯数据通信技术有限公司总裁；目前兼任上海斐讯投资有限 公司执行董事、上海沪斐深万投资管理有限公司执行董事、上海斐持志同投资有限公司执行董事、上海众翔科技发展有限公司执行董事、上海画楼西畔投资合伙企</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业（有限合伙）执行事务合伙人；</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月起担任慧球科技董事长、总经理。</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张凌兴</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01"/>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9</w:t>
            </w:r>
            <w:r>
              <w:rPr>
                <w:rFonts w:ascii="宋体" w:hAnsi="宋体" w:cs="宋体" w:eastAsia="宋体" w:hint="default"/>
                <w:spacing w:val="-41"/>
                <w:sz w:val="18"/>
                <w:szCs w:val="18"/>
              </w:rPr>
              <w:t> </w:t>
            </w:r>
            <w:r>
              <w:rPr>
                <w:rFonts w:ascii="宋体" w:hAnsi="宋体" w:cs="宋体" w:eastAsia="宋体" w:hint="default"/>
                <w:sz w:val="18"/>
                <w:szCs w:val="18"/>
              </w:rPr>
              <w:t>月至</w:t>
            </w:r>
            <w:r>
              <w:rPr>
                <w:rFonts w:ascii="宋体" w:hAnsi="宋体" w:cs="宋体" w:eastAsia="宋体" w:hint="default"/>
                <w:spacing w:val="-42"/>
                <w:sz w:val="18"/>
                <w:szCs w:val="18"/>
              </w:rPr>
              <w:t> </w:t>
            </w:r>
            <w:r>
              <w:rPr>
                <w:rFonts w:ascii="宋体" w:hAnsi="宋体" w:cs="宋体" w:eastAsia="宋体" w:hint="default"/>
                <w:sz w:val="18"/>
                <w:szCs w:val="18"/>
              </w:rPr>
              <w:t>2008</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6</w:t>
            </w:r>
            <w:r>
              <w:rPr>
                <w:rFonts w:ascii="宋体" w:hAnsi="宋体" w:cs="宋体" w:eastAsia="宋体" w:hint="default"/>
                <w:spacing w:val="-41"/>
                <w:sz w:val="18"/>
                <w:szCs w:val="18"/>
              </w:rPr>
              <w:t> </w:t>
            </w:r>
            <w:r>
              <w:rPr>
                <w:rFonts w:ascii="宋体" w:hAnsi="宋体" w:cs="宋体" w:eastAsia="宋体" w:hint="default"/>
                <w:sz w:val="18"/>
                <w:szCs w:val="18"/>
              </w:rPr>
              <w:t>月期间在思科（网迅）网络技术有限公司任资深信息技术经理；</w:t>
            </w:r>
            <w:r>
              <w:rPr>
                <w:rFonts w:ascii="宋体" w:hAnsi="宋体" w:cs="宋体" w:eastAsia="宋体" w:hint="default"/>
                <w:sz w:val="18"/>
                <w:szCs w:val="18"/>
              </w:rPr>
              <w:t>2012</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11</w:t>
            </w:r>
            <w:r>
              <w:rPr>
                <w:rFonts w:ascii="宋体" w:hAnsi="宋体" w:cs="宋体" w:eastAsia="宋体" w:hint="default"/>
                <w:spacing w:val="-41"/>
                <w:sz w:val="18"/>
                <w:szCs w:val="18"/>
              </w:rPr>
              <w:t> </w:t>
            </w:r>
            <w:r>
              <w:rPr>
                <w:rFonts w:ascii="宋体" w:hAnsi="宋体" w:cs="宋体" w:eastAsia="宋体" w:hint="default"/>
                <w:sz w:val="18"/>
                <w:szCs w:val="18"/>
              </w:rPr>
              <w:t>月至</w:t>
            </w:r>
            <w:r>
              <w:rPr>
                <w:rFonts w:ascii="宋体" w:hAnsi="宋体" w:cs="宋体" w:eastAsia="宋体" w:hint="default"/>
                <w:spacing w:val="-41"/>
                <w:sz w:val="18"/>
                <w:szCs w:val="18"/>
              </w:rPr>
              <w:t> </w:t>
            </w:r>
            <w:r>
              <w:rPr>
                <w:rFonts w:ascii="宋体" w:hAnsi="宋体" w:cs="宋体" w:eastAsia="宋体" w:hint="default"/>
                <w:sz w:val="18"/>
                <w:szCs w:val="18"/>
              </w:rPr>
              <w:t>2014</w:t>
            </w:r>
            <w:r>
              <w:rPr>
                <w:rFonts w:ascii="宋体" w:hAnsi="宋体" w:cs="宋体" w:eastAsia="宋体" w:hint="default"/>
                <w:spacing w:val="-4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月在上海斐讯数据通信技术有限公司历任副总 裁、高级副总裁，目前担任上海斐讯数据通信技术有限公司首席运营官；</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月起担任慧球科技董事。</w:t>
            </w:r>
          </w:p>
        </w:tc>
      </w:tr>
      <w:tr>
        <w:trPr>
          <w:trHeight w:val="71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王忠华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103" w:right="102"/>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38"/>
                <w:sz w:val="18"/>
                <w:szCs w:val="18"/>
              </w:rPr>
              <w:t> </w:t>
            </w:r>
            <w:r>
              <w:rPr>
                <w:rFonts w:ascii="宋体" w:hAnsi="宋体" w:cs="宋体" w:eastAsia="宋体" w:hint="default"/>
                <w:sz w:val="18"/>
                <w:szCs w:val="18"/>
              </w:rPr>
              <w:t>年至</w:t>
            </w:r>
            <w:r>
              <w:rPr>
                <w:rFonts w:ascii="宋体" w:hAnsi="宋体" w:cs="宋体" w:eastAsia="宋体" w:hint="default"/>
                <w:spacing w:val="-39"/>
                <w:sz w:val="18"/>
                <w:szCs w:val="18"/>
              </w:rPr>
              <w:t> </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月担任上海斐讯数据通信技术有限公司董事、副总裁，并于</w:t>
            </w:r>
            <w:r>
              <w:rPr>
                <w:rFonts w:ascii="宋体" w:hAnsi="宋体" w:cs="宋体" w:eastAsia="宋体" w:hint="default"/>
                <w:spacing w:val="-38"/>
                <w:sz w:val="18"/>
                <w:szCs w:val="18"/>
              </w:rPr>
              <w:t> </w:t>
            </w:r>
            <w:r>
              <w:rPr>
                <w:rFonts w:ascii="宋体" w:hAnsi="宋体" w:cs="宋体" w:eastAsia="宋体" w:hint="default"/>
                <w:sz w:val="18"/>
                <w:szCs w:val="18"/>
              </w:rPr>
              <w:t>2014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月起担任上海斐讯数据通信技术有限公司副董事长；</w:t>
            </w:r>
            <w:r>
              <w:rPr>
                <w:rFonts w:ascii="宋体" w:hAnsi="宋体" w:cs="宋体" w:eastAsia="宋体" w:hint="default"/>
                <w:sz w:val="18"/>
                <w:szCs w:val="18"/>
              </w:rPr>
              <w:t>2014</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12</w:t>
            </w:r>
            <w:r>
              <w:rPr>
                <w:rFonts w:ascii="宋体" w:hAnsi="宋体" w:cs="宋体" w:eastAsia="宋体" w:hint="default"/>
                <w:spacing w:val="-39"/>
                <w:sz w:val="18"/>
                <w:szCs w:val="18"/>
              </w:rPr>
              <w:t> </w:t>
            </w:r>
            <w:r>
              <w:rPr>
                <w:rFonts w:ascii="宋体" w:hAnsi="宋体" w:cs="宋体" w:eastAsia="宋体" w:hint="default"/>
                <w:sz w:val="18"/>
                <w:szCs w:val="18"/>
              </w:rPr>
              <w:t>月起 担任慧球科技董事。</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郑敏</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2"/>
              <w:ind w:left="103" w:right="10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1"/>
                <w:sz w:val="18"/>
                <w:szCs w:val="18"/>
              </w:rPr>
              <w:t> </w:t>
            </w:r>
            <w:r>
              <w:rPr>
                <w:rFonts w:ascii="宋体" w:hAnsi="宋体" w:cs="宋体" w:eastAsia="宋体" w:hint="default"/>
                <w:sz w:val="18"/>
                <w:szCs w:val="18"/>
              </w:rPr>
              <w:t>年至</w:t>
            </w:r>
            <w:r>
              <w:rPr>
                <w:rFonts w:ascii="宋体" w:hAnsi="宋体" w:cs="宋体" w:eastAsia="宋体" w:hint="default"/>
                <w:spacing w:val="-41"/>
                <w:sz w:val="18"/>
                <w:szCs w:val="18"/>
              </w:rPr>
              <w:t> </w:t>
            </w: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年期间历任 </w:t>
            </w:r>
            <w:r>
              <w:rPr>
                <w:rFonts w:ascii="宋体" w:hAnsi="宋体" w:cs="宋体" w:eastAsia="宋体" w:hint="default"/>
                <w:sz w:val="18"/>
                <w:szCs w:val="18"/>
              </w:rPr>
              <w:t>UT </w:t>
            </w:r>
            <w:r>
              <w:rPr>
                <w:rFonts w:ascii="宋体" w:hAnsi="宋体" w:cs="宋体" w:eastAsia="宋体" w:hint="default"/>
                <w:sz w:val="18"/>
                <w:szCs w:val="18"/>
              </w:rPr>
              <w:t>斯达康通讯有限公司工程师、总监、副总裁、高级副总裁等职务；</w:t>
            </w:r>
            <w:r>
              <w:rPr>
                <w:rFonts w:ascii="宋体" w:hAnsi="宋体" w:cs="宋体" w:eastAsia="宋体" w:hint="default"/>
                <w:sz w:val="18"/>
                <w:szCs w:val="18"/>
              </w:rPr>
              <w:t>2013</w:t>
            </w:r>
            <w:r>
              <w:rPr>
                <w:rFonts w:ascii="宋体" w:hAnsi="宋体" w:cs="宋体" w:eastAsia="宋体" w:hint="default"/>
                <w:spacing w:val="-41"/>
                <w:sz w:val="18"/>
                <w:szCs w:val="18"/>
              </w:rPr>
              <w:t> </w:t>
            </w:r>
            <w:r>
              <w:rPr>
                <w:rFonts w:ascii="宋体" w:hAnsi="宋体" w:cs="宋体" w:eastAsia="宋体" w:hint="default"/>
                <w:sz w:val="18"/>
                <w:szCs w:val="18"/>
              </w:rPr>
              <w:t>年加入上海斐讯数据通信技术有限公司，现任上海斐讯数据 通信技术有限公司董事、首席执行官；</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花炳灿</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年担任华东建筑设计研究院有限公司现代都市建筑设计院总工程师；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月起担任慧球科技独立董事。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李占国</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年担任上海电机学院教授；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月起担任慧球科技独立董事。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刘士林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最近五年担任上海交通大学教授；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月起担任慧球科技独立董事。</w:t>
            </w:r>
          </w:p>
        </w:tc>
      </w:tr>
      <w:tr>
        <w:trPr>
          <w:trHeight w:val="71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103" w:right="101"/>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0"/>
                <w:sz w:val="18"/>
                <w:szCs w:val="18"/>
              </w:rPr>
              <w:t> </w:t>
            </w:r>
            <w:r>
              <w:rPr>
                <w:rFonts w:ascii="宋体" w:hAnsi="宋体" w:cs="宋体" w:eastAsia="宋体" w:hint="default"/>
                <w:sz w:val="18"/>
                <w:szCs w:val="18"/>
              </w:rPr>
              <w:t>年至</w:t>
            </w:r>
            <w:r>
              <w:rPr>
                <w:rFonts w:ascii="宋体" w:hAnsi="宋体" w:cs="宋体" w:eastAsia="宋体" w:hint="default"/>
                <w:spacing w:val="-40"/>
                <w:sz w:val="18"/>
                <w:szCs w:val="18"/>
              </w:rPr>
              <w:t> </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月期间担任上海斐讯数据通信技术有限公司董事、副总裁，</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月起担任上海斐讯数据通信技术有限公司监事会主席；</w:t>
            </w:r>
            <w:r>
              <w:rPr>
                <w:rFonts w:ascii="宋体" w:hAnsi="宋体" w:cs="宋体" w:eastAsia="宋体" w:hint="default"/>
                <w:sz w:val="18"/>
                <w:szCs w:val="18"/>
              </w:rPr>
              <w:t>2014</w:t>
            </w:r>
            <w:r>
              <w:rPr>
                <w:rFonts w:ascii="宋体" w:hAnsi="宋体" w:cs="宋体" w:eastAsia="宋体" w:hint="default"/>
                <w:spacing w:val="-40"/>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宋体" w:hAnsi="宋体" w:cs="宋体" w:eastAsia="宋体" w:hint="default"/>
                <w:sz w:val="18"/>
                <w:szCs w:val="18"/>
              </w:rPr>
              <w:t>12</w:t>
            </w:r>
            <w:r>
              <w:rPr>
                <w:rFonts w:ascii="宋体" w:hAnsi="宋体" w:cs="宋体" w:eastAsia="宋体" w:hint="default"/>
                <w:spacing w:val="-40"/>
                <w:sz w:val="18"/>
                <w:szCs w:val="18"/>
              </w:rPr>
              <w:t> </w:t>
            </w:r>
            <w:r>
              <w:rPr>
                <w:rFonts w:ascii="宋体" w:hAnsi="宋体" w:cs="宋体" w:eastAsia="宋体" w:hint="default"/>
                <w:sz w:val="18"/>
                <w:szCs w:val="18"/>
              </w:rPr>
              <w:t>月起 担任慧球科技监事会主席。</w:t>
            </w:r>
          </w:p>
        </w:tc>
      </w:tr>
      <w:tr>
        <w:trPr>
          <w:trHeight w:val="713"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顾云锋</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0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月期间历任上海斐讯数据通信技术有限公司采购中心总经理、总裁特助、工会主席，</w:t>
            </w: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月起担任上海斐讯数据通信技术有限公司 监事会监事；</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月起担任慧球科技监事。</w:t>
            </w:r>
          </w:p>
        </w:tc>
      </w:tr>
      <w:tr>
        <w:trPr>
          <w:trHeight w:val="102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陈琳</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2006 </w:t>
            </w:r>
            <w:r>
              <w:rPr>
                <w:rFonts w:ascii="宋体" w:hAnsi="宋体" w:cs="宋体" w:eastAsia="宋体" w:hint="default"/>
                <w:sz w:val="18"/>
                <w:szCs w:val="18"/>
              </w:rPr>
              <w:t>年 </w:t>
            </w:r>
            <w:r>
              <w:rPr>
                <w:rFonts w:ascii="宋体" w:hAnsi="宋体" w:cs="宋体" w:eastAsia="宋体" w:hint="default"/>
                <w:sz w:val="18"/>
                <w:szCs w:val="18"/>
              </w:rPr>
              <w:t>6 </w:t>
            </w:r>
            <w:r>
              <w:rPr>
                <w:rFonts w:ascii="宋体" w:hAnsi="宋体" w:cs="宋体" w:eastAsia="宋体" w:hint="default"/>
                <w:sz w:val="18"/>
                <w:szCs w:val="18"/>
              </w:rPr>
              <w:t>月至 </w:t>
            </w:r>
            <w:r>
              <w:rPr>
                <w:rFonts w:ascii="宋体" w:hAnsi="宋体" w:cs="宋体" w:eastAsia="宋体" w:hint="default"/>
                <w:sz w:val="18"/>
                <w:szCs w:val="18"/>
              </w:rPr>
              <w:t>2012 </w:t>
            </w:r>
            <w:r>
              <w:rPr>
                <w:rFonts w:ascii="宋体" w:hAnsi="宋体" w:cs="宋体" w:eastAsia="宋体" w:hint="default"/>
                <w:sz w:val="18"/>
                <w:szCs w:val="18"/>
              </w:rPr>
              <w:t>年 </w:t>
            </w:r>
            <w:r>
              <w:rPr>
                <w:rFonts w:ascii="宋体" w:hAnsi="宋体" w:cs="宋体" w:eastAsia="宋体" w:hint="default"/>
                <w:sz w:val="18"/>
                <w:szCs w:val="18"/>
              </w:rPr>
              <w:t>4 </w:t>
            </w:r>
            <w:r>
              <w:rPr>
                <w:rFonts w:ascii="宋体" w:hAnsi="宋体" w:cs="宋体" w:eastAsia="宋体" w:hint="default"/>
                <w:sz w:val="18"/>
                <w:szCs w:val="18"/>
              </w:rPr>
              <w:t>月历任福建浔兴拉链科技股份有限公司董事长秘书、企划部经理、证券部经理；</w:t>
            </w:r>
            <w:r>
              <w:rPr>
                <w:rFonts w:ascii="宋体" w:hAnsi="宋体" w:cs="宋体" w:eastAsia="宋体" w:hint="default"/>
                <w:sz w:val="18"/>
                <w:szCs w:val="18"/>
              </w:rPr>
              <w:t>2012</w:t>
            </w:r>
            <w:r>
              <w:rPr>
                <w:rFonts w:ascii="宋体" w:hAnsi="宋体" w:cs="宋体" w:eastAsia="宋体" w:hint="default"/>
                <w:spacing w:val="-33"/>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宋体" w:hAnsi="宋体" w:cs="宋体" w:eastAsia="宋体" w:hint="default"/>
                <w:sz w:val="18"/>
                <w:szCs w:val="18"/>
              </w:rPr>
              <w:t>6</w:t>
            </w:r>
            <w:r>
              <w:rPr>
                <w:rFonts w:ascii="宋体" w:hAnsi="宋体" w:cs="宋体" w:eastAsia="宋体" w:hint="default"/>
                <w:spacing w:val="-33"/>
                <w:sz w:val="18"/>
                <w:szCs w:val="18"/>
              </w:rPr>
              <w:t> </w:t>
            </w:r>
            <w:r>
              <w:rPr>
                <w:rFonts w:ascii="宋体" w:hAnsi="宋体" w:cs="宋体" w:eastAsia="宋体" w:hint="default"/>
                <w:sz w:val="18"/>
                <w:szCs w:val="18"/>
              </w:rPr>
              <w:t>月至 </w:t>
            </w:r>
            <w:r>
              <w:rPr>
                <w:rFonts w:ascii="宋体" w:hAnsi="宋体" w:cs="宋体" w:eastAsia="宋体" w:hint="default"/>
                <w:sz w:val="18"/>
                <w:szCs w:val="18"/>
              </w:rPr>
              <w:t>2013 </w:t>
            </w:r>
            <w:r>
              <w:rPr>
                <w:rFonts w:ascii="宋体" w:hAnsi="宋体" w:cs="宋体" w:eastAsia="宋体" w:hint="default"/>
                <w:sz w:val="18"/>
                <w:szCs w:val="18"/>
              </w:rPr>
              <w:t>年 </w:t>
            </w:r>
            <w:r>
              <w:rPr>
                <w:rFonts w:ascii="宋体" w:hAnsi="宋体" w:cs="宋体" w:eastAsia="宋体" w:hint="default"/>
                <w:sz w:val="18"/>
                <w:szCs w:val="18"/>
              </w:rPr>
              <w:t>12 </w:t>
            </w:r>
            <w:r>
              <w:rPr>
                <w:rFonts w:ascii="宋体" w:hAnsi="宋体" w:cs="宋体" w:eastAsia="宋体" w:hint="default"/>
                <w:sz w:val="18"/>
                <w:szCs w:val="18"/>
              </w:rPr>
              <w:t>月，任宁波</w:t>
            </w:r>
            <w:r>
              <w:rPr>
                <w:rFonts w:ascii="宋体" w:hAnsi="宋体" w:cs="宋体" w:eastAsia="宋体" w:hint="default"/>
                <w:spacing w:val="-32"/>
                <w:sz w:val="18"/>
                <w:szCs w:val="18"/>
              </w:rPr>
              <w:t> </w:t>
            </w:r>
            <w:r>
              <w:rPr>
                <w:rFonts w:ascii="宋体" w:hAnsi="宋体" w:cs="宋体" w:eastAsia="宋体" w:hint="default"/>
                <w:sz w:val="18"/>
                <w:szCs w:val="18"/>
              </w:rPr>
              <w:t>GQY</w:t>
            </w:r>
            <w:r>
              <w:rPr>
                <w:rFonts w:ascii="宋体" w:hAnsi="宋体" w:cs="宋体" w:eastAsia="宋体" w:hint="default"/>
                <w:spacing w:val="-33"/>
                <w:sz w:val="18"/>
                <w:szCs w:val="18"/>
              </w:rPr>
              <w:t> </w:t>
            </w:r>
            <w:r>
              <w:rPr>
                <w:rFonts w:ascii="宋体" w:hAnsi="宋体" w:cs="宋体" w:eastAsia="宋体" w:hint="default"/>
                <w:sz w:val="18"/>
                <w:szCs w:val="18"/>
              </w:rPr>
              <w:t>视讯股份</w:t>
            </w:r>
          </w:p>
          <w:p>
            <w:pPr>
              <w:pStyle w:val="TableParagraph"/>
              <w:spacing w:line="319" w:lineRule="auto" w:before="80"/>
              <w:ind w:left="103" w:right="102"/>
              <w:jc w:val="left"/>
              <w:rPr>
                <w:rFonts w:ascii="宋体" w:hAnsi="宋体" w:cs="宋体" w:eastAsia="宋体" w:hint="default"/>
                <w:sz w:val="18"/>
                <w:szCs w:val="18"/>
              </w:rPr>
            </w:pPr>
            <w:r>
              <w:rPr>
                <w:rFonts w:ascii="宋体" w:hAnsi="宋体" w:cs="宋体" w:eastAsia="宋体" w:hint="default"/>
                <w:sz w:val="18"/>
                <w:szCs w:val="18"/>
              </w:rPr>
              <w:t>有限公司证券事务代表；</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月，任麦王环境技术股份有限公司证券事务代表；</w:t>
            </w:r>
            <w:r>
              <w:rPr>
                <w:rFonts w:ascii="宋体" w:hAnsi="宋体" w:cs="宋体" w:eastAsia="宋体" w:hint="default"/>
                <w:spacing w:val="-1"/>
                <w:sz w:val="18"/>
                <w:szCs w:val="18"/>
              </w:rPr>
              <w:t> </w:t>
            </w:r>
            <w:r>
              <w:rPr>
                <w:rFonts w:ascii="宋体" w:hAnsi="宋体" w:cs="宋体" w:eastAsia="宋体" w:hint="default"/>
                <w:sz w:val="18"/>
                <w:szCs w:val="18"/>
              </w:rPr>
              <w:t>2014</w:t>
            </w:r>
            <w:r>
              <w:rPr>
                <w:rFonts w:ascii="宋体" w:hAnsi="宋体" w:cs="宋体" w:eastAsia="宋体"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月至</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月任上海斐讯数据通信技术有限公 司证券事务代表；</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月起担任慧球科技监事、证券事务代表。</w:t>
            </w:r>
          </w:p>
        </w:tc>
      </w:tr>
      <w:tr>
        <w:trPr>
          <w:trHeight w:val="712"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苏忠</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02"/>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宋体" w:hAnsi="宋体" w:cs="宋体" w:eastAsia="宋体" w:hint="default"/>
                <w:sz w:val="18"/>
                <w:szCs w:val="18"/>
              </w:rPr>
              <w:t>2014</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月浙江乔治白服饰有限公司担任副总经理、董事会秘书；</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8"/>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8"/>
                <w:sz w:val="18"/>
                <w:szCs w:val="18"/>
              </w:rPr>
              <w:t> </w:t>
            </w:r>
            <w:r>
              <w:rPr>
                <w:rFonts w:ascii="宋体" w:hAnsi="宋体" w:cs="宋体" w:eastAsia="宋体" w:hint="default"/>
                <w:sz w:val="18"/>
                <w:szCs w:val="18"/>
              </w:rPr>
              <w:t>月担任上海斐讯数据通信技术有限公司董事会秘书；</w:t>
            </w: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月起 担任慧球科技副总经理、董事会秘书。</w:t>
            </w:r>
          </w:p>
        </w:tc>
      </w:tr>
      <w:tr>
        <w:trPr>
          <w:trHeight w:val="3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年担任广西北生集团有限公司董事长；</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月任北生药业董事长。</w:t>
            </w:r>
          </w:p>
        </w:tc>
      </w:tr>
    </w:tbl>
    <w:p>
      <w:pPr>
        <w:spacing w:after="0" w:line="240" w:lineRule="auto"/>
        <w:jc w:val="lef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1074"/>
        <w:gridCol w:w="13016"/>
      </w:tblGrid>
      <w:tr>
        <w:trPr>
          <w:trHeight w:val="396"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年担任浙江郡原地产股份有限公司副董事长；</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年担任浙江郡原地产股份有限公司董事副总裁；</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钱骏</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月起担任北京瑞尔德嘉创业投资管理有限公司副总经理；</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年担任桂林工学院管理学院培训中心主任、国际教育系主任；</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月任北生药业独立董事。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年担任桂林五和律师事务所主任律师；</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月任北生药业独立董事。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年担任广西天华会计师事务所有限责任公司主任会计师；</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月任北生药业独立董事。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年担任浙江郡原地产股份有限公司副总裁；</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月任北生药业监事会主席。</w:t>
            </w:r>
          </w:p>
        </w:tc>
      </w:tr>
      <w:tr>
        <w:trPr>
          <w:trHeight w:val="398"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年担任杭州郡原居里房产开发有限公司副总经理；</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月任北生药业监事。</w:t>
            </w:r>
          </w:p>
        </w:tc>
      </w:tr>
      <w:tr>
        <w:trPr>
          <w:trHeight w:val="397" w:hRule="exact"/>
        </w:trPr>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13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年担任广西北生药业股份有限公司行政管理办公室职员，</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月任北生药业职工监事。</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3"/>
        <w:spacing w:line="240" w:lineRule="auto"/>
        <w:ind w:left="220"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3"/>
        </w:rPr>
        <w:t> </w:t>
      </w:r>
      <w:r>
        <w:rPr/>
        <w:t>董事、监事、高级管理人员报告期内被授予的股权激励情况</w:t>
      </w:r>
      <w:r>
        <w:rPr>
          <w:b w:val="0"/>
          <w:bCs w:val="0"/>
        </w:rPr>
      </w:r>
    </w:p>
    <w:p>
      <w:pPr>
        <w:pStyle w:val="BodyText"/>
        <w:spacing w:line="240" w:lineRule="auto" w:before="30"/>
        <w:ind w:left="220" w:right="218"/>
        <w:jc w:val="left"/>
      </w:pPr>
      <w:r>
        <w:rPr/>
        <w:t>□适用√不适用</w:t>
      </w:r>
    </w:p>
    <w:p>
      <w:pPr>
        <w:pStyle w:val="Heading3"/>
        <w:spacing w:line="240" w:lineRule="auto" w:before="57"/>
        <w:ind w:left="220" w:right="218"/>
        <w:jc w:val="left"/>
        <w:rPr>
          <w:b w:val="0"/>
          <w:bCs w:val="0"/>
        </w:rPr>
      </w:pPr>
      <w:r>
        <w:rPr/>
        <w:t>二、现任及报告期内离任董事、监事和高级管理人员的任职情况</w:t>
      </w:r>
      <w:r>
        <w:rPr>
          <w:b w:val="0"/>
          <w:bCs w:val="0"/>
        </w:rPr>
      </w:r>
    </w:p>
    <w:p>
      <w:pPr>
        <w:pStyle w:val="Heading3"/>
        <w:spacing w:line="240" w:lineRule="auto" w:before="57"/>
        <w:ind w:left="220" w:right="21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3"/>
        </w:rPr>
        <w:t> </w:t>
      </w:r>
      <w:r>
        <w:rPr/>
        <w:t>在股东单位任职情况</w:t>
      </w:r>
      <w:r>
        <w:rPr>
          <w:b w:val="0"/>
          <w:bCs w:val="0"/>
        </w:rPr>
      </w:r>
    </w:p>
    <w:p>
      <w:pPr>
        <w:pStyle w:val="BodyText"/>
        <w:spacing w:line="240" w:lineRule="auto" w:before="30"/>
        <w:ind w:left="220" w:right="21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2802"/>
        <w:gridCol w:w="3685"/>
        <w:gridCol w:w="2835"/>
        <w:gridCol w:w="2390"/>
        <w:gridCol w:w="2378"/>
      </w:tblGrid>
      <w:tr>
        <w:trPr>
          <w:trHeight w:val="37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12"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5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任期终止日期</w:t>
            </w:r>
          </w:p>
        </w:tc>
      </w:tr>
      <w:tr>
        <w:trPr>
          <w:trHeight w:val="37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广西北生药业集团有限责任公司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3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left="220" w:right="21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3"/>
        </w:rPr>
        <w:t> </w:t>
      </w:r>
      <w:r>
        <w:rPr/>
        <w:t>在其他单位任职情况</w:t>
      </w:r>
      <w:r>
        <w:rPr>
          <w:b w:val="0"/>
          <w:bCs w:val="0"/>
        </w:rPr>
      </w:r>
    </w:p>
    <w:p>
      <w:pPr>
        <w:pStyle w:val="BodyText"/>
        <w:spacing w:line="240" w:lineRule="auto" w:before="30"/>
        <w:ind w:left="220" w:right="21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3086"/>
        <w:gridCol w:w="4395"/>
        <w:gridCol w:w="2694"/>
        <w:gridCol w:w="1984"/>
        <w:gridCol w:w="1932"/>
      </w:tblGrid>
      <w:tr>
        <w:trPr>
          <w:trHeight w:val="28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07" w:right="0"/>
              <w:jc w:val="left"/>
              <w:rPr>
                <w:rFonts w:ascii="宋体" w:hAnsi="宋体" w:cs="宋体" w:eastAsia="宋体" w:hint="default"/>
                <w:sz w:val="21"/>
                <w:szCs w:val="21"/>
              </w:rPr>
            </w:pPr>
            <w:r>
              <w:rPr>
                <w:rFonts w:ascii="宋体" w:hAnsi="宋体" w:cs="宋体" w:eastAsia="宋体" w:hint="default"/>
                <w:sz w:val="21"/>
                <w:szCs w:val="21"/>
              </w:rPr>
              <w:t>任职人员姓名</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0"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上海斐讯投资有限公司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086"/>
        <w:gridCol w:w="4395"/>
        <w:gridCol w:w="2694"/>
        <w:gridCol w:w="1984"/>
        <w:gridCol w:w="1932"/>
      </w:tblGrid>
      <w:tr>
        <w:trPr>
          <w:trHeight w:val="39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上海沪斐深万投资管理有限公司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上海斐持志同投资有限公司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上海众翔科技发展有限公司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上海画楼西畔投资合伙企业（有限合伙）</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上海红帽信息技术有限公司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上海古寻投资合伙企业（有限合伙）</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上海绿影长亭投资合伙企业（有限合伙）</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上海共佳投资合伙企业（有限合伙）</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执行事务合伙人委派代表</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张凌兴</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首席运营官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王忠华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王忠华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上海众翔信息系统有限公司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郑敏</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董事、首席执行官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花炳灿</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华东建筑设计研究院有限公司现代都市建筑设计院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李占国</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上海电机学院</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刘士林</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上海交通大学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上海斐讯投资有限公司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上海沪斐深万投资管理有限公司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上海斐持志同投资有限公司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上海众翔科技发展有限公司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上海红帽信息技术有限公司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4" w:top="1120" w:bottom="1380" w:left="122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086"/>
        <w:gridCol w:w="4395"/>
        <w:gridCol w:w="2694"/>
        <w:gridCol w:w="1984"/>
        <w:gridCol w:w="1932"/>
      </w:tblGrid>
      <w:tr>
        <w:trPr>
          <w:trHeight w:val="396"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顾云锋</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浙江郡原地产股份有限公司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浙江郡原地产股份有限公司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钱骏</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北京瑞尔德嘉创业投资管理有限公司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桂林理工大学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证券研究所所长</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桂林理工大学</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MBA</w:t>
            </w:r>
            <w:r>
              <w:rPr>
                <w:rFonts w:ascii="宋体" w:hAnsi="宋体" w:cs="宋体" w:eastAsia="宋体" w:hint="default"/>
                <w:spacing w:val="-46"/>
                <w:sz w:val="18"/>
                <w:szCs w:val="18"/>
              </w:rPr>
              <w:t> </w:t>
            </w:r>
            <w:r>
              <w:rPr>
                <w:rFonts w:ascii="宋体" w:hAnsi="宋体" w:cs="宋体" w:eastAsia="宋体" w:hint="default"/>
                <w:sz w:val="18"/>
                <w:szCs w:val="18"/>
              </w:rPr>
              <w:t>教育中心副主任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索芙特股份有限公司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r>
      <w:tr>
        <w:trPr>
          <w:trHeight w:val="39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广西河池化工股份有限公司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桂林莱茵生物科技股份有限公司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南宁化工股份有限公司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桂林五和律师事务所</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主任律师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广西天华会计师事务所有限责任公司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主任会计师</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柳州钢铁股份有限公司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柳州化工股份有限公司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浙江郡原地产股份有限公司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杭州郡原居里房产开发有限公司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2004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19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6"/>
          <w:szCs w:val="26"/>
        </w:rPr>
      </w:pPr>
    </w:p>
    <w:p>
      <w:pPr>
        <w:pStyle w:val="Heading3"/>
        <w:spacing w:line="240" w:lineRule="auto"/>
        <w:ind w:left="220" w:right="218"/>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39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公司董事、监事的报酬由公司股东大会决定，高级管理人员报酬由公司董事会决定</w:t>
            </w:r>
          </w:p>
        </w:tc>
      </w:tr>
      <w:tr>
        <w:trPr>
          <w:trHeight w:val="39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根据公司实际情况及绩效考核办法执行</w:t>
            </w:r>
          </w:p>
        </w:tc>
      </w:tr>
      <w:tr>
        <w:trPr>
          <w:trHeight w:val="397"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董事、监事和高级管理人员报酬的应付报酬情况</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32.9</w:t>
            </w:r>
            <w:r>
              <w:rPr>
                <w:rFonts w:ascii="宋体" w:hAnsi="宋体" w:cs="宋体" w:eastAsia="宋体" w:hint="default"/>
                <w:spacing w:val="-46"/>
                <w:sz w:val="18"/>
                <w:szCs w:val="18"/>
              </w:rPr>
              <w:t> </w:t>
            </w:r>
            <w:r>
              <w:rPr>
                <w:rFonts w:ascii="宋体" w:hAnsi="宋体" w:cs="宋体" w:eastAsia="宋体" w:hint="default"/>
                <w:sz w:val="18"/>
                <w:szCs w:val="18"/>
              </w:rPr>
              <w:t>万</w:t>
            </w:r>
          </w:p>
        </w:tc>
      </w:tr>
    </w:tbl>
    <w:p>
      <w:pPr>
        <w:spacing w:after="0" w:line="240" w:lineRule="auto"/>
        <w:jc w:val="lef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4361"/>
        <w:gridCol w:w="9729"/>
      </w:tblGrid>
      <w:tr>
        <w:trPr>
          <w:trHeight w:val="712" w:hRule="exact"/>
        </w:trPr>
        <w:tc>
          <w:tcPr>
            <w:tcW w:w="4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103" w:right="103"/>
              <w:jc w:val="left"/>
              <w:rPr>
                <w:rFonts w:ascii="宋体" w:hAnsi="宋体" w:cs="宋体" w:eastAsia="宋体" w:hint="default"/>
                <w:sz w:val="18"/>
                <w:szCs w:val="18"/>
              </w:rPr>
            </w:pPr>
            <w:r>
              <w:rPr>
                <w:rFonts w:ascii="宋体" w:hAnsi="宋体" w:cs="宋体" w:eastAsia="宋体" w:hint="default"/>
                <w:sz w:val="18"/>
                <w:szCs w:val="18"/>
              </w:rPr>
              <w:t>报告期末全体董事、监事和高级管理人员实际获得的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报酬合计</w:t>
            </w:r>
          </w:p>
        </w:tc>
        <w:tc>
          <w:tcPr>
            <w:tcW w:w="9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32.9</w:t>
            </w:r>
            <w:r>
              <w:rPr>
                <w:rFonts w:ascii="宋体" w:hAnsi="宋体" w:cs="宋体" w:eastAsia="宋体" w:hint="default"/>
                <w:spacing w:val="-46"/>
                <w:sz w:val="18"/>
                <w:szCs w:val="18"/>
              </w:rPr>
              <w:t> </w:t>
            </w:r>
            <w:r>
              <w:rPr>
                <w:rFonts w:ascii="宋体" w:hAnsi="宋体" w:cs="宋体" w:eastAsia="宋体" w:hint="default"/>
                <w:sz w:val="18"/>
                <w:szCs w:val="18"/>
              </w:rPr>
              <w:t>万</w:t>
            </w:r>
          </w:p>
        </w:tc>
      </w:tr>
    </w:tbl>
    <w:p>
      <w:pPr>
        <w:spacing w:line="240" w:lineRule="auto" w:before="0"/>
        <w:rPr>
          <w:rFonts w:ascii="宋体" w:hAnsi="宋体" w:cs="宋体" w:eastAsia="宋体" w:hint="default"/>
          <w:b/>
          <w:bCs/>
          <w:sz w:val="20"/>
          <w:szCs w:val="20"/>
        </w:rPr>
      </w:pPr>
    </w:p>
    <w:p>
      <w:pPr>
        <w:pStyle w:val="Heading3"/>
        <w:spacing w:line="240" w:lineRule="auto"/>
        <w:ind w:left="220" w:right="218"/>
        <w:jc w:val="left"/>
        <w:rPr>
          <w:b w:val="0"/>
          <w:bCs w:val="0"/>
        </w:rPr>
      </w:pPr>
      <w:r>
        <w:rPr/>
        <w:t>四、公司董事、监事、高级管理人员变动情况</w:t>
      </w:r>
      <w:r>
        <w:rPr>
          <w:b w:val="0"/>
          <w:bCs w:val="0"/>
        </w:rPr>
      </w:r>
    </w:p>
    <w:p>
      <w:pPr>
        <w:spacing w:line="240" w:lineRule="auto" w:before="1"/>
        <w:rPr>
          <w:rFonts w:ascii="宋体" w:hAnsi="宋体" w:cs="宋体" w:eastAsia="宋体" w:hint="default"/>
          <w:b/>
          <w:bCs/>
          <w:sz w:val="7"/>
          <w:szCs w:val="7"/>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283"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何京云</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张法荣</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6"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赵文劼</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8"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钱骏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王若晨</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张革</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李骅</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第七届董事会届满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张志伟</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第七届监事会届满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董云衍</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第七届监事会届满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周北</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第七届监事会届满</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董事会换届选举、董事会聘任</w:t>
            </w:r>
          </w:p>
        </w:tc>
      </w:tr>
      <w:tr>
        <w:trPr>
          <w:trHeight w:val="398"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张凌兴</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王忠华</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郑敏</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花炳灿</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李占国</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刘士林</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董事会换届选举</w:t>
            </w:r>
          </w:p>
        </w:tc>
      </w:tr>
    </w:tbl>
    <w:p>
      <w:pPr>
        <w:spacing w:after="0" w:line="240" w:lineRule="auto"/>
        <w:jc w:val="left"/>
        <w:rPr>
          <w:rFonts w:ascii="宋体" w:hAnsi="宋体" w:cs="宋体" w:eastAsia="宋体" w:hint="default"/>
          <w:sz w:val="18"/>
          <w:szCs w:val="18"/>
        </w:rPr>
        <w:sectPr>
          <w:pgSz w:w="16840" w:h="11910" w:orient="landscape"/>
          <w:pgMar w:header="882" w:footer="1194" w:top="1120" w:bottom="1380" w:left="1220" w:right="13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07" w:type="dxa"/>
        <w:tblLayout w:type="fixed"/>
        <w:tblCellMar>
          <w:top w:w="0" w:type="dxa"/>
          <w:left w:w="0" w:type="dxa"/>
          <w:bottom w:w="0" w:type="dxa"/>
          <w:right w:w="0" w:type="dxa"/>
        </w:tblCellMar>
        <w:tblLook w:val="01E0"/>
      </w:tblPr>
      <w:tblGrid>
        <w:gridCol w:w="3522"/>
        <w:gridCol w:w="3522"/>
        <w:gridCol w:w="3522"/>
        <w:gridCol w:w="3524"/>
      </w:tblGrid>
      <w:tr>
        <w:trPr>
          <w:trHeight w:val="396"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顾建华</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顾云锋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监事会换届选举</w:t>
            </w:r>
          </w:p>
        </w:tc>
      </w:tr>
      <w:tr>
        <w:trPr>
          <w:trHeight w:val="397"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陈琳</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选举</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职工代表大会选举</w:t>
            </w:r>
          </w:p>
        </w:tc>
      </w:tr>
      <w:tr>
        <w:trPr>
          <w:trHeight w:val="398" w:hRule="exact"/>
        </w:trPr>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苏忠</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3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第八届董事会聘任</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line="343" w:lineRule="auto" w:before="35"/>
        <w:ind w:left="640" w:right="218" w:hanging="420"/>
        <w:jc w:val="left"/>
        <w:rPr>
          <w:rFonts w:ascii="宋体" w:hAnsi="宋体" w:cs="宋体" w:eastAsia="宋体" w:hint="default"/>
          <w:sz w:val="21"/>
          <w:szCs w:val="21"/>
        </w:rPr>
      </w:pPr>
      <w:r>
        <w:rPr>
          <w:rFonts w:ascii="宋体" w:hAnsi="宋体" w:cs="宋体" w:eastAsia="宋体" w:hint="default"/>
          <w:b/>
          <w:bCs/>
          <w:sz w:val="21"/>
          <w:szCs w:val="21"/>
        </w:rPr>
        <w:t>五、公司核心技术团队或关键技术人员情况</w:t>
      </w:r>
      <w:r>
        <w:rPr>
          <w:rFonts w:ascii="宋体" w:hAnsi="宋体" w:cs="宋体" w:eastAsia="宋体" w:hint="default"/>
          <w:b/>
          <w:bCs/>
          <w:w w:val="99"/>
          <w:sz w:val="21"/>
          <w:szCs w:val="21"/>
        </w:rPr>
        <w:t> </w:t>
      </w:r>
      <w:r>
        <w:rPr>
          <w:rFonts w:ascii="宋体" w:hAnsi="宋体" w:cs="宋体" w:eastAsia="宋体" w:hint="default"/>
          <w:sz w:val="21"/>
          <w:szCs w:val="21"/>
        </w:rPr>
        <w:t>公司在本报告期内进军智慧城市业务领域，已搭建了以顾国平先生为首的核心人员管理团队，并组建了一支业务精良、经验丰富的核心业务人员团</w:t>
      </w:r>
    </w:p>
    <w:p>
      <w:pPr>
        <w:pStyle w:val="BodyText"/>
        <w:spacing w:line="357" w:lineRule="auto" w:before="43"/>
        <w:ind w:left="220" w:right="235"/>
        <w:jc w:val="both"/>
      </w:pPr>
      <w:r>
        <w:rPr/>
        <w:t>队。公司将进一步开展人才团队招募计划，依照目前研发与运营中心项目测算，公司拟在两年内扩展至约</w:t>
      </w:r>
      <w:r>
        <w:rPr>
          <w:spacing w:val="-53"/>
        </w:rPr>
        <w:t> </w:t>
      </w:r>
      <w:r>
        <w:rPr>
          <w:rFonts w:ascii="宋体" w:hAnsi="宋体" w:cs="宋体" w:eastAsia="宋体" w:hint="default"/>
        </w:rPr>
        <w:t>200</w:t>
      </w:r>
      <w:r>
        <w:rPr>
          <w:rFonts w:ascii="宋体" w:hAnsi="宋体" w:cs="宋体" w:eastAsia="宋体" w:hint="default"/>
          <w:spacing w:val="-53"/>
        </w:rPr>
        <w:t> </w:t>
      </w:r>
      <w:r>
        <w:rPr/>
        <w:t>人的团队，其中包括：运营、人事、行政 等后台运营人员以及售前、研发、安全方案架构师、解决方案咨询师以及研发工程师、融资租赁咨询师等技术研发及实施咨询人员。此外，公司还将根 据业务发展需要，进一步建立与院校、研究所的技术合作，形成有效的产学研合作机制。</w:t>
      </w:r>
    </w:p>
    <w:p>
      <w:pPr>
        <w:spacing w:after="0" w:line="357" w:lineRule="auto"/>
        <w:jc w:val="both"/>
        <w:sectPr>
          <w:pgSz w:w="16840" w:h="11910" w:orient="landscape"/>
          <w:pgMar w:header="882" w:footer="1194" w:top="1120" w:bottom="1380" w:left="1220" w:right="1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9"/>
        <w:ind w:right="228"/>
        <w:jc w:val="left"/>
        <w:rPr>
          <w:b w:val="0"/>
          <w:bCs w:val="0"/>
        </w:rPr>
      </w:pPr>
      <w:r>
        <w:rPr/>
        <w:t>六、母公司和主要子公司的员工情况</w:t>
      </w:r>
      <w:r>
        <w:rPr>
          <w:b w:val="0"/>
          <w:bCs w:val="0"/>
        </w:rPr>
      </w:r>
    </w:p>
    <w:p>
      <w:pPr>
        <w:pStyle w:val="Heading3"/>
        <w:spacing w:line="240" w:lineRule="auto" w:before="57"/>
        <w:ind w:right="22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5"/>
        </w:rPr>
        <w:t> </w:t>
      </w:r>
      <w:r>
        <w:rPr/>
        <w:t>员工情况</w:t>
      </w:r>
      <w:r>
        <w:rPr>
          <w:b w:val="0"/>
          <w:bCs w:val="0"/>
        </w:rPr>
      </w:r>
    </w:p>
    <w:p>
      <w:pPr>
        <w:spacing w:line="240" w:lineRule="auto" w:before="1"/>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24"/>
        <w:gridCol w:w="4526"/>
      </w:tblGrid>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12</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529</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541</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r>
      <w:tr>
        <w:trPr>
          <w:trHeight w:val="338"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r>
      <w:tr>
        <w:trPr>
          <w:trHeight w:val="33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专业构成人数</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生产人员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232</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18</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w:t>
            </w:r>
          </w:p>
        </w:tc>
      </w:tr>
      <w:tr>
        <w:trPr>
          <w:trHeight w:val="337"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行政人员</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31</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203</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541</w:t>
            </w:r>
          </w:p>
        </w:tc>
      </w:tr>
      <w:tr>
        <w:trPr>
          <w:trHeight w:val="337"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教育程度</w:t>
            </w:r>
            <w:r>
              <w:rPr>
                <w:rFonts w:ascii="宋体" w:hAnsi="宋体" w:cs="宋体" w:eastAsia="宋体" w:hint="default"/>
                <w:sz w:val="18"/>
                <w:szCs w:val="18"/>
              </w:rPr>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大专及以上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01"/>
              <w:jc w:val="right"/>
              <w:rPr>
                <w:rFonts w:ascii="宋体" w:hAnsi="宋体" w:cs="宋体" w:eastAsia="宋体" w:hint="default"/>
                <w:sz w:val="18"/>
                <w:szCs w:val="18"/>
              </w:rPr>
            </w:pPr>
            <w:r>
              <w:rPr>
                <w:rFonts w:ascii="宋体"/>
                <w:sz w:val="18"/>
              </w:rPr>
              <w:t>148</w:t>
            </w:r>
          </w:p>
        </w:tc>
      </w:tr>
      <w:tr>
        <w:trPr>
          <w:trHeight w:val="338"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393</w:t>
            </w:r>
          </w:p>
        </w:tc>
      </w:tr>
      <w:tr>
        <w:trPr>
          <w:trHeight w:val="339" w:hRule="exact"/>
        </w:trPr>
        <w:tc>
          <w:tcPr>
            <w:tcW w:w="4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541</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薪酬政策</w:t>
      </w:r>
      <w:r>
        <w:rPr>
          <w:b w:val="0"/>
          <w:bCs w:val="0"/>
        </w:rPr>
      </w:r>
    </w:p>
    <w:p>
      <w:pPr>
        <w:pStyle w:val="BodyText"/>
        <w:spacing w:line="321" w:lineRule="auto" w:before="92"/>
        <w:ind w:left="218" w:right="246" w:firstLine="420"/>
        <w:jc w:val="both"/>
      </w:pPr>
      <w:r>
        <w:rPr/>
        <w:t>公司的薪酬政策是在国家法律法规框架内基于公司发展战略和公司组织架构特点而制定，为 了保证公司战略及人才战略的实施，公司实行宽幅薪酬，以员工对组织绩效的支持为最主要的衡 量标准，结合员工个人素质确定其薪酬标准，保证薪酬的牵引性和浮动性。</w:t>
      </w:r>
    </w:p>
    <w:p>
      <w:pPr>
        <w:spacing w:line="240" w:lineRule="auto" w:before="12"/>
        <w:rPr>
          <w:rFonts w:ascii="宋体" w:hAnsi="宋体" w:cs="宋体" w:eastAsia="宋体" w:hint="default"/>
          <w:sz w:val="26"/>
          <w:szCs w:val="26"/>
        </w:rPr>
      </w:pPr>
    </w:p>
    <w:p>
      <w:pPr>
        <w:pStyle w:val="Heading3"/>
        <w:spacing w:line="240" w:lineRule="auto" w:before="0"/>
        <w:ind w:right="228"/>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培训计划</w:t>
      </w:r>
      <w:r>
        <w:rPr>
          <w:b w:val="0"/>
          <w:bCs w:val="0"/>
        </w:rPr>
      </w:r>
    </w:p>
    <w:p>
      <w:pPr>
        <w:spacing w:line="240" w:lineRule="auto" w:before="8"/>
        <w:rPr>
          <w:rFonts w:ascii="宋体" w:hAnsi="宋体" w:cs="宋体" w:eastAsia="宋体" w:hint="default"/>
          <w:b/>
          <w:bCs/>
          <w:sz w:val="9"/>
          <w:szCs w:val="9"/>
        </w:rPr>
      </w:pPr>
    </w:p>
    <w:p>
      <w:pPr>
        <w:spacing w:line="2574" w:lineRule="exact"/>
        <w:ind w:left="188" w:right="0" w:firstLine="0"/>
        <w:rPr>
          <w:rFonts w:ascii="宋体" w:hAnsi="宋体" w:cs="宋体" w:eastAsia="宋体" w:hint="default"/>
          <w:sz w:val="20"/>
          <w:szCs w:val="20"/>
        </w:rPr>
      </w:pPr>
      <w:r>
        <w:rPr>
          <w:rFonts w:ascii="宋体" w:hAnsi="宋体" w:cs="宋体" w:eastAsia="宋体" w:hint="default"/>
          <w:position w:val="-50"/>
          <w:sz w:val="20"/>
          <w:szCs w:val="20"/>
        </w:rPr>
        <w:pict>
          <v:shape style="width:444.7pt;height:128.7pt;mso-position-horizontal-relative:char;mso-position-vertical-relative:line" type="#_x0000_t202" filled="true" fillcolor="#fcfcfc" stroked="false">
            <w10:anchorlock/>
            <v:textbox inset="0,0,0,0">
              <w:txbxContent>
                <w:p>
                  <w:pPr>
                    <w:pStyle w:val="BodyText"/>
                    <w:spacing w:line="241" w:lineRule="exact"/>
                    <w:ind w:left="450" w:right="0"/>
                    <w:jc w:val="left"/>
                  </w:pPr>
                  <w:r>
                    <w:rPr/>
                    <w:t>为了全面提升公司全体员工的专业技术能力，公司建立了培训资源共享平台，每月把当月的</w:t>
                  </w:r>
                </w:p>
                <w:p>
                  <w:pPr>
                    <w:pStyle w:val="BodyText"/>
                    <w:spacing w:line="321" w:lineRule="auto" w:before="92"/>
                    <w:ind w:left="450" w:right="32" w:hanging="420"/>
                    <w:jc w:val="left"/>
                  </w:pPr>
                  <w:r>
                    <w:rPr/>
                    <w:t>培训计划共享于平台之上，鼓励公司员工在工作之余积极参与相关培训。 公司的专业技术培训分为“公司级培训”和“部门级培训”两种： 公司级培训：指由公司组织的各种培训，内容包括特定人员参与的培训课程及全员均可参与</w:t>
                  </w:r>
                </w:p>
                <w:p>
                  <w:pPr>
                    <w:pStyle w:val="BodyText"/>
                    <w:spacing w:line="321" w:lineRule="auto" w:before="21"/>
                    <w:ind w:left="30" w:right="29"/>
                    <w:jc w:val="left"/>
                  </w:pPr>
                  <w:r>
                    <w:rPr/>
                    <w:t>的通用能力课程，前者包括新员工培训、各级别管理者管理能力培训</w:t>
                  </w:r>
                  <w:r>
                    <w:rPr>
                      <w:color w:val="1F487C"/>
                    </w:rPr>
                    <w:t>、</w:t>
                  </w:r>
                  <w:r>
                    <w:rPr/>
                    <w:t>大型培训项目等，后者主</w:t>
                  </w:r>
                  <w:r>
                    <w:rPr>
                      <w:spacing w:val="-95"/>
                    </w:rPr>
                    <w:t> </w:t>
                  </w:r>
                  <w:r>
                    <w:rPr>
                      <w:spacing w:val="-95"/>
                    </w:rPr>
                  </w:r>
                  <w:r>
                    <w:rPr/>
                    <w:t>要为通用工作方法和工作技巧类培训等；</w:t>
                  </w:r>
                </w:p>
                <w:p>
                  <w:pPr>
                    <w:pStyle w:val="BodyText"/>
                    <w:spacing w:line="240" w:lineRule="auto" w:before="21"/>
                    <w:ind w:left="450" w:right="0"/>
                    <w:jc w:val="left"/>
                  </w:pPr>
                  <w:r>
                    <w:rPr/>
                    <w:t>部门级培训：主要为各部门自行组织的专业培训。</w:t>
                  </w:r>
                </w:p>
              </w:txbxContent>
            </v:textbox>
            <v:fill type="solid"/>
          </v:shape>
        </w:pict>
      </w:r>
      <w:r>
        <w:rPr>
          <w:rFonts w:ascii="宋体" w:hAnsi="宋体" w:cs="宋体" w:eastAsia="宋体" w:hint="default"/>
          <w:position w:val="-50"/>
          <w:sz w:val="20"/>
          <w:szCs w:val="20"/>
        </w:rPr>
      </w:r>
    </w:p>
    <w:p>
      <w:pPr>
        <w:spacing w:after="0" w:line="2574" w:lineRule="exact"/>
        <w:rPr>
          <w:rFonts w:ascii="宋体" w:hAnsi="宋体" w:cs="宋体" w:eastAsia="宋体" w:hint="default"/>
          <w:sz w:val="20"/>
          <w:szCs w:val="20"/>
        </w:rPr>
        <w:sectPr>
          <w:headerReference w:type="default" r:id="rId28"/>
          <w:footerReference w:type="default" r:id="rId29"/>
          <w:pgSz w:w="11910" w:h="16840"/>
          <w:pgMar w:header="882" w:footer="1194" w:top="1100" w:bottom="1380" w:left="1580" w:right="1040"/>
          <w:pgNumType w:start="48"/>
        </w:sectPr>
      </w:pPr>
    </w:p>
    <w:p>
      <w:pPr>
        <w:spacing w:line="240" w:lineRule="auto" w:before="4"/>
        <w:rPr>
          <w:rFonts w:ascii="宋体" w:hAnsi="宋体" w:cs="宋体" w:eastAsia="宋体" w:hint="default"/>
          <w:b/>
          <w:bCs/>
          <w:sz w:val="25"/>
          <w:szCs w:val="25"/>
        </w:rPr>
      </w:pPr>
    </w:p>
    <w:p>
      <w:pPr>
        <w:pStyle w:val="Heading3"/>
        <w:spacing w:line="240" w:lineRule="auto"/>
        <w:ind w:left="138" w:right="135"/>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专业构成统计图</w:t>
      </w:r>
      <w:r>
        <w:rPr>
          <w:b w:val="0"/>
          <w:bCs w:val="0"/>
        </w:rPr>
      </w:r>
    </w:p>
    <w:p>
      <w:pPr>
        <w:spacing w:line="240" w:lineRule="auto" w:before="1"/>
        <w:rPr>
          <w:rFonts w:ascii="宋体" w:hAnsi="宋体" w:cs="宋体" w:eastAsia="宋体" w:hint="default"/>
          <w:b/>
          <w:bCs/>
          <w:sz w:val="5"/>
          <w:szCs w:val="5"/>
        </w:rPr>
      </w:pPr>
    </w:p>
    <w:p>
      <w:pPr>
        <w:spacing w:line="3899" w:lineRule="exact"/>
        <w:ind w:left="1568"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3788782" cy="24759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0" cstate="print"/>
                    <a:stretch>
                      <a:fillRect/>
                    </a:stretch>
                  </pic:blipFill>
                  <pic:spPr>
                    <a:xfrm>
                      <a:off x="0" y="0"/>
                      <a:ext cx="3788782" cy="2475928"/>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12"/>
        <w:rPr>
          <w:rFonts w:ascii="宋体" w:hAnsi="宋体" w:cs="宋体" w:eastAsia="宋体" w:hint="default"/>
          <w:b/>
          <w:bCs/>
          <w:sz w:val="23"/>
          <w:szCs w:val="23"/>
        </w:rPr>
      </w:pPr>
    </w:p>
    <w:p>
      <w:pPr>
        <w:pStyle w:val="Heading3"/>
        <w:spacing w:line="240" w:lineRule="auto" w:before="0"/>
        <w:ind w:left="138" w:right="135"/>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2"/>
        </w:rPr>
        <w:t> </w:t>
      </w:r>
      <w:r>
        <w:rPr/>
        <w:t>教育程度统计图</w:t>
      </w:r>
      <w:r>
        <w:rPr>
          <w:b w:val="0"/>
          <w:bCs w:val="0"/>
        </w:rPr>
      </w:r>
    </w:p>
    <w:p>
      <w:pPr>
        <w:spacing w:line="240" w:lineRule="auto" w:before="0"/>
        <w:rPr>
          <w:rFonts w:ascii="宋体" w:hAnsi="宋体" w:cs="宋体" w:eastAsia="宋体" w:hint="default"/>
          <w:b/>
          <w:bCs/>
          <w:sz w:val="5"/>
          <w:szCs w:val="5"/>
        </w:rPr>
      </w:pPr>
    </w:p>
    <w:p>
      <w:pPr>
        <w:spacing w:line="3653" w:lineRule="exact"/>
        <w:ind w:left="170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631812" cy="2319718"/>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31" cstate="print"/>
                    <a:stretch>
                      <a:fillRect/>
                    </a:stretch>
                  </pic:blipFill>
                  <pic:spPr>
                    <a:xfrm>
                      <a:off x="0" y="0"/>
                      <a:ext cx="3631812" cy="2319718"/>
                    </a:xfrm>
                    <a:prstGeom prst="rect">
                      <a:avLst/>
                    </a:prstGeom>
                  </pic:spPr>
                </pic:pic>
              </a:graphicData>
            </a:graphic>
          </wp:inline>
        </w:drawing>
      </w:r>
      <w:r>
        <w:rPr>
          <w:rFonts w:ascii="宋体" w:hAnsi="宋体" w:cs="宋体" w:eastAsia="宋体" w:hint="default"/>
          <w:position w:val="-72"/>
          <w:sz w:val="20"/>
          <w:szCs w:val="20"/>
        </w:rPr>
      </w:r>
    </w:p>
    <w:p>
      <w:pPr>
        <w:spacing w:after="0" w:line="3653" w:lineRule="exact"/>
        <w:rPr>
          <w:rFonts w:ascii="宋体" w:hAnsi="宋体" w:cs="宋体" w:eastAsia="宋体" w:hint="default"/>
          <w:sz w:val="20"/>
          <w:szCs w:val="20"/>
        </w:rPr>
        <w:sectPr>
          <w:pgSz w:w="11910" w:h="16840"/>
          <w:pgMar w:header="882" w:footer="1194" w:top="1120" w:bottom="1380" w:left="1660" w:right="1140"/>
        </w:sectPr>
      </w:pPr>
    </w:p>
    <w:p>
      <w:pPr>
        <w:spacing w:line="240" w:lineRule="auto" w:before="2"/>
        <w:rPr>
          <w:rFonts w:ascii="宋体" w:hAnsi="宋体" w:cs="宋体" w:eastAsia="宋体" w:hint="default"/>
          <w:b/>
          <w:bCs/>
          <w:sz w:val="26"/>
          <w:szCs w:val="26"/>
        </w:rPr>
      </w:pPr>
    </w:p>
    <w:p>
      <w:pPr>
        <w:pStyle w:val="Heading1"/>
        <w:tabs>
          <w:tab w:pos="1262" w:val="left" w:leader="none"/>
        </w:tabs>
        <w:spacing w:line="240" w:lineRule="auto"/>
        <w:ind w:left="2" w:right="0"/>
        <w:jc w:val="center"/>
        <w:rPr>
          <w:b w:val="0"/>
          <w:bCs w:val="0"/>
        </w:rPr>
      </w:pPr>
      <w:bookmarkStart w:name="_TOC_250003" w:id="8"/>
      <w:r>
        <w:rPr>
          <w:w w:val="95"/>
        </w:rPr>
        <w:t>第八节</w:t>
        <w:tab/>
      </w:r>
      <w:r>
        <w:rPr/>
        <w:t>公司治理</w:t>
      </w:r>
      <w:bookmarkEnd w:id="8"/>
      <w:r>
        <w:rPr>
          <w:b w:val="0"/>
          <w:bCs w:val="0"/>
        </w:rPr>
      </w:r>
    </w:p>
    <w:p>
      <w:pPr>
        <w:spacing w:line="343" w:lineRule="auto" w:before="249"/>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一、公司治理及内幕知情人登记管理等相关情况说明</w:t>
      </w:r>
      <w:r>
        <w:rPr>
          <w:rFonts w:ascii="宋体" w:hAnsi="宋体" w:cs="宋体" w:eastAsia="宋体" w:hint="default"/>
          <w:b/>
          <w:bCs/>
          <w:w w:val="99"/>
          <w:sz w:val="21"/>
          <w:szCs w:val="21"/>
        </w:rPr>
        <w:t> </w:t>
      </w:r>
      <w:r>
        <w:rPr>
          <w:rFonts w:ascii="宋体" w:hAnsi="宋体" w:cs="宋体" w:eastAsia="宋体" w:hint="default"/>
          <w:sz w:val="21"/>
          <w:szCs w:val="21"/>
        </w:rPr>
        <w:t>报告期内，公司严格按照《公司法》、《证券法》、《上市公司治理准则》和中国证监会、</w:t>
      </w:r>
    </w:p>
    <w:p>
      <w:pPr>
        <w:pStyle w:val="BodyText"/>
        <w:spacing w:line="357" w:lineRule="auto" w:before="43"/>
        <w:ind w:right="146"/>
        <w:jc w:val="both"/>
      </w:pPr>
      <w:r>
        <w:rPr/>
        <w:t>上海证券交易所有关法律法规的要求，不断完善公司法人治理结构，规范公司经营运作。公司现 存的股东大会、董事会、监事会和高级管理人员组成的治理架构，形成了权力机构、决策机构、 监督机构和管理层之间权责分明、运作规范的制衡机制。公司的法人治理结构符合现代企业制度 和《上市公司治理准则》的要求。</w:t>
      </w:r>
    </w:p>
    <w:p>
      <w:pPr>
        <w:pStyle w:val="BodyText"/>
        <w:spacing w:line="355" w:lineRule="auto" w:before="31"/>
        <w:ind w:left="558" w:right="128" w:hanging="210"/>
        <w:jc w:val="left"/>
      </w:pPr>
      <w:r>
        <w:rPr>
          <w:rFonts w:ascii="宋体" w:hAnsi="宋体" w:cs="宋体" w:eastAsia="宋体" w:hint="default"/>
        </w:rPr>
        <w:t>1</w:t>
      </w:r>
      <w:r>
        <w:rPr/>
        <w:t>、股东与股东大会 公司能够按照《公司章程》、《股东大会议事规则》规定召集、召开股东大会，尊重中小股</w:t>
      </w:r>
    </w:p>
    <w:p>
      <w:pPr>
        <w:pStyle w:val="BodyText"/>
        <w:spacing w:line="357" w:lineRule="auto" w:before="33"/>
        <w:ind w:right="147"/>
        <w:jc w:val="both"/>
      </w:pPr>
      <w:r>
        <w:rPr/>
        <w:t>东的意见，保护各方股东的合法权益，依法审议、表决议案，确保股东享有平等权利。公司股东 大会对关联交易严格按规定的程序进行，关联股东在表决时实行回避，保证关联交易符合公开、 公平、公正、合理的原则。</w:t>
      </w:r>
    </w:p>
    <w:p>
      <w:pPr>
        <w:pStyle w:val="BodyText"/>
        <w:spacing w:line="355" w:lineRule="auto" w:before="30"/>
        <w:ind w:left="558" w:right="128" w:hanging="210"/>
        <w:jc w:val="left"/>
      </w:pPr>
      <w:r>
        <w:rPr>
          <w:rFonts w:ascii="宋体" w:hAnsi="宋体" w:cs="宋体" w:eastAsia="宋体" w:hint="default"/>
        </w:rPr>
        <w:t>2</w:t>
      </w:r>
      <w:r>
        <w:rPr/>
        <w:t>、控股股东和上市公司 公司控股股东依法行使权利、承担义务，公司未发生为控股股东担保或控股股东占用上市公</w:t>
      </w:r>
    </w:p>
    <w:p>
      <w:pPr>
        <w:pStyle w:val="BodyText"/>
        <w:spacing w:line="355" w:lineRule="auto" w:before="33"/>
        <w:ind w:left="348" w:right="1388" w:hanging="210"/>
        <w:jc w:val="left"/>
      </w:pPr>
      <w:r>
        <w:rPr/>
        <w:t>司资金的情况，不存在控股股东利用其控股地位损害公司和中小股东利益的现象。 </w:t>
      </w:r>
      <w:r>
        <w:rPr>
          <w:rFonts w:ascii="宋体" w:hAnsi="宋体" w:cs="宋体" w:eastAsia="宋体" w:hint="default"/>
        </w:rPr>
        <w:t>3</w:t>
      </w:r>
      <w:r>
        <w:rPr/>
        <w:t>、董事与董事会</w:t>
      </w:r>
    </w:p>
    <w:p>
      <w:pPr>
        <w:pStyle w:val="BodyText"/>
        <w:spacing w:line="355" w:lineRule="auto" w:before="34"/>
        <w:ind w:right="145" w:firstLine="420"/>
        <w:jc w:val="both"/>
      </w:pPr>
      <w:r>
        <w:rPr/>
        <w:t>董事会能够按照《公司章程》和《议事规则》的要求召集、召开，能够充分发挥专门委员会 的作用，独立董事严格认真、勤勉尽责，审议报告期内发生的关联交易事项，并发表独立意见。</w:t>
      </w:r>
    </w:p>
    <w:p>
      <w:pPr>
        <w:pStyle w:val="BodyText"/>
        <w:spacing w:line="355" w:lineRule="auto" w:before="33"/>
        <w:ind w:left="558" w:right="128" w:hanging="210"/>
        <w:jc w:val="left"/>
      </w:pPr>
      <w:r>
        <w:rPr>
          <w:rFonts w:ascii="宋体" w:hAnsi="宋体" w:cs="宋体" w:eastAsia="宋体" w:hint="default"/>
        </w:rPr>
        <w:t>4</w:t>
      </w:r>
      <w:r>
        <w:rPr/>
        <w:t>、监事与监事会 公司监事会由三人组成，其中职工监事一人。报告期内，监事会全体成员均列席了全部董事</w:t>
      </w:r>
    </w:p>
    <w:p>
      <w:pPr>
        <w:pStyle w:val="BodyText"/>
        <w:spacing w:line="357" w:lineRule="auto" w:before="32"/>
        <w:ind w:right="146"/>
        <w:jc w:val="both"/>
      </w:pPr>
      <w:r>
        <w:rPr/>
        <w:t>会会议，并对公司财务以及公司董事、高级管理人员履行职责的合法、合规性进行监督，努力维 护公司和股东合法权益。</w:t>
      </w:r>
    </w:p>
    <w:p>
      <w:pPr>
        <w:pStyle w:val="BodyText"/>
        <w:spacing w:line="357" w:lineRule="auto" w:before="30"/>
        <w:ind w:left="558" w:right="123" w:hanging="210"/>
        <w:jc w:val="left"/>
      </w:pPr>
      <w:r>
        <w:rPr>
          <w:rFonts w:ascii="宋体" w:hAnsi="宋体" w:cs="宋体" w:eastAsia="宋体" w:hint="default"/>
        </w:rPr>
        <w:t>5</w:t>
      </w:r>
      <w:r>
        <w:rPr/>
        <w:t>、利益相关者 </w:t>
      </w:r>
      <w:r>
        <w:rPr>
          <w:spacing w:val="-5"/>
        </w:rPr>
        <w:t>公司能够尊重和维护相关利益者的合法权益，积极推动公司稳健发展，努力实现股东、员工、</w:t>
      </w:r>
    </w:p>
    <w:p>
      <w:pPr>
        <w:pStyle w:val="BodyText"/>
        <w:spacing w:line="357" w:lineRule="auto" w:before="30"/>
        <w:ind w:left="348" w:right="6218" w:hanging="210"/>
        <w:jc w:val="left"/>
      </w:pPr>
      <w:r>
        <w:rPr/>
        <w:t>社会各方面利益的协调平衡。 </w:t>
      </w:r>
      <w:r>
        <w:rPr>
          <w:rFonts w:ascii="宋体" w:hAnsi="宋体" w:cs="宋体" w:eastAsia="宋体" w:hint="default"/>
        </w:rPr>
        <w:t>6</w:t>
      </w:r>
      <w:r>
        <w:rPr/>
        <w:t>、信息披露与透明度</w:t>
      </w:r>
    </w:p>
    <w:p>
      <w:pPr>
        <w:pStyle w:val="BodyText"/>
        <w:spacing w:line="357" w:lineRule="auto" w:before="30"/>
        <w:ind w:right="147" w:firstLine="420"/>
        <w:jc w:val="both"/>
      </w:pPr>
      <w:r>
        <w:rPr/>
        <w:t>公司董事会秘书负责信息披露工作，接待股东来访和咨询，指定《中国证券报》、《上海证 券报》、《证券时报》、《证券日报》为公司信息披露报刊。公司的信息披露严格按照中国证监 会有关规定和上海证券交易所《上市规则》的要求，确保信息披露的真实、准确、及时、完整以 及所有股东能够平等获取信息的权利。</w:t>
      </w:r>
    </w:p>
    <w:p>
      <w:pPr>
        <w:pStyle w:val="BodyText"/>
        <w:spacing w:line="355" w:lineRule="auto" w:before="32"/>
        <w:ind w:right="146" w:firstLine="420"/>
        <w:jc w:val="both"/>
      </w:pPr>
      <w:r>
        <w:rPr/>
        <w:t>另外，公司已建立《内幕信息知情人登记管理制度》，并根据制度规定，及时进行内幕信息 知情人登记备案。</w:t>
      </w:r>
    </w:p>
    <w:p>
      <w:pPr>
        <w:pStyle w:val="BodyText"/>
        <w:spacing w:line="240" w:lineRule="auto" w:before="33"/>
        <w:ind w:left="558" w:right="135"/>
        <w:jc w:val="left"/>
      </w:pPr>
      <w:r>
        <w:rPr/>
        <w:t>报告期内，公司修订及制定的制度有《公司章程》、《募集资金管理办法》。</w:t>
      </w:r>
    </w:p>
    <w:p>
      <w:pPr>
        <w:spacing w:after="0" w:line="240" w:lineRule="auto"/>
        <w:jc w:val="left"/>
        <w:sectPr>
          <w:footerReference w:type="default" r:id="rId32"/>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5"/>
        <w:ind w:left="378" w:right="0"/>
        <w:jc w:val="left"/>
        <w:rPr>
          <w:b w:val="0"/>
          <w:bCs w:val="0"/>
        </w:rPr>
      </w:pPr>
      <w:r>
        <w:rPr/>
        <w:t>二、股东大会情况简介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136"/>
        <w:gridCol w:w="992"/>
        <w:gridCol w:w="3528"/>
        <w:gridCol w:w="992"/>
        <w:gridCol w:w="1559"/>
        <w:gridCol w:w="1162"/>
      </w:tblGrid>
      <w:tr>
        <w:trPr>
          <w:trHeight w:val="68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42" w:right="144"/>
              <w:jc w:val="left"/>
              <w:rPr>
                <w:rFonts w:ascii="宋体" w:hAnsi="宋体" w:cs="宋体" w:eastAsia="宋体" w:hint="default"/>
                <w:sz w:val="18"/>
                <w:szCs w:val="18"/>
              </w:rPr>
            </w:pPr>
            <w:r>
              <w:rPr>
                <w:rFonts w:ascii="宋体" w:hAnsi="宋体" w:cs="宋体" w:eastAsia="宋体" w:hint="default"/>
                <w:sz w:val="18"/>
                <w:szCs w:val="18"/>
              </w:rPr>
              <w:t>决议刊登的指定 网站的查询索引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214" w:right="125" w:hanging="90"/>
              <w:jc w:val="left"/>
              <w:rPr>
                <w:rFonts w:ascii="宋体" w:hAnsi="宋体" w:cs="宋体" w:eastAsia="宋体" w:hint="default"/>
                <w:sz w:val="18"/>
                <w:szCs w:val="18"/>
              </w:rPr>
            </w:pPr>
            <w:r>
              <w:rPr>
                <w:rFonts w:ascii="宋体" w:hAnsi="宋体" w:cs="宋体" w:eastAsia="宋体" w:hint="default"/>
                <w:sz w:val="18"/>
                <w:szCs w:val="18"/>
              </w:rPr>
              <w:t>决议刊登的 披露日期</w:t>
            </w:r>
          </w:p>
        </w:tc>
      </w:tr>
      <w:tr>
        <w:trPr>
          <w:trHeight w:val="250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2" w:right="47"/>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5"/>
                <w:sz w:val="18"/>
                <w:szCs w:val="18"/>
              </w:rPr>
              <w:t> </w:t>
            </w:r>
            <w:r>
              <w:rPr>
                <w:rFonts w:ascii="宋体" w:hAnsi="宋体" w:cs="宋体" w:eastAsia="宋体" w:hint="default"/>
                <w:spacing w:val="27"/>
                <w:sz w:val="18"/>
                <w:szCs w:val="18"/>
              </w:rPr>
              <w:t>年度</w:t>
            </w:r>
            <w:r>
              <w:rPr>
                <w:rFonts w:ascii="宋体" w:hAnsi="宋体" w:cs="宋体" w:eastAsia="宋体" w:hint="default"/>
                <w:spacing w:val="-35"/>
                <w:sz w:val="18"/>
                <w:szCs w:val="18"/>
              </w:rPr>
              <w:t> </w:t>
            </w:r>
            <w:r>
              <w:rPr>
                <w:rFonts w:ascii="宋体" w:hAnsi="宋体" w:cs="宋体" w:eastAsia="宋体" w:hint="default"/>
                <w:sz w:val="18"/>
                <w:szCs w:val="18"/>
              </w:rPr>
              <w:t>股东大会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6</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3" w:right="1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年度董事会工作报告；</w:t>
            </w: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51"/>
                <w:sz w:val="18"/>
                <w:szCs w:val="18"/>
              </w:rPr>
              <w:t> </w:t>
            </w:r>
            <w:r>
              <w:rPr>
                <w:rFonts w:ascii="宋体" w:hAnsi="宋体" w:cs="宋体" w:eastAsia="宋体" w:hint="default"/>
                <w:sz w:val="18"/>
                <w:szCs w:val="18"/>
              </w:rPr>
              <w:t>年 </w:t>
            </w:r>
            <w:r>
              <w:rPr>
                <w:rFonts w:ascii="宋体" w:hAnsi="宋体" w:cs="宋体" w:eastAsia="宋体" w:hint="default"/>
                <w:spacing w:val="-5"/>
                <w:sz w:val="18"/>
                <w:szCs w:val="18"/>
              </w:rPr>
              <w:t>度监事会工作报告；</w:t>
            </w:r>
            <w:r>
              <w:rPr>
                <w:rFonts w:ascii="宋体" w:hAnsi="宋体" w:cs="宋体" w:eastAsia="宋体" w:hint="default"/>
                <w:spacing w:val="-5"/>
                <w:sz w:val="18"/>
                <w:szCs w:val="18"/>
              </w:rPr>
              <w:t>3</w:t>
            </w:r>
            <w:r>
              <w:rPr>
                <w:rFonts w:ascii="宋体" w:hAnsi="宋体" w:cs="宋体" w:eastAsia="宋体" w:hint="default"/>
                <w:spacing w:val="-5"/>
                <w:sz w:val="18"/>
                <w:szCs w:val="18"/>
              </w:rPr>
              <w:t>、</w:t>
            </w:r>
            <w:r>
              <w:rPr>
                <w:rFonts w:ascii="宋体" w:hAnsi="宋体" w:cs="宋体" w:eastAsia="宋体" w:hint="default"/>
                <w:spacing w:val="-5"/>
                <w:sz w:val="18"/>
                <w:szCs w:val="18"/>
              </w:rPr>
              <w:t>2013</w:t>
            </w:r>
            <w:r>
              <w:rPr>
                <w:rFonts w:ascii="宋体" w:hAnsi="宋体" w:cs="宋体" w:eastAsia="宋体" w:hint="default"/>
                <w:spacing w:val="-43"/>
                <w:sz w:val="18"/>
                <w:szCs w:val="18"/>
              </w:rPr>
              <w:t> </w:t>
            </w:r>
            <w:r>
              <w:rPr>
                <w:rFonts w:ascii="宋体" w:hAnsi="宋体" w:cs="宋体" w:eastAsia="宋体" w:hint="default"/>
                <w:sz w:val="18"/>
                <w:szCs w:val="18"/>
              </w:rPr>
              <w:t>年度独立董事</w:t>
            </w:r>
            <w:r>
              <w:rPr>
                <w:rFonts w:ascii="宋体" w:hAnsi="宋体" w:cs="宋体" w:eastAsia="宋体" w:hint="default"/>
                <w:spacing w:val="-82"/>
                <w:sz w:val="18"/>
                <w:szCs w:val="18"/>
              </w:rPr>
              <w:t> </w:t>
            </w:r>
            <w:r>
              <w:rPr>
                <w:rFonts w:ascii="宋体" w:hAnsi="宋体" w:cs="宋体" w:eastAsia="宋体" w:hint="default"/>
                <w:spacing w:val="-4"/>
                <w:sz w:val="18"/>
                <w:szCs w:val="18"/>
              </w:rPr>
              <w:t>述职报告；</w:t>
            </w:r>
            <w:r>
              <w:rPr>
                <w:rFonts w:ascii="宋体" w:hAnsi="宋体" w:cs="宋体" w:eastAsia="宋体" w:hint="default"/>
                <w:spacing w:val="-4"/>
                <w:sz w:val="18"/>
                <w:szCs w:val="18"/>
              </w:rPr>
              <w:t>4</w:t>
            </w:r>
            <w:r>
              <w:rPr>
                <w:rFonts w:ascii="宋体" w:hAnsi="宋体" w:cs="宋体" w:eastAsia="宋体" w:hint="default"/>
                <w:spacing w:val="-4"/>
                <w:sz w:val="18"/>
                <w:szCs w:val="18"/>
              </w:rPr>
              <w:t>、</w:t>
            </w:r>
            <w:r>
              <w:rPr>
                <w:rFonts w:ascii="宋体" w:hAnsi="宋体" w:cs="宋体" w:eastAsia="宋体" w:hint="default"/>
                <w:spacing w:val="-4"/>
                <w:sz w:val="18"/>
                <w:szCs w:val="18"/>
              </w:rPr>
              <w:t>2013</w:t>
            </w:r>
            <w:r>
              <w:rPr>
                <w:rFonts w:ascii="宋体" w:hAnsi="宋体" w:cs="宋体" w:eastAsia="宋体" w:hint="default"/>
                <w:spacing w:val="-62"/>
                <w:sz w:val="18"/>
                <w:szCs w:val="18"/>
              </w:rPr>
              <w:t> </w:t>
            </w:r>
            <w:r>
              <w:rPr>
                <w:rFonts w:ascii="宋体" w:hAnsi="宋体" w:cs="宋体" w:eastAsia="宋体" w:hint="default"/>
                <w:sz w:val="18"/>
                <w:szCs w:val="18"/>
              </w:rPr>
              <w:t>年度财务决算报告；</w:t>
            </w:r>
            <w:r>
              <w:rPr>
                <w:rFonts w:ascii="宋体" w:hAnsi="宋体" w:cs="宋体" w:eastAsia="宋体" w:hint="default"/>
                <w:sz w:val="18"/>
                <w:szCs w:val="18"/>
              </w:rPr>
              <w:t>5</w:t>
            </w:r>
            <w:r>
              <w:rPr>
                <w:rFonts w:ascii="宋体" w:hAnsi="宋体" w:cs="宋体" w:eastAsia="宋体" w:hint="default"/>
                <w:sz w:val="18"/>
                <w:szCs w:val="18"/>
              </w:rPr>
              <w:t>、 </w:t>
            </w:r>
            <w:r>
              <w:rPr>
                <w:rFonts w:ascii="宋体" w:hAnsi="宋体" w:cs="宋体" w:eastAsia="宋体" w:hint="default"/>
                <w:sz w:val="18"/>
                <w:szCs w:val="18"/>
              </w:rPr>
              <w:t>2013 </w:t>
            </w:r>
            <w:r>
              <w:rPr>
                <w:rFonts w:ascii="宋体" w:hAnsi="宋体" w:cs="宋体" w:eastAsia="宋体" w:hint="default"/>
                <w:sz w:val="18"/>
                <w:szCs w:val="18"/>
              </w:rPr>
              <w:t>年度利润分配预案；</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20"/>
                <w:sz w:val="18"/>
                <w:szCs w:val="18"/>
              </w:rPr>
              <w:t> </w:t>
            </w:r>
            <w:r>
              <w:rPr>
                <w:rFonts w:ascii="宋体" w:hAnsi="宋体" w:cs="宋体" w:eastAsia="宋体" w:hint="default"/>
                <w:sz w:val="18"/>
                <w:szCs w:val="18"/>
              </w:rPr>
              <w:t>年度报 告正文及摘要；</w:t>
            </w:r>
            <w:r>
              <w:rPr>
                <w:rFonts w:ascii="宋体" w:hAnsi="宋体" w:cs="宋体" w:eastAsia="宋体" w:hint="default"/>
                <w:sz w:val="18"/>
                <w:szCs w:val="18"/>
              </w:rPr>
              <w:t>7</w:t>
            </w:r>
            <w:r>
              <w:rPr>
                <w:rFonts w:ascii="宋体" w:hAnsi="宋体" w:cs="宋体" w:eastAsia="宋体" w:hint="default"/>
                <w:sz w:val="18"/>
                <w:szCs w:val="18"/>
              </w:rPr>
              <w:t>、关于对非标准无保留审 计意见涉及事项的专项说明；</w:t>
            </w:r>
            <w:r>
              <w:rPr>
                <w:rFonts w:ascii="宋体" w:hAnsi="宋体" w:cs="宋体" w:eastAsia="宋体" w:hint="default"/>
                <w:sz w:val="18"/>
                <w:szCs w:val="18"/>
              </w:rPr>
              <w:t>8</w:t>
            </w:r>
            <w:r>
              <w:rPr>
                <w:rFonts w:ascii="宋体" w:hAnsi="宋体" w:cs="宋体" w:eastAsia="宋体" w:hint="default"/>
                <w:sz w:val="18"/>
                <w:szCs w:val="18"/>
              </w:rPr>
              <w:t>、关于董事 会延期换届的议案；</w:t>
            </w:r>
            <w:r>
              <w:rPr>
                <w:rFonts w:ascii="宋体" w:hAnsi="宋体" w:cs="宋体" w:eastAsia="宋体" w:hint="default"/>
                <w:sz w:val="18"/>
                <w:szCs w:val="18"/>
              </w:rPr>
              <w:t>9</w:t>
            </w:r>
            <w:r>
              <w:rPr>
                <w:rFonts w:ascii="宋体" w:hAnsi="宋体" w:cs="宋体" w:eastAsia="宋体" w:hint="default"/>
                <w:sz w:val="18"/>
                <w:szCs w:val="18"/>
              </w:rPr>
              <w:t>、关于监事会延期换 届的议案。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1" w:right="87"/>
              <w:jc w:val="left"/>
              <w:rPr>
                <w:rFonts w:ascii="宋体" w:hAnsi="宋体" w:cs="宋体" w:eastAsia="宋体" w:hint="default"/>
                <w:sz w:val="18"/>
                <w:szCs w:val="18"/>
              </w:rPr>
            </w:pPr>
            <w:r>
              <w:rPr>
                <w:rFonts w:ascii="宋体" w:hAnsi="宋体" w:cs="宋体" w:eastAsia="宋体" w:hint="default"/>
                <w:spacing w:val="13"/>
                <w:sz w:val="18"/>
                <w:szCs w:val="18"/>
              </w:rPr>
              <w:t>全部审议</w:t>
            </w:r>
            <w:r>
              <w:rPr>
                <w:rFonts w:ascii="宋体" w:hAnsi="宋体" w:cs="宋体" w:eastAsia="宋体" w:hint="default"/>
                <w:spacing w:val="-72"/>
                <w:sz w:val="18"/>
                <w:szCs w:val="18"/>
              </w:rPr>
              <w:t> </w:t>
            </w: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hyperlink r:id="rId9">
              <w:r>
                <w:rPr>
                  <w:rFonts w:ascii="宋体"/>
                  <w:sz w:val="18"/>
                </w:rPr>
                <w:t>www.sse.com.cn</w:t>
              </w:r>
            </w:hyperlink>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60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3"/>
              <w:ind w:left="102" w:right="4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pacing w:val="27"/>
                <w:sz w:val="18"/>
                <w:szCs w:val="18"/>
              </w:rPr>
              <w:t>年第</w:t>
            </w:r>
            <w:r>
              <w:rPr>
                <w:rFonts w:ascii="宋体" w:hAnsi="宋体" w:cs="宋体" w:eastAsia="宋体" w:hint="default"/>
                <w:spacing w:val="-35"/>
                <w:sz w:val="18"/>
                <w:szCs w:val="18"/>
              </w:rPr>
              <w:t> </w:t>
            </w:r>
            <w:r>
              <w:rPr>
                <w:rFonts w:ascii="宋体" w:hAnsi="宋体" w:cs="宋体" w:eastAsia="宋体" w:hint="default"/>
                <w:spacing w:val="4"/>
                <w:sz w:val="18"/>
                <w:szCs w:val="18"/>
              </w:rPr>
              <w:t>一次临时股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8</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3"/>
              <w:ind w:left="103" w:right="101"/>
              <w:jc w:val="both"/>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、关于增补董事的议案；</w:t>
            </w:r>
            <w:r>
              <w:rPr>
                <w:rFonts w:ascii="宋体" w:hAnsi="宋体" w:cs="宋体" w:eastAsia="宋体" w:hint="default"/>
                <w:spacing w:val="3"/>
                <w:sz w:val="18"/>
                <w:szCs w:val="18"/>
              </w:rPr>
              <w:t>2</w:t>
            </w:r>
            <w:r>
              <w:rPr>
                <w:rFonts w:ascii="宋体" w:hAnsi="宋体" w:cs="宋体" w:eastAsia="宋体" w:hint="default"/>
                <w:spacing w:val="3"/>
                <w:sz w:val="18"/>
                <w:szCs w:val="18"/>
              </w:rPr>
              <w:t>、关于对全资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子公司增资的议案；</w:t>
            </w:r>
            <w:r>
              <w:rPr>
                <w:rFonts w:ascii="宋体" w:hAnsi="宋体" w:cs="宋体" w:eastAsia="宋体" w:hint="default"/>
                <w:spacing w:val="-1"/>
                <w:sz w:val="18"/>
                <w:szCs w:val="18"/>
              </w:rPr>
              <w:t>3</w:t>
            </w:r>
            <w:r>
              <w:rPr>
                <w:rFonts w:ascii="宋体" w:hAnsi="宋体" w:cs="宋体" w:eastAsia="宋体" w:hint="default"/>
                <w:spacing w:val="-1"/>
                <w:sz w:val="18"/>
                <w:szCs w:val="18"/>
              </w:rPr>
              <w:t>、关于修改公司章程</w:t>
            </w:r>
            <w:r>
              <w:rPr>
                <w:rFonts w:ascii="宋体" w:hAnsi="宋体" w:cs="宋体" w:eastAsia="宋体" w:hint="default"/>
                <w:sz w:val="18"/>
                <w:szCs w:val="18"/>
              </w:rPr>
              <w:t> </w:t>
            </w:r>
            <w:r>
              <w:rPr>
                <w:rFonts w:ascii="宋体" w:hAnsi="宋体" w:cs="宋体" w:eastAsia="宋体" w:hint="default"/>
                <w:spacing w:val="-2"/>
                <w:sz w:val="18"/>
                <w:szCs w:val="18"/>
              </w:rPr>
              <w:t>的议案；</w:t>
            </w:r>
            <w:r>
              <w:rPr>
                <w:rFonts w:ascii="宋体" w:hAnsi="宋体" w:cs="宋体" w:eastAsia="宋体" w:hint="default"/>
                <w:spacing w:val="-2"/>
                <w:sz w:val="18"/>
                <w:szCs w:val="18"/>
              </w:rPr>
              <w:t>4</w:t>
            </w:r>
            <w:r>
              <w:rPr>
                <w:rFonts w:ascii="宋体" w:hAnsi="宋体" w:cs="宋体" w:eastAsia="宋体" w:hint="default"/>
                <w:spacing w:val="-2"/>
                <w:sz w:val="18"/>
                <w:szCs w:val="18"/>
              </w:rPr>
              <w:t>、关于制定公司未来三年股东回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报规划的议案；</w:t>
            </w:r>
            <w:r>
              <w:rPr>
                <w:rFonts w:ascii="宋体" w:hAnsi="宋体" w:cs="宋体" w:eastAsia="宋体" w:hint="default"/>
                <w:spacing w:val="-1"/>
                <w:sz w:val="18"/>
                <w:szCs w:val="18"/>
              </w:rPr>
              <w:t>5</w:t>
            </w:r>
            <w:r>
              <w:rPr>
                <w:rFonts w:ascii="宋体" w:hAnsi="宋体" w:cs="宋体" w:eastAsia="宋体" w:hint="default"/>
                <w:spacing w:val="-1"/>
                <w:sz w:val="18"/>
                <w:szCs w:val="18"/>
              </w:rPr>
              <w:t>、关于制定公司《募集资</w:t>
            </w:r>
            <w:r>
              <w:rPr>
                <w:rFonts w:ascii="宋体" w:hAnsi="宋体" w:cs="宋体" w:eastAsia="宋体" w:hint="default"/>
                <w:sz w:val="18"/>
                <w:szCs w:val="18"/>
              </w:rPr>
              <w:t> 金管理办法》的议案。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3"/>
              <w:ind w:left="101" w:right="87"/>
              <w:jc w:val="left"/>
              <w:rPr>
                <w:rFonts w:ascii="宋体" w:hAnsi="宋体" w:cs="宋体" w:eastAsia="宋体" w:hint="default"/>
                <w:sz w:val="18"/>
                <w:szCs w:val="18"/>
              </w:rPr>
            </w:pPr>
            <w:r>
              <w:rPr>
                <w:rFonts w:ascii="宋体" w:hAnsi="宋体" w:cs="宋体" w:eastAsia="宋体" w:hint="default"/>
                <w:spacing w:val="13"/>
                <w:sz w:val="18"/>
                <w:szCs w:val="18"/>
              </w:rPr>
              <w:t>全部审议</w:t>
            </w:r>
            <w:r>
              <w:rPr>
                <w:rFonts w:ascii="宋体" w:hAnsi="宋体" w:cs="宋体" w:eastAsia="宋体" w:hint="default"/>
                <w:spacing w:val="-72"/>
                <w:sz w:val="18"/>
                <w:szCs w:val="18"/>
              </w:rPr>
              <w:t> </w:t>
            </w: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hyperlink r:id="rId9">
              <w:r>
                <w:rPr>
                  <w:rFonts w:ascii="宋体"/>
                  <w:sz w:val="18"/>
                </w:rPr>
                <w:t>www.sse.com.cn</w:t>
              </w:r>
            </w:hyperlink>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42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2" w:right="4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pacing w:val="27"/>
                <w:sz w:val="18"/>
                <w:szCs w:val="18"/>
              </w:rPr>
              <w:t>年第</w:t>
            </w:r>
            <w:r>
              <w:rPr>
                <w:rFonts w:ascii="宋体" w:hAnsi="宋体" w:cs="宋体" w:eastAsia="宋体" w:hint="default"/>
                <w:spacing w:val="-35"/>
                <w:sz w:val="18"/>
                <w:szCs w:val="18"/>
              </w:rPr>
              <w:t> </w:t>
            </w:r>
            <w:r>
              <w:rPr>
                <w:rFonts w:ascii="宋体" w:hAnsi="宋体" w:cs="宋体" w:eastAsia="宋体" w:hint="default"/>
                <w:spacing w:val="4"/>
                <w:sz w:val="18"/>
                <w:szCs w:val="18"/>
              </w:rPr>
              <w:t>二次临时股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9</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3" w:right="10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、关于公司符合非公开发行</w:t>
            </w:r>
            <w:r>
              <w:rPr>
                <w:rFonts w:ascii="宋体" w:hAnsi="宋体" w:cs="宋体" w:eastAsia="宋体" w:hint="default"/>
                <w:spacing w:val="-54"/>
                <w:sz w:val="18"/>
                <w:szCs w:val="18"/>
              </w:rPr>
              <w:t> </w:t>
            </w:r>
            <w:r>
              <w:rPr>
                <w:rFonts w:ascii="宋体" w:hAnsi="宋体" w:cs="宋体" w:eastAsia="宋体" w:hint="default"/>
                <w:sz w:val="18"/>
                <w:szCs w:val="18"/>
              </w:rPr>
              <w:t>A</w:t>
            </w:r>
            <w:r>
              <w:rPr>
                <w:rFonts w:ascii="宋体" w:hAnsi="宋体" w:cs="宋体" w:eastAsia="宋体" w:hint="default"/>
                <w:spacing w:val="-54"/>
                <w:sz w:val="18"/>
                <w:szCs w:val="18"/>
              </w:rPr>
              <w:t> </w:t>
            </w:r>
            <w:r>
              <w:rPr>
                <w:rFonts w:ascii="宋体" w:hAnsi="宋体" w:cs="宋体" w:eastAsia="宋体" w:hint="default"/>
                <w:sz w:val="18"/>
                <w:szCs w:val="18"/>
              </w:rPr>
              <w:t>股股票条件 </w:t>
            </w:r>
            <w:r>
              <w:rPr>
                <w:rFonts w:ascii="宋体" w:hAnsi="宋体" w:cs="宋体" w:eastAsia="宋体" w:hint="default"/>
                <w:spacing w:val="-1"/>
                <w:sz w:val="18"/>
                <w:szCs w:val="18"/>
              </w:rPr>
              <w:t>的议案；</w:t>
            </w:r>
            <w:r>
              <w:rPr>
                <w:rFonts w:ascii="宋体" w:hAnsi="宋体" w:cs="宋体" w:eastAsia="宋体" w:hint="default"/>
                <w:spacing w:val="-1"/>
                <w:sz w:val="18"/>
                <w:szCs w:val="18"/>
              </w:rPr>
              <w:t>2</w:t>
            </w:r>
            <w:r>
              <w:rPr>
                <w:rFonts w:ascii="宋体" w:hAnsi="宋体" w:cs="宋体" w:eastAsia="宋体" w:hint="default"/>
                <w:spacing w:val="-1"/>
                <w:sz w:val="18"/>
                <w:szCs w:val="18"/>
              </w:rPr>
              <w:t>、逐项审议《关于公司非公开发</w:t>
            </w:r>
            <w:r>
              <w:rPr>
                <w:rFonts w:ascii="宋体" w:hAnsi="宋体" w:cs="宋体" w:eastAsia="宋体" w:hint="default"/>
                <w:sz w:val="18"/>
                <w:szCs w:val="18"/>
              </w:rPr>
              <w:t> </w:t>
            </w:r>
            <w:r>
              <w:rPr>
                <w:rFonts w:ascii="宋体" w:hAnsi="宋体" w:cs="宋体" w:eastAsia="宋体" w:hint="default"/>
                <w:spacing w:val="-1"/>
                <w:sz w:val="18"/>
                <w:szCs w:val="18"/>
              </w:rPr>
              <w:t>行股票方案的议案》；</w:t>
            </w:r>
            <w:r>
              <w:rPr>
                <w:rFonts w:ascii="宋体" w:hAnsi="宋体" w:cs="宋体" w:eastAsia="宋体" w:hint="default"/>
                <w:spacing w:val="-1"/>
                <w:sz w:val="18"/>
                <w:szCs w:val="18"/>
              </w:rPr>
              <w:t>3</w:t>
            </w:r>
            <w:r>
              <w:rPr>
                <w:rFonts w:ascii="宋体" w:hAnsi="宋体" w:cs="宋体" w:eastAsia="宋体" w:hint="default"/>
                <w:spacing w:val="-1"/>
                <w:sz w:val="18"/>
                <w:szCs w:val="18"/>
              </w:rPr>
              <w:t>、关于《广西北生</w:t>
            </w:r>
            <w:r>
              <w:rPr>
                <w:rFonts w:ascii="宋体" w:hAnsi="宋体" w:cs="宋体" w:eastAsia="宋体" w:hint="default"/>
                <w:sz w:val="18"/>
                <w:szCs w:val="18"/>
              </w:rPr>
              <w:t> </w:t>
            </w:r>
            <w:r>
              <w:rPr>
                <w:rFonts w:ascii="宋体" w:hAnsi="宋体" w:cs="宋体" w:eastAsia="宋体" w:hint="default"/>
                <w:spacing w:val="3"/>
                <w:sz w:val="18"/>
                <w:szCs w:val="18"/>
              </w:rPr>
              <w:t>药业股份有限公司非公开发行股票预案》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的议案；</w:t>
            </w:r>
            <w:r>
              <w:rPr>
                <w:rFonts w:ascii="宋体" w:hAnsi="宋体" w:cs="宋体" w:eastAsia="宋体" w:hint="default"/>
                <w:spacing w:val="-2"/>
                <w:sz w:val="18"/>
                <w:szCs w:val="18"/>
              </w:rPr>
              <w:t>4</w:t>
            </w:r>
            <w:r>
              <w:rPr>
                <w:rFonts w:ascii="宋体" w:hAnsi="宋体" w:cs="宋体" w:eastAsia="宋体" w:hint="default"/>
                <w:spacing w:val="-2"/>
                <w:sz w:val="18"/>
                <w:szCs w:val="18"/>
              </w:rPr>
              <w:t>、关于本次非公开发行股票募集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资金使用可行性报告的议案；</w:t>
            </w:r>
            <w:r>
              <w:rPr>
                <w:rFonts w:ascii="宋体" w:hAnsi="宋体" w:cs="宋体" w:eastAsia="宋体" w:hint="default"/>
                <w:spacing w:val="-1"/>
                <w:sz w:val="18"/>
                <w:szCs w:val="18"/>
              </w:rPr>
              <w:t>5</w:t>
            </w:r>
            <w:r>
              <w:rPr>
                <w:rFonts w:ascii="宋体" w:hAnsi="宋体" w:cs="宋体" w:eastAsia="宋体" w:hint="default"/>
                <w:spacing w:val="-1"/>
                <w:sz w:val="18"/>
                <w:szCs w:val="18"/>
              </w:rPr>
              <w:t>、关于公司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与发行对象签订《附条件生效的非公开发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行股票认购协议》的议案；</w:t>
            </w:r>
            <w:r>
              <w:rPr>
                <w:rFonts w:ascii="宋体" w:hAnsi="宋体" w:cs="宋体" w:eastAsia="宋体" w:hint="default"/>
                <w:spacing w:val="-1"/>
                <w:sz w:val="18"/>
                <w:szCs w:val="18"/>
              </w:rPr>
              <w:t>6</w:t>
            </w:r>
            <w:r>
              <w:rPr>
                <w:rFonts w:ascii="宋体" w:hAnsi="宋体" w:cs="宋体" w:eastAsia="宋体" w:hint="default"/>
                <w:spacing w:val="-1"/>
                <w:sz w:val="18"/>
                <w:szCs w:val="18"/>
              </w:rPr>
              <w:t>、关于本次非</w:t>
            </w:r>
            <w:r>
              <w:rPr>
                <w:rFonts w:ascii="宋体" w:hAnsi="宋体" w:cs="宋体" w:eastAsia="宋体" w:hint="default"/>
                <w:sz w:val="18"/>
                <w:szCs w:val="18"/>
              </w:rPr>
              <w:t> </w:t>
            </w:r>
            <w:r>
              <w:rPr>
                <w:rFonts w:ascii="宋体" w:hAnsi="宋体" w:cs="宋体" w:eastAsia="宋体" w:hint="default"/>
                <w:spacing w:val="-2"/>
                <w:sz w:val="18"/>
                <w:szCs w:val="18"/>
              </w:rPr>
              <w:t>公开发行股票构成关联交易的议案；</w:t>
            </w:r>
            <w:r>
              <w:rPr>
                <w:rFonts w:ascii="宋体" w:hAnsi="宋体" w:cs="宋体" w:eastAsia="宋体" w:hint="default"/>
                <w:spacing w:val="-2"/>
                <w:sz w:val="18"/>
                <w:szCs w:val="18"/>
              </w:rPr>
              <w:t>7</w:t>
            </w:r>
            <w:r>
              <w:rPr>
                <w:rFonts w:ascii="宋体" w:hAnsi="宋体" w:cs="宋体" w:eastAsia="宋体" w:hint="default"/>
                <w:spacing w:val="-2"/>
                <w:sz w:val="18"/>
                <w:szCs w:val="18"/>
              </w:rPr>
              <w:t>、关</w:t>
            </w:r>
            <w:r>
              <w:rPr>
                <w:rFonts w:ascii="宋体" w:hAnsi="宋体" w:cs="宋体" w:eastAsia="宋体" w:hint="default"/>
                <w:spacing w:val="-78"/>
                <w:sz w:val="18"/>
                <w:szCs w:val="18"/>
              </w:rPr>
              <w:t> </w:t>
            </w:r>
            <w:r>
              <w:rPr>
                <w:rFonts w:ascii="宋体" w:hAnsi="宋体" w:cs="宋体" w:eastAsia="宋体" w:hint="default"/>
                <w:spacing w:val="3"/>
                <w:sz w:val="18"/>
                <w:szCs w:val="18"/>
              </w:rPr>
              <w:t>于授权董事会办理非公开发新股票相关事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宜的议案。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1" w:right="87"/>
              <w:jc w:val="left"/>
              <w:rPr>
                <w:rFonts w:ascii="宋体" w:hAnsi="宋体" w:cs="宋体" w:eastAsia="宋体" w:hint="default"/>
                <w:sz w:val="18"/>
                <w:szCs w:val="18"/>
              </w:rPr>
            </w:pPr>
            <w:r>
              <w:rPr>
                <w:rFonts w:ascii="宋体" w:hAnsi="宋体" w:cs="宋体" w:eastAsia="宋体" w:hint="default"/>
                <w:spacing w:val="13"/>
                <w:sz w:val="18"/>
                <w:szCs w:val="18"/>
              </w:rPr>
              <w:t>全部审议</w:t>
            </w:r>
            <w:r>
              <w:rPr>
                <w:rFonts w:ascii="宋体" w:hAnsi="宋体" w:cs="宋体" w:eastAsia="宋体" w:hint="default"/>
                <w:spacing w:val="-72"/>
                <w:sz w:val="18"/>
                <w:szCs w:val="18"/>
              </w:rPr>
              <w:t> </w:t>
            </w: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hyperlink r:id="rId9">
              <w:r>
                <w:rPr>
                  <w:rFonts w:ascii="宋体"/>
                  <w:sz w:val="18"/>
                </w:rPr>
                <w:t>www.sse.com.cn</w:t>
              </w:r>
            </w:hyperlink>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p>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19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3"/>
              <w:ind w:left="102" w:right="4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pacing w:val="27"/>
                <w:sz w:val="18"/>
                <w:szCs w:val="18"/>
              </w:rPr>
              <w:t>年第</w:t>
            </w:r>
            <w:r>
              <w:rPr>
                <w:rFonts w:ascii="宋体" w:hAnsi="宋体" w:cs="宋体" w:eastAsia="宋体" w:hint="default"/>
                <w:spacing w:val="-35"/>
                <w:sz w:val="18"/>
                <w:szCs w:val="18"/>
              </w:rPr>
              <w:t> </w:t>
            </w:r>
            <w:r>
              <w:rPr>
                <w:rFonts w:ascii="宋体" w:hAnsi="宋体" w:cs="宋体" w:eastAsia="宋体" w:hint="default"/>
                <w:spacing w:val="4"/>
                <w:sz w:val="18"/>
                <w:szCs w:val="18"/>
              </w:rPr>
              <w:t>三次临时股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p>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3"/>
              <w:ind w:left="103" w:right="101"/>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、关于公司全资子公司拟签署江苏沛县智</w:t>
            </w:r>
            <w:r>
              <w:rPr>
                <w:rFonts w:ascii="宋体" w:hAnsi="宋体" w:cs="宋体" w:eastAsia="宋体" w:hint="default"/>
                <w:sz w:val="18"/>
                <w:szCs w:val="18"/>
              </w:rPr>
              <w:t> </w:t>
            </w:r>
            <w:r>
              <w:rPr>
                <w:rFonts w:ascii="宋体" w:hAnsi="宋体" w:cs="宋体" w:eastAsia="宋体" w:hint="default"/>
                <w:spacing w:val="-2"/>
                <w:sz w:val="18"/>
                <w:szCs w:val="18"/>
              </w:rPr>
              <w:t>慧开发区项目战略合作协议的议案；</w:t>
            </w:r>
            <w:r>
              <w:rPr>
                <w:rFonts w:ascii="宋体" w:hAnsi="宋体" w:cs="宋体" w:eastAsia="宋体" w:hint="default"/>
                <w:spacing w:val="-2"/>
                <w:sz w:val="18"/>
                <w:szCs w:val="18"/>
              </w:rPr>
              <w:t>2</w:t>
            </w:r>
            <w:r>
              <w:rPr>
                <w:rFonts w:ascii="宋体" w:hAnsi="宋体" w:cs="宋体" w:eastAsia="宋体" w:hint="default"/>
                <w:spacing w:val="-2"/>
                <w:sz w:val="18"/>
                <w:szCs w:val="18"/>
              </w:rPr>
              <w:t>、关</w:t>
            </w:r>
            <w:r>
              <w:rPr>
                <w:rFonts w:ascii="宋体" w:hAnsi="宋体" w:cs="宋体" w:eastAsia="宋体" w:hint="default"/>
                <w:spacing w:val="-78"/>
                <w:sz w:val="18"/>
                <w:szCs w:val="18"/>
              </w:rPr>
              <w:t> </w:t>
            </w:r>
            <w:r>
              <w:rPr>
                <w:rFonts w:ascii="宋体" w:hAnsi="宋体" w:cs="宋体" w:eastAsia="宋体" w:hint="default"/>
                <w:spacing w:val="-1"/>
                <w:sz w:val="18"/>
                <w:szCs w:val="18"/>
              </w:rPr>
              <w:t>于增补董事的议案；</w:t>
            </w:r>
            <w:r>
              <w:rPr>
                <w:rFonts w:ascii="宋体" w:hAnsi="宋体" w:cs="宋体" w:eastAsia="宋体" w:hint="default"/>
                <w:spacing w:val="-1"/>
                <w:sz w:val="18"/>
                <w:szCs w:val="18"/>
              </w:rPr>
              <w:t>3</w:t>
            </w:r>
            <w:r>
              <w:rPr>
                <w:rFonts w:ascii="宋体" w:hAnsi="宋体" w:cs="宋体" w:eastAsia="宋体" w:hint="default"/>
                <w:spacing w:val="-1"/>
                <w:sz w:val="18"/>
                <w:szCs w:val="18"/>
              </w:rPr>
              <w:t>、关于全资子公司签</w:t>
            </w:r>
            <w:r>
              <w:rPr>
                <w:rFonts w:ascii="宋体" w:hAnsi="宋体" w:cs="宋体" w:eastAsia="宋体" w:hint="default"/>
                <w:sz w:val="18"/>
                <w:szCs w:val="18"/>
              </w:rPr>
              <w:t> </w:t>
            </w:r>
            <w:r>
              <w:rPr>
                <w:rFonts w:ascii="宋体" w:hAnsi="宋体" w:cs="宋体" w:eastAsia="宋体" w:hint="default"/>
                <w:spacing w:val="3"/>
                <w:sz w:val="18"/>
                <w:szCs w:val="18"/>
              </w:rPr>
              <w:t>订智慧城市业务相关协议及授权董事会办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理相关事宜的议案；</w:t>
            </w:r>
            <w:r>
              <w:rPr>
                <w:rFonts w:ascii="宋体" w:hAnsi="宋体" w:cs="宋体" w:eastAsia="宋体" w:hint="default"/>
                <w:spacing w:val="-1"/>
                <w:sz w:val="18"/>
                <w:szCs w:val="18"/>
              </w:rPr>
              <w:t>4</w:t>
            </w:r>
            <w:r>
              <w:rPr>
                <w:rFonts w:ascii="宋体" w:hAnsi="宋体" w:cs="宋体" w:eastAsia="宋体" w:hint="default"/>
                <w:spacing w:val="-1"/>
                <w:sz w:val="18"/>
                <w:szCs w:val="18"/>
              </w:rPr>
              <w:t>、关于公司向关联方</w:t>
            </w:r>
            <w:r>
              <w:rPr>
                <w:rFonts w:ascii="宋体" w:hAnsi="宋体" w:cs="宋体" w:eastAsia="宋体" w:hint="default"/>
                <w:sz w:val="18"/>
                <w:szCs w:val="18"/>
              </w:rPr>
              <w:t> 借款的议案。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3"/>
              <w:ind w:left="101" w:right="87"/>
              <w:jc w:val="left"/>
              <w:rPr>
                <w:rFonts w:ascii="宋体" w:hAnsi="宋体" w:cs="宋体" w:eastAsia="宋体" w:hint="default"/>
                <w:sz w:val="18"/>
                <w:szCs w:val="18"/>
              </w:rPr>
            </w:pPr>
            <w:r>
              <w:rPr>
                <w:rFonts w:ascii="宋体" w:hAnsi="宋体" w:cs="宋体" w:eastAsia="宋体" w:hint="default"/>
                <w:spacing w:val="13"/>
                <w:sz w:val="18"/>
                <w:szCs w:val="18"/>
              </w:rPr>
              <w:t>全部审议</w:t>
            </w:r>
            <w:r>
              <w:rPr>
                <w:rFonts w:ascii="宋体" w:hAnsi="宋体" w:cs="宋体" w:eastAsia="宋体" w:hint="default"/>
                <w:spacing w:val="-72"/>
                <w:sz w:val="18"/>
                <w:szCs w:val="18"/>
              </w:rPr>
              <w:t> </w:t>
            </w: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hyperlink r:id="rId9">
              <w:r>
                <w:rPr>
                  <w:rFonts w:ascii="宋体"/>
                  <w:sz w:val="18"/>
                </w:rPr>
                <w:t>www.sse.com.cn</w:t>
              </w:r>
            </w:hyperlink>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p>
          <w:p>
            <w:pPr>
              <w:pStyle w:val="TableParagraph"/>
              <w:spacing w:line="240" w:lineRule="auto" w:before="67"/>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220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2" w:right="47"/>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5"/>
                <w:sz w:val="18"/>
                <w:szCs w:val="18"/>
              </w:rPr>
              <w:t> </w:t>
            </w:r>
            <w:r>
              <w:rPr>
                <w:rFonts w:ascii="宋体" w:hAnsi="宋体" w:cs="宋体" w:eastAsia="宋体" w:hint="default"/>
                <w:spacing w:val="27"/>
                <w:sz w:val="18"/>
                <w:szCs w:val="18"/>
              </w:rPr>
              <w:t>年第</w:t>
            </w:r>
            <w:r>
              <w:rPr>
                <w:rFonts w:ascii="宋体" w:hAnsi="宋体" w:cs="宋体" w:eastAsia="宋体" w:hint="default"/>
                <w:spacing w:val="-35"/>
                <w:sz w:val="18"/>
                <w:szCs w:val="18"/>
              </w:rPr>
              <w:t> </w:t>
            </w:r>
            <w:r>
              <w:rPr>
                <w:rFonts w:ascii="宋体" w:hAnsi="宋体" w:cs="宋体" w:eastAsia="宋体" w:hint="default"/>
                <w:spacing w:val="4"/>
                <w:sz w:val="18"/>
                <w:szCs w:val="18"/>
              </w:rPr>
              <w:t>四次临时股</w:t>
            </w:r>
            <w:r>
              <w:rPr>
                <w:rFonts w:ascii="宋体" w:hAnsi="宋体" w:cs="宋体" w:eastAsia="宋体" w:hint="default"/>
                <w:spacing w:val="4"/>
                <w:sz w:val="18"/>
                <w:szCs w:val="18"/>
              </w:rPr>
              <w:t> </w:t>
            </w:r>
            <w:r>
              <w:rPr>
                <w:rFonts w:ascii="宋体" w:hAnsi="宋体" w:cs="宋体" w:eastAsia="宋体" w:hint="default"/>
                <w:sz w:val="18"/>
                <w:szCs w:val="18"/>
              </w:rPr>
              <w:t>东大会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6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宋体" w:hAnsi="宋体" w:cs="宋体" w:eastAsia="宋体" w:hint="default"/>
                <w:sz w:val="18"/>
                <w:szCs w:val="18"/>
              </w:rPr>
              <w:t>12</w:t>
            </w:r>
          </w:p>
          <w:p>
            <w:pPr>
              <w:pStyle w:val="TableParagraph"/>
              <w:spacing w:line="240" w:lineRule="auto" w:before="6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2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3" w:right="98"/>
              <w:jc w:val="both"/>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、关于公司变更公司名称及经营范围的议</w:t>
            </w:r>
            <w:r>
              <w:rPr>
                <w:rFonts w:ascii="宋体" w:hAnsi="宋体" w:cs="宋体" w:eastAsia="宋体" w:hint="default"/>
                <w:sz w:val="18"/>
                <w:szCs w:val="18"/>
              </w:rPr>
              <w:t> </w:t>
            </w:r>
            <w:r>
              <w:rPr>
                <w:rFonts w:ascii="宋体" w:hAnsi="宋体" w:cs="宋体" w:eastAsia="宋体" w:hint="default"/>
                <w:spacing w:val="3"/>
                <w:sz w:val="18"/>
                <w:szCs w:val="18"/>
              </w:rPr>
              <w:t>案；</w:t>
            </w:r>
            <w:r>
              <w:rPr>
                <w:rFonts w:ascii="宋体" w:hAnsi="宋体" w:cs="宋体" w:eastAsia="宋体" w:hint="default"/>
                <w:spacing w:val="3"/>
                <w:sz w:val="18"/>
                <w:szCs w:val="18"/>
              </w:rPr>
              <w:t>2</w:t>
            </w:r>
            <w:r>
              <w:rPr>
                <w:rFonts w:ascii="宋体" w:hAnsi="宋体" w:cs="宋体" w:eastAsia="宋体" w:hint="default"/>
                <w:spacing w:val="3"/>
                <w:sz w:val="18"/>
                <w:szCs w:val="18"/>
              </w:rPr>
              <w:t>、关于修改公司章程的议案；</w:t>
            </w:r>
            <w:r>
              <w:rPr>
                <w:rFonts w:ascii="宋体" w:hAnsi="宋体" w:cs="宋体" w:eastAsia="宋体" w:hint="default"/>
                <w:spacing w:val="3"/>
                <w:sz w:val="18"/>
                <w:szCs w:val="18"/>
              </w:rPr>
              <w:t>3</w:t>
            </w:r>
            <w:r>
              <w:rPr>
                <w:rFonts w:ascii="宋体" w:hAnsi="宋体" w:cs="宋体" w:eastAsia="宋体" w:hint="default"/>
                <w:spacing w:val="3"/>
                <w:sz w:val="18"/>
                <w:szCs w:val="18"/>
              </w:rPr>
              <w:t>、关</w:t>
            </w:r>
            <w:r>
              <w:rPr>
                <w:rFonts w:ascii="宋体" w:hAnsi="宋体" w:cs="宋体" w:eastAsia="宋体" w:hint="default"/>
                <w:spacing w:val="-84"/>
                <w:sz w:val="18"/>
                <w:szCs w:val="18"/>
              </w:rPr>
              <w:t> </w:t>
            </w:r>
            <w:r>
              <w:rPr>
                <w:rFonts w:ascii="宋体" w:hAnsi="宋体" w:cs="宋体" w:eastAsia="宋体" w:hint="default"/>
                <w:spacing w:val="3"/>
                <w:sz w:val="18"/>
                <w:szCs w:val="18"/>
              </w:rPr>
              <w:t>于智诚合讯与斐讯通信签署合作协议的议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案；</w:t>
            </w:r>
            <w:r>
              <w:rPr>
                <w:rFonts w:ascii="宋体" w:hAnsi="宋体" w:cs="宋体" w:eastAsia="宋体" w:hint="default"/>
                <w:spacing w:val="-2"/>
                <w:sz w:val="18"/>
                <w:szCs w:val="18"/>
              </w:rPr>
              <w:t>4</w:t>
            </w:r>
            <w:r>
              <w:rPr>
                <w:rFonts w:ascii="宋体" w:hAnsi="宋体" w:cs="宋体" w:eastAsia="宋体" w:hint="default"/>
                <w:spacing w:val="-2"/>
                <w:sz w:val="18"/>
                <w:szCs w:val="18"/>
              </w:rPr>
              <w:t>、关于授权董事会办理智诚合讯与绿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地香港签署的战略合作框架协议项下相关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事宜的议案；</w:t>
            </w:r>
            <w:r>
              <w:rPr>
                <w:rFonts w:ascii="宋体" w:hAnsi="宋体" w:cs="宋体" w:eastAsia="宋体" w:hint="default"/>
                <w:spacing w:val="-2"/>
                <w:sz w:val="18"/>
                <w:szCs w:val="18"/>
              </w:rPr>
              <w:t>5</w:t>
            </w:r>
            <w:r>
              <w:rPr>
                <w:rFonts w:ascii="宋体" w:hAnsi="宋体" w:cs="宋体" w:eastAsia="宋体" w:hint="default"/>
                <w:spacing w:val="-2"/>
                <w:sz w:val="18"/>
                <w:szCs w:val="18"/>
              </w:rPr>
              <w:t>、关于董事会换届选举的议</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案；</w:t>
            </w:r>
            <w:r>
              <w:rPr>
                <w:rFonts w:ascii="宋体" w:hAnsi="宋体" w:cs="宋体" w:eastAsia="宋体" w:hint="default"/>
                <w:sz w:val="18"/>
                <w:szCs w:val="18"/>
              </w:rPr>
              <w:t>6</w:t>
            </w:r>
            <w:r>
              <w:rPr>
                <w:rFonts w:ascii="宋体" w:hAnsi="宋体" w:cs="宋体" w:eastAsia="宋体" w:hint="default"/>
                <w:sz w:val="18"/>
                <w:szCs w:val="18"/>
              </w:rPr>
              <w:t>、关于监事会换届选举的议案。</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1"/>
              <w:ind w:left="101" w:right="87"/>
              <w:jc w:val="left"/>
              <w:rPr>
                <w:rFonts w:ascii="宋体" w:hAnsi="宋体" w:cs="宋体" w:eastAsia="宋体" w:hint="default"/>
                <w:sz w:val="18"/>
                <w:szCs w:val="18"/>
              </w:rPr>
            </w:pPr>
            <w:r>
              <w:rPr>
                <w:rFonts w:ascii="宋体" w:hAnsi="宋体" w:cs="宋体" w:eastAsia="宋体" w:hint="default"/>
                <w:spacing w:val="13"/>
                <w:sz w:val="18"/>
                <w:szCs w:val="18"/>
              </w:rPr>
              <w:t>全部审议</w:t>
            </w:r>
            <w:r>
              <w:rPr>
                <w:rFonts w:ascii="宋体" w:hAnsi="宋体" w:cs="宋体" w:eastAsia="宋体" w:hint="default"/>
                <w:spacing w:val="-72"/>
                <w:sz w:val="18"/>
                <w:szCs w:val="18"/>
              </w:rPr>
              <w:t> </w:t>
            </w:r>
            <w:r>
              <w:rPr>
                <w:rFonts w:ascii="宋体" w:hAnsi="宋体" w:cs="宋体" w:eastAsia="宋体" w:hint="default"/>
                <w:sz w:val="18"/>
                <w:szCs w:val="18"/>
              </w:rPr>
              <w:t>通过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hyperlink r:id="rId9">
              <w:r>
                <w:rPr>
                  <w:rFonts w:ascii="宋体"/>
                  <w:sz w:val="18"/>
                </w:rPr>
                <w:t>www.sse.com.cn</w:t>
              </w:r>
            </w:hyperlink>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12</w:t>
            </w:r>
          </w:p>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6"/>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33"/>
          <w:pgSz w:w="11910" w:h="16840"/>
          <w:pgMar w:footer="1194" w:header="882" w:top="1120" w:bottom="1380" w:left="1420" w:right="880"/>
          <w:pgNumType w:start="51"/>
        </w:sectPr>
      </w:pPr>
    </w:p>
    <w:p>
      <w:pPr>
        <w:spacing w:line="240" w:lineRule="auto" w:before="4"/>
        <w:rPr>
          <w:rFonts w:ascii="宋体" w:hAnsi="宋体" w:cs="宋体" w:eastAsia="宋体" w:hint="default"/>
          <w:b/>
          <w:bCs/>
          <w:sz w:val="25"/>
          <w:szCs w:val="25"/>
        </w:rPr>
      </w:pPr>
    </w:p>
    <w:p>
      <w:pPr>
        <w:pStyle w:val="Heading3"/>
        <w:spacing w:line="240" w:lineRule="auto"/>
        <w:ind w:left="378" w:right="788"/>
        <w:jc w:val="left"/>
        <w:rPr>
          <w:b w:val="0"/>
          <w:bCs w:val="0"/>
        </w:rPr>
      </w:pPr>
      <w:r>
        <w:rPr/>
        <w:t>三、董事履行职责情况</w:t>
      </w:r>
      <w:r>
        <w:rPr>
          <w:b w:val="0"/>
          <w:bCs w:val="0"/>
        </w:rPr>
      </w:r>
    </w:p>
    <w:p>
      <w:pPr>
        <w:pStyle w:val="Heading3"/>
        <w:spacing w:line="240" w:lineRule="auto" w:before="57"/>
        <w:ind w:left="378" w:right="788"/>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董事参加董事会和股东大会的情况</w:t>
      </w:r>
      <w:r>
        <w:rPr>
          <w:b w:val="0"/>
          <w:bCs w:val="0"/>
        </w:rPr>
      </w:r>
    </w:p>
    <w:p>
      <w:pPr>
        <w:spacing w:line="240" w:lineRule="auto" w:before="1"/>
        <w:rPr>
          <w:rFonts w:ascii="宋体" w:hAnsi="宋体" w:cs="宋体" w:eastAsia="宋体" w:hint="default"/>
          <w:b/>
          <w:bCs/>
          <w:sz w:val="5"/>
          <w:szCs w:val="5"/>
        </w:rPr>
      </w:pPr>
    </w:p>
    <w:tbl>
      <w:tblPr>
        <w:tblW w:w="0" w:type="auto"/>
        <w:jc w:val="left"/>
        <w:tblInd w:w="111" w:type="dxa"/>
        <w:tblLayout w:type="fixed"/>
        <w:tblCellMar>
          <w:top w:w="0" w:type="dxa"/>
          <w:left w:w="0" w:type="dxa"/>
          <w:bottom w:w="0" w:type="dxa"/>
          <w:right w:w="0" w:type="dxa"/>
        </w:tblCellMar>
        <w:tblLook w:val="01E0"/>
      </w:tblPr>
      <w:tblGrid>
        <w:gridCol w:w="1157"/>
        <w:gridCol w:w="848"/>
        <w:gridCol w:w="1099"/>
        <w:gridCol w:w="854"/>
        <w:gridCol w:w="970"/>
        <w:gridCol w:w="906"/>
        <w:gridCol w:w="846"/>
        <w:gridCol w:w="1543"/>
        <w:gridCol w:w="1134"/>
      </w:tblGrid>
      <w:tr>
        <w:trPr>
          <w:trHeight w:val="595" w:hRule="exact"/>
        </w:trPr>
        <w:tc>
          <w:tcPr>
            <w:tcW w:w="115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61" w:lineRule="auto"/>
              <w:ind w:left="392" w:right="392"/>
              <w:jc w:val="center"/>
              <w:rPr>
                <w:rFonts w:ascii="宋体" w:hAnsi="宋体" w:cs="宋体" w:eastAsia="宋体" w:hint="default"/>
                <w:sz w:val="18"/>
                <w:szCs w:val="18"/>
              </w:rPr>
            </w:pPr>
            <w:r>
              <w:rPr>
                <w:rFonts w:ascii="宋体" w:hAnsi="宋体" w:cs="宋体" w:eastAsia="宋体" w:hint="default"/>
                <w:sz w:val="18"/>
                <w:szCs w:val="18"/>
              </w:rPr>
              <w:t>董事 姓名</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61" w:lineRule="auto"/>
              <w:ind w:left="147" w:right="149"/>
              <w:jc w:val="left"/>
              <w:rPr>
                <w:rFonts w:ascii="宋体" w:hAnsi="宋体" w:cs="宋体" w:eastAsia="宋体" w:hint="default"/>
                <w:sz w:val="18"/>
                <w:szCs w:val="18"/>
              </w:rPr>
            </w:pPr>
            <w:r>
              <w:rPr>
                <w:rFonts w:ascii="宋体" w:hAnsi="宋体" w:cs="宋体" w:eastAsia="宋体" w:hint="default"/>
                <w:sz w:val="18"/>
                <w:szCs w:val="18"/>
              </w:rPr>
              <w:t>是否独 立董事</w:t>
            </w:r>
          </w:p>
        </w:tc>
        <w:tc>
          <w:tcPr>
            <w:tcW w:w="621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参加董事会情况</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41"/>
              <w:ind w:left="291" w:right="110" w:hanging="180"/>
              <w:jc w:val="left"/>
              <w:rPr>
                <w:rFonts w:ascii="宋体" w:hAnsi="宋体" w:cs="宋体" w:eastAsia="宋体" w:hint="default"/>
                <w:sz w:val="18"/>
                <w:szCs w:val="18"/>
              </w:rPr>
            </w:pPr>
            <w:r>
              <w:rPr>
                <w:rFonts w:ascii="宋体" w:hAnsi="宋体" w:cs="宋体" w:eastAsia="宋体" w:hint="default"/>
                <w:sz w:val="18"/>
                <w:szCs w:val="18"/>
              </w:rPr>
              <w:t>参加股东大 会情况</w:t>
            </w:r>
          </w:p>
        </w:tc>
      </w:tr>
      <w:tr>
        <w:trPr>
          <w:trHeight w:val="852" w:hRule="exact"/>
        </w:trPr>
        <w:tc>
          <w:tcPr>
            <w:tcW w:w="1157"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42"/>
              <w:ind w:left="183" w:right="185"/>
              <w:jc w:val="center"/>
              <w:rPr>
                <w:rFonts w:ascii="宋体" w:hAnsi="宋体" w:cs="宋体" w:eastAsia="宋体" w:hint="default"/>
                <w:sz w:val="18"/>
                <w:szCs w:val="18"/>
              </w:rPr>
            </w:pPr>
            <w:r>
              <w:rPr>
                <w:rFonts w:ascii="宋体" w:hAnsi="宋体" w:cs="宋体" w:eastAsia="宋体" w:hint="default"/>
                <w:sz w:val="18"/>
                <w:szCs w:val="18"/>
              </w:rPr>
              <w:t>本年应参 加董事会 次数</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61" w:lineRule="auto"/>
              <w:ind w:left="151" w:right="150"/>
              <w:jc w:val="left"/>
              <w:rPr>
                <w:rFonts w:ascii="宋体" w:hAnsi="宋体" w:cs="宋体" w:eastAsia="宋体" w:hint="default"/>
                <w:sz w:val="18"/>
                <w:szCs w:val="18"/>
              </w:rPr>
            </w:pPr>
            <w:r>
              <w:rPr>
                <w:rFonts w:ascii="宋体" w:hAnsi="宋体" w:cs="宋体" w:eastAsia="宋体" w:hint="default"/>
                <w:sz w:val="18"/>
                <w:szCs w:val="18"/>
              </w:rPr>
              <w:t>亲自出 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before="42"/>
              <w:ind w:left="118" w:right="119"/>
              <w:jc w:val="center"/>
              <w:rPr>
                <w:rFonts w:ascii="宋体" w:hAnsi="宋体" w:cs="宋体" w:eastAsia="宋体" w:hint="default"/>
                <w:sz w:val="18"/>
                <w:szCs w:val="18"/>
              </w:rPr>
            </w:pPr>
            <w:r>
              <w:rPr>
                <w:rFonts w:ascii="宋体" w:hAnsi="宋体" w:cs="宋体" w:eastAsia="宋体" w:hint="default"/>
                <w:sz w:val="18"/>
                <w:szCs w:val="18"/>
              </w:rPr>
              <w:t>以通讯方 式参加次 数</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61" w:lineRule="auto"/>
              <w:ind w:left="176" w:right="179"/>
              <w:jc w:val="left"/>
              <w:rPr>
                <w:rFonts w:ascii="宋体" w:hAnsi="宋体" w:cs="宋体" w:eastAsia="宋体" w:hint="default"/>
                <w:sz w:val="18"/>
                <w:szCs w:val="18"/>
              </w:rPr>
            </w:pPr>
            <w:r>
              <w:rPr>
                <w:rFonts w:ascii="宋体" w:hAnsi="宋体" w:cs="宋体" w:eastAsia="宋体" w:hint="default"/>
                <w:sz w:val="18"/>
                <w:szCs w:val="18"/>
              </w:rPr>
              <w:t>委托出 席次数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61" w:lineRule="auto"/>
              <w:ind w:left="236" w:right="238"/>
              <w:jc w:val="left"/>
              <w:rPr>
                <w:rFonts w:ascii="宋体" w:hAnsi="宋体" w:cs="宋体" w:eastAsia="宋体" w:hint="default"/>
                <w:sz w:val="18"/>
                <w:szCs w:val="18"/>
              </w:rPr>
            </w:pPr>
            <w:r>
              <w:rPr>
                <w:rFonts w:ascii="宋体" w:hAnsi="宋体" w:cs="宋体" w:eastAsia="宋体" w:hint="default"/>
                <w:sz w:val="18"/>
                <w:szCs w:val="18"/>
              </w:rPr>
              <w:t>缺席 次数</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61" w:lineRule="auto"/>
              <w:ind w:left="225" w:right="137"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3"/>
                <w:szCs w:val="13"/>
              </w:rPr>
            </w:pPr>
          </w:p>
          <w:p>
            <w:pPr>
              <w:pStyle w:val="TableParagraph"/>
              <w:spacing w:line="261" w:lineRule="auto"/>
              <w:ind w:left="201" w:right="110" w:hanging="90"/>
              <w:jc w:val="left"/>
              <w:rPr>
                <w:rFonts w:ascii="宋体" w:hAnsi="宋体" w:cs="宋体" w:eastAsia="宋体" w:hint="default"/>
                <w:sz w:val="18"/>
                <w:szCs w:val="18"/>
              </w:rPr>
            </w:pPr>
            <w:r>
              <w:rPr>
                <w:rFonts w:ascii="宋体" w:hAnsi="宋体" w:cs="宋体" w:eastAsia="宋体" w:hint="default"/>
                <w:sz w:val="18"/>
                <w:szCs w:val="18"/>
              </w:rPr>
              <w:t>出席股东大 会的次数</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顾国平</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77" w:right="0"/>
              <w:jc w:val="left"/>
              <w:rPr>
                <w:rFonts w:ascii="宋体" w:hAnsi="宋体" w:cs="宋体" w:eastAsia="宋体" w:hint="default"/>
                <w:sz w:val="18"/>
                <w:szCs w:val="18"/>
              </w:rPr>
            </w:pPr>
            <w:r>
              <w:rPr>
                <w:rFonts w:ascii="宋体"/>
                <w:sz w:val="18"/>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4" w:right="0"/>
              <w:jc w:val="left"/>
              <w:rPr>
                <w:rFonts w:ascii="宋体" w:hAnsi="宋体" w:cs="宋体" w:eastAsia="宋体" w:hint="default"/>
                <w:sz w:val="18"/>
                <w:szCs w:val="18"/>
              </w:rPr>
            </w:pPr>
            <w:r>
              <w:rPr>
                <w:rFonts w:ascii="宋体"/>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15"/>
              <w:jc w:val="right"/>
              <w:rPr>
                <w:rFonts w:ascii="宋体" w:hAnsi="宋体" w:cs="宋体" w:eastAsia="宋体" w:hint="default"/>
                <w:sz w:val="18"/>
                <w:szCs w:val="18"/>
              </w:rPr>
            </w:pPr>
            <w:r>
              <w:rPr>
                <w:rFonts w:ascii="宋体"/>
                <w:sz w:val="18"/>
              </w:rPr>
              <w:t>1</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张凌兴</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77" w:right="0"/>
              <w:jc w:val="left"/>
              <w:rPr>
                <w:rFonts w:ascii="宋体" w:hAnsi="宋体" w:cs="宋体" w:eastAsia="宋体" w:hint="default"/>
                <w:sz w:val="18"/>
                <w:szCs w:val="18"/>
              </w:rPr>
            </w:pPr>
            <w:r>
              <w:rPr>
                <w:rFonts w:ascii="宋体"/>
                <w:sz w:val="18"/>
              </w:rPr>
              <w:t>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4" w:right="0"/>
              <w:jc w:val="left"/>
              <w:rPr>
                <w:rFonts w:ascii="宋体" w:hAnsi="宋体" w:cs="宋体" w:eastAsia="宋体" w:hint="default"/>
                <w:sz w:val="18"/>
                <w:szCs w:val="18"/>
              </w:rPr>
            </w:pPr>
            <w:r>
              <w:rPr>
                <w:rFonts w:ascii="宋体"/>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15"/>
              <w:jc w:val="right"/>
              <w:rPr>
                <w:rFonts w:ascii="宋体" w:hAnsi="宋体" w:cs="宋体" w:eastAsia="宋体" w:hint="default"/>
                <w:sz w:val="18"/>
                <w:szCs w:val="18"/>
              </w:rPr>
            </w:pPr>
            <w:r>
              <w:rPr>
                <w:rFonts w:ascii="宋体"/>
                <w:sz w:val="18"/>
              </w:rPr>
              <w:t>1</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王忠华</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77" w:right="0"/>
              <w:jc w:val="left"/>
              <w:rPr>
                <w:rFonts w:ascii="宋体" w:hAnsi="宋体" w:cs="宋体" w:eastAsia="宋体" w:hint="default"/>
                <w:sz w:val="18"/>
                <w:szCs w:val="18"/>
              </w:rPr>
            </w:pPr>
            <w:r>
              <w:rPr>
                <w:rFonts w:ascii="宋体"/>
                <w:sz w:val="18"/>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4" w:right="0"/>
              <w:jc w:val="left"/>
              <w:rPr>
                <w:rFonts w:ascii="宋体" w:hAnsi="宋体" w:cs="宋体" w:eastAsia="宋体" w:hint="default"/>
                <w:sz w:val="18"/>
                <w:szCs w:val="18"/>
              </w:rPr>
            </w:pPr>
            <w:r>
              <w:rPr>
                <w:rFonts w:ascii="宋体"/>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郑敏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77" w:right="0"/>
              <w:jc w:val="left"/>
              <w:rPr>
                <w:rFonts w:ascii="宋体" w:hAnsi="宋体" w:cs="宋体" w:eastAsia="宋体" w:hint="default"/>
                <w:sz w:val="18"/>
                <w:szCs w:val="18"/>
              </w:rPr>
            </w:pPr>
            <w:r>
              <w:rPr>
                <w:rFonts w:ascii="宋体"/>
                <w:sz w:val="18"/>
              </w:rPr>
              <w:t>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34" w:right="0"/>
              <w:jc w:val="left"/>
              <w:rPr>
                <w:rFonts w:ascii="宋体" w:hAnsi="宋体" w:cs="宋体" w:eastAsia="宋体" w:hint="default"/>
                <w:sz w:val="18"/>
                <w:szCs w:val="18"/>
              </w:rPr>
            </w:pPr>
            <w:r>
              <w:rPr>
                <w:rFonts w:ascii="宋体"/>
                <w:sz w:val="18"/>
              </w:rPr>
              <w:t>0</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花炳灿</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李占国</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刘士林</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何京云</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3</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张法荣</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0</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赵文劼</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1" w:right="0"/>
              <w:jc w:val="left"/>
              <w:rPr>
                <w:rFonts w:ascii="宋体" w:hAnsi="宋体" w:cs="宋体" w:eastAsia="宋体" w:hint="default"/>
                <w:sz w:val="18"/>
                <w:szCs w:val="18"/>
              </w:rPr>
            </w:pPr>
            <w:r>
              <w:rPr>
                <w:rFonts w:ascii="宋体"/>
                <w:sz w:val="18"/>
              </w:rPr>
              <w:t>14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4</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钱骏</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31" w:right="0"/>
              <w:jc w:val="left"/>
              <w:rPr>
                <w:rFonts w:ascii="宋体" w:hAnsi="宋体" w:cs="宋体" w:eastAsia="宋体" w:hint="default"/>
                <w:sz w:val="18"/>
                <w:szCs w:val="18"/>
              </w:rPr>
            </w:pPr>
            <w:r>
              <w:rPr>
                <w:rFonts w:ascii="宋体"/>
                <w:sz w:val="18"/>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4" w:right="0"/>
              <w:jc w:val="left"/>
              <w:rPr>
                <w:rFonts w:ascii="宋体" w:hAnsi="宋体" w:cs="宋体" w:eastAsia="宋体" w:hint="default"/>
                <w:sz w:val="18"/>
                <w:szCs w:val="18"/>
              </w:rPr>
            </w:pPr>
            <w:r>
              <w:rPr>
                <w:rFonts w:ascii="宋体"/>
                <w:sz w:val="18"/>
              </w:rPr>
              <w:t>1</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3</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王若晨</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sz w:val="18"/>
              </w:rPr>
              <w:t>12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3</w:t>
            </w:r>
          </w:p>
        </w:tc>
      </w:tr>
      <w:tr>
        <w:trPr>
          <w:trHeight w:val="398"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张革</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sz w:val="18"/>
              </w:rPr>
              <w:t>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7" w:right="0"/>
              <w:jc w:val="left"/>
              <w:rPr>
                <w:rFonts w:ascii="宋体" w:hAnsi="宋体" w:cs="宋体" w:eastAsia="宋体" w:hint="default"/>
                <w:sz w:val="18"/>
                <w:szCs w:val="18"/>
              </w:rPr>
            </w:pPr>
            <w:r>
              <w:rPr>
                <w:rFonts w:ascii="宋体"/>
                <w:sz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8" w:right="0"/>
              <w:jc w:val="left"/>
              <w:rPr>
                <w:rFonts w:ascii="宋体" w:hAnsi="宋体" w:cs="宋体" w:eastAsia="宋体" w:hint="default"/>
                <w:sz w:val="18"/>
                <w:szCs w:val="18"/>
              </w:rPr>
            </w:pPr>
            <w:r>
              <w:rPr>
                <w:rFonts w:ascii="宋体"/>
                <w:sz w:val="18"/>
              </w:rPr>
              <w:t>12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15"/>
              <w:jc w:val="right"/>
              <w:rPr>
                <w:rFonts w:ascii="宋体" w:hAnsi="宋体" w:cs="宋体" w:eastAsia="宋体" w:hint="default"/>
                <w:sz w:val="18"/>
                <w:szCs w:val="18"/>
              </w:rPr>
            </w:pPr>
            <w:r>
              <w:rPr>
                <w:rFonts w:ascii="宋体"/>
                <w:sz w:val="18"/>
              </w:rPr>
              <w:t>4</w:t>
            </w:r>
          </w:p>
        </w:tc>
      </w:tr>
      <w:tr>
        <w:trPr>
          <w:trHeight w:val="39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李骅</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77" w:right="0"/>
              <w:jc w:val="left"/>
              <w:rPr>
                <w:rFonts w:ascii="宋体" w:hAnsi="宋体" w:cs="宋体" w:eastAsia="宋体" w:hint="default"/>
                <w:sz w:val="18"/>
                <w:szCs w:val="18"/>
              </w:rPr>
            </w:pPr>
            <w:r>
              <w:rPr>
                <w:rFonts w:ascii="宋体"/>
                <w:sz w:val="18"/>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88" w:right="0"/>
              <w:jc w:val="left"/>
              <w:rPr>
                <w:rFonts w:ascii="宋体" w:hAnsi="宋体" w:cs="宋体" w:eastAsia="宋体" w:hint="default"/>
                <w:sz w:val="18"/>
                <w:szCs w:val="18"/>
              </w:rPr>
            </w:pPr>
            <w:r>
              <w:rPr>
                <w:rFonts w:ascii="宋体"/>
                <w:sz w:val="18"/>
              </w:rPr>
              <w:t>12</w:t>
            </w:r>
          </w:p>
        </w:tc>
        <w:tc>
          <w:tcPr>
            <w:tcW w:w="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15"/>
              <w:jc w:val="right"/>
              <w:rPr>
                <w:rFonts w:ascii="宋体" w:hAnsi="宋体" w:cs="宋体" w:eastAsia="宋体" w:hint="default"/>
                <w:sz w:val="18"/>
                <w:szCs w:val="18"/>
              </w:rPr>
            </w:pPr>
            <w:r>
              <w:rPr>
                <w:rFonts w:ascii="宋体"/>
                <w:sz w:val="18"/>
              </w:rPr>
              <w:t>5</w:t>
            </w:r>
          </w:p>
        </w:tc>
      </w:tr>
    </w:tbl>
    <w:p>
      <w:pPr>
        <w:spacing w:line="240" w:lineRule="auto" w:before="11"/>
        <w:rPr>
          <w:rFonts w:ascii="宋体" w:hAnsi="宋体" w:cs="宋体" w:eastAsia="宋体" w:hint="default"/>
          <w:b/>
          <w:bCs/>
          <w:sz w:val="20"/>
          <w:szCs w:val="20"/>
        </w:rPr>
      </w:pPr>
    </w:p>
    <w:tbl>
      <w:tblPr>
        <w:tblW w:w="0" w:type="auto"/>
        <w:jc w:val="left"/>
        <w:tblInd w:w="111" w:type="dxa"/>
        <w:tblLayout w:type="fixed"/>
        <w:tblCellMar>
          <w:top w:w="0" w:type="dxa"/>
          <w:left w:w="0" w:type="dxa"/>
          <w:bottom w:w="0" w:type="dxa"/>
          <w:right w:w="0" w:type="dxa"/>
        </w:tblCellMar>
        <w:tblLook w:val="01E0"/>
      </w:tblPr>
      <w:tblGrid>
        <w:gridCol w:w="4700"/>
        <w:gridCol w:w="4656"/>
      </w:tblGrid>
      <w:tr>
        <w:trPr>
          <w:trHeight w:val="445"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hAnsi="宋体" w:cs="宋体" w:eastAsia="宋体" w:hint="default"/>
                <w:sz w:val="18"/>
                <w:szCs w:val="18"/>
              </w:rPr>
              <w:t>年内召开董事会会议次数</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17</w:t>
            </w:r>
          </w:p>
        </w:tc>
      </w:tr>
      <w:tr>
        <w:trPr>
          <w:trHeight w:val="445"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hAnsi="宋体" w:cs="宋体" w:eastAsia="宋体" w:hint="default"/>
                <w:sz w:val="18"/>
                <w:szCs w:val="18"/>
              </w:rPr>
              <w:t>其中：现场会议次数</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4</w:t>
            </w:r>
          </w:p>
        </w:tc>
      </w:tr>
      <w:tr>
        <w:trPr>
          <w:trHeight w:val="445"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hAnsi="宋体" w:cs="宋体" w:eastAsia="宋体" w:hint="default"/>
                <w:sz w:val="18"/>
                <w:szCs w:val="18"/>
              </w:rPr>
              <w:t>通讯方式召开会议次数</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w:t>
            </w:r>
          </w:p>
        </w:tc>
      </w:tr>
      <w:tr>
        <w:trPr>
          <w:trHeight w:val="445" w:hRule="exact"/>
        </w:trPr>
        <w:tc>
          <w:tcPr>
            <w:tcW w:w="4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2" w:right="0"/>
              <w:jc w:val="left"/>
              <w:rPr>
                <w:rFonts w:ascii="宋体" w:hAnsi="宋体" w:cs="宋体" w:eastAsia="宋体" w:hint="default"/>
                <w:sz w:val="18"/>
                <w:szCs w:val="18"/>
              </w:rPr>
            </w:pPr>
            <w:r>
              <w:rPr>
                <w:rFonts w:ascii="宋体" w:hAnsi="宋体" w:cs="宋体" w:eastAsia="宋体" w:hint="default"/>
                <w:sz w:val="18"/>
                <w:szCs w:val="18"/>
              </w:rPr>
              <w:t>现场结合通讯方式召开会议次数</w:t>
            </w:r>
          </w:p>
        </w:tc>
        <w:tc>
          <w:tcPr>
            <w:tcW w:w="4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sz w:val="18"/>
              </w:rPr>
              <w:t>12</w:t>
            </w:r>
          </w:p>
        </w:tc>
      </w:tr>
    </w:tbl>
    <w:p>
      <w:pPr>
        <w:spacing w:line="240" w:lineRule="auto" w:before="0"/>
        <w:rPr>
          <w:rFonts w:ascii="宋体" w:hAnsi="宋体" w:cs="宋体" w:eastAsia="宋体" w:hint="default"/>
          <w:b/>
          <w:bCs/>
          <w:sz w:val="20"/>
          <w:szCs w:val="20"/>
        </w:rPr>
      </w:pPr>
    </w:p>
    <w:p>
      <w:pPr>
        <w:spacing w:line="312" w:lineRule="auto" w:before="35"/>
        <w:ind w:left="378" w:right="78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w w:val="99"/>
          <w:sz w:val="21"/>
          <w:szCs w:val="21"/>
        </w:rPr>
        <w:t> </w:t>
      </w:r>
      <w:r>
        <w:rPr>
          <w:rFonts w:ascii="宋体" w:hAnsi="宋体" w:cs="宋体" w:eastAsia="宋体" w:hint="default"/>
          <w:sz w:val="21"/>
          <w:szCs w:val="21"/>
        </w:rPr>
        <w:t>报告期内，公司独立董事未对公司本年度的董事会议案及其他非董事会议案事项提出异议。</w:t>
      </w:r>
    </w:p>
    <w:p>
      <w:pPr>
        <w:spacing w:line="240" w:lineRule="auto" w:before="0"/>
        <w:rPr>
          <w:rFonts w:ascii="宋体" w:hAnsi="宋体" w:cs="宋体" w:eastAsia="宋体" w:hint="default"/>
          <w:sz w:val="20"/>
          <w:szCs w:val="20"/>
        </w:rPr>
      </w:pPr>
    </w:p>
    <w:p>
      <w:pPr>
        <w:spacing w:line="290" w:lineRule="auto" w:before="139"/>
        <w:ind w:left="798" w:right="788" w:hanging="420"/>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w:t>
      </w:r>
      <w:r>
        <w:rPr>
          <w:rFonts w:ascii="宋体" w:hAnsi="宋体" w:cs="宋体" w:eastAsia="宋体" w:hint="default"/>
          <w:b/>
          <w:bCs/>
          <w:w w:val="99"/>
          <w:sz w:val="21"/>
          <w:szCs w:val="21"/>
        </w:rPr>
        <w:t> </w:t>
      </w:r>
      <w:r>
        <w:rPr>
          <w:rFonts w:ascii="宋体" w:hAnsi="宋体" w:cs="宋体" w:eastAsia="宋体" w:hint="default"/>
          <w:sz w:val="21"/>
          <w:szCs w:val="21"/>
        </w:rPr>
        <w:t>公司董事会下设战略委员会、提名委员会、审计委员会和薪酬与考核委员会。</w:t>
      </w:r>
    </w:p>
    <w:p>
      <w:pPr>
        <w:pStyle w:val="BodyText"/>
        <w:spacing w:line="357" w:lineRule="auto" w:before="90"/>
        <w:ind w:left="378" w:right="368" w:firstLine="420"/>
        <w:jc w:val="left"/>
      </w:pPr>
      <w:r>
        <w:rPr/>
        <w:t>报告期内，董事会战略委员会在公司长期发展战略制定等重大战略决策研究过程中，对公司 重组、非公开发行等事宜提出了重要的建设性意见，提高了公司重大决策的效率。</w:t>
      </w:r>
    </w:p>
    <w:p>
      <w:pPr>
        <w:pStyle w:val="BodyText"/>
        <w:spacing w:line="355" w:lineRule="auto" w:before="31"/>
        <w:ind w:left="378" w:right="368" w:firstLine="420"/>
        <w:jc w:val="left"/>
      </w:pPr>
      <w:r>
        <w:rPr/>
        <w:t>报告期内，董事会审计委员会在公司聘任审计机构、内部控制制度的建设、定期报告编制和 年度审计等工作中积极发挥了专业委员会的作用，对拟聘任审计机构的从业资格和专业能力进行</w:t>
      </w:r>
    </w:p>
    <w:p>
      <w:pPr>
        <w:pStyle w:val="BodyText"/>
        <w:spacing w:line="240" w:lineRule="auto" w:before="32"/>
        <w:ind w:left="378" w:right="0"/>
        <w:jc w:val="left"/>
      </w:pPr>
      <w:r>
        <w:rPr/>
        <w:t>了认真审核，</w:t>
      </w:r>
      <w:r>
        <w:rPr>
          <w:spacing w:val="-23"/>
        </w:rPr>
        <w:t> </w:t>
      </w:r>
      <w:r>
        <w:rPr>
          <w:spacing w:val="-2"/>
        </w:rPr>
        <w:t>在公司定期报告编制和年度报告审计过程中，与年审会计师积极沟通，审阅财务报</w:t>
      </w:r>
    </w:p>
    <w:p>
      <w:pPr>
        <w:spacing w:after="0" w:line="240" w:lineRule="auto"/>
        <w:jc w:val="left"/>
        <w:sectPr>
          <w:pgSz w:w="11910" w:h="16840"/>
          <w:pgMar w:header="882" w:footer="1194" w:top="1120" w:bottom="1380" w:left="1420" w:right="900"/>
        </w:sectPr>
      </w:pPr>
    </w:p>
    <w:p>
      <w:pPr>
        <w:spacing w:line="240" w:lineRule="auto" w:before="6"/>
        <w:rPr>
          <w:rFonts w:ascii="宋体" w:hAnsi="宋体" w:cs="宋体" w:eastAsia="宋体" w:hint="default"/>
          <w:sz w:val="25"/>
          <w:szCs w:val="25"/>
        </w:rPr>
      </w:pPr>
    </w:p>
    <w:p>
      <w:pPr>
        <w:pStyle w:val="BodyText"/>
        <w:spacing w:line="240" w:lineRule="auto" w:before="35"/>
        <w:ind w:right="0"/>
        <w:jc w:val="both"/>
      </w:pPr>
      <w:r>
        <w:rPr/>
        <w:t>告</w:t>
      </w:r>
      <w:r>
        <w:rPr>
          <w:spacing w:val="-58"/>
        </w:rPr>
        <w:t>，</w:t>
      </w:r>
      <w:r>
        <w:rPr/>
        <w:t>认真履行了专业职</w:t>
      </w:r>
      <w:r>
        <w:rPr>
          <w:spacing w:val="-1"/>
        </w:rPr>
        <w:t>责</w:t>
      </w:r>
      <w:r>
        <w:rPr>
          <w:spacing w:val="-58"/>
        </w:rPr>
        <w:t>。</w:t>
      </w:r>
      <w:r>
        <w:rPr/>
        <w:t>审议通过</w:t>
      </w:r>
      <w:r>
        <w:rPr>
          <w:spacing w:val="-58"/>
        </w:rPr>
        <w:t>了</w:t>
      </w:r>
      <w:r>
        <w:rPr/>
        <w:t>《</w:t>
      </w:r>
      <w:r>
        <w:rPr>
          <w:rFonts w:ascii="宋体" w:hAnsi="宋体" w:cs="宋体" w:eastAsia="宋体" w:hint="default"/>
        </w:rPr>
        <w:t>2013 </w:t>
      </w:r>
      <w:r>
        <w:rPr/>
        <w:t>年度</w:t>
      </w:r>
      <w:r>
        <w:rPr>
          <w:spacing w:val="-2"/>
        </w:rPr>
        <w:t>财</w:t>
      </w:r>
      <w:r>
        <w:rPr/>
        <w:t>务决算报告</w:t>
      </w:r>
      <w:r>
        <w:rPr>
          <w:spacing w:val="-58"/>
        </w:rPr>
        <w:t>》</w:t>
      </w:r>
      <w:r>
        <w:rPr>
          <w:spacing w:val="-116"/>
        </w:rPr>
        <w:t>、</w:t>
      </w:r>
      <w:r>
        <w:rPr/>
        <w:t>《</w:t>
      </w:r>
      <w:r>
        <w:rPr>
          <w:rFonts w:ascii="宋体" w:hAnsi="宋体" w:cs="宋体" w:eastAsia="宋体" w:hint="default"/>
        </w:rPr>
        <w:t>2013</w:t>
      </w:r>
      <w:r>
        <w:rPr>
          <w:rFonts w:ascii="宋体" w:hAnsi="宋体" w:cs="宋体" w:eastAsia="宋体" w:hint="default"/>
          <w:spacing w:val="1"/>
        </w:rPr>
        <w:t> </w:t>
      </w:r>
      <w:r>
        <w:rPr>
          <w:spacing w:val="-2"/>
        </w:rPr>
        <w:t>年</w:t>
      </w:r>
      <w:r>
        <w:rPr/>
        <w:t>度利润分配预案</w:t>
      </w:r>
      <w:r>
        <w:rPr>
          <w:spacing w:val="-59"/>
        </w:rPr>
        <w:t>》、</w:t>
      </w:r>
      <w:r>
        <w:rPr/>
      </w:r>
    </w:p>
    <w:p>
      <w:pPr>
        <w:pStyle w:val="BodyText"/>
        <w:spacing w:line="357" w:lineRule="auto" w:before="133"/>
        <w:ind w:right="147"/>
        <w:jc w:val="both"/>
      </w:pPr>
      <w:r>
        <w:rPr/>
        <w:t>《关于对非标准无保留审计意见涉及事项的专项说明》、《关于公司最近一年及一期审计报告中 </w:t>
      </w:r>
      <w:r>
        <w:rPr>
          <w:spacing w:val="-6"/>
        </w:rPr>
        <w:t>非标准无保留意见涉及事项的专项意见》、《关于广西北生药业股份有限公司关联交易的议案》、</w:t>
      </w:r>
      <w:r>
        <w:rPr/>
      </w:r>
    </w:p>
    <w:p>
      <w:pPr>
        <w:pStyle w:val="BodyText"/>
        <w:spacing w:line="357" w:lineRule="auto" w:before="30"/>
        <w:ind w:left="558" w:right="128" w:hanging="420"/>
        <w:jc w:val="left"/>
      </w:pPr>
      <w:r>
        <w:rPr/>
        <w:t>《关于公司向关联方借款的议案》等。 报告期内，董事会薪酬与考核委员会对公司董事及高级管理人员的履职及薪酬制度执行情况</w:t>
      </w:r>
    </w:p>
    <w:p>
      <w:pPr>
        <w:pStyle w:val="BodyText"/>
        <w:spacing w:line="355" w:lineRule="auto" w:before="30"/>
        <w:ind w:left="558" w:right="128" w:hanging="420"/>
        <w:jc w:val="left"/>
      </w:pPr>
      <w:r>
        <w:rPr/>
        <w:t>进行了监督审查，为董事会建立和完善高管激励机制发挥了专业作用。 报告期内，董事会提名委员会在公司董事会换届选举及高级管理人员聘任工作中，对候选人</w:t>
      </w:r>
    </w:p>
    <w:p>
      <w:pPr>
        <w:pStyle w:val="BodyText"/>
        <w:spacing w:line="357" w:lineRule="auto" w:before="33"/>
        <w:ind w:right="145"/>
        <w:jc w:val="both"/>
      </w:pPr>
      <w:r>
        <w:rPr/>
        <w:t>进行了专业资格审核，并向董事会发表了专业意见。审议通过了《关于增补董事的议案》、《关 于选举第八届董事会董事长的议案》、《关于聘任公司总经理的议案》、《关于聘任公司副总经 理、董事会秘书的议案》等。</w:t>
      </w:r>
    </w:p>
    <w:p>
      <w:pPr>
        <w:spacing w:line="240" w:lineRule="auto" w:before="8"/>
        <w:rPr>
          <w:rFonts w:ascii="宋体" w:hAnsi="宋体" w:cs="宋体" w:eastAsia="宋体" w:hint="default"/>
          <w:sz w:val="27"/>
          <w:szCs w:val="27"/>
        </w:rPr>
      </w:pPr>
    </w:p>
    <w:p>
      <w:pPr>
        <w:spacing w:line="343" w:lineRule="auto" w:before="0"/>
        <w:ind w:left="138" w:right="5378"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w w:val="99"/>
          <w:sz w:val="21"/>
          <w:szCs w:val="21"/>
        </w:rPr>
        <w:t> </w:t>
      </w:r>
      <w:r>
        <w:rPr>
          <w:rFonts w:ascii="宋体" w:hAnsi="宋体" w:cs="宋体" w:eastAsia="宋体" w:hint="default"/>
          <w:sz w:val="21"/>
          <w:szCs w:val="21"/>
        </w:rPr>
        <w:t>监事会对报告期内的监督事项无异议。</w:t>
      </w:r>
    </w:p>
    <w:p>
      <w:pPr>
        <w:spacing w:line="240" w:lineRule="auto" w:before="8"/>
        <w:rPr>
          <w:rFonts w:ascii="宋体" w:hAnsi="宋体" w:cs="宋体" w:eastAsia="宋体" w:hint="default"/>
          <w:sz w:val="28"/>
          <w:szCs w:val="28"/>
        </w:rPr>
      </w:pPr>
    </w:p>
    <w:p>
      <w:pPr>
        <w:spacing w:line="343"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六、报告期内对高级管理人员的考评机制，以及激励机制的建立、实施情况</w:t>
      </w:r>
      <w:r>
        <w:rPr>
          <w:rFonts w:ascii="宋体" w:hAnsi="宋体" w:cs="宋体" w:eastAsia="宋体" w:hint="default"/>
          <w:b/>
          <w:bCs/>
          <w:w w:val="99"/>
          <w:sz w:val="21"/>
          <w:szCs w:val="21"/>
        </w:rPr>
        <w:t> </w:t>
      </w:r>
      <w:r>
        <w:rPr>
          <w:rFonts w:ascii="宋体" w:hAnsi="宋体" w:cs="宋体" w:eastAsia="宋体" w:hint="default"/>
          <w:sz w:val="21"/>
          <w:szCs w:val="21"/>
        </w:rPr>
        <w:t>公司建立了高级管理人员的考评、激励与约束机制。公司高管人员实行年薪制，其薪酬由基</w:t>
      </w:r>
    </w:p>
    <w:p>
      <w:pPr>
        <w:pStyle w:val="BodyText"/>
        <w:spacing w:line="357" w:lineRule="auto" w:before="44"/>
        <w:ind w:right="146"/>
        <w:jc w:val="both"/>
      </w:pPr>
      <w:r>
        <w:rPr/>
        <w:t>本薪资与绩效薪资组成，其中，绩效薪资与考核指标完成情况挂钩，由董事会薪酬与考核委员会 根据高管人员的绩效目标完成情况、工作能力、工作态度等进行考评，以确定高管人员本年度的 绩效薪资。</w:t>
      </w:r>
    </w:p>
    <w:p>
      <w:pPr>
        <w:pStyle w:val="BodyText"/>
        <w:spacing w:line="357" w:lineRule="auto" w:before="30"/>
        <w:ind w:right="128" w:firstLine="420"/>
        <w:jc w:val="left"/>
      </w:pPr>
      <w:r>
        <w:rPr/>
        <w:t>报告期内，公司高级管理人员能够严格按照《公司章程》及相关法律法规认真履职，积极落 实公司股东大会和董事会的相关决议，较好地完成了本年度的各项任务。</w:t>
      </w:r>
    </w:p>
    <w:p>
      <w:pPr>
        <w:spacing w:after="0" w:line="357" w:lineRule="auto"/>
        <w:jc w:val="left"/>
        <w:sectPr>
          <w:pgSz w:w="11910" w:h="16840"/>
          <w:pgMar w:header="882" w:footer="1194" w:top="1120" w:bottom="1380" w:left="1660" w:right="1140"/>
        </w:sectPr>
      </w:pPr>
    </w:p>
    <w:p>
      <w:pPr>
        <w:spacing w:line="240" w:lineRule="auto" w:before="2"/>
        <w:rPr>
          <w:rFonts w:ascii="宋体" w:hAnsi="宋体" w:cs="宋体" w:eastAsia="宋体" w:hint="default"/>
          <w:sz w:val="26"/>
          <w:szCs w:val="26"/>
        </w:rPr>
      </w:pPr>
    </w:p>
    <w:p>
      <w:pPr>
        <w:pStyle w:val="Heading1"/>
        <w:tabs>
          <w:tab w:pos="1262" w:val="left" w:leader="none"/>
        </w:tabs>
        <w:spacing w:line="240" w:lineRule="auto"/>
        <w:ind w:left="2" w:right="0"/>
        <w:jc w:val="center"/>
        <w:rPr>
          <w:b w:val="0"/>
          <w:bCs w:val="0"/>
        </w:rPr>
      </w:pPr>
      <w:bookmarkStart w:name="_TOC_250002" w:id="9"/>
      <w:r>
        <w:rPr>
          <w:w w:val="95"/>
        </w:rPr>
        <w:t>第九节</w:t>
        <w:tab/>
      </w:r>
      <w:r>
        <w:rPr/>
        <w:t>内部控制</w:t>
      </w:r>
      <w:bookmarkEnd w:id="9"/>
      <w:r>
        <w:rPr>
          <w:b w:val="0"/>
          <w:bCs w:val="0"/>
        </w:rPr>
      </w:r>
    </w:p>
    <w:p>
      <w:pPr>
        <w:pStyle w:val="Heading3"/>
        <w:spacing w:line="240" w:lineRule="auto" w:before="249"/>
        <w:ind w:left="138" w:right="0"/>
        <w:jc w:val="both"/>
        <w:rPr>
          <w:b w:val="0"/>
          <w:bCs w:val="0"/>
        </w:rPr>
      </w:pPr>
      <w:r>
        <w:rPr/>
        <w:t>一、内部控制责任声明及内部控制制度建设情况</w:t>
      </w:r>
      <w:r>
        <w:rPr>
          <w:b w:val="0"/>
          <w:bCs w:val="0"/>
        </w:rPr>
      </w:r>
    </w:p>
    <w:p>
      <w:pPr>
        <w:pStyle w:val="BodyText"/>
        <w:spacing w:line="357" w:lineRule="auto" w:before="118"/>
        <w:ind w:left="558" w:right="128"/>
        <w:jc w:val="left"/>
      </w:pPr>
      <w:r>
        <w:rPr/>
        <w:t>（一）内部控制责任声明 按照企业内部控制规范体系的规定，建立健全和有效实施内部控制，评价其有效性，并如实</w:t>
      </w:r>
    </w:p>
    <w:p>
      <w:pPr>
        <w:pStyle w:val="BodyText"/>
        <w:spacing w:line="357" w:lineRule="auto" w:before="31"/>
        <w:ind w:right="146"/>
        <w:jc w:val="both"/>
      </w:pPr>
      <w:r>
        <w:rPr/>
        <w:t>披露内部控制评价报告是公司董事会的责任。监事会对董事会建立和实施内部控制进行监督。经 理层负责组织领导企业内部控制的日常运行。公司董事会、监事会及董事、监事、高级管理人员 保证本报告内容不存在任何虚假记载、误导性陈述或重大遗漏，并对报告内容的真实性、准确性 和完整性承担个别及连带法律责任。</w:t>
      </w:r>
    </w:p>
    <w:p>
      <w:pPr>
        <w:pStyle w:val="BodyText"/>
        <w:spacing w:line="357" w:lineRule="auto" w:before="30"/>
        <w:ind w:right="145" w:firstLine="420"/>
        <w:jc w:val="both"/>
      </w:pPr>
      <w:r>
        <w:rPr/>
        <w:t>公司内部控制的目标是合理保证经营管理合法合规、资产安全、财务报告及相关信息真实完 整，提高经营效率和效果，促进实现发展战略。由于内部控制存在的固有局限性，故仅能为实现 上述目标提供合理保证。此外，由于情况的变化可能导致内部控制变得不恰当，或对控制政策和 程序遵循的程度降低，根据内部控制评价结果推测未来内部控制的有效性具有一定的风险。</w:t>
      </w:r>
    </w:p>
    <w:p>
      <w:pPr>
        <w:pStyle w:val="BodyText"/>
        <w:spacing w:line="357" w:lineRule="auto" w:before="30"/>
        <w:ind w:right="146" w:firstLine="420"/>
        <w:jc w:val="both"/>
      </w:pPr>
      <w:r>
        <w:rPr/>
        <w:t>根据公司财务报告内部控制重大缺陷的认定情况，于内部控制评价报告基准日，不存在财务 报告内部控制重大缺陷和重要缺陷，董事会认为，公司已按照企业内部控制规范体系和相关规定 的要求在所有重大方面保持了有效的财务报告内部控制。</w:t>
      </w:r>
    </w:p>
    <w:p>
      <w:pPr>
        <w:pStyle w:val="BodyText"/>
        <w:spacing w:line="357" w:lineRule="auto" w:before="30"/>
        <w:ind w:right="146" w:firstLine="420"/>
        <w:jc w:val="both"/>
      </w:pPr>
      <w:r>
        <w:rPr/>
        <w:t>根据公司非财务报告内部控制重大缺陷认定情况，于内部控制评价报告基准日，公司未发现 非财务报告内部控制重大缺陷和重要缺陷。</w:t>
      </w:r>
    </w:p>
    <w:p>
      <w:pPr>
        <w:pStyle w:val="BodyText"/>
        <w:spacing w:line="357" w:lineRule="auto" w:before="30"/>
        <w:ind w:right="146" w:firstLine="420"/>
        <w:jc w:val="both"/>
      </w:pPr>
      <w:r>
        <w:rPr/>
        <w:t>自内部控制评价报告基准日至内部控制评价报告发出日之间未发生影响内部控制有效性评价 结论的因素。</w:t>
      </w:r>
    </w:p>
    <w:p>
      <w:pPr>
        <w:pStyle w:val="BodyText"/>
        <w:spacing w:line="355" w:lineRule="auto" w:before="30"/>
        <w:ind w:left="558" w:right="123"/>
        <w:jc w:val="left"/>
      </w:pPr>
      <w:r>
        <w:rPr/>
        <w:t>（二）内部控制制度建设情况 </w:t>
      </w:r>
      <w:r>
        <w:rPr>
          <w:spacing w:val="-5"/>
        </w:rPr>
        <w:t>在公司内部控制制度建设方面，公司根据《公司法》、《证券法》、《上市公司章程指引》、</w:t>
      </w:r>
    </w:p>
    <w:p>
      <w:pPr>
        <w:pStyle w:val="BodyText"/>
        <w:spacing w:line="240" w:lineRule="auto" w:before="33"/>
        <w:ind w:right="0"/>
        <w:jc w:val="both"/>
      </w:pPr>
      <w:r>
        <w:rPr>
          <w:spacing w:val="-5"/>
        </w:rPr>
        <w:t>《上市公司内部控制指引》《上市公司治理准则》等有关法律法规制定了《股东大会议事规则》、</w:t>
      </w:r>
    </w:p>
    <w:p>
      <w:pPr>
        <w:pStyle w:val="BodyText"/>
        <w:spacing w:line="357" w:lineRule="auto" w:before="133"/>
        <w:ind w:right="134"/>
        <w:jc w:val="both"/>
      </w:pPr>
      <w:r>
        <w:rPr/>
        <w:t>《董事会议事规则》、《监事会议事规则》、《独立董事制度》、《总经理及高、中级管理人员 职责与工作细则条例》、《董事会秘书管理办法》、《专门委员会实施细则》、《授权制度管理 规定》、《信息披露管理办法》，完善了《内部控制制度》，形成了相对完善的治理框架文件， </w:t>
      </w:r>
      <w:r>
        <w:rPr>
          <w:spacing w:val="-5"/>
        </w:rPr>
        <w:t>为规范公司治理、提高决策水平、保护股东权益提供了制度保障。公司针对业务的各个不同环节，</w:t>
      </w:r>
      <w:r>
        <w:rPr>
          <w:spacing w:val="-88"/>
        </w:rPr>
        <w:t> </w:t>
      </w:r>
      <w:r>
        <w:rPr>
          <w:spacing w:val="-88"/>
        </w:rPr>
      </w:r>
      <w:r>
        <w:rPr/>
        <w:t>分析流程，识别风险点，设立控制点，最终形成各部门的规章制度体系。财务核算和财务管理方 面，公司根据财政部颁布的《企业会计准则》、《企业内部控制基本规范》等法律法规和《公司 章程》的有关规定，结合公司的具体情况完善了《财务管理制度》、《资金管理制度》、《会计 核算制度》、《预算管理制度》等一系列财务内部控制制度。随着国家法律法规的逐步深化完善 和公司业务不断发展，公司还将进一步建立、健全和深化公司各项内控制度。</w:t>
      </w:r>
    </w:p>
    <w:p>
      <w:pPr>
        <w:spacing w:line="240" w:lineRule="auto" w:before="1"/>
        <w:rPr>
          <w:rFonts w:ascii="宋体" w:hAnsi="宋体" w:cs="宋体" w:eastAsia="宋体" w:hint="default"/>
          <w:sz w:val="23"/>
          <w:szCs w:val="23"/>
        </w:rPr>
      </w:pPr>
    </w:p>
    <w:p>
      <w:pPr>
        <w:pStyle w:val="BodyText"/>
        <w:spacing w:line="240" w:lineRule="auto"/>
        <w:ind w:right="0"/>
        <w:jc w:val="both"/>
      </w:pPr>
      <w:r>
        <w:rPr/>
        <w:t>是否披露内部控制自我评价报告：是</w:t>
      </w:r>
    </w:p>
    <w:p>
      <w:pPr>
        <w:spacing w:after="0" w:line="240" w:lineRule="auto"/>
        <w:jc w:val="both"/>
        <w:sectPr>
          <w:pgSz w:w="11910" w:h="16840"/>
          <w:pgMar w:header="882" w:footer="1194" w:top="1120" w:bottom="1380" w:left="1660" w:right="1140"/>
        </w:sectPr>
      </w:pPr>
    </w:p>
    <w:p>
      <w:pPr>
        <w:spacing w:line="240" w:lineRule="auto" w:before="4"/>
        <w:rPr>
          <w:rFonts w:ascii="宋体" w:hAnsi="宋体" w:cs="宋体" w:eastAsia="宋体" w:hint="default"/>
          <w:sz w:val="25"/>
          <w:szCs w:val="25"/>
        </w:rPr>
      </w:pPr>
    </w:p>
    <w:p>
      <w:pPr>
        <w:spacing w:line="350" w:lineRule="auto" w:before="35"/>
        <w:ind w:left="138" w:right="128" w:firstLine="0"/>
        <w:jc w:val="left"/>
        <w:rPr>
          <w:rFonts w:ascii="宋体" w:hAnsi="宋体" w:cs="宋体" w:eastAsia="宋体" w:hint="default"/>
          <w:sz w:val="21"/>
          <w:szCs w:val="21"/>
        </w:rPr>
      </w:pPr>
      <w:r>
        <w:rPr>
          <w:rFonts w:ascii="宋体" w:hAnsi="宋体" w:cs="宋体" w:eastAsia="宋体" w:hint="default"/>
          <w:b/>
          <w:bCs/>
          <w:sz w:val="21"/>
          <w:szCs w:val="21"/>
        </w:rPr>
        <w:t>二、内部控制审计报告的相关情况说明</w:t>
      </w:r>
      <w:r>
        <w:rPr>
          <w:rFonts w:ascii="宋体" w:hAnsi="宋体" w:cs="宋体" w:eastAsia="宋体" w:hint="default"/>
          <w:b/>
          <w:bCs/>
          <w:w w:val="99"/>
          <w:sz w:val="21"/>
          <w:szCs w:val="21"/>
        </w:rPr>
        <w:t> </w:t>
      </w:r>
      <w:r>
        <w:rPr>
          <w:rFonts w:ascii="宋体" w:hAnsi="宋体" w:cs="宋体" w:eastAsia="宋体" w:hint="default"/>
          <w:sz w:val="21"/>
          <w:szCs w:val="21"/>
        </w:rPr>
        <w:t>本报告期，公司聘请大信会计师事务所（特殊普通合伙）为公司内部控制审计机构，为公司出具 了标准无保留意见的内控审计报告。</w:t>
      </w:r>
    </w:p>
    <w:p>
      <w:pPr>
        <w:pStyle w:val="BodyText"/>
        <w:spacing w:line="240" w:lineRule="auto" w:before="158"/>
        <w:ind w:right="135"/>
        <w:jc w:val="left"/>
      </w:pPr>
      <w:r>
        <w:rPr/>
        <w:t>是否披露内部控制审计报告：是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352" w:lineRule="auto"/>
        <w:ind w:right="128"/>
        <w:jc w:val="left"/>
      </w:pPr>
      <w:r>
        <w:rPr>
          <w:rFonts w:ascii="宋体" w:hAnsi="宋体" w:cs="宋体" w:eastAsia="宋体" w:hint="default"/>
          <w:b/>
          <w:bCs/>
        </w:rPr>
        <w:t>三、年度报告重大差错责任追究制度及相关执行情况说明</w:t>
      </w:r>
      <w:r>
        <w:rPr>
          <w:rFonts w:ascii="宋体" w:hAnsi="宋体" w:cs="宋体" w:eastAsia="宋体" w:hint="default"/>
          <w:b/>
          <w:bCs/>
          <w:w w:val="99"/>
        </w:rPr>
        <w:t> </w:t>
      </w:r>
      <w:r>
        <w:rPr/>
        <w:t>为了进一步完善公司内部控制制度、强化财务问责机制，公司董事会制定了《年报信息披露重大 差错责任追究制度》，并于</w:t>
      </w:r>
      <w:r>
        <w:rPr>
          <w:spacing w:val="-53"/>
        </w:rPr>
        <w:t> </w:t>
      </w:r>
      <w:r>
        <w:rPr>
          <w:rFonts w:ascii="宋体" w:hAnsi="宋体" w:cs="宋体" w:eastAsia="宋体" w:hint="default"/>
        </w:rPr>
        <w:t>2011</w:t>
      </w:r>
      <w:r>
        <w:rPr>
          <w:rFonts w:ascii="宋体" w:hAnsi="宋体" w:cs="宋体" w:eastAsia="宋体" w:hint="default"/>
          <w:spacing w:val="-53"/>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t>日正式实施。 报告期内，该制度实施情况良好，公司不存在重大会计差错、重大遗漏信息补充、业绩预告更正 等情况。</w:t>
      </w:r>
    </w:p>
    <w:p>
      <w:pPr>
        <w:spacing w:after="0" w:line="352"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pStyle w:val="Heading1"/>
        <w:tabs>
          <w:tab w:pos="1262" w:val="left" w:leader="none"/>
        </w:tabs>
        <w:spacing w:line="240" w:lineRule="auto" w:before="154"/>
        <w:ind w:left="2" w:right="0"/>
        <w:jc w:val="center"/>
        <w:rPr>
          <w:rFonts w:ascii="宋体" w:hAnsi="宋体" w:cs="宋体" w:eastAsia="宋体" w:hint="default"/>
          <w:b w:val="0"/>
          <w:bCs w:val="0"/>
        </w:rPr>
      </w:pPr>
      <w:bookmarkStart w:name="_TOC_250001" w:id="10"/>
      <w:r>
        <w:rPr>
          <w:rFonts w:ascii="宋体" w:hAnsi="宋体" w:cs="宋体" w:eastAsia="宋体" w:hint="default"/>
          <w:w w:val="95"/>
        </w:rPr>
        <w:t>第十节</w:t>
        <w:tab/>
      </w:r>
      <w:r>
        <w:rPr>
          <w:rFonts w:ascii="宋体" w:hAnsi="宋体" w:cs="宋体" w:eastAsia="宋体" w:hint="default"/>
        </w:rPr>
        <w:t>财务报告</w:t>
      </w:r>
      <w:bookmarkEnd w:id="10"/>
      <w:r>
        <w:rPr>
          <w:rFonts w:ascii="宋体" w:hAnsi="宋体" w:cs="宋体" w:eastAsia="宋体" w:hint="default"/>
          <w:b w:val="0"/>
          <w:bCs w:val="0"/>
        </w:rPr>
      </w:r>
    </w:p>
    <w:p>
      <w:pPr>
        <w:spacing w:line="240" w:lineRule="auto" w:before="5"/>
        <w:rPr>
          <w:rFonts w:ascii="宋体" w:hAnsi="宋体" w:cs="宋体" w:eastAsia="宋体" w:hint="default"/>
          <w:b/>
          <w:bCs/>
          <w:sz w:val="16"/>
          <w:szCs w:val="16"/>
        </w:rPr>
      </w:pPr>
    </w:p>
    <w:p>
      <w:pPr>
        <w:pStyle w:val="Heading3"/>
        <w:spacing w:line="240" w:lineRule="auto"/>
        <w:ind w:left="138" w:right="135"/>
        <w:jc w:val="left"/>
        <w:rPr>
          <w:b w:val="0"/>
          <w:bCs w:val="0"/>
        </w:rPr>
      </w:pPr>
      <w:r>
        <w:rPr/>
        <w:t>一、审计报告</w:t>
      </w:r>
      <w:r>
        <w:rPr>
          <w:b w:val="0"/>
          <w:bCs w:val="0"/>
        </w:rPr>
      </w:r>
    </w:p>
    <w:p>
      <w:pPr>
        <w:spacing w:line="240" w:lineRule="auto" w:before="2"/>
        <w:rPr>
          <w:rFonts w:ascii="宋体" w:hAnsi="宋体" w:cs="宋体" w:eastAsia="宋体" w:hint="default"/>
          <w:b/>
          <w:bCs/>
          <w:sz w:val="16"/>
          <w:szCs w:val="16"/>
        </w:rPr>
      </w:pPr>
    </w:p>
    <w:p>
      <w:pPr>
        <w:pStyle w:val="BodyText"/>
        <w:spacing w:line="240" w:lineRule="auto" w:before="35"/>
        <w:ind w:left="0" w:right="131"/>
        <w:jc w:val="right"/>
      </w:pPr>
      <w:r>
        <w:rPr/>
        <w:t>大信审字</w:t>
      </w:r>
      <w:r>
        <w:rPr>
          <w:rFonts w:ascii="宋体" w:hAnsi="宋体" w:cs="宋体" w:eastAsia="宋体" w:hint="default"/>
        </w:rPr>
        <w:t>[2015]</w:t>
      </w:r>
      <w:r>
        <w:rPr/>
        <w:t>第</w:t>
      </w:r>
      <w:r>
        <w:rPr>
          <w:spacing w:val="-55"/>
        </w:rPr>
        <w:t> </w:t>
      </w:r>
      <w:r>
        <w:rPr>
          <w:rFonts w:ascii="宋体" w:hAnsi="宋体" w:cs="宋体" w:eastAsia="宋体" w:hint="default"/>
        </w:rPr>
        <w:t>29-00027</w:t>
      </w:r>
      <w:r>
        <w:rPr>
          <w:rFonts w:ascii="宋体" w:hAnsi="宋体" w:cs="宋体" w:eastAsia="宋体" w:hint="default"/>
          <w:spacing w:val="-54"/>
        </w:rPr>
        <w:t> </w:t>
      </w:r>
      <w:r>
        <w:rPr/>
        <w:t>号</w:t>
      </w:r>
    </w:p>
    <w:p>
      <w:pPr>
        <w:spacing w:line="240" w:lineRule="auto" w:before="6"/>
        <w:rPr>
          <w:rFonts w:ascii="宋体" w:hAnsi="宋体" w:cs="宋体" w:eastAsia="宋体" w:hint="default"/>
          <w:sz w:val="11"/>
          <w:szCs w:val="11"/>
        </w:rPr>
      </w:pPr>
    </w:p>
    <w:p>
      <w:pPr>
        <w:spacing w:line="400" w:lineRule="auto" w:before="35"/>
        <w:ind w:left="558" w:right="117" w:hanging="420"/>
        <w:jc w:val="left"/>
        <w:rPr>
          <w:rFonts w:ascii="宋体" w:hAnsi="宋体" w:cs="宋体" w:eastAsia="宋体" w:hint="default"/>
          <w:sz w:val="21"/>
          <w:szCs w:val="21"/>
        </w:rPr>
      </w:pPr>
      <w:r>
        <w:rPr>
          <w:rFonts w:ascii="宋体" w:hAnsi="宋体" w:cs="宋体" w:eastAsia="宋体" w:hint="default"/>
          <w:b/>
          <w:bCs/>
          <w:sz w:val="21"/>
          <w:szCs w:val="21"/>
        </w:rPr>
        <w:t>广西慧球科技股份有限公司全体股东：</w:t>
      </w:r>
      <w:r>
        <w:rPr>
          <w:rFonts w:ascii="宋体" w:hAnsi="宋体" w:cs="宋体" w:eastAsia="宋体" w:hint="default"/>
          <w:b/>
          <w:bCs/>
          <w:w w:val="99"/>
          <w:sz w:val="21"/>
          <w:szCs w:val="21"/>
        </w:rPr>
        <w:t> </w:t>
      </w:r>
      <w:r>
        <w:rPr>
          <w:rFonts w:ascii="宋体" w:hAnsi="宋体" w:cs="宋体" w:eastAsia="宋体" w:hint="default"/>
          <w:spacing w:val="-2"/>
          <w:sz w:val="21"/>
          <w:szCs w:val="21"/>
        </w:rPr>
        <w:t>我们审计了后附的广西慧球科技股份有限公司（以下简称“贵公司”）财务报表，包括</w:t>
      </w:r>
      <w:r>
        <w:rPr>
          <w:rFonts w:ascii="宋体" w:hAnsi="宋体" w:cs="宋体" w:eastAsia="宋体" w:hint="default"/>
          <w:spacing w:val="-18"/>
          <w:sz w:val="21"/>
          <w:szCs w:val="21"/>
        </w:rPr>
        <w:t> </w:t>
      </w:r>
      <w:r>
        <w:rPr>
          <w:rFonts w:ascii="宋体" w:hAnsi="宋体" w:cs="宋体" w:eastAsia="宋体" w:hint="default"/>
          <w:sz w:val="21"/>
          <w:szCs w:val="21"/>
        </w:rPr>
        <w:t>2014</w:t>
      </w:r>
    </w:p>
    <w:p>
      <w:pPr>
        <w:pStyle w:val="BodyText"/>
        <w:spacing w:line="400" w:lineRule="auto" w:before="45"/>
        <w:ind w:right="122"/>
        <w:jc w:val="left"/>
      </w:pPr>
      <w:r>
        <w:rPr/>
        <w:t>年</w:t>
      </w:r>
      <w:r>
        <w:rPr>
          <w:spacing w:val="-62"/>
        </w:rPr>
        <w:t> </w:t>
      </w:r>
      <w:r>
        <w:rPr>
          <w:rFonts w:ascii="宋体" w:hAnsi="宋体" w:cs="宋体" w:eastAsia="宋体" w:hint="default"/>
        </w:rPr>
        <w:t>12</w:t>
      </w:r>
      <w:r>
        <w:rPr>
          <w:rFonts w:ascii="宋体" w:hAnsi="宋体" w:cs="宋体" w:eastAsia="宋体" w:hint="default"/>
          <w:spacing w:val="-61"/>
        </w:rPr>
        <w:t> </w:t>
      </w:r>
      <w:r>
        <w:rPr/>
        <w:t>月</w:t>
      </w:r>
      <w:r>
        <w:rPr>
          <w:spacing w:val="-62"/>
        </w:rPr>
        <w:t> </w:t>
      </w:r>
      <w:r>
        <w:rPr>
          <w:rFonts w:ascii="宋体" w:hAnsi="宋体" w:cs="宋体" w:eastAsia="宋体" w:hint="default"/>
        </w:rPr>
        <w:t>31</w:t>
      </w:r>
      <w:r>
        <w:rPr>
          <w:rFonts w:ascii="宋体" w:hAnsi="宋体" w:cs="宋体" w:eastAsia="宋体" w:hint="default"/>
          <w:spacing w:val="-62"/>
        </w:rPr>
        <w:t> </w:t>
      </w:r>
      <w:r>
        <w:rPr/>
        <w:t>日的合并及母公司资产负债表，</w:t>
      </w:r>
      <w:r>
        <w:rPr>
          <w:rFonts w:ascii="宋体" w:hAnsi="宋体" w:cs="宋体" w:eastAsia="宋体" w:hint="default"/>
        </w:rPr>
        <w:t>2014</w:t>
      </w:r>
      <w:r>
        <w:rPr>
          <w:rFonts w:ascii="宋体" w:hAnsi="宋体" w:cs="宋体" w:eastAsia="宋体" w:hint="default"/>
          <w:spacing w:val="-62"/>
        </w:rPr>
        <w:t> </w:t>
      </w:r>
      <w:r>
        <w:rPr/>
        <w:t>年度的合并及母公司利润表、合并及母公司现金 流量表、合并及母公司股东权益变动表，以及财务报表附注。</w:t>
      </w:r>
    </w:p>
    <w:p>
      <w:pPr>
        <w:pStyle w:val="Heading2"/>
        <w:spacing w:line="240" w:lineRule="auto" w:before="120"/>
        <w:ind w:right="135"/>
        <w:jc w:val="left"/>
      </w:pPr>
      <w:r>
        <w:rPr/>
        <w:t>一、管理层对财务报表的责任</w:t>
      </w:r>
    </w:p>
    <w:p>
      <w:pPr>
        <w:pStyle w:val="BodyText"/>
        <w:spacing w:line="400" w:lineRule="auto" w:before="190"/>
        <w:ind w:right="132" w:firstLine="420"/>
        <w:jc w:val="both"/>
      </w:pPr>
      <w:r>
        <w:rPr>
          <w:spacing w:val="-3"/>
        </w:rPr>
        <w:t>编制和公允列报财务报表是贵公司管理层的责任，这种责任包括：（</w:t>
      </w:r>
      <w:r>
        <w:rPr>
          <w:rFonts w:ascii="宋体" w:hAnsi="宋体" w:cs="宋体" w:eastAsia="宋体" w:hint="default"/>
          <w:spacing w:val="-3"/>
        </w:rPr>
        <w:t>1</w:t>
      </w:r>
      <w:r>
        <w:rPr>
          <w:spacing w:val="-3"/>
        </w:rPr>
        <w:t>）按照企业会计准则的</w:t>
      </w:r>
      <w:r>
        <w:rPr/>
        <w:t> </w:t>
      </w:r>
      <w:r>
        <w:rPr>
          <w:spacing w:val="-3"/>
        </w:rPr>
        <w:t>规定编制财务报表，并使其实现公允反映；（</w:t>
      </w:r>
      <w:r>
        <w:rPr>
          <w:rFonts w:ascii="宋体" w:hAnsi="宋体" w:cs="宋体" w:eastAsia="宋体" w:hint="default"/>
          <w:spacing w:val="-3"/>
        </w:rPr>
        <w:t>2</w:t>
      </w:r>
      <w:r>
        <w:rPr>
          <w:spacing w:val="-3"/>
        </w:rPr>
        <w:t>）设计、执行和维护必要的内部控制，以使财务报</w:t>
      </w:r>
      <w:r>
        <w:rPr>
          <w:spacing w:val="-72"/>
        </w:rPr>
        <w:t> </w:t>
      </w:r>
      <w:r>
        <w:rPr>
          <w:spacing w:val="-72"/>
        </w:rPr>
      </w:r>
      <w:r>
        <w:rPr/>
        <w:t>表不存在由于舞弊或错误导致的重大错报。</w:t>
      </w:r>
    </w:p>
    <w:p>
      <w:pPr>
        <w:pStyle w:val="Heading2"/>
        <w:spacing w:line="240" w:lineRule="auto" w:before="122"/>
        <w:ind w:right="135"/>
        <w:jc w:val="left"/>
      </w:pPr>
      <w:r>
        <w:rPr/>
        <w:t>二、注册会计师的责任</w:t>
      </w:r>
    </w:p>
    <w:p>
      <w:pPr>
        <w:pStyle w:val="BodyText"/>
        <w:spacing w:line="403" w:lineRule="auto" w:before="189"/>
        <w:ind w:right="135" w:firstLine="420"/>
        <w:jc w:val="both"/>
      </w:pPr>
      <w:r>
        <w:rPr/>
        <w:t>我们的责任是在执行审计工作的基础上对财务报表发表审计意见。我们按照中国注册会计师 审计准则的规定执行了审计工作。中国注册会计师审计准则要求我们遵守中国注册会计师职业道</w:t>
      </w:r>
      <w:r>
        <w:rPr>
          <w:spacing w:val="-96"/>
        </w:rPr>
        <w:t> </w:t>
      </w:r>
      <w:r>
        <w:rPr>
          <w:spacing w:val="-96"/>
        </w:rPr>
      </w:r>
      <w:r>
        <w:rPr/>
        <w:t>德守则，计划和执行审计工作以对财务报表是否不存在重大错报获取合理保证。</w:t>
      </w:r>
    </w:p>
    <w:p>
      <w:pPr>
        <w:pStyle w:val="BodyText"/>
        <w:spacing w:line="400" w:lineRule="auto" w:before="42"/>
        <w:ind w:right="135" w:firstLine="420"/>
        <w:jc w:val="both"/>
      </w:pPr>
      <w:r>
        <w:rPr/>
        <w:t>审计工作涉及实施审计程序，以获取有关财务报表金额和披露的审计证据。选择的审计程序 取决于注册会计师的判断，包括对由于舞弊或错误导致的财务报表重大错报风险的评估。在进行</w:t>
      </w:r>
      <w:r>
        <w:rPr>
          <w:spacing w:val="-96"/>
        </w:rPr>
        <w:t> </w:t>
      </w:r>
      <w:r>
        <w:rPr>
          <w:spacing w:val="-96"/>
        </w:rPr>
      </w:r>
      <w:r>
        <w:rPr/>
        <w:t>风险评估时，注册会计师考虑与财务报表编制和公允列报相关的内部控制，以设计恰当的审计程</w:t>
      </w:r>
      <w:r>
        <w:rPr>
          <w:spacing w:val="-96"/>
        </w:rPr>
        <w:t> </w:t>
      </w:r>
      <w:r>
        <w:rPr>
          <w:spacing w:val="-96"/>
        </w:rPr>
      </w:r>
      <w:r>
        <w:rPr/>
        <w:t>序。审计工作还包括评价管理层选用会计政策的恰当性和作出会计估计的合理性，以及评价财务</w:t>
      </w:r>
      <w:r>
        <w:rPr>
          <w:spacing w:val="-96"/>
        </w:rPr>
        <w:t> </w:t>
      </w:r>
      <w:r>
        <w:rPr>
          <w:spacing w:val="-96"/>
        </w:rPr>
      </w:r>
      <w:r>
        <w:rPr/>
        <w:t>报表的总体列报。</w:t>
      </w:r>
    </w:p>
    <w:p>
      <w:pPr>
        <w:pStyle w:val="BodyText"/>
        <w:spacing w:line="240" w:lineRule="auto" w:before="45"/>
        <w:ind w:left="558" w:right="135"/>
        <w:jc w:val="left"/>
      </w:pPr>
      <w:r>
        <w:rPr/>
        <w:t>我们相信，我们获取的审计证据是充分、适当的，为发表审计意见提供了基础。</w:t>
      </w:r>
    </w:p>
    <w:p>
      <w:pPr>
        <w:spacing w:line="240" w:lineRule="auto" w:before="13"/>
        <w:rPr>
          <w:rFonts w:ascii="宋体" w:hAnsi="宋体" w:cs="宋体" w:eastAsia="宋体" w:hint="default"/>
          <w:sz w:val="19"/>
          <w:szCs w:val="19"/>
        </w:rPr>
      </w:pPr>
    </w:p>
    <w:p>
      <w:pPr>
        <w:pStyle w:val="Heading2"/>
        <w:spacing w:line="240" w:lineRule="auto"/>
        <w:ind w:right="135"/>
        <w:jc w:val="left"/>
      </w:pPr>
      <w:r>
        <w:rPr/>
        <w:t>三、审计意见</w:t>
      </w:r>
    </w:p>
    <w:p>
      <w:pPr>
        <w:pStyle w:val="BodyText"/>
        <w:spacing w:line="403" w:lineRule="auto" w:before="189"/>
        <w:ind w:right="146" w:firstLine="420"/>
        <w:jc w:val="both"/>
      </w:pPr>
      <w:r>
        <w:rPr/>
        <w:t>我们认为，贵公司财务报表在所有重大方面按照企业会计准则的规定编制，公允反映了贵公 司</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日的财务状况以及</w:t>
      </w:r>
      <w:r>
        <w:rPr>
          <w:spacing w:val="-53"/>
        </w:rPr>
        <w:t> </w:t>
      </w:r>
      <w:r>
        <w:rPr>
          <w:rFonts w:ascii="宋体" w:hAnsi="宋体" w:cs="宋体" w:eastAsia="宋体" w:hint="default"/>
        </w:rPr>
        <w:t>2014</w:t>
      </w:r>
      <w:r>
        <w:rPr>
          <w:rFonts w:ascii="宋体" w:hAnsi="宋体" w:cs="宋体" w:eastAsia="宋体" w:hint="default"/>
          <w:spacing w:val="-54"/>
        </w:rPr>
        <w:t> </w:t>
      </w:r>
      <w:r>
        <w:rPr/>
        <w:t>年度的经营成果和现金流量。</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tabs>
          <w:tab w:pos="5282" w:val="left" w:leader="none"/>
        </w:tabs>
        <w:spacing w:line="403" w:lineRule="auto"/>
        <w:ind w:left="1398" w:right="1507" w:hanging="837"/>
        <w:jc w:val="left"/>
      </w:pPr>
      <w:r>
        <w:rPr/>
        <w:t>大信会计师事务所（特殊普通合伙）</w:t>
        <w:tab/>
        <w:t>中国注册会计师：宁光美 中国·北京</w:t>
        <w:tab/>
        <w:t>中国注册会计师：樊娟华</w:t>
      </w:r>
    </w:p>
    <w:p>
      <w:pPr>
        <w:pStyle w:val="BodyText"/>
        <w:spacing w:line="240" w:lineRule="auto" w:before="162"/>
        <w:ind w:left="0" w:right="132"/>
        <w:jc w:val="right"/>
      </w:pPr>
      <w:r>
        <w:rPr/>
        <w:t>二○一五年四月二十五日</w:t>
      </w:r>
    </w:p>
    <w:p>
      <w:pPr>
        <w:spacing w:after="0" w:line="240" w:lineRule="auto"/>
        <w:jc w:val="right"/>
        <w:sectPr>
          <w:pgSz w:w="11910" w:h="16840"/>
          <w:pgMar w:header="882" w:footer="1194" w:top="1120" w:bottom="1380" w:left="1660" w:right="1140"/>
        </w:sectPr>
      </w:pPr>
    </w:p>
    <w:p>
      <w:pPr>
        <w:spacing w:line="240" w:lineRule="auto" w:before="8"/>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0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72" w:lineRule="exact" w:before="133"/>
        <w:ind w:left="218" w:right="377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120" w:bottom="1380" w:left="1580" w:right="1040"/>
          <w:cols w:num="2" w:equalWidth="0">
            <w:col w:w="1488" w:space="2063"/>
            <w:col w:w="5739"/>
          </w:cols>
        </w:sectPr>
      </w:pPr>
    </w:p>
    <w:p>
      <w:pPr>
        <w:pStyle w:val="BodyText"/>
        <w:spacing w:line="247" w:lineRule="exact"/>
        <w:ind w:left="218" w:right="228"/>
        <w:jc w:val="left"/>
      </w:pPr>
      <w:r>
        <w:rPr/>
        <w:t>编制单位</w:t>
      </w:r>
      <w:r>
        <w:rPr>
          <w:rFonts w:ascii="宋体" w:hAnsi="宋体" w:cs="宋体" w:eastAsia="宋体" w:hint="default"/>
        </w:rPr>
        <w:t>: </w:t>
      </w:r>
      <w:r>
        <w:rPr/>
        <w:t>广西慧球科技股份有限公司</w:t>
      </w:r>
    </w:p>
    <w:p>
      <w:pPr>
        <w:pStyle w:val="BodyText"/>
        <w:tabs>
          <w:tab w:pos="945" w:val="left" w:leader="none"/>
        </w:tabs>
        <w:spacing w:line="274" w:lineRule="exact"/>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3"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30,730,150.38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25,971,254.45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5,493,086.91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3,675,540.33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622,922.39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284,880.79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1,885,013.06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2,368,763.16</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182,972.11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175,187.39</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15,000,000.00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22,000,000.00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53,914,144.85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54,475,626.12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451,954.97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435,406.04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15,000.00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35,000.00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91,484.33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43,595.23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558,439.30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514,001.27</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54,472,584.15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54,989,627.39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444,963.53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357,383.53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3,844,308.85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2,015,604.58</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501,549.26</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94,587.40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2,025,672.59</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1,847,467.67</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43,337,187.92</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47,380,993.04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50,153,682.15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51,696,036.22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2,336,937.63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1,918,398.82</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2,336,937.63</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1,918,398.82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52,490,619.78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53,614,435.04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394,793,708.00</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394,793,708.00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362,183,732.14</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362,183,732.14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08"/>
        <w:gridCol w:w="2208"/>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38,483,861.71</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38,483,861.71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-793,479,337.48</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-794,086,109.50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1,981,964.37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1,375,192.35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1,981,964.37</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1,375,192.35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54,472,584.15</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54,989,627.39</w:t>
            </w:r>
          </w:p>
        </w:tc>
      </w:tr>
    </w:tbl>
    <w:p>
      <w:pPr>
        <w:spacing w:line="240" w:lineRule="auto" w:before="6"/>
        <w:rPr>
          <w:rFonts w:ascii="Times New Roman" w:hAnsi="Times New Roman" w:cs="Times New Roman" w:eastAsia="Times New Roman" w:hint="default"/>
          <w:sz w:val="17"/>
          <w:szCs w:val="17"/>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BodyText"/>
        <w:spacing w:line="240" w:lineRule="auto"/>
        <w:ind w:left="218" w:right="-4"/>
        <w:jc w:val="left"/>
      </w:pPr>
      <w:r>
        <w:rPr>
          <w:spacing w:val="-1"/>
        </w:rPr>
        <w:t>编制单位</w:t>
      </w:r>
      <w:r>
        <w:rPr>
          <w:rFonts w:ascii="宋体" w:hAnsi="宋体" w:cs="宋体" w:eastAsia="宋体" w:hint="default"/>
          <w:spacing w:val="-1"/>
        </w:rPr>
        <w:t>:</w:t>
      </w:r>
      <w:r>
        <w:rPr>
          <w:spacing w:val="-1"/>
        </w:rPr>
        <w:t>广西慧球科技股份有限公司</w:t>
      </w:r>
    </w:p>
    <w:p>
      <w:pPr>
        <w:spacing w:line="272" w:lineRule="exact" w:before="63"/>
        <w:ind w:left="46" w:right="-13" w:firstLine="22"/>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tabs>
          <w:tab w:pos="1163" w:val="left" w:leader="none"/>
        </w:tabs>
        <w:spacing w:line="240" w:lineRule="auto"/>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3" w:equalWidth="0">
            <w:col w:w="3683" w:space="40"/>
            <w:col w:w="1780" w:space="1233"/>
            <w:col w:w="2554"/>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0"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1,000,939.14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4,196,060.22</w:t>
            </w: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493,166.78</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575,871.18</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15,000,000.00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22,000,000.00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16,494,105.92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26,771,931.40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20,047,253.24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10,047,253.24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20,047,253.24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10,047,253.24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36,541,359.16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36,819,184.64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78,819.50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82,196.85</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2,682.77</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2,735.91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44,903,710.45</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40,296,710.45</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44,985,212.72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40,381,643.21</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44,985,212.72</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40,381,643.21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5" w:type="dxa"/>
            <w:gridSpan w:val="3"/>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394,793,708.00</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394,793,708.00</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362,183,732.14</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362,183,732.14</w:t>
            </w: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
        </w:tc>
        <w:tc>
          <w:tcPr>
            <w:tcW w:w="2236"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38,483,861.71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38,483,861.71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-803,905,155.41</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-799,023,760.42</w:t>
            </w:r>
          </w:p>
        </w:tc>
      </w:tr>
    </w:tbl>
    <w:p>
      <w:pPr>
        <w:spacing w:after="0" w:line="240" w:lineRule="exact"/>
        <w:jc w:val="right"/>
        <w:rPr>
          <w:rFonts w:ascii="宋体" w:hAnsi="宋体" w:cs="宋体" w:eastAsia="宋体" w:hint="default"/>
          <w:sz w:val="21"/>
          <w:szCs w:val="21"/>
        </w:rPr>
        <w:sectPr>
          <w:footerReference w:type="default" r:id="rId34"/>
          <w:pgSz w:w="11910" w:h="16840"/>
          <w:pgMar w:footer="1194" w:header="882"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6"/>
        <w:gridCol w:w="2193"/>
        <w:gridCol w:w="2236"/>
      </w:tblGrid>
      <w:tr>
        <w:trPr>
          <w:trHeight w:val="287"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-8,443,853.56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-3,562,458.57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6" w:type="dxa"/>
            <w:tcBorders>
              <w:top w:val="single" w:sz="6" w:space="0" w:color="000000"/>
              <w:left w:val="single" w:sz="6" w:space="0" w:color="000000"/>
              <w:bottom w:val="single" w:sz="6" w:space="0" w:color="000000"/>
              <w:right w:val="single" w:sz="6" w:space="0" w:color="000000"/>
            </w:tcBorders>
          </w:tcPr>
          <w:p>
            <w:pP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36,541,359.16</w:t>
            </w:r>
          </w:p>
        </w:tc>
        <w:tc>
          <w:tcPr>
            <w:tcW w:w="22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36,819,184.64</w:t>
            </w:r>
          </w:p>
        </w:tc>
      </w:tr>
    </w:tbl>
    <w:p>
      <w:pPr>
        <w:spacing w:line="240" w:lineRule="auto" w:before="6"/>
        <w:rPr>
          <w:rFonts w:ascii="Times New Roman" w:hAnsi="Times New Roman" w:cs="Times New Roman" w:eastAsia="Times New Roman" w:hint="default"/>
          <w:sz w:val="17"/>
          <w:szCs w:val="17"/>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35"/>
          <w:pgSz w:w="11910" w:h="16840"/>
          <w:pgMar w:footer="1194" w:header="882" w:top="1100" w:bottom="1380" w:left="1580" w:right="1040"/>
          <w:pgNumType w:start="61"/>
        </w:sectPr>
      </w:pPr>
    </w:p>
    <w:p>
      <w:pPr>
        <w:spacing w:line="272" w:lineRule="exact" w:before="63"/>
        <w:ind w:left="3873" w:right="-16" w:firstLine="234"/>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47,368,751.54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42,540,125.62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47,368,751.54</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42,540,125.62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44,833,163.43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40,128,743.70</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32,865,558.28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29,288,010.07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2,529,103.77</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2,280,751.81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9,299,540.00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9,151,185.83</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-174,997.88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-348,272.49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313,959.26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-242,931.52</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495,618.61</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3,031,206.72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2,411,381.92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98,766.82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32,316,819.92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6,040.80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347.84</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709,432.23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137,092.25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2,420,541.31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34,591,109.59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1,813,769.29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1,945,573.62</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606,772.02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32,645,535.97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606,772.02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32,644,800.98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归属母公司所有者的其他综合收益的税</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73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firstLine="63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73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pacing w:val="-1"/>
                <w:sz w:val="21"/>
                <w:szCs w:val="21"/>
              </w:rPr>
              <w:t>4.</w:t>
            </w:r>
            <w:r>
              <w:rPr>
                <w:rFonts w:ascii="宋体" w:hAnsi="宋体" w:cs="宋体" w:eastAsia="宋体" w:hint="default"/>
                <w:spacing w:val="-1"/>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归属于少数股东的其他综合收益的税后</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606,772.02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32,645,535.97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8"/>
              <w:jc w:val="righ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606,772.02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32,644,800.98</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734.99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0.002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0.083</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16" w:firstLine="128"/>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462" w:val="left" w:leader="none"/>
        </w:tabs>
        <w:spacing w:line="240" w:lineRule="auto"/>
        <w:ind w:left="1516"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6"/>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6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4,830,368.46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5,011,466.91</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-104,286.62</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-251,215.05</w:t>
            </w: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71,822.18</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-264,873.57</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467,509.03</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-5,736.22</w:t>
            </w:r>
          </w:p>
        </w:tc>
      </w:tr>
      <w:tr>
        <w:trPr>
          <w:trHeight w:val="561"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pacing w:val="-6"/>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-4,330,394.99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-4,501,114.51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49,000.00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32,206,004.91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6"/>
        <w:gridCol w:w="1974"/>
        <w:gridCol w:w="1984"/>
      </w:tblGrid>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600,000.00</w:t>
            </w: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-4,881,394.99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27,704,890.40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-4,881,394.99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27,704,890.40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重新计量设定受益计划净负债或净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46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权益法下在被投资单位不能重分类</w:t>
            </w:r>
          </w:p>
          <w:p>
            <w:pPr>
              <w:pStyle w:val="TableParagraph"/>
              <w:spacing w:line="274" w:lineRule="exact"/>
              <w:ind w:left="43" w:right="0"/>
              <w:jc w:val="left"/>
              <w:rPr>
                <w:rFonts w:ascii="宋体" w:hAnsi="宋体" w:cs="宋体" w:eastAsia="宋体" w:hint="default"/>
                <w:sz w:val="21"/>
                <w:szCs w:val="21"/>
              </w:rPr>
            </w:pPr>
            <w:r>
              <w:rPr>
                <w:rFonts w:ascii="宋体" w:hAnsi="宋体" w:cs="宋体" w:eastAsia="宋体" w:hint="default"/>
                <w:sz w:val="21"/>
                <w:szCs w:val="21"/>
              </w:rPr>
              <w:t>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pacing w:val="-5"/>
                <w:sz w:val="21"/>
                <w:szCs w:val="21"/>
              </w:rPr>
              <w:t>（二）以后将重分类进损益的其他综合收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权益法下在被投资单位以后将重分</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52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-4,881,394.99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27,704,890.40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01"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-0.01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0.07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w:t>
            </w:r>
          </w:p>
        </w:tc>
        <w:tc>
          <w:tcPr>
            <w:tcW w:w="966" w:type="dxa"/>
            <w:tcBorders>
              <w:top w:val="single" w:sz="6" w:space="0" w:color="000000"/>
              <w:left w:val="single" w:sz="6" w:space="0" w:color="000000"/>
              <w:bottom w:val="single" w:sz="6" w:space="0" w:color="000000"/>
              <w:right w:val="single" w:sz="6" w:space="0" w:color="000000"/>
            </w:tcBorders>
          </w:tcPr>
          <w:p>
            <w:pPr/>
          </w:p>
        </w:tc>
        <w:tc>
          <w:tcPr>
            <w:tcW w:w="1974"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6"/>
        <w:rPr>
          <w:rFonts w:ascii="宋体" w:hAnsi="宋体" w:cs="宋体" w:eastAsia="宋体" w:hint="default"/>
          <w:sz w:val="15"/>
          <w:szCs w:val="15"/>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4" w:top="1100" w:bottom="1380" w:left="1580" w:right="1040"/>
        </w:sectPr>
      </w:pPr>
    </w:p>
    <w:p>
      <w:pPr>
        <w:spacing w:line="272" w:lineRule="exact" w:before="63"/>
        <w:ind w:left="3873" w:right="0" w:firstLine="24"/>
        <w:jc w:val="right"/>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79"/>
          <w:w w:val="95"/>
          <w:sz w:val="21"/>
          <w:szCs w:val="21"/>
        </w:rPr>
        <w:t> </w:t>
      </w:r>
      <w:r>
        <w:rPr>
          <w:rFonts w:ascii="宋体" w:hAnsi="宋体" w:cs="宋体" w:eastAsia="宋体" w:hint="default"/>
          <w:b/>
          <w:bCs/>
          <w:spacing w:val="-79"/>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55" w:val="left" w:leader="none"/>
        </w:tabs>
        <w:spacing w:line="240" w:lineRule="auto"/>
        <w:ind w:left="1305" w:right="0"/>
        <w:jc w:val="left"/>
      </w:pPr>
      <w:r>
        <w:rPr/>
        <w:t>单位：元</w:t>
        <w:tab/>
        <w:t>币种：人民币</w:t>
      </w:r>
    </w:p>
    <w:p>
      <w:pPr>
        <w:spacing w:after="0" w:line="240" w:lineRule="auto"/>
        <w:jc w:val="left"/>
        <w:sectPr>
          <w:type w:val="continuous"/>
          <w:pgSz w:w="11910" w:h="16840"/>
          <w:pgMar w:top="1120" w:bottom="1380" w:left="1580" w:right="1040"/>
          <w:cols w:num="2" w:equalWidth="0">
            <w:col w:w="5397" w:space="40"/>
            <w:col w:w="3853"/>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7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sz w:val="21"/>
              </w:rPr>
              <w:t>46,263,166.28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19" w:right="0"/>
              <w:jc w:val="left"/>
              <w:rPr>
                <w:rFonts w:ascii="宋体" w:hAnsi="宋体" w:cs="宋体" w:eastAsia="宋体" w:hint="default"/>
                <w:sz w:val="21"/>
                <w:szCs w:val="21"/>
              </w:rPr>
            </w:pPr>
            <w:r>
              <w:rPr>
                <w:rFonts w:ascii="宋体"/>
                <w:sz w:val="21"/>
              </w:rPr>
              <w:t>42,321,604.16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37,653,108.59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16,000,395.35</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83,916,274.87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58,321,999.51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12,170,148.23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10,378,660.04</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3"/>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24,590,713.22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23,317,204.06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4,434,283.38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4,986,510.10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45,242,995.94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13,710,117.83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86,438,140.77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52,392,492.03</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-2,521,865.90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5,929,507.48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12,000.00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1,700,467.97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79,458,306.83</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79,470,306.83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1,700,467.97</w:t>
            </w: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189,545.00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90,717.00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79,000,000.00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79,189,545.00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90,717.00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280,761.83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1,609,750.97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1"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1,198,565.95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1,198,565.95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3"/>
              <w:jc w:val="righ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-1,198,565.95</w:t>
            </w:r>
          </w:p>
        </w:tc>
      </w:tr>
    </w:tbl>
    <w:p>
      <w:pPr>
        <w:spacing w:after="0" w:line="240" w:lineRule="exact"/>
        <w:jc w:val="right"/>
        <w:rPr>
          <w:rFonts w:ascii="宋体" w:hAnsi="宋体" w:cs="宋体" w:eastAsia="宋体" w:hint="default"/>
          <w:sz w:val="21"/>
          <w:szCs w:val="21"/>
        </w:rPr>
        <w:sectPr>
          <w:pgSz w:w="11910" w:h="16840"/>
          <w:pgMar w:header="882" w:footer="1194"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3"/>
        <w:gridCol w:w="2216"/>
        <w:gridCol w:w="2201"/>
      </w:tblGrid>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-2,241,104.07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6,340,692.50</w:t>
            </w:r>
          </w:p>
        </w:tc>
      </w:tr>
      <w:tr>
        <w:trPr>
          <w:trHeight w:val="287"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47,971,254.45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41,630,561.95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3"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45,730,150.38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47,971,254.45</w:t>
            </w:r>
          </w:p>
        </w:tc>
      </w:tr>
    </w:tbl>
    <w:p>
      <w:pPr>
        <w:spacing w:line="240" w:lineRule="auto" w:before="6"/>
        <w:rPr>
          <w:rFonts w:ascii="Times New Roman" w:hAnsi="Times New Roman" w:cs="Times New Roman" w:eastAsia="Times New Roman" w:hint="default"/>
          <w:sz w:val="17"/>
          <w:szCs w:val="17"/>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4" w:top="1100" w:bottom="1380" w:left="1580" w:right="1040"/>
        </w:sectPr>
      </w:pPr>
    </w:p>
    <w:p>
      <w:pPr>
        <w:spacing w:line="272" w:lineRule="exact" w:before="63"/>
        <w:ind w:left="3873" w:right="0" w:hanging="82"/>
        <w:jc w:val="left"/>
        <w:rPr>
          <w:rFonts w:ascii="宋体" w:hAnsi="宋体" w:cs="宋体" w:eastAsia="宋体" w:hint="default"/>
          <w:sz w:val="21"/>
          <w:szCs w:val="21"/>
        </w:rPr>
      </w:pPr>
      <w:r>
        <w:rPr>
          <w:rFonts w:ascii="宋体" w:hAnsi="宋体" w:cs="宋体" w:eastAsia="宋体" w:hint="default"/>
          <w:b/>
          <w:bCs/>
          <w:w w:val="95"/>
          <w:sz w:val="21"/>
          <w:szCs w:val="21"/>
        </w:rPr>
        <w:t>母公司现金流量表</w:t>
      </w:r>
      <w:r>
        <w:rPr>
          <w:rFonts w:ascii="宋体" w:hAnsi="宋体" w:cs="宋体" w:eastAsia="宋体" w:hint="default"/>
          <w:b/>
          <w:bCs/>
          <w:spacing w:val="-18"/>
          <w:w w:val="95"/>
          <w:sz w:val="21"/>
          <w:szCs w:val="21"/>
        </w:rPr>
        <w:t> </w:t>
      </w:r>
      <w:r>
        <w:rPr>
          <w:rFonts w:ascii="宋体" w:hAnsi="宋体" w:cs="宋体" w:eastAsia="宋体" w:hint="default"/>
          <w:b/>
          <w:bCs/>
          <w:spacing w:val="-18"/>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2381" w:val="left" w:leader="none"/>
        </w:tabs>
        <w:spacing w:line="240" w:lineRule="auto"/>
        <w:ind w:left="1435"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5478" w:space="40"/>
            <w:col w:w="3772"/>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6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34,166,278.19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3,370,402.96</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34,166,278.19</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3,370,402.96</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1,080,737.17</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1,159,723.53</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243,540.00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33,710,859.35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3,507,039.90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34,791,596.52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4,910,303.43</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-625,318.33</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-1,539,900.47</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1,594,263.78</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1,700,000.00</w:t>
            </w:r>
          </w:p>
        </w:tc>
      </w:tr>
      <w:tr>
        <w:trPr>
          <w:trHeight w:val="559"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31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76,430,197.25</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76,430,197.25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8"/>
              <w:jc w:val="right"/>
              <w:rPr>
                <w:rFonts w:ascii="宋体" w:hAnsi="宋体" w:cs="宋体" w:eastAsia="宋体" w:hint="default"/>
                <w:sz w:val="21"/>
                <w:szCs w:val="21"/>
              </w:rPr>
            </w:pPr>
            <w:r>
              <w:rPr>
                <w:rFonts w:ascii="宋体"/>
                <w:sz w:val="21"/>
              </w:rPr>
              <w:t>3,294,263.78</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10,000,000.00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76,000,000.00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86,000,000.00</w:t>
            </w: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4"/>
              <w:jc w:val="righ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-9,569,802.75</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3,294,263.78</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74"/>
              <w:jc w:val="right"/>
              <w:rPr>
                <w:rFonts w:ascii="宋体" w:hAnsi="宋体" w:cs="宋体" w:eastAsia="宋体" w:hint="default"/>
                <w:sz w:val="21"/>
                <w:szCs w:val="21"/>
              </w:rPr>
            </w:pPr>
            <w:r>
              <w:rPr>
                <w:rFonts w:ascii="宋体" w:hAnsi="宋体" w:cs="宋体" w:eastAsia="宋体" w:hint="default"/>
                <w:sz w:val="21"/>
                <w:szCs w:val="21"/>
              </w:rPr>
              <w:t>分配股利、利润或偿付利息支付的</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2"/>
        <w:gridCol w:w="995"/>
        <w:gridCol w:w="2208"/>
        <w:gridCol w:w="2195"/>
      </w:tblGrid>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800,000.00</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800,000.00</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-800,000.00</w:t>
            </w:r>
          </w:p>
        </w:tc>
      </w:tr>
      <w:tr>
        <w:trPr>
          <w:trHeight w:val="560"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四、汇率变动对现金及现金等价物的</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-10,195,121.08</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954,363.31</w:t>
            </w:r>
          </w:p>
        </w:tc>
      </w:tr>
      <w:tr>
        <w:trPr>
          <w:trHeight w:val="287"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0"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26,196,060.22</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25,241,696.91</w:t>
            </w:r>
          </w:p>
        </w:tc>
      </w:tr>
      <w:tr>
        <w:trPr>
          <w:trHeight w:val="288" w:hRule="exact"/>
        </w:trPr>
        <w:tc>
          <w:tcPr>
            <w:tcW w:w="3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5"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16,000,939.14</w:t>
            </w:r>
          </w:p>
        </w:tc>
        <w:tc>
          <w:tcPr>
            <w:tcW w:w="219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26,196,060.22</w:t>
            </w:r>
          </w:p>
        </w:tc>
      </w:tr>
    </w:tbl>
    <w:p>
      <w:pPr>
        <w:spacing w:line="240" w:lineRule="auto" w:before="6"/>
        <w:rPr>
          <w:rFonts w:ascii="宋体" w:hAnsi="宋体" w:cs="宋体" w:eastAsia="宋体" w:hint="default"/>
          <w:sz w:val="15"/>
          <w:szCs w:val="15"/>
        </w:rPr>
      </w:pPr>
    </w:p>
    <w:p>
      <w:pPr>
        <w:pStyle w:val="BodyText"/>
        <w:tabs>
          <w:tab w:pos="3157" w:val="left" w:leader="none"/>
          <w:tab w:pos="6831" w:val="left" w:leader="none"/>
        </w:tabs>
        <w:spacing w:line="240" w:lineRule="auto" w:before="35"/>
        <w:ind w:left="218" w:right="228"/>
        <w:jc w:val="left"/>
      </w:pPr>
      <w:r>
        <w:rPr/>
        <w:t>法定代表人：顾国平</w:t>
        <w:tab/>
      </w:r>
      <w:r>
        <w:rPr>
          <w:spacing w:val="-1"/>
        </w:rPr>
        <w:t>主管会计工作负责人：顾国平</w:t>
        <w:tab/>
      </w:r>
      <w:r>
        <w:rPr/>
        <w:t>会计机构负责人：朱军</w:t>
      </w:r>
    </w:p>
    <w:p>
      <w:pPr>
        <w:spacing w:after="0" w:line="240" w:lineRule="auto"/>
        <w:jc w:val="left"/>
        <w:sectPr>
          <w:pgSz w:w="11910" w:h="16840"/>
          <w:pgMar w:header="882" w:footer="1194"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headerReference w:type="default" r:id="rId36"/>
          <w:footerReference w:type="default" r:id="rId37"/>
          <w:pgSz w:w="16840" w:h="11910" w:orient="landscape"/>
          <w:pgMar w:header="877" w:footer="1194" w:top="1100" w:bottom="1380" w:left="1260" w:right="1300"/>
          <w:pgNumType w:start="67"/>
        </w:sectPr>
      </w:pPr>
    </w:p>
    <w:p>
      <w:pPr>
        <w:spacing w:line="272" w:lineRule="exact" w:before="63"/>
        <w:ind w:left="6343" w:right="0" w:hanging="293"/>
        <w:jc w:val="left"/>
        <w:rPr>
          <w:rFonts w:ascii="宋体" w:hAnsi="宋体" w:cs="宋体" w:eastAsia="宋体" w:hint="default"/>
          <w:sz w:val="21"/>
          <w:szCs w:val="21"/>
        </w:rPr>
      </w:pPr>
      <w:r>
        <w:rPr>
          <w:rFonts w:ascii="宋体" w:hAnsi="宋体" w:cs="宋体" w:eastAsia="宋体" w:hint="default"/>
          <w:b/>
          <w:bCs/>
          <w:w w:val="95"/>
          <w:sz w:val="21"/>
          <w:szCs w:val="21"/>
        </w:rPr>
        <w:t>合并所有者权益变动表</w:t>
      </w:r>
      <w:r>
        <w:rPr>
          <w:rFonts w:ascii="宋体" w:hAnsi="宋体" w:cs="宋体" w:eastAsia="宋体" w:hint="default"/>
          <w:b/>
          <w:bCs/>
          <w:spacing w:val="2"/>
          <w:w w:val="95"/>
          <w:sz w:val="21"/>
          <w:szCs w:val="21"/>
        </w:rPr>
        <w:t> </w:t>
      </w:r>
      <w:r>
        <w:rPr>
          <w:rFonts w:ascii="宋体" w:hAnsi="宋体" w:cs="宋体" w:eastAsia="宋体" w:hint="default"/>
          <w:b/>
          <w:bCs/>
          <w:spacing w:val="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703" w:val="left" w:leader="none"/>
        </w:tabs>
        <w:spacing w:line="240" w:lineRule="auto"/>
        <w:ind w:left="3757"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158" w:space="40"/>
            <w:col w:w="6082"/>
          </w:cols>
        </w:sectPr>
      </w:pP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1008"/>
        <w:gridCol w:w="968"/>
        <w:gridCol w:w="1096"/>
      </w:tblGrid>
      <w:tr>
        <w:trPr>
          <w:trHeight w:val="251" w:hRule="exact"/>
        </w:trPr>
        <w:tc>
          <w:tcPr>
            <w:tcW w:w="22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4"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593"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4" w:type="dxa"/>
            <w:vMerge/>
            <w:tcBorders>
              <w:left w:val="single" w:sz="4" w:space="0" w:color="000000"/>
              <w:right w:val="single" w:sz="4" w:space="0" w:color="000000"/>
            </w:tcBorders>
          </w:tcPr>
          <w:p>
            <w:pPr/>
          </w:p>
        </w:tc>
        <w:tc>
          <w:tcPr>
            <w:tcW w:w="9671"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636"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98" w:right="117"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72" w:right="181"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4"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8" w:type="dxa"/>
            <w:vMerge w:val="restart"/>
            <w:tcBorders>
              <w:top w:val="single" w:sz="4" w:space="0" w:color="000000"/>
              <w:left w:val="single" w:sz="4" w:space="0" w:color="000000"/>
              <w:right w:val="single" w:sz="4" w:space="0" w:color="000000"/>
            </w:tcBorders>
          </w:tcPr>
          <w:p>
            <w:pPr>
              <w:pStyle w:val="TableParagraph"/>
              <w:spacing w:line="244" w:lineRule="auto" w:before="91"/>
              <w:ind w:left="164" w:right="16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1"/>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1"/>
              <w:ind w:left="340" w:right="16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91"/>
              <w:ind w:left="159"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008" w:type="dxa"/>
            <w:vMerge w:val="restart"/>
            <w:tcBorders>
              <w:top w:val="single" w:sz="4" w:space="0" w:color="000000"/>
              <w:left w:val="single" w:sz="4" w:space="0" w:color="000000"/>
              <w:right w:val="single" w:sz="4" w:space="0" w:color="000000"/>
            </w:tcBorders>
          </w:tcPr>
          <w:p>
            <w:pPr>
              <w:pStyle w:val="TableParagraph"/>
              <w:spacing w:line="244" w:lineRule="auto" w:before="91"/>
              <w:ind w:left="407" w:right="138"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68" w:type="dxa"/>
            <w:vMerge/>
            <w:tcBorders>
              <w:left w:val="single" w:sz="4" w:space="0" w:color="000000"/>
              <w:right w:val="single" w:sz="4" w:space="0" w:color="000000"/>
            </w:tcBorders>
          </w:tcPr>
          <w:p>
            <w:pPr/>
          </w:p>
        </w:tc>
        <w:tc>
          <w:tcPr>
            <w:tcW w:w="1096" w:type="dxa"/>
            <w:vMerge/>
            <w:tcBorders>
              <w:left w:val="single" w:sz="4" w:space="0" w:color="000000"/>
              <w:right w:val="single" w:sz="4" w:space="0" w:color="000000"/>
            </w:tcBorders>
          </w:tcPr>
          <w:p>
            <w:pPr/>
          </w:p>
        </w:tc>
      </w:tr>
      <w:tr>
        <w:trPr>
          <w:trHeight w:val="354" w:hRule="exact"/>
        </w:trPr>
        <w:tc>
          <w:tcPr>
            <w:tcW w:w="2294"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8"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968" w:type="dxa"/>
            <w:vMerge/>
            <w:tcBorders>
              <w:left w:val="single" w:sz="4" w:space="0" w:color="000000"/>
              <w:bottom w:val="single" w:sz="4" w:space="0" w:color="000000"/>
              <w:right w:val="single" w:sz="4" w:space="0" w:color="000000"/>
            </w:tcBorders>
          </w:tcPr>
          <w:p>
            <w:pPr/>
          </w:p>
        </w:tc>
        <w:tc>
          <w:tcPr>
            <w:tcW w:w="1096" w:type="dxa"/>
            <w:vMerge/>
            <w:tcBorders>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394,793</w:t>
            </w:r>
          </w:p>
          <w:p>
            <w:pPr>
              <w:pStyle w:val="TableParagraph"/>
              <w:spacing w:line="234" w:lineRule="exact"/>
              <w:ind w:left="109" w:right="0"/>
              <w:jc w:val="left"/>
              <w:rPr>
                <w:rFonts w:ascii="宋体" w:hAnsi="宋体" w:cs="宋体" w:eastAsia="宋体" w:hint="default"/>
                <w:sz w:val="18"/>
                <w:szCs w:val="18"/>
              </w:rPr>
            </w:pPr>
            <w:r>
              <w:rPr>
                <w:rFonts w:ascii="宋体"/>
                <w:sz w:val="18"/>
              </w:rPr>
              <w:t>,708.00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19" w:right="0"/>
              <w:jc w:val="left"/>
              <w:rPr>
                <w:rFonts w:ascii="宋体" w:hAnsi="宋体" w:cs="宋体" w:eastAsia="宋体" w:hint="default"/>
                <w:sz w:val="18"/>
                <w:szCs w:val="18"/>
              </w:rPr>
            </w:pPr>
            <w:r>
              <w:rPr>
                <w:rFonts w:ascii="宋体"/>
                <w:sz w:val="18"/>
              </w:rPr>
              <w:t>861.71</w:t>
            </w: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sz w:val="18"/>
              </w:rPr>
              <w:t>-794,086</w:t>
            </w:r>
          </w:p>
          <w:p>
            <w:pPr>
              <w:pStyle w:val="TableParagraph"/>
              <w:spacing w:line="234" w:lineRule="exact"/>
              <w:ind w:left="263" w:right="0"/>
              <w:jc w:val="left"/>
              <w:rPr>
                <w:rFonts w:ascii="宋体" w:hAnsi="宋体" w:cs="宋体" w:eastAsia="宋体" w:hint="default"/>
                <w:sz w:val="18"/>
                <w:szCs w:val="18"/>
              </w:rPr>
            </w:pPr>
            <w:r>
              <w:rPr>
                <w:rFonts w:ascii="宋体"/>
                <w:sz w:val="18"/>
              </w:rPr>
              <w:t>,109.50</w:t>
            </w: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1,375,192</w:t>
            </w:r>
          </w:p>
          <w:p>
            <w:pPr>
              <w:pStyle w:val="TableParagraph"/>
              <w:spacing w:line="234" w:lineRule="exact"/>
              <w:ind w:left="711" w:right="0"/>
              <w:jc w:val="left"/>
              <w:rPr>
                <w:rFonts w:ascii="宋体" w:hAnsi="宋体" w:cs="宋体" w:eastAsia="宋体" w:hint="default"/>
                <w:sz w:val="18"/>
                <w:szCs w:val="18"/>
              </w:rPr>
            </w:pPr>
            <w:r>
              <w:rPr>
                <w:rFonts w:ascii="宋体"/>
                <w:sz w:val="18"/>
              </w:rPr>
              <w:t>.35</w:t>
            </w: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 w:right="0"/>
              <w:jc w:val="left"/>
              <w:rPr>
                <w:rFonts w:ascii="宋体" w:hAnsi="宋体" w:cs="宋体" w:eastAsia="宋体" w:hint="default"/>
                <w:sz w:val="18"/>
                <w:szCs w:val="18"/>
              </w:rPr>
            </w:pPr>
            <w:r>
              <w:rPr>
                <w:rFonts w:ascii="宋体"/>
                <w:sz w:val="18"/>
              </w:rPr>
              <w:t>394,793</w:t>
            </w:r>
          </w:p>
          <w:p>
            <w:pPr>
              <w:pStyle w:val="TableParagraph"/>
              <w:spacing w:line="234" w:lineRule="exact"/>
              <w:ind w:left="109" w:right="0"/>
              <w:jc w:val="left"/>
              <w:rPr>
                <w:rFonts w:ascii="宋体" w:hAnsi="宋体" w:cs="宋体" w:eastAsia="宋体" w:hint="default"/>
                <w:sz w:val="18"/>
                <w:szCs w:val="18"/>
              </w:rPr>
            </w:pPr>
            <w:r>
              <w:rPr>
                <w:rFonts w:ascii="宋体"/>
                <w:sz w:val="18"/>
              </w:rPr>
              <w:t>,708.00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19" w:right="0"/>
              <w:jc w:val="left"/>
              <w:rPr>
                <w:rFonts w:ascii="宋体" w:hAnsi="宋体" w:cs="宋体" w:eastAsia="宋体" w:hint="default"/>
                <w:sz w:val="18"/>
                <w:szCs w:val="18"/>
              </w:rPr>
            </w:pPr>
            <w:r>
              <w:rPr>
                <w:rFonts w:ascii="宋体"/>
                <w:sz w:val="18"/>
              </w:rPr>
              <w:t>861.71</w:t>
            </w: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3" w:right="0"/>
              <w:jc w:val="left"/>
              <w:rPr>
                <w:rFonts w:ascii="宋体" w:hAnsi="宋体" w:cs="宋体" w:eastAsia="宋体" w:hint="default"/>
                <w:sz w:val="18"/>
                <w:szCs w:val="18"/>
              </w:rPr>
            </w:pPr>
            <w:r>
              <w:rPr>
                <w:rFonts w:ascii="宋体"/>
                <w:sz w:val="18"/>
              </w:rPr>
              <w:t>-794,086</w:t>
            </w:r>
          </w:p>
          <w:p>
            <w:pPr>
              <w:pStyle w:val="TableParagraph"/>
              <w:spacing w:line="234" w:lineRule="exact"/>
              <w:ind w:left="263" w:right="0"/>
              <w:jc w:val="left"/>
              <w:rPr>
                <w:rFonts w:ascii="宋体" w:hAnsi="宋体" w:cs="宋体" w:eastAsia="宋体" w:hint="default"/>
                <w:sz w:val="18"/>
                <w:szCs w:val="18"/>
              </w:rPr>
            </w:pPr>
            <w:r>
              <w:rPr>
                <w:rFonts w:ascii="宋体"/>
                <w:sz w:val="18"/>
              </w:rPr>
              <w:t>,109.50</w:t>
            </w: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1" w:right="0"/>
              <w:jc w:val="left"/>
              <w:rPr>
                <w:rFonts w:ascii="宋体" w:hAnsi="宋体" w:cs="宋体" w:eastAsia="宋体" w:hint="default"/>
                <w:sz w:val="18"/>
                <w:szCs w:val="18"/>
              </w:rPr>
            </w:pPr>
            <w:r>
              <w:rPr>
                <w:rFonts w:ascii="宋体"/>
                <w:sz w:val="18"/>
              </w:rPr>
              <w:t>1,375,192</w:t>
            </w:r>
          </w:p>
          <w:p>
            <w:pPr>
              <w:pStyle w:val="TableParagraph"/>
              <w:spacing w:line="234" w:lineRule="exact"/>
              <w:ind w:left="711" w:right="0"/>
              <w:jc w:val="left"/>
              <w:rPr>
                <w:rFonts w:ascii="宋体" w:hAnsi="宋体" w:cs="宋体" w:eastAsia="宋体" w:hint="default"/>
                <w:sz w:val="18"/>
                <w:szCs w:val="18"/>
              </w:rPr>
            </w:pPr>
            <w:r>
              <w:rPr>
                <w:rFonts w:ascii="宋体"/>
                <w:sz w:val="18"/>
              </w:rPr>
              <w:t>.35</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606,772.</w:t>
            </w:r>
          </w:p>
          <w:p>
            <w:pPr>
              <w:pStyle w:val="TableParagraph"/>
              <w:spacing w:line="235" w:lineRule="exact"/>
              <w:ind w:right="102"/>
              <w:jc w:val="right"/>
              <w:rPr>
                <w:rFonts w:ascii="宋体" w:hAnsi="宋体" w:cs="宋体" w:eastAsia="宋体" w:hint="default"/>
                <w:sz w:val="18"/>
                <w:szCs w:val="18"/>
              </w:rPr>
            </w:pPr>
            <w:r>
              <w:rPr>
                <w:rFonts w:ascii="宋体"/>
                <w:sz w:val="18"/>
              </w:rPr>
              <w:t>02</w:t>
            </w: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606,772.0</w:t>
            </w:r>
          </w:p>
          <w:p>
            <w:pPr>
              <w:pStyle w:val="TableParagraph"/>
              <w:spacing w:line="235" w:lineRule="exact"/>
              <w:ind w:right="102"/>
              <w:jc w:val="right"/>
              <w:rPr>
                <w:rFonts w:ascii="宋体" w:hAnsi="宋体" w:cs="宋体" w:eastAsia="宋体" w:hint="default"/>
                <w:sz w:val="18"/>
                <w:szCs w:val="18"/>
              </w:rPr>
            </w:pPr>
            <w:r>
              <w:rPr>
                <w:rFonts w:ascii="宋体"/>
                <w:sz w:val="18"/>
              </w:rPr>
              <w:t>2</w:t>
            </w: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606,772.</w:t>
            </w:r>
          </w:p>
          <w:p>
            <w:pPr>
              <w:pStyle w:val="TableParagraph"/>
              <w:spacing w:line="235" w:lineRule="exact"/>
              <w:ind w:right="102"/>
              <w:jc w:val="right"/>
              <w:rPr>
                <w:rFonts w:ascii="宋体" w:hAnsi="宋体" w:cs="宋体" w:eastAsia="宋体" w:hint="default"/>
                <w:sz w:val="18"/>
                <w:szCs w:val="18"/>
              </w:rPr>
            </w:pPr>
            <w:r>
              <w:rPr>
                <w:rFonts w:ascii="宋体"/>
                <w:sz w:val="18"/>
              </w:rPr>
              <w:t>02</w:t>
            </w: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sz w:val="18"/>
              </w:rPr>
              <w:t>606,772.0</w:t>
            </w:r>
          </w:p>
          <w:p>
            <w:pPr>
              <w:pStyle w:val="TableParagraph"/>
              <w:spacing w:line="235" w:lineRule="exact"/>
              <w:ind w:right="102"/>
              <w:jc w:val="right"/>
              <w:rPr>
                <w:rFonts w:ascii="宋体" w:hAnsi="宋体" w:cs="宋体" w:eastAsia="宋体" w:hint="default"/>
                <w:sz w:val="18"/>
                <w:szCs w:val="18"/>
              </w:rPr>
            </w:pPr>
            <w:r>
              <w:rPr>
                <w:rFonts w:ascii="宋体"/>
                <w:sz w:val="18"/>
              </w:rPr>
              <w:t>2</w:t>
            </w: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3"/>
                <w:sz w:val="18"/>
                <w:szCs w:val="18"/>
              </w:rPr>
              <w:t>）</w:t>
            </w:r>
            <w:r>
              <w:rPr>
                <w:rFonts w:ascii="宋体" w:hAnsi="宋体" w:cs="宋体" w:eastAsia="宋体" w:hint="default"/>
                <w:sz w:val="18"/>
                <w:szCs w:val="18"/>
              </w:rPr>
              <w:t>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8" w:type="dxa"/>
        <w:tblLayout w:type="fixed"/>
        <w:tblCellMar>
          <w:top w:w="0" w:type="dxa"/>
          <w:left w:w="0" w:type="dxa"/>
          <w:bottom w:w="0" w:type="dxa"/>
          <w:right w:w="0" w:type="dxa"/>
        </w:tblCellMar>
        <w:tblLook w:val="01E0"/>
      </w:tblPr>
      <w:tblGrid>
        <w:gridCol w:w="2294"/>
        <w:gridCol w:w="852"/>
        <w:gridCol w:w="856"/>
        <w:gridCol w:w="866"/>
        <w:gridCol w:w="870"/>
        <w:gridCol w:w="870"/>
        <w:gridCol w:w="872"/>
        <w:gridCol w:w="878"/>
        <w:gridCol w:w="857"/>
        <w:gridCol w:w="872"/>
        <w:gridCol w:w="870"/>
        <w:gridCol w:w="1008"/>
        <w:gridCol w:w="968"/>
        <w:gridCol w:w="1096"/>
      </w:tblGrid>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3"/>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9" w:right="0"/>
              <w:jc w:val="left"/>
              <w:rPr>
                <w:rFonts w:ascii="宋体" w:hAnsi="宋体" w:cs="宋体" w:eastAsia="宋体" w:hint="default"/>
                <w:sz w:val="18"/>
                <w:szCs w:val="18"/>
              </w:rPr>
            </w:pPr>
            <w:r>
              <w:rPr>
                <w:rFonts w:ascii="宋体"/>
                <w:sz w:val="18"/>
              </w:rPr>
              <w:t>394,793</w:t>
            </w:r>
          </w:p>
          <w:p>
            <w:pPr>
              <w:pStyle w:val="TableParagraph"/>
              <w:spacing w:line="234" w:lineRule="exact"/>
              <w:ind w:left="109" w:right="0"/>
              <w:jc w:val="left"/>
              <w:rPr>
                <w:rFonts w:ascii="宋体" w:hAnsi="宋体" w:cs="宋体" w:eastAsia="宋体" w:hint="default"/>
                <w:sz w:val="18"/>
                <w:szCs w:val="18"/>
              </w:rPr>
            </w:pPr>
            <w:r>
              <w:rPr>
                <w:rFonts w:ascii="宋体"/>
                <w:sz w:val="18"/>
              </w:rPr>
              <w:t>,708.00</w:t>
            </w:r>
          </w:p>
        </w:tc>
        <w:tc>
          <w:tcPr>
            <w:tcW w:w="856" w:type="dxa"/>
            <w:tcBorders>
              <w:top w:val="single" w:sz="4" w:space="0" w:color="000000"/>
              <w:left w:val="single" w:sz="4" w:space="0" w:color="000000"/>
              <w:bottom w:val="single" w:sz="4" w:space="0" w:color="000000"/>
              <w:right w:val="single" w:sz="4" w:space="0" w:color="000000"/>
            </w:tcBorders>
          </w:tcPr>
          <w:p>
            <w:pPr/>
          </w:p>
        </w:tc>
        <w:tc>
          <w:tcPr>
            <w:tcW w:w="86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7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9" w:right="0"/>
              <w:jc w:val="left"/>
              <w:rPr>
                <w:rFonts w:ascii="宋体" w:hAnsi="宋体" w:cs="宋体" w:eastAsia="宋体" w:hint="default"/>
                <w:sz w:val="18"/>
                <w:szCs w:val="18"/>
              </w:rPr>
            </w:pPr>
            <w:r>
              <w:rPr>
                <w:rFonts w:ascii="宋体"/>
                <w:sz w:val="18"/>
              </w:rPr>
              <w:t>38,483,</w:t>
            </w:r>
          </w:p>
          <w:p>
            <w:pPr>
              <w:pStyle w:val="TableParagraph"/>
              <w:spacing w:line="234" w:lineRule="exact"/>
              <w:ind w:left="219" w:right="0"/>
              <w:jc w:val="left"/>
              <w:rPr>
                <w:rFonts w:ascii="宋体" w:hAnsi="宋体" w:cs="宋体" w:eastAsia="宋体" w:hint="default"/>
                <w:sz w:val="18"/>
                <w:szCs w:val="18"/>
              </w:rPr>
            </w:pPr>
            <w:r>
              <w:rPr>
                <w:rFonts w:ascii="宋体"/>
                <w:sz w:val="18"/>
              </w:rPr>
              <w:t>861.71</w:t>
            </w:r>
          </w:p>
        </w:tc>
        <w:tc>
          <w:tcPr>
            <w:tcW w:w="870"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3" w:right="0"/>
              <w:jc w:val="left"/>
              <w:rPr>
                <w:rFonts w:ascii="宋体" w:hAnsi="宋体" w:cs="宋体" w:eastAsia="宋体" w:hint="default"/>
                <w:sz w:val="18"/>
                <w:szCs w:val="18"/>
              </w:rPr>
            </w:pPr>
            <w:r>
              <w:rPr>
                <w:rFonts w:ascii="宋体"/>
                <w:sz w:val="18"/>
              </w:rPr>
              <w:t>-793,479</w:t>
            </w:r>
          </w:p>
          <w:p>
            <w:pPr>
              <w:pStyle w:val="TableParagraph"/>
              <w:spacing w:line="234" w:lineRule="exact"/>
              <w:ind w:left="263" w:right="0"/>
              <w:jc w:val="left"/>
              <w:rPr>
                <w:rFonts w:ascii="宋体" w:hAnsi="宋体" w:cs="宋体" w:eastAsia="宋体" w:hint="default"/>
                <w:sz w:val="18"/>
                <w:szCs w:val="18"/>
              </w:rPr>
            </w:pPr>
            <w:r>
              <w:rPr>
                <w:rFonts w:ascii="宋体"/>
                <w:sz w:val="18"/>
              </w:rPr>
              <w:t>,337.48</w:t>
            </w:r>
          </w:p>
        </w:tc>
        <w:tc>
          <w:tcPr>
            <w:tcW w:w="968" w:type="dxa"/>
            <w:tcBorders>
              <w:top w:val="single" w:sz="4" w:space="0" w:color="000000"/>
              <w:left w:val="single" w:sz="4" w:space="0" w:color="000000"/>
              <w:bottom w:val="single" w:sz="4" w:space="0" w:color="000000"/>
              <w:right w:val="single" w:sz="4" w:space="0" w:color="000000"/>
            </w:tcBorders>
          </w:tcPr>
          <w:p>
            <w:pP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1" w:right="0"/>
              <w:jc w:val="left"/>
              <w:rPr>
                <w:rFonts w:ascii="宋体" w:hAnsi="宋体" w:cs="宋体" w:eastAsia="宋体" w:hint="default"/>
                <w:sz w:val="18"/>
                <w:szCs w:val="18"/>
              </w:rPr>
            </w:pPr>
            <w:r>
              <w:rPr>
                <w:rFonts w:ascii="宋体"/>
                <w:sz w:val="18"/>
              </w:rPr>
              <w:t>1,981,964</w:t>
            </w:r>
          </w:p>
          <w:p>
            <w:pPr>
              <w:pStyle w:val="TableParagraph"/>
              <w:spacing w:line="234" w:lineRule="exact"/>
              <w:ind w:left="711" w:right="0"/>
              <w:jc w:val="left"/>
              <w:rPr>
                <w:rFonts w:ascii="宋体" w:hAnsi="宋体" w:cs="宋体" w:eastAsia="宋体" w:hint="default"/>
                <w:sz w:val="18"/>
                <w:szCs w:val="18"/>
              </w:rPr>
            </w:pPr>
            <w:r>
              <w:rPr>
                <w:rFonts w:ascii="宋体"/>
                <w:sz w:val="18"/>
              </w:rPr>
              <w:t>.37</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998"/>
        <w:gridCol w:w="954"/>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1" w:hRule="exact"/>
        </w:trPr>
        <w:tc>
          <w:tcPr>
            <w:tcW w:w="2285" w:type="dxa"/>
            <w:vMerge/>
            <w:tcBorders>
              <w:left w:val="single" w:sz="4" w:space="0" w:color="000000"/>
              <w:right w:val="single" w:sz="4" w:space="0" w:color="000000"/>
            </w:tcBorders>
          </w:tcPr>
          <w:p>
            <w:pPr/>
          </w:p>
        </w:tc>
        <w:tc>
          <w:tcPr>
            <w:tcW w:w="969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4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91" w:right="111"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78" w:right="18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4"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8" w:type="dxa"/>
            <w:vMerge w:val="restart"/>
            <w:tcBorders>
              <w:top w:val="single" w:sz="4" w:space="0" w:color="000000"/>
              <w:left w:val="single" w:sz="4" w:space="0" w:color="000000"/>
              <w:right w:val="single" w:sz="4" w:space="0" w:color="000000"/>
            </w:tcBorders>
          </w:tcPr>
          <w:p>
            <w:pPr>
              <w:pStyle w:val="TableParagraph"/>
              <w:spacing w:line="244" w:lineRule="auto" w:before="85"/>
              <w:ind w:left="333" w:right="15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0" w:type="dxa"/>
            <w:vMerge w:val="restart"/>
            <w:tcBorders>
              <w:top w:val="single" w:sz="4" w:space="0" w:color="000000"/>
              <w:left w:val="single" w:sz="4" w:space="0" w:color="000000"/>
              <w:right w:val="single" w:sz="4" w:space="0" w:color="000000"/>
            </w:tcBorders>
          </w:tcPr>
          <w:p>
            <w:pPr>
              <w:pStyle w:val="TableParagraph"/>
              <w:spacing w:line="244" w:lineRule="auto" w:before="85"/>
              <w:ind w:left="339" w:right="1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5"/>
              <w:ind w:left="166" w:right="16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998" w:type="dxa"/>
            <w:vMerge w:val="restart"/>
            <w:tcBorders>
              <w:top w:val="single" w:sz="4" w:space="0" w:color="000000"/>
              <w:left w:val="single" w:sz="4" w:space="0" w:color="000000"/>
              <w:right w:val="single" w:sz="4" w:space="0" w:color="000000"/>
            </w:tcBorders>
          </w:tcPr>
          <w:p>
            <w:pPr>
              <w:pStyle w:val="TableParagraph"/>
              <w:spacing w:line="244" w:lineRule="auto" w:before="85"/>
              <w:ind w:left="404" w:right="132"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954"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2" w:hRule="exact"/>
        </w:trPr>
        <w:tc>
          <w:tcPr>
            <w:tcW w:w="2285"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58"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998" w:type="dxa"/>
            <w:vMerge/>
            <w:tcBorders>
              <w:left w:val="single" w:sz="4" w:space="0" w:color="000000"/>
              <w:bottom w:val="single" w:sz="4" w:space="0" w:color="000000"/>
              <w:right w:val="single" w:sz="4" w:space="0" w:color="000000"/>
            </w:tcBorders>
          </w:tcPr>
          <w:p>
            <w:pPr/>
          </w:p>
        </w:tc>
        <w:tc>
          <w:tcPr>
            <w:tcW w:w="954"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394,793</w:t>
            </w:r>
          </w:p>
          <w:p>
            <w:pPr>
              <w:pStyle w:val="TableParagraph"/>
              <w:spacing w:line="234" w:lineRule="exact"/>
              <w:ind w:left="127" w:right="0"/>
              <w:jc w:val="left"/>
              <w:rPr>
                <w:rFonts w:ascii="宋体" w:hAnsi="宋体" w:cs="宋体" w:eastAsia="宋体" w:hint="default"/>
                <w:sz w:val="18"/>
                <w:szCs w:val="18"/>
              </w:rPr>
            </w:pPr>
            <w:r>
              <w:rPr>
                <w:rFonts w:ascii="宋体"/>
                <w:sz w:val="18"/>
              </w:rPr>
              <w:t>,708.00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34" w:lineRule="exact"/>
              <w:ind w:left="217" w:right="0"/>
              <w:jc w:val="left"/>
              <w:rPr>
                <w:rFonts w:ascii="宋体" w:hAnsi="宋体" w:cs="宋体" w:eastAsia="宋体" w:hint="default"/>
                <w:sz w:val="18"/>
                <w:szCs w:val="18"/>
              </w:rPr>
            </w:pPr>
            <w:r>
              <w:rPr>
                <w:rFonts w:ascii="宋体"/>
                <w:sz w:val="18"/>
              </w:rPr>
              <w:t>861.71</w:t>
            </w: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-826,730</w:t>
            </w:r>
          </w:p>
          <w:p>
            <w:pPr>
              <w:pStyle w:val="TableParagraph"/>
              <w:spacing w:line="234" w:lineRule="exact"/>
              <w:ind w:left="255" w:right="0"/>
              <w:jc w:val="left"/>
              <w:rPr>
                <w:rFonts w:ascii="宋体" w:hAnsi="宋体" w:cs="宋体" w:eastAsia="宋体" w:hint="default"/>
                <w:sz w:val="18"/>
                <w:szCs w:val="18"/>
              </w:rPr>
            </w:pPr>
            <w:r>
              <w:rPr>
                <w:rFonts w:ascii="宋体"/>
                <w:sz w:val="18"/>
              </w:rPr>
              <w:t>,910.48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397,830.</w:t>
            </w:r>
          </w:p>
          <w:p>
            <w:pPr>
              <w:pStyle w:val="TableParagraph"/>
              <w:spacing w:line="234" w:lineRule="exact"/>
              <w:ind w:right="101"/>
              <w:jc w:val="righ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-30,871,7</w:t>
            </w:r>
          </w:p>
          <w:p>
            <w:pPr>
              <w:pStyle w:val="TableParagraph"/>
              <w:spacing w:line="234" w:lineRule="exact"/>
              <w:ind w:left="544" w:right="0"/>
              <w:jc w:val="left"/>
              <w:rPr>
                <w:rFonts w:ascii="宋体" w:hAnsi="宋体" w:cs="宋体" w:eastAsia="宋体" w:hint="default"/>
                <w:sz w:val="18"/>
                <w:szCs w:val="18"/>
              </w:rPr>
            </w:pPr>
            <w:r>
              <w:rPr>
                <w:rFonts w:ascii="宋体"/>
                <w:sz w:val="18"/>
              </w:rPr>
              <w:t>77.67</w:t>
            </w: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3"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394,793</w:t>
            </w:r>
          </w:p>
          <w:p>
            <w:pPr>
              <w:pStyle w:val="TableParagraph"/>
              <w:spacing w:line="234" w:lineRule="exact"/>
              <w:ind w:left="127" w:right="0"/>
              <w:jc w:val="left"/>
              <w:rPr>
                <w:rFonts w:ascii="宋体" w:hAnsi="宋体" w:cs="宋体" w:eastAsia="宋体" w:hint="default"/>
                <w:sz w:val="18"/>
                <w:szCs w:val="18"/>
              </w:rPr>
            </w:pPr>
            <w:r>
              <w:rPr>
                <w:rFonts w:ascii="宋体"/>
                <w:sz w:val="18"/>
              </w:rPr>
              <w:t>,708.00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34" w:lineRule="exact"/>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34" w:lineRule="exact"/>
              <w:ind w:left="217" w:right="0"/>
              <w:jc w:val="left"/>
              <w:rPr>
                <w:rFonts w:ascii="宋体" w:hAnsi="宋体" w:cs="宋体" w:eastAsia="宋体" w:hint="default"/>
                <w:sz w:val="18"/>
                <w:szCs w:val="18"/>
              </w:rPr>
            </w:pPr>
            <w:r>
              <w:rPr>
                <w:rFonts w:ascii="宋体"/>
                <w:sz w:val="18"/>
              </w:rPr>
              <w:t>861.71</w:t>
            </w: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-826,730</w:t>
            </w:r>
          </w:p>
          <w:p>
            <w:pPr>
              <w:pStyle w:val="TableParagraph"/>
              <w:spacing w:line="234" w:lineRule="exact"/>
              <w:ind w:left="255" w:right="0"/>
              <w:jc w:val="left"/>
              <w:rPr>
                <w:rFonts w:ascii="宋体" w:hAnsi="宋体" w:cs="宋体" w:eastAsia="宋体" w:hint="default"/>
                <w:sz w:val="18"/>
                <w:szCs w:val="18"/>
              </w:rPr>
            </w:pPr>
            <w:r>
              <w:rPr>
                <w:rFonts w:ascii="宋体"/>
                <w:sz w:val="18"/>
              </w:rPr>
              <w:t>,910.48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397,830.</w:t>
            </w:r>
          </w:p>
          <w:p>
            <w:pPr>
              <w:pStyle w:val="TableParagraph"/>
              <w:spacing w:line="234" w:lineRule="exact"/>
              <w:ind w:right="101"/>
              <w:jc w:val="righ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-30,871,7</w:t>
            </w:r>
          </w:p>
          <w:p>
            <w:pPr>
              <w:pStyle w:val="TableParagraph"/>
              <w:spacing w:line="234" w:lineRule="exact"/>
              <w:ind w:left="544" w:right="0"/>
              <w:jc w:val="left"/>
              <w:rPr>
                <w:rFonts w:ascii="宋体" w:hAnsi="宋体" w:cs="宋体" w:eastAsia="宋体" w:hint="default"/>
                <w:sz w:val="18"/>
                <w:szCs w:val="18"/>
              </w:rPr>
            </w:pPr>
            <w:r>
              <w:rPr>
                <w:rFonts w:ascii="宋体"/>
                <w:sz w:val="18"/>
              </w:rPr>
              <w:t>77.67</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5" w:right="0"/>
              <w:jc w:val="left"/>
              <w:rPr>
                <w:rFonts w:ascii="宋体" w:hAnsi="宋体" w:cs="宋体" w:eastAsia="宋体" w:hint="default"/>
                <w:sz w:val="18"/>
                <w:szCs w:val="18"/>
              </w:rPr>
            </w:pPr>
            <w:r>
              <w:rPr>
                <w:rFonts w:ascii="宋体"/>
                <w:sz w:val="18"/>
              </w:rPr>
              <w:t>32,644,8</w:t>
            </w:r>
          </w:p>
          <w:p>
            <w:pPr>
              <w:pStyle w:val="TableParagraph"/>
              <w:spacing w:line="234" w:lineRule="exact"/>
              <w:ind w:left="435" w:right="0"/>
              <w:jc w:val="left"/>
              <w:rPr>
                <w:rFonts w:ascii="宋体" w:hAnsi="宋体" w:cs="宋体" w:eastAsia="宋体" w:hint="default"/>
                <w:sz w:val="18"/>
                <w:szCs w:val="18"/>
              </w:rPr>
            </w:pPr>
            <w:r>
              <w:rPr>
                <w:rFonts w:ascii="宋体"/>
                <w:sz w:val="18"/>
              </w:rPr>
              <w:t>00.98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1" w:right="0"/>
              <w:jc w:val="left"/>
              <w:rPr>
                <w:rFonts w:ascii="宋体" w:hAnsi="宋体" w:cs="宋体" w:eastAsia="宋体" w:hint="default"/>
                <w:sz w:val="18"/>
                <w:szCs w:val="18"/>
              </w:rPr>
            </w:pPr>
            <w:r>
              <w:rPr>
                <w:rFonts w:ascii="宋体"/>
                <w:sz w:val="18"/>
              </w:rPr>
              <w:t>-397,830</w:t>
            </w:r>
          </w:p>
          <w:p>
            <w:pPr>
              <w:pStyle w:val="TableParagraph"/>
              <w:spacing w:line="234" w:lineRule="exact"/>
              <w:ind w:left="571" w:right="0"/>
              <w:jc w:val="lef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4" w:right="0"/>
              <w:jc w:val="left"/>
              <w:rPr>
                <w:rFonts w:ascii="宋体" w:hAnsi="宋体" w:cs="宋体" w:eastAsia="宋体" w:hint="default"/>
                <w:sz w:val="18"/>
                <w:szCs w:val="18"/>
              </w:rPr>
            </w:pPr>
            <w:r>
              <w:rPr>
                <w:rFonts w:ascii="宋体"/>
                <w:sz w:val="18"/>
              </w:rPr>
              <w:t>32,246,97</w:t>
            </w:r>
          </w:p>
          <w:p>
            <w:pPr>
              <w:pStyle w:val="TableParagraph"/>
              <w:spacing w:line="234" w:lineRule="exact"/>
              <w:ind w:left="634" w:right="0"/>
              <w:jc w:val="left"/>
              <w:rPr>
                <w:rFonts w:ascii="宋体" w:hAnsi="宋体" w:cs="宋体" w:eastAsia="宋体" w:hint="default"/>
                <w:sz w:val="18"/>
                <w:szCs w:val="18"/>
              </w:rPr>
            </w:pPr>
            <w:r>
              <w:rPr>
                <w:rFonts w:ascii="宋体"/>
                <w:sz w:val="18"/>
              </w:rPr>
              <w:t>0.02</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32,644,8</w:t>
            </w:r>
          </w:p>
          <w:p>
            <w:pPr>
              <w:pStyle w:val="TableParagraph"/>
              <w:spacing w:line="235" w:lineRule="exact"/>
              <w:ind w:left="435" w:right="0"/>
              <w:jc w:val="left"/>
              <w:rPr>
                <w:rFonts w:ascii="宋体" w:hAnsi="宋体" w:cs="宋体" w:eastAsia="宋体" w:hint="default"/>
                <w:sz w:val="18"/>
                <w:szCs w:val="18"/>
              </w:rPr>
            </w:pPr>
            <w:r>
              <w:rPr>
                <w:rFonts w:ascii="宋体"/>
                <w:sz w:val="18"/>
              </w:rPr>
              <w:t>00.98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1" w:right="0"/>
              <w:jc w:val="left"/>
              <w:rPr>
                <w:rFonts w:ascii="宋体" w:hAnsi="宋体" w:cs="宋体" w:eastAsia="宋体" w:hint="default"/>
                <w:sz w:val="18"/>
                <w:szCs w:val="18"/>
              </w:rPr>
            </w:pPr>
            <w:r>
              <w:rPr>
                <w:rFonts w:ascii="宋体"/>
                <w:sz w:val="18"/>
              </w:rPr>
              <w:t>-397,830</w:t>
            </w:r>
          </w:p>
          <w:p>
            <w:pPr>
              <w:pStyle w:val="TableParagraph"/>
              <w:spacing w:line="235" w:lineRule="exact"/>
              <w:ind w:left="571" w:right="0"/>
              <w:jc w:val="left"/>
              <w:rPr>
                <w:rFonts w:ascii="宋体" w:hAnsi="宋体" w:cs="宋体" w:eastAsia="宋体" w:hint="default"/>
                <w:sz w:val="18"/>
                <w:szCs w:val="18"/>
              </w:rPr>
            </w:pPr>
            <w:r>
              <w:rPr>
                <w:rFonts w:ascii="宋体"/>
                <w:sz w:val="18"/>
              </w:rPr>
              <w:t>.96</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32,246,97</w:t>
            </w:r>
          </w:p>
          <w:p>
            <w:pPr>
              <w:pStyle w:val="TableParagraph"/>
              <w:spacing w:line="235" w:lineRule="exact"/>
              <w:ind w:left="634" w:right="0"/>
              <w:jc w:val="left"/>
              <w:rPr>
                <w:rFonts w:ascii="宋体" w:hAnsi="宋体" w:cs="宋体" w:eastAsia="宋体" w:hint="default"/>
                <w:sz w:val="18"/>
                <w:szCs w:val="18"/>
              </w:rPr>
            </w:pPr>
            <w:r>
              <w:rPr>
                <w:rFonts w:ascii="宋体"/>
                <w:sz w:val="18"/>
              </w:rPr>
              <w:t>0.02</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1194" w:top="110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2285"/>
        <w:gridCol w:w="870"/>
        <w:gridCol w:w="857"/>
        <w:gridCol w:w="857"/>
        <w:gridCol w:w="886"/>
        <w:gridCol w:w="870"/>
        <w:gridCol w:w="857"/>
        <w:gridCol w:w="884"/>
        <w:gridCol w:w="858"/>
        <w:gridCol w:w="870"/>
        <w:gridCol w:w="886"/>
        <w:gridCol w:w="998"/>
        <w:gridCol w:w="954"/>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394,793</w:t>
            </w:r>
          </w:p>
          <w:p>
            <w:pPr>
              <w:pStyle w:val="TableParagraph"/>
              <w:spacing w:line="235" w:lineRule="exact"/>
              <w:ind w:left="127" w:right="0"/>
              <w:jc w:val="left"/>
              <w:rPr>
                <w:rFonts w:ascii="宋体" w:hAnsi="宋体" w:cs="宋体" w:eastAsia="宋体" w:hint="default"/>
                <w:sz w:val="18"/>
                <w:szCs w:val="18"/>
              </w:rPr>
            </w:pPr>
            <w:r>
              <w:rPr>
                <w:rFonts w:ascii="宋体"/>
                <w:sz w:val="18"/>
              </w:rPr>
              <w:t>,708.00</w:t>
            </w:r>
          </w:p>
        </w:tc>
        <w:tc>
          <w:tcPr>
            <w:tcW w:w="857"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362,183</w:t>
            </w:r>
          </w:p>
          <w:p>
            <w:pPr>
              <w:pStyle w:val="TableParagraph"/>
              <w:spacing w:line="235" w:lineRule="exact"/>
              <w:ind w:left="127" w:right="0"/>
              <w:jc w:val="left"/>
              <w:rPr>
                <w:rFonts w:ascii="宋体" w:hAnsi="宋体" w:cs="宋体" w:eastAsia="宋体" w:hint="default"/>
                <w:sz w:val="18"/>
                <w:szCs w:val="18"/>
              </w:rPr>
            </w:pPr>
            <w:r>
              <w:rPr>
                <w:rFonts w:ascii="宋体"/>
                <w:sz w:val="18"/>
              </w:rPr>
              <w:t>,732.14</w:t>
            </w:r>
          </w:p>
        </w:tc>
        <w:tc>
          <w:tcPr>
            <w:tcW w:w="85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58"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7" w:right="0"/>
              <w:jc w:val="left"/>
              <w:rPr>
                <w:rFonts w:ascii="宋体" w:hAnsi="宋体" w:cs="宋体" w:eastAsia="宋体" w:hint="default"/>
                <w:sz w:val="18"/>
                <w:szCs w:val="18"/>
              </w:rPr>
            </w:pPr>
            <w:r>
              <w:rPr>
                <w:rFonts w:ascii="宋体"/>
                <w:sz w:val="18"/>
              </w:rPr>
              <w:t>38,483,</w:t>
            </w:r>
          </w:p>
          <w:p>
            <w:pPr>
              <w:pStyle w:val="TableParagraph"/>
              <w:spacing w:line="235" w:lineRule="exact"/>
              <w:ind w:left="217" w:right="0"/>
              <w:jc w:val="left"/>
              <w:rPr>
                <w:rFonts w:ascii="宋体" w:hAnsi="宋体" w:cs="宋体" w:eastAsia="宋体" w:hint="default"/>
                <w:sz w:val="18"/>
                <w:szCs w:val="18"/>
              </w:rPr>
            </w:pPr>
            <w:r>
              <w:rPr>
                <w:rFonts w:ascii="宋体"/>
                <w:sz w:val="18"/>
              </w:rPr>
              <w:t>861.71</w:t>
            </w:r>
          </w:p>
        </w:tc>
        <w:tc>
          <w:tcPr>
            <w:tcW w:w="886" w:type="dxa"/>
            <w:tcBorders>
              <w:top w:val="single" w:sz="4" w:space="0" w:color="000000"/>
              <w:left w:val="single" w:sz="4" w:space="0" w:color="000000"/>
              <w:bottom w:val="single" w:sz="4" w:space="0" w:color="000000"/>
              <w:right w:val="single" w:sz="4" w:space="0" w:color="000000"/>
            </w:tcBorders>
          </w:tcPr>
          <w:p>
            <w:pP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5" w:right="0"/>
              <w:jc w:val="left"/>
              <w:rPr>
                <w:rFonts w:ascii="宋体" w:hAnsi="宋体" w:cs="宋体" w:eastAsia="宋体" w:hint="default"/>
                <w:sz w:val="18"/>
                <w:szCs w:val="18"/>
              </w:rPr>
            </w:pPr>
            <w:r>
              <w:rPr>
                <w:rFonts w:ascii="宋体"/>
                <w:sz w:val="18"/>
              </w:rPr>
              <w:t>-794,086</w:t>
            </w:r>
          </w:p>
          <w:p>
            <w:pPr>
              <w:pStyle w:val="TableParagraph"/>
              <w:spacing w:line="235" w:lineRule="exact"/>
              <w:ind w:left="255" w:right="0"/>
              <w:jc w:val="left"/>
              <w:rPr>
                <w:rFonts w:ascii="宋体" w:hAnsi="宋体" w:cs="宋体" w:eastAsia="宋体" w:hint="default"/>
                <w:sz w:val="18"/>
                <w:szCs w:val="18"/>
              </w:rPr>
            </w:pPr>
            <w:r>
              <w:rPr>
                <w:rFonts w:ascii="宋体"/>
                <w:sz w:val="18"/>
              </w:rPr>
              <w:t>,109.50</w:t>
            </w:r>
          </w:p>
        </w:tc>
        <w:tc>
          <w:tcPr>
            <w:tcW w:w="954"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sz w:val="18"/>
              </w:rPr>
              <w:t>1,375,192</w:t>
            </w:r>
          </w:p>
          <w:p>
            <w:pPr>
              <w:pStyle w:val="TableParagraph"/>
              <w:spacing w:line="235" w:lineRule="exact"/>
              <w:ind w:left="724" w:right="0"/>
              <w:jc w:val="left"/>
              <w:rPr>
                <w:rFonts w:ascii="宋体" w:hAnsi="宋体" w:cs="宋体" w:eastAsia="宋体" w:hint="default"/>
                <w:sz w:val="18"/>
                <w:szCs w:val="18"/>
              </w:rPr>
            </w:pPr>
            <w:r>
              <w:rPr>
                <w:rFonts w:ascii="宋体"/>
                <w:sz w:val="18"/>
              </w:rPr>
              <w:t>.35</w:t>
            </w:r>
          </w:p>
        </w:tc>
      </w:tr>
    </w:tbl>
    <w:p>
      <w:pPr>
        <w:pStyle w:val="BodyText"/>
        <w:tabs>
          <w:tab w:pos="3120" w:val="left" w:leader="none"/>
          <w:tab w:pos="6793" w:val="left" w:leader="none"/>
        </w:tabs>
        <w:spacing w:line="240" w:lineRule="exact"/>
        <w:ind w:left="180" w:right="0"/>
        <w:jc w:val="left"/>
      </w:pPr>
      <w:r>
        <w:rPr/>
        <w:t>法定代表人：顾国平</w:t>
        <w:tab/>
      </w:r>
      <w:r>
        <w:rPr>
          <w:spacing w:val="-1"/>
        </w:rPr>
        <w:t>主管会计工作负责人：顾国平</w:t>
        <w:tab/>
      </w:r>
      <w:r>
        <w:rPr/>
        <w:t>会计机构负责人：朱军</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6840" w:h="11910" w:orient="landscape"/>
          <w:pgMar w:header="877" w:footer="1194" w:top="1100" w:bottom="1380" w:left="1260" w:right="1300"/>
        </w:sectPr>
      </w:pPr>
    </w:p>
    <w:p>
      <w:pPr>
        <w:spacing w:line="272" w:lineRule="exact" w:before="63"/>
        <w:ind w:left="6343" w:right="0" w:hanging="399"/>
        <w:jc w:val="left"/>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2"/>
          <w:w w:val="95"/>
          <w:sz w:val="21"/>
          <w:szCs w:val="21"/>
        </w:rPr>
        <w:t> </w:t>
      </w:r>
      <w:r>
        <w:rPr>
          <w:rFonts w:ascii="宋体" w:hAnsi="宋体" w:cs="宋体" w:eastAsia="宋体" w:hint="default"/>
          <w:b/>
          <w:bCs/>
          <w:spacing w:val="12"/>
          <w:w w:val="95"/>
          <w:sz w:val="21"/>
          <w:szCs w:val="21"/>
        </w:rPr>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4"/>
        <w:rPr>
          <w:rFonts w:ascii="宋体" w:hAnsi="宋体" w:cs="宋体" w:eastAsia="宋体" w:hint="default"/>
          <w:sz w:val="24"/>
          <w:szCs w:val="24"/>
        </w:rPr>
      </w:pPr>
    </w:p>
    <w:p>
      <w:pPr>
        <w:pStyle w:val="BodyText"/>
        <w:tabs>
          <w:tab w:pos="4599" w:val="left" w:leader="none"/>
        </w:tabs>
        <w:spacing w:line="240" w:lineRule="auto"/>
        <w:ind w:left="3653"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6840" w:h="11910" w:orient="landscape"/>
          <w:pgMar w:top="1120" w:bottom="1380" w:left="1260" w:right="1300"/>
          <w:cols w:num="2" w:equalWidth="0">
            <w:col w:w="8262" w:space="40"/>
            <w:col w:w="597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84"/>
        <w:gridCol w:w="11778"/>
      </w:tblGrid>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7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05" w:lineRule="exact"/>
        <w:jc w:val="center"/>
        <w:rPr>
          <w:rFonts w:ascii="宋体" w:hAnsi="宋体" w:cs="宋体" w:eastAsia="宋体" w:hint="default"/>
          <w:sz w:val="18"/>
          <w:szCs w:val="18"/>
        </w:rPr>
        <w:sectPr>
          <w:type w:val="continuous"/>
          <w:pgSz w:w="16840" w:h="11910" w:orient="landscape"/>
          <w:pgMar w:top="1120" w:bottom="1380" w:left="126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184"/>
        <w:gridCol w:w="1559"/>
        <w:gridCol w:w="835"/>
        <w:gridCol w:w="1079"/>
        <w:gridCol w:w="637"/>
        <w:gridCol w:w="1490"/>
        <w:gridCol w:w="637"/>
        <w:gridCol w:w="992"/>
        <w:gridCol w:w="709"/>
        <w:gridCol w:w="1274"/>
        <w:gridCol w:w="1419"/>
        <w:gridCol w:w="1146"/>
      </w:tblGrid>
      <w:tr>
        <w:trPr>
          <w:trHeight w:val="328" w:hRule="exact"/>
        </w:trPr>
        <w:tc>
          <w:tcPr>
            <w:tcW w:w="2184" w:type="dxa"/>
            <w:vMerge w:val="restart"/>
            <w:tcBorders>
              <w:top w:val="single" w:sz="6" w:space="0" w:color="000000"/>
              <w:left w:val="single" w:sz="6" w:space="0" w:color="000000"/>
              <w:right w:val="single" w:sz="6" w:space="0" w:color="000000"/>
            </w:tcBorders>
          </w:tcPr>
          <w:p>
            <w:pPr/>
          </w:p>
        </w:tc>
        <w:tc>
          <w:tcPr>
            <w:tcW w:w="1559" w:type="dxa"/>
            <w:vMerge w:val="restart"/>
            <w:tcBorders>
              <w:top w:val="single" w:sz="6" w:space="0" w:color="000000"/>
              <w:left w:val="single" w:sz="6"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7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0"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37" w:type="dxa"/>
            <w:vMerge w:val="restart"/>
            <w:tcBorders>
              <w:top w:val="single" w:sz="6" w:space="0" w:color="000000"/>
              <w:left w:val="single" w:sz="6" w:space="0" w:color="000000"/>
              <w:right w:val="single" w:sz="6" w:space="0" w:color="000000"/>
            </w:tcBorders>
          </w:tcPr>
          <w:p>
            <w:pPr>
              <w:pStyle w:val="TableParagraph"/>
              <w:spacing w:line="205" w:lineRule="exact"/>
              <w:ind w:left="130"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220" w:right="131"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992" w:type="dxa"/>
            <w:vMerge w:val="restart"/>
            <w:tcBorders>
              <w:top w:val="single" w:sz="6" w:space="0" w:color="000000"/>
              <w:left w:val="single" w:sz="6" w:space="0" w:color="000000"/>
              <w:right w:val="single" w:sz="6" w:space="0" w:color="000000"/>
            </w:tcBorders>
          </w:tcPr>
          <w:p>
            <w:pPr>
              <w:pStyle w:val="TableParagraph"/>
              <w:spacing w:line="240" w:lineRule="auto" w:before="86"/>
              <w:ind w:left="308" w:right="127"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09" w:type="dxa"/>
            <w:vMerge w:val="restart"/>
            <w:tcBorders>
              <w:top w:val="single" w:sz="6" w:space="0" w:color="000000"/>
              <w:left w:val="single" w:sz="6" w:space="0" w:color="000000"/>
              <w:right w:val="single" w:sz="6" w:space="0" w:color="000000"/>
            </w:tcBorders>
          </w:tcPr>
          <w:p>
            <w:pPr>
              <w:pStyle w:val="TableParagraph"/>
              <w:spacing w:line="240" w:lineRule="auto" w:before="86"/>
              <w:ind w:left="166" w:right="16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46" w:type="dxa"/>
            <w:vMerge w:val="restart"/>
            <w:tcBorders>
              <w:top w:val="single" w:sz="6" w:space="0" w:color="000000"/>
              <w:left w:val="single" w:sz="6" w:space="0" w:color="000000"/>
              <w:right w:val="single" w:sz="6" w:space="0" w:color="000000"/>
            </w:tcBorders>
          </w:tcPr>
          <w:p>
            <w:pPr>
              <w:pStyle w:val="TableParagraph"/>
              <w:spacing w:line="240" w:lineRule="auto" w:before="86"/>
              <w:ind w:left="385" w:right="114"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388" w:hRule="exact"/>
        </w:trPr>
        <w:tc>
          <w:tcPr>
            <w:tcW w:w="2184" w:type="dxa"/>
            <w:vMerge/>
            <w:tcBorders>
              <w:left w:val="single" w:sz="6" w:space="0" w:color="000000"/>
              <w:bottom w:val="single" w:sz="6" w:space="0" w:color="000000"/>
              <w:right w:val="single" w:sz="6" w:space="0" w:color="000000"/>
            </w:tcBorders>
          </w:tcPr>
          <w:p>
            <w:pPr/>
          </w:p>
        </w:tc>
        <w:tc>
          <w:tcPr>
            <w:tcW w:w="1559" w:type="dxa"/>
            <w:vMerge/>
            <w:tcBorders>
              <w:left w:val="single" w:sz="6" w:space="0" w:color="000000"/>
              <w:bottom w:val="single" w:sz="6" w:space="0" w:color="000000"/>
              <w:right w:val="single" w:sz="4" w:space="0" w:color="000000"/>
            </w:tcBorders>
          </w:tcPr>
          <w:p>
            <w:pPr/>
          </w:p>
        </w:tc>
        <w:tc>
          <w:tcPr>
            <w:tcW w:w="835"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3"/>
              <w:ind w:left="14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3"/>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37"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3"/>
              <w:ind w:left="1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0" w:type="dxa"/>
            <w:vMerge/>
            <w:tcBorders>
              <w:left w:val="single" w:sz="6" w:space="0" w:color="000000"/>
              <w:bottom w:val="single" w:sz="6" w:space="0" w:color="000000"/>
              <w:right w:val="single" w:sz="6" w:space="0" w:color="000000"/>
            </w:tcBorders>
          </w:tcPr>
          <w:p>
            <w:pPr/>
          </w:p>
        </w:tc>
        <w:tc>
          <w:tcPr>
            <w:tcW w:w="637" w:type="dxa"/>
            <w:vMerge/>
            <w:tcBorders>
              <w:left w:val="single" w:sz="6" w:space="0" w:color="000000"/>
              <w:bottom w:val="single" w:sz="6" w:space="0" w:color="000000"/>
              <w:right w:val="single" w:sz="6" w:space="0" w:color="000000"/>
            </w:tcBorders>
          </w:tcPr>
          <w:p>
            <w:pPr/>
          </w:p>
        </w:tc>
        <w:tc>
          <w:tcPr>
            <w:tcW w:w="992" w:type="dxa"/>
            <w:vMerge/>
            <w:tcBorders>
              <w:left w:val="single" w:sz="6" w:space="0" w:color="000000"/>
              <w:bottom w:val="single" w:sz="6" w:space="0" w:color="000000"/>
              <w:right w:val="single" w:sz="6" w:space="0" w:color="000000"/>
            </w:tcBorders>
          </w:tcPr>
          <w:p>
            <w:pPr/>
          </w:p>
        </w:tc>
        <w:tc>
          <w:tcPr>
            <w:tcW w:w="709"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1146" w:type="dxa"/>
            <w:vMerge/>
            <w:tcBorders>
              <w:left w:val="single" w:sz="6" w:space="0" w:color="000000"/>
              <w:bottom w:val="single" w:sz="6" w:space="0" w:color="000000"/>
              <w:right w:val="single" w:sz="6" w:space="0" w:color="000000"/>
            </w:tcBorders>
          </w:tcPr>
          <w:p>
            <w:pP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394,793,708.00</w:t>
            </w: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4" w:space="0" w:color="000000"/>
            </w:tcBorders>
          </w:tcPr>
          <w:p>
            <w:pPr/>
          </w:p>
        </w:tc>
        <w:tc>
          <w:tcPr>
            <w:tcW w:w="1490"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7" w:right="0"/>
              <w:jc w:val="center"/>
              <w:rPr>
                <w:rFonts w:ascii="宋体" w:hAnsi="宋体" w:cs="宋体" w:eastAsia="宋体" w:hint="default"/>
                <w:sz w:val="18"/>
                <w:szCs w:val="18"/>
              </w:rPr>
            </w:pPr>
            <w:r>
              <w:rPr>
                <w:rFonts w:ascii="宋体"/>
                <w:sz w:val="18"/>
              </w:rPr>
              <w:t>362,183,732.14</w:t>
            </w: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38,483,861.</w:t>
            </w:r>
          </w:p>
          <w:p>
            <w:pPr>
              <w:pStyle w:val="TableParagraph"/>
              <w:spacing w:line="235" w:lineRule="exact"/>
              <w:ind w:right="98"/>
              <w:jc w:val="right"/>
              <w:rPr>
                <w:rFonts w:ascii="宋体" w:hAnsi="宋体" w:cs="宋体" w:eastAsia="宋体" w:hint="default"/>
                <w:sz w:val="18"/>
                <w:szCs w:val="18"/>
              </w:rPr>
            </w:pPr>
            <w:r>
              <w:rPr>
                <w:rFonts w:ascii="宋体"/>
                <w:sz w:val="18"/>
              </w:rPr>
              <w:t>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-799,023,760.</w:t>
            </w:r>
          </w:p>
          <w:p>
            <w:pPr>
              <w:pStyle w:val="TableParagraph"/>
              <w:spacing w:line="235" w:lineRule="exact"/>
              <w:ind w:right="99"/>
              <w:jc w:val="right"/>
              <w:rPr>
                <w:rFonts w:ascii="宋体" w:hAnsi="宋体" w:cs="宋体" w:eastAsia="宋体" w:hint="default"/>
                <w:sz w:val="18"/>
                <w:szCs w:val="18"/>
              </w:rPr>
            </w:pPr>
            <w:r>
              <w:rPr>
                <w:rFonts w:ascii="宋体"/>
                <w:sz w:val="18"/>
              </w:rPr>
              <w:t>42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-3,562,458</w:t>
            </w:r>
          </w:p>
          <w:p>
            <w:pPr>
              <w:pStyle w:val="TableParagraph"/>
              <w:spacing w:line="235" w:lineRule="exact"/>
              <w:ind w:right="98"/>
              <w:jc w:val="right"/>
              <w:rPr>
                <w:rFonts w:ascii="宋体" w:hAnsi="宋体" w:cs="宋体" w:eastAsia="宋体" w:hint="default"/>
                <w:sz w:val="18"/>
                <w:szCs w:val="18"/>
              </w:rPr>
            </w:pPr>
            <w:r>
              <w:rPr>
                <w:rFonts w:ascii="宋体"/>
                <w:sz w:val="18"/>
              </w:rPr>
              <w:t>.57</w:t>
            </w: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4" w:space="0" w:color="000000"/>
            </w:tcBorders>
          </w:tcPr>
          <w:p>
            <w:pPr/>
          </w:p>
        </w:tc>
        <w:tc>
          <w:tcPr>
            <w:tcW w:w="1490" w:type="dxa"/>
            <w:tcBorders>
              <w:top w:val="single" w:sz="6" w:space="0" w:color="000000"/>
              <w:left w:val="single" w:sz="4"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4" w:space="0" w:color="000000"/>
            </w:tcBorders>
          </w:tcPr>
          <w:p>
            <w:pPr/>
          </w:p>
        </w:tc>
        <w:tc>
          <w:tcPr>
            <w:tcW w:w="1490" w:type="dxa"/>
            <w:tcBorders>
              <w:top w:val="single" w:sz="6" w:space="0" w:color="000000"/>
              <w:left w:val="single" w:sz="4"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4" w:space="0" w:color="000000"/>
            </w:tcBorders>
          </w:tcPr>
          <w:p>
            <w:pPr/>
          </w:p>
        </w:tc>
        <w:tc>
          <w:tcPr>
            <w:tcW w:w="1490" w:type="dxa"/>
            <w:tcBorders>
              <w:top w:val="single" w:sz="6" w:space="0" w:color="000000"/>
              <w:left w:val="single" w:sz="4"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394,793,708.00</w:t>
            </w: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4" w:space="0" w:color="000000"/>
            </w:tcBorders>
          </w:tcPr>
          <w:p>
            <w:pPr/>
          </w:p>
        </w:tc>
        <w:tc>
          <w:tcPr>
            <w:tcW w:w="1490" w:type="dxa"/>
            <w:tcBorders>
              <w:top w:val="single" w:sz="6" w:space="0" w:color="000000"/>
              <w:left w:val="single" w:sz="4" w:space="0" w:color="000000"/>
              <w:bottom w:val="single" w:sz="6" w:space="0" w:color="000000"/>
              <w:right w:val="single" w:sz="6" w:space="0" w:color="000000"/>
            </w:tcBorders>
          </w:tcPr>
          <w:p>
            <w:pPr>
              <w:pStyle w:val="TableParagraph"/>
              <w:spacing w:line="207" w:lineRule="exact"/>
              <w:ind w:left="17" w:right="0"/>
              <w:jc w:val="center"/>
              <w:rPr>
                <w:rFonts w:ascii="宋体" w:hAnsi="宋体" w:cs="宋体" w:eastAsia="宋体" w:hint="default"/>
                <w:sz w:val="18"/>
                <w:szCs w:val="18"/>
              </w:rPr>
            </w:pPr>
            <w:r>
              <w:rPr>
                <w:rFonts w:ascii="宋体"/>
                <w:sz w:val="18"/>
              </w:rPr>
              <w:t>362,183,732.14</w:t>
            </w: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38,483,861.</w:t>
            </w:r>
          </w:p>
          <w:p>
            <w:pPr>
              <w:pStyle w:val="TableParagraph"/>
              <w:spacing w:line="234" w:lineRule="exact"/>
              <w:ind w:right="98"/>
              <w:jc w:val="right"/>
              <w:rPr>
                <w:rFonts w:ascii="宋体" w:hAnsi="宋体" w:cs="宋体" w:eastAsia="宋体" w:hint="default"/>
                <w:sz w:val="18"/>
                <w:szCs w:val="18"/>
              </w:rPr>
            </w:pPr>
            <w:r>
              <w:rPr>
                <w:rFonts w:ascii="宋体"/>
                <w:sz w:val="18"/>
              </w:rPr>
              <w:t>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-799,023,760.</w:t>
            </w:r>
          </w:p>
          <w:p>
            <w:pPr>
              <w:pStyle w:val="TableParagraph"/>
              <w:spacing w:line="234" w:lineRule="exact"/>
              <w:ind w:right="99"/>
              <w:jc w:val="right"/>
              <w:rPr>
                <w:rFonts w:ascii="宋体" w:hAnsi="宋体" w:cs="宋体" w:eastAsia="宋体" w:hint="default"/>
                <w:sz w:val="18"/>
                <w:szCs w:val="18"/>
              </w:rPr>
            </w:pPr>
            <w:r>
              <w:rPr>
                <w:rFonts w:ascii="宋体"/>
                <w:sz w:val="18"/>
              </w:rPr>
              <w:t>42</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-3,562,458</w:t>
            </w:r>
          </w:p>
          <w:p>
            <w:pPr>
              <w:pStyle w:val="TableParagraph"/>
              <w:spacing w:line="234" w:lineRule="exact"/>
              <w:ind w:right="98"/>
              <w:jc w:val="right"/>
              <w:rPr>
                <w:rFonts w:ascii="宋体" w:hAnsi="宋体" w:cs="宋体" w:eastAsia="宋体" w:hint="default"/>
                <w:sz w:val="18"/>
                <w:szCs w:val="18"/>
              </w:rPr>
            </w:pPr>
            <w:r>
              <w:rPr>
                <w:rFonts w:ascii="宋体"/>
                <w:sz w:val="18"/>
              </w:rPr>
              <w:t>.57</w:t>
            </w: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（减少以“－”号填列）</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-4,881,394.99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-4,881,394</w:t>
            </w:r>
          </w:p>
          <w:p>
            <w:pPr>
              <w:pStyle w:val="TableParagraph"/>
              <w:spacing w:line="235" w:lineRule="exact"/>
              <w:ind w:right="98"/>
              <w:jc w:val="right"/>
              <w:rPr>
                <w:rFonts w:ascii="宋体" w:hAnsi="宋体" w:cs="宋体" w:eastAsia="宋体" w:hint="default"/>
                <w:sz w:val="18"/>
                <w:szCs w:val="18"/>
              </w:rPr>
            </w:pPr>
            <w:r>
              <w:rPr>
                <w:rFonts w:ascii="宋体"/>
                <w:sz w:val="18"/>
              </w:rPr>
              <w:t>.99</w:t>
            </w:r>
          </w:p>
        </w:tc>
      </w:tr>
      <w:tr>
        <w:trPr>
          <w:trHeight w:val="483"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-4,881,394.99</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-4,881,394</w:t>
            </w:r>
          </w:p>
          <w:p>
            <w:pPr>
              <w:pStyle w:val="TableParagraph"/>
              <w:spacing w:line="234" w:lineRule="exact"/>
              <w:ind w:right="98"/>
              <w:jc w:val="right"/>
              <w:rPr>
                <w:rFonts w:ascii="宋体" w:hAnsi="宋体" w:cs="宋体" w:eastAsia="宋体" w:hint="default"/>
                <w:sz w:val="18"/>
                <w:szCs w:val="18"/>
              </w:rPr>
            </w:pPr>
            <w:r>
              <w:rPr>
                <w:rFonts w:ascii="宋体"/>
                <w:sz w:val="18"/>
              </w:rPr>
              <w:t>.99</w:t>
            </w: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投入资本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权益的金额</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1</w:t>
            </w:r>
            <w:r>
              <w:rPr>
                <w:rFonts w:ascii="宋体" w:hAnsi="宋体" w:cs="宋体" w:eastAsia="宋体" w:hint="default"/>
                <w:spacing w:val="-9"/>
                <w:sz w:val="18"/>
                <w:szCs w:val="18"/>
              </w:rPr>
              <w:t>．资本公积转增资本（或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9"/>
                <w:sz w:val="18"/>
                <w:szCs w:val="18"/>
              </w:rPr>
              <w:t>2</w:t>
            </w:r>
            <w:r>
              <w:rPr>
                <w:rFonts w:ascii="宋体" w:hAnsi="宋体" w:cs="宋体" w:eastAsia="宋体" w:hint="default"/>
                <w:spacing w:val="-9"/>
                <w:sz w:val="18"/>
                <w:szCs w:val="18"/>
              </w:rPr>
              <w:t>．盈余公积转增资本（或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8"/>
          <w:pgSz w:w="16840" w:h="11910" w:orient="landscape"/>
          <w:pgMar w:footer="1194" w:header="877" w:top="1100" w:bottom="1380" w:left="1260" w:right="13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2184"/>
        <w:gridCol w:w="1559"/>
        <w:gridCol w:w="835"/>
        <w:gridCol w:w="1079"/>
        <w:gridCol w:w="637"/>
        <w:gridCol w:w="1490"/>
        <w:gridCol w:w="637"/>
        <w:gridCol w:w="992"/>
        <w:gridCol w:w="709"/>
        <w:gridCol w:w="1274"/>
        <w:gridCol w:w="1419"/>
        <w:gridCol w:w="1146"/>
      </w:tblGrid>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559" w:type="dxa"/>
            <w:tcBorders>
              <w:top w:val="single" w:sz="6" w:space="0" w:color="000000"/>
              <w:left w:val="single" w:sz="6" w:space="0" w:color="000000"/>
              <w:bottom w:val="single" w:sz="6" w:space="0" w:color="000000"/>
              <w:right w:val="single" w:sz="4" w:space="0" w:color="000000"/>
            </w:tcBorders>
          </w:tcPr>
          <w:p>
            <w:pP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14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1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559"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83" w:right="0"/>
              <w:jc w:val="left"/>
              <w:rPr>
                <w:rFonts w:ascii="宋体" w:hAnsi="宋体" w:cs="宋体" w:eastAsia="宋体" w:hint="default"/>
                <w:sz w:val="18"/>
                <w:szCs w:val="18"/>
              </w:rPr>
            </w:pPr>
            <w:r>
              <w:rPr>
                <w:rFonts w:ascii="宋体"/>
                <w:sz w:val="18"/>
              </w:rPr>
              <w:t>394,793,708.00</w:t>
            </w:r>
          </w:p>
        </w:tc>
        <w:tc>
          <w:tcPr>
            <w:tcW w:w="835"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637" w:type="dxa"/>
            <w:tcBorders>
              <w:top w:val="single" w:sz="6" w:space="0" w:color="000000"/>
              <w:left w:val="single" w:sz="4" w:space="0" w:color="000000"/>
              <w:bottom w:val="single" w:sz="6" w:space="0" w:color="000000"/>
              <w:right w:val="single" w:sz="6" w:space="0" w:color="000000"/>
            </w:tcBorders>
          </w:tcPr>
          <w:p>
            <w:pPr/>
          </w:p>
        </w:tc>
        <w:tc>
          <w:tcPr>
            <w:tcW w:w="149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5" w:right="0"/>
              <w:jc w:val="left"/>
              <w:rPr>
                <w:rFonts w:ascii="宋体" w:hAnsi="宋体" w:cs="宋体" w:eastAsia="宋体" w:hint="default"/>
                <w:sz w:val="18"/>
                <w:szCs w:val="18"/>
              </w:rPr>
            </w:pPr>
            <w:r>
              <w:rPr>
                <w:rFonts w:ascii="宋体"/>
                <w:sz w:val="18"/>
              </w:rPr>
              <w:t>362,183,732.14</w:t>
            </w:r>
          </w:p>
        </w:tc>
        <w:tc>
          <w:tcPr>
            <w:tcW w:w="637"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709" w:type="dxa"/>
            <w:tcBorders>
              <w:top w:val="single" w:sz="6" w:space="0" w:color="000000"/>
              <w:left w:val="single" w:sz="6"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38,483,861.</w:t>
            </w:r>
          </w:p>
          <w:p>
            <w:pPr>
              <w:pStyle w:val="TableParagraph"/>
              <w:spacing w:line="235" w:lineRule="exact"/>
              <w:ind w:right="98"/>
              <w:jc w:val="right"/>
              <w:rPr>
                <w:rFonts w:ascii="宋体" w:hAnsi="宋体" w:cs="宋体" w:eastAsia="宋体" w:hint="default"/>
                <w:sz w:val="18"/>
                <w:szCs w:val="18"/>
              </w:rPr>
            </w:pPr>
            <w:r>
              <w:rPr>
                <w:rFonts w:ascii="宋体"/>
                <w:sz w:val="18"/>
              </w:rPr>
              <w:t>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-803,905,155.</w:t>
            </w:r>
          </w:p>
          <w:p>
            <w:pPr>
              <w:pStyle w:val="TableParagraph"/>
              <w:spacing w:line="235" w:lineRule="exact"/>
              <w:ind w:right="99"/>
              <w:jc w:val="right"/>
              <w:rPr>
                <w:rFonts w:ascii="宋体" w:hAnsi="宋体" w:cs="宋体" w:eastAsia="宋体" w:hint="default"/>
                <w:sz w:val="18"/>
                <w:szCs w:val="18"/>
              </w:rPr>
            </w:pPr>
            <w:r>
              <w:rPr>
                <w:rFonts w:ascii="宋体"/>
                <w:sz w:val="18"/>
              </w:rPr>
              <w:t>41</w:t>
            </w:r>
          </w:p>
        </w:tc>
        <w:tc>
          <w:tcPr>
            <w:tcW w:w="114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-8,443,853</w:t>
            </w:r>
          </w:p>
          <w:p>
            <w:pPr>
              <w:pStyle w:val="TableParagraph"/>
              <w:spacing w:line="235" w:lineRule="exact"/>
              <w:ind w:right="98"/>
              <w:jc w:val="right"/>
              <w:rPr>
                <w:rFonts w:ascii="宋体" w:hAnsi="宋体" w:cs="宋体" w:eastAsia="宋体" w:hint="default"/>
                <w:sz w:val="18"/>
                <w:szCs w:val="18"/>
              </w:rPr>
            </w:pPr>
            <w:r>
              <w:rPr>
                <w:rFonts w:ascii="宋体"/>
                <w:sz w:val="18"/>
              </w:rPr>
              <w:t>.56</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7"/>
          <w:szCs w:val="27"/>
        </w:rPr>
      </w:pPr>
    </w:p>
    <w:tbl>
      <w:tblPr>
        <w:tblW w:w="0" w:type="auto"/>
        <w:jc w:val="left"/>
        <w:tblInd w:w="17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1"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8" w:hRule="exact"/>
        </w:trPr>
        <w:tc>
          <w:tcPr>
            <w:tcW w:w="2394"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20"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4"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6" w:right="135"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6"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1" w:hRule="exact"/>
        </w:trPr>
        <w:tc>
          <w:tcPr>
            <w:tcW w:w="2394"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50"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4"/>
              <w:ind w:left="2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1"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6" w:type="dxa"/>
            <w:vMerge/>
            <w:tcBorders>
              <w:left w:val="single" w:sz="6" w:space="0" w:color="000000"/>
              <w:bottom w:val="single" w:sz="6" w:space="0" w:color="000000"/>
              <w:right w:val="single" w:sz="6" w:space="0" w:color="000000"/>
            </w:tcBorders>
          </w:tcPr>
          <w:p>
            <w:pPr/>
          </w:p>
        </w:tc>
        <w:tc>
          <w:tcPr>
            <w:tcW w:w="1064"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6" w:type="dxa"/>
            <w:vMerge/>
            <w:tcBorders>
              <w:left w:val="single" w:sz="6" w:space="0" w:color="000000"/>
              <w:bottom w:val="single" w:sz="6" w:space="0" w:color="000000"/>
              <w:right w:val="single" w:sz="6" w:space="0" w:color="000000"/>
            </w:tcBorders>
          </w:tcPr>
          <w:p>
            <w:pPr/>
          </w:p>
        </w:tc>
        <w:tc>
          <w:tcPr>
            <w:tcW w:w="1021"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6" w:type="dxa"/>
            <w:vMerge/>
            <w:tcBorders>
              <w:left w:val="single" w:sz="6" w:space="0" w:color="000000"/>
              <w:bottom w:val="single" w:sz="6" w:space="0" w:color="000000"/>
              <w:right w:val="single" w:sz="6" w:space="0" w:color="000000"/>
            </w:tcBorders>
          </w:tcPr>
          <w:p>
            <w:pPr/>
          </w:p>
        </w:tc>
      </w:tr>
      <w:tr>
        <w:trPr>
          <w:trHeight w:val="483"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sz w:val="18"/>
              </w:rPr>
              <w:t>394,793,7</w:t>
            </w:r>
          </w:p>
          <w:p>
            <w:pPr>
              <w:pStyle w:val="TableParagraph"/>
              <w:spacing w:line="234" w:lineRule="exact"/>
              <w:ind w:left="512" w:right="0"/>
              <w:jc w:val="left"/>
              <w:rPr>
                <w:rFonts w:ascii="宋体" w:hAnsi="宋体" w:cs="宋体" w:eastAsia="宋体" w:hint="default"/>
                <w:sz w:val="18"/>
                <w:szCs w:val="18"/>
              </w:rPr>
            </w:pPr>
            <w:r>
              <w:rPr>
                <w:rFonts w:ascii="宋体"/>
                <w:sz w:val="18"/>
              </w:rPr>
              <w:t>08.00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left="112" w:right="0"/>
              <w:jc w:val="left"/>
              <w:rPr>
                <w:rFonts w:ascii="宋体" w:hAnsi="宋体" w:cs="宋体" w:eastAsia="宋体" w:hint="default"/>
                <w:sz w:val="18"/>
                <w:szCs w:val="18"/>
              </w:rPr>
            </w:pPr>
            <w:r>
              <w:rPr>
                <w:rFonts w:ascii="宋体"/>
                <w:sz w:val="18"/>
              </w:rPr>
              <w:t>362,983,7</w:t>
            </w:r>
          </w:p>
          <w:p>
            <w:pPr>
              <w:pStyle w:val="TableParagraph"/>
              <w:spacing w:line="234" w:lineRule="exact"/>
              <w:ind w:left="473" w:right="0"/>
              <w:jc w:val="left"/>
              <w:rPr>
                <w:rFonts w:ascii="宋体" w:hAnsi="宋体" w:cs="宋体" w:eastAsia="宋体" w:hint="default"/>
                <w:sz w:val="18"/>
                <w:szCs w:val="18"/>
              </w:rPr>
            </w:pPr>
            <w:r>
              <w:rPr>
                <w:rFonts w:ascii="宋体"/>
                <w:sz w:val="18"/>
              </w:rPr>
              <w:t>32.14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86" w:right="0"/>
              <w:jc w:val="left"/>
              <w:rPr>
                <w:rFonts w:ascii="宋体" w:hAnsi="宋体" w:cs="宋体" w:eastAsia="宋体" w:hint="default"/>
                <w:sz w:val="18"/>
                <w:szCs w:val="18"/>
              </w:rPr>
            </w:pPr>
            <w:r>
              <w:rPr>
                <w:rFonts w:ascii="宋体"/>
                <w:sz w:val="18"/>
              </w:rPr>
              <w:t>38,483,8</w:t>
            </w:r>
          </w:p>
          <w:p>
            <w:pPr>
              <w:pStyle w:val="TableParagraph"/>
              <w:spacing w:line="234" w:lineRule="exact"/>
              <w:ind w:left="456"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72" w:right="0"/>
              <w:jc w:val="left"/>
              <w:rPr>
                <w:rFonts w:ascii="宋体" w:hAnsi="宋体" w:cs="宋体" w:eastAsia="宋体" w:hint="default"/>
                <w:sz w:val="18"/>
                <w:szCs w:val="18"/>
              </w:rPr>
            </w:pPr>
            <w:r>
              <w:rPr>
                <w:rFonts w:ascii="宋体"/>
                <w:sz w:val="18"/>
              </w:rPr>
              <w:t>-826,728</w:t>
            </w:r>
          </w:p>
          <w:p>
            <w:pPr>
              <w:pStyle w:val="TableParagraph"/>
              <w:spacing w:line="234" w:lineRule="exact"/>
              <w:ind w:left="262" w:right="0"/>
              <w:jc w:val="left"/>
              <w:rPr>
                <w:rFonts w:ascii="宋体" w:hAnsi="宋体" w:cs="宋体" w:eastAsia="宋体" w:hint="default"/>
                <w:sz w:val="18"/>
                <w:szCs w:val="18"/>
              </w:rPr>
            </w:pPr>
            <w:r>
              <w:rPr>
                <w:rFonts w:ascii="宋体"/>
                <w:sz w:val="18"/>
              </w:rPr>
              <w:t>,650.82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-30,467,3</w:t>
            </w:r>
          </w:p>
          <w:p>
            <w:pPr>
              <w:pStyle w:val="TableParagraph"/>
              <w:spacing w:line="234" w:lineRule="exact"/>
              <w:ind w:left="460" w:right="0"/>
              <w:jc w:val="left"/>
              <w:rPr>
                <w:rFonts w:ascii="宋体" w:hAnsi="宋体" w:cs="宋体" w:eastAsia="宋体" w:hint="default"/>
                <w:sz w:val="18"/>
                <w:szCs w:val="18"/>
              </w:rPr>
            </w:pPr>
            <w:r>
              <w:rPr>
                <w:rFonts w:ascii="宋体"/>
                <w:sz w:val="18"/>
              </w:rPr>
              <w:t>48.97</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394,793,7</w:t>
            </w:r>
          </w:p>
          <w:p>
            <w:pPr>
              <w:pStyle w:val="TableParagraph"/>
              <w:spacing w:line="235" w:lineRule="exact"/>
              <w:ind w:left="512" w:right="0"/>
              <w:jc w:val="left"/>
              <w:rPr>
                <w:rFonts w:ascii="宋体" w:hAnsi="宋体" w:cs="宋体" w:eastAsia="宋体" w:hint="default"/>
                <w:sz w:val="18"/>
                <w:szCs w:val="18"/>
              </w:rPr>
            </w:pPr>
            <w:r>
              <w:rPr>
                <w:rFonts w:ascii="宋体"/>
                <w:sz w:val="18"/>
              </w:rPr>
              <w:t>08.00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4" w:space="0" w:color="000000"/>
            </w:tcBorders>
          </w:tcPr>
          <w:p>
            <w:pPr/>
          </w:p>
        </w:tc>
        <w:tc>
          <w:tcPr>
            <w:tcW w:w="103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362,983,7</w:t>
            </w:r>
          </w:p>
          <w:p>
            <w:pPr>
              <w:pStyle w:val="TableParagraph"/>
              <w:spacing w:line="235" w:lineRule="exact"/>
              <w:ind w:left="473" w:right="0"/>
              <w:jc w:val="left"/>
              <w:rPr>
                <w:rFonts w:ascii="宋体" w:hAnsi="宋体" w:cs="宋体" w:eastAsia="宋体" w:hint="default"/>
                <w:sz w:val="18"/>
                <w:szCs w:val="18"/>
              </w:rPr>
            </w:pPr>
            <w:r>
              <w:rPr>
                <w:rFonts w:ascii="宋体"/>
                <w:sz w:val="18"/>
              </w:rPr>
              <w:t>32.14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38,483,8</w:t>
            </w:r>
          </w:p>
          <w:p>
            <w:pPr>
              <w:pStyle w:val="TableParagraph"/>
              <w:spacing w:line="235" w:lineRule="exact"/>
              <w:ind w:left="456"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-826,728</w:t>
            </w:r>
          </w:p>
          <w:p>
            <w:pPr>
              <w:pStyle w:val="TableParagraph"/>
              <w:spacing w:line="235" w:lineRule="exact"/>
              <w:ind w:left="262" w:right="0"/>
              <w:jc w:val="left"/>
              <w:rPr>
                <w:rFonts w:ascii="宋体" w:hAnsi="宋体" w:cs="宋体" w:eastAsia="宋体" w:hint="default"/>
                <w:sz w:val="18"/>
                <w:szCs w:val="18"/>
              </w:rPr>
            </w:pPr>
            <w:r>
              <w:rPr>
                <w:rFonts w:ascii="宋体"/>
                <w:sz w:val="18"/>
              </w:rPr>
              <w:t>,650.82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-30,467,3</w:t>
            </w:r>
          </w:p>
          <w:p>
            <w:pPr>
              <w:pStyle w:val="TableParagraph"/>
              <w:spacing w:line="235" w:lineRule="exact"/>
              <w:ind w:left="460" w:right="0"/>
              <w:jc w:val="left"/>
              <w:rPr>
                <w:rFonts w:ascii="宋体" w:hAnsi="宋体" w:cs="宋体" w:eastAsia="宋体" w:hint="default"/>
                <w:sz w:val="18"/>
                <w:szCs w:val="18"/>
              </w:rPr>
            </w:pPr>
            <w:r>
              <w:rPr>
                <w:rFonts w:ascii="宋体"/>
                <w:sz w:val="18"/>
              </w:rPr>
              <w:t>48.97</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27,704,8</w:t>
            </w:r>
          </w:p>
          <w:p>
            <w:pPr>
              <w:pStyle w:val="TableParagraph"/>
              <w:spacing w:line="234" w:lineRule="exact"/>
              <w:ind w:left="442" w:right="0"/>
              <w:jc w:val="left"/>
              <w:rPr>
                <w:rFonts w:ascii="宋体" w:hAnsi="宋体" w:cs="宋体" w:eastAsia="宋体" w:hint="default"/>
                <w:sz w:val="18"/>
                <w:szCs w:val="18"/>
              </w:rPr>
            </w:pPr>
            <w:r>
              <w:rPr>
                <w:rFonts w:ascii="宋体"/>
                <w:sz w:val="18"/>
              </w:rPr>
              <w:t>90.40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26,904,89</w:t>
            </w:r>
          </w:p>
          <w:p>
            <w:pPr>
              <w:pStyle w:val="TableParagraph"/>
              <w:spacing w:line="234" w:lineRule="exact"/>
              <w:ind w:left="550" w:right="0"/>
              <w:jc w:val="left"/>
              <w:rPr>
                <w:rFonts w:ascii="宋体" w:hAnsi="宋体" w:cs="宋体" w:eastAsia="宋体" w:hint="default"/>
                <w:sz w:val="18"/>
                <w:szCs w:val="18"/>
              </w:rPr>
            </w:pPr>
            <w:r>
              <w:rPr>
                <w:rFonts w:ascii="宋体"/>
                <w:sz w:val="18"/>
              </w:rPr>
              <w:t>0.40</w:t>
            </w: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27,704,8</w:t>
            </w:r>
          </w:p>
          <w:p>
            <w:pPr>
              <w:pStyle w:val="TableParagraph"/>
              <w:spacing w:line="235" w:lineRule="exact"/>
              <w:ind w:left="442" w:right="0"/>
              <w:jc w:val="left"/>
              <w:rPr>
                <w:rFonts w:ascii="宋体" w:hAnsi="宋体" w:cs="宋体" w:eastAsia="宋体" w:hint="default"/>
                <w:sz w:val="18"/>
                <w:szCs w:val="18"/>
              </w:rPr>
            </w:pPr>
            <w:r>
              <w:rPr>
                <w:rFonts w:ascii="宋体"/>
                <w:sz w:val="18"/>
              </w:rPr>
              <w:t>90.40</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27,704,89</w:t>
            </w:r>
          </w:p>
          <w:p>
            <w:pPr>
              <w:pStyle w:val="TableParagraph"/>
              <w:spacing w:line="235" w:lineRule="exact"/>
              <w:ind w:left="550" w:right="0"/>
              <w:jc w:val="left"/>
              <w:rPr>
                <w:rFonts w:ascii="宋体" w:hAnsi="宋体" w:cs="宋体" w:eastAsia="宋体" w:hint="default"/>
                <w:sz w:val="18"/>
                <w:szCs w:val="18"/>
              </w:rPr>
            </w:pPr>
            <w:r>
              <w:rPr>
                <w:rFonts w:ascii="宋体"/>
                <w:sz w:val="18"/>
              </w:rPr>
              <w:t>0.40</w:t>
            </w: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9"/>
              <w:jc w:val="right"/>
              <w:rPr>
                <w:rFonts w:ascii="宋体" w:hAnsi="宋体" w:cs="宋体" w:eastAsia="宋体" w:hint="default"/>
                <w:sz w:val="18"/>
                <w:szCs w:val="18"/>
              </w:rPr>
            </w:pPr>
            <w:r>
              <w:rPr>
                <w:rFonts w:ascii="宋体"/>
                <w:sz w:val="18"/>
              </w:rPr>
              <w:t>-800,000.</w:t>
            </w:r>
          </w:p>
          <w:p>
            <w:pPr>
              <w:pStyle w:val="TableParagraph"/>
              <w:spacing w:line="235" w:lineRule="exact"/>
              <w:ind w:right="98"/>
              <w:jc w:val="right"/>
              <w:rPr>
                <w:rFonts w:ascii="宋体" w:hAnsi="宋体" w:cs="宋体" w:eastAsia="宋体" w:hint="default"/>
                <w:sz w:val="18"/>
                <w:szCs w:val="18"/>
              </w:rPr>
            </w:pPr>
            <w:r>
              <w:rPr>
                <w:rFonts w:ascii="宋体"/>
                <w:sz w:val="18"/>
              </w:rPr>
              <w:t>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98"/>
              <w:jc w:val="right"/>
              <w:rPr>
                <w:rFonts w:ascii="宋体" w:hAnsi="宋体" w:cs="宋体" w:eastAsia="宋体" w:hint="default"/>
                <w:sz w:val="18"/>
                <w:szCs w:val="18"/>
              </w:rPr>
            </w:pPr>
            <w:r>
              <w:rPr>
                <w:rFonts w:ascii="宋体"/>
                <w:sz w:val="18"/>
              </w:rPr>
              <w:t>-800,000.</w:t>
            </w:r>
          </w:p>
          <w:p>
            <w:pPr>
              <w:pStyle w:val="TableParagraph"/>
              <w:spacing w:line="235" w:lineRule="exact"/>
              <w:ind w:right="98"/>
              <w:jc w:val="right"/>
              <w:rPr>
                <w:rFonts w:ascii="宋体" w:hAnsi="宋体" w:cs="宋体" w:eastAsia="宋体" w:hint="default"/>
                <w:sz w:val="18"/>
                <w:szCs w:val="18"/>
              </w:rPr>
            </w:pPr>
            <w:r>
              <w:rPr>
                <w:rFonts w:ascii="宋体"/>
                <w:sz w:val="18"/>
              </w:rPr>
              <w:t>00</w:t>
            </w: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9"/>
              <w:jc w:val="right"/>
              <w:rPr>
                <w:rFonts w:ascii="宋体" w:hAnsi="宋体" w:cs="宋体" w:eastAsia="宋体" w:hint="default"/>
                <w:sz w:val="18"/>
                <w:szCs w:val="18"/>
              </w:rPr>
            </w:pPr>
            <w:r>
              <w:rPr>
                <w:rFonts w:ascii="宋体"/>
                <w:sz w:val="18"/>
              </w:rPr>
              <w:t>-800,000.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98"/>
              <w:jc w:val="right"/>
              <w:rPr>
                <w:rFonts w:ascii="宋体" w:hAnsi="宋体" w:cs="宋体" w:eastAsia="宋体" w:hint="default"/>
                <w:sz w:val="18"/>
                <w:szCs w:val="18"/>
              </w:rPr>
            </w:pPr>
            <w:r>
              <w:rPr>
                <w:rFonts w:ascii="宋体"/>
                <w:sz w:val="18"/>
              </w:rPr>
              <w:t>-800,000.</w:t>
            </w:r>
          </w:p>
          <w:p>
            <w:pPr>
              <w:pStyle w:val="TableParagraph"/>
              <w:spacing w:line="234" w:lineRule="exact"/>
              <w:ind w:right="98"/>
              <w:jc w:val="right"/>
              <w:rPr>
                <w:rFonts w:ascii="宋体" w:hAnsi="宋体" w:cs="宋体" w:eastAsia="宋体" w:hint="default"/>
                <w:sz w:val="18"/>
                <w:szCs w:val="18"/>
              </w:rPr>
            </w:pPr>
            <w:r>
              <w:rPr>
                <w:rFonts w:ascii="宋体"/>
                <w:sz w:val="18"/>
              </w:rPr>
              <w:t>00</w:t>
            </w: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9"/>
          <w:pgSz w:w="16840" w:h="11910" w:orient="landscape"/>
          <w:pgMar w:footer="1194" w:header="877" w:top="1100" w:bottom="1380" w:left="1260" w:right="1360"/>
          <w:pgNumType w:start="7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32" w:type="dxa"/>
        <w:tblLayout w:type="fixed"/>
        <w:tblCellMar>
          <w:top w:w="0" w:type="dxa"/>
          <w:left w:w="0" w:type="dxa"/>
          <w:bottom w:w="0" w:type="dxa"/>
          <w:right w:w="0" w:type="dxa"/>
        </w:tblCellMar>
        <w:tblLook w:val="01E0"/>
      </w:tblPr>
      <w:tblGrid>
        <w:gridCol w:w="2394"/>
        <w:gridCol w:w="1078"/>
        <w:gridCol w:w="1050"/>
        <w:gridCol w:w="1079"/>
        <w:gridCol w:w="1091"/>
        <w:gridCol w:w="1036"/>
        <w:gridCol w:w="1064"/>
        <w:gridCol w:w="1022"/>
        <w:gridCol w:w="1036"/>
        <w:gridCol w:w="1021"/>
        <w:gridCol w:w="1008"/>
        <w:gridCol w:w="1026"/>
      </w:tblGrid>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90"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249"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6"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2" w:right="0"/>
              <w:jc w:val="left"/>
              <w:rPr>
                <w:rFonts w:ascii="宋体" w:hAnsi="宋体" w:cs="宋体" w:eastAsia="宋体" w:hint="default"/>
                <w:sz w:val="18"/>
                <w:szCs w:val="18"/>
              </w:rPr>
            </w:pPr>
            <w:r>
              <w:rPr>
                <w:rFonts w:ascii="宋体"/>
                <w:sz w:val="18"/>
              </w:rPr>
              <w:t>394,793,7</w:t>
            </w:r>
          </w:p>
          <w:p>
            <w:pPr>
              <w:pStyle w:val="TableParagraph"/>
              <w:spacing w:line="235" w:lineRule="exact"/>
              <w:ind w:left="512" w:right="0"/>
              <w:jc w:val="left"/>
              <w:rPr>
                <w:rFonts w:ascii="宋体" w:hAnsi="宋体" w:cs="宋体" w:eastAsia="宋体" w:hint="default"/>
                <w:sz w:val="18"/>
                <w:szCs w:val="18"/>
              </w:rPr>
            </w:pPr>
            <w:r>
              <w:rPr>
                <w:rFonts w:ascii="宋体"/>
                <w:sz w:val="18"/>
              </w:rPr>
              <w:t>08.00</w:t>
            </w:r>
          </w:p>
        </w:tc>
        <w:tc>
          <w:tcPr>
            <w:tcW w:w="1050" w:type="dxa"/>
            <w:tcBorders>
              <w:top w:val="single" w:sz="6" w:space="0" w:color="000000"/>
              <w:left w:val="single" w:sz="4" w:space="0" w:color="000000"/>
              <w:bottom w:val="single" w:sz="6" w:space="0" w:color="000000"/>
              <w:right w:val="single" w:sz="4" w:space="0" w:color="000000"/>
            </w:tcBorders>
          </w:tcPr>
          <w:p>
            <w:pPr/>
          </w:p>
        </w:tc>
        <w:tc>
          <w:tcPr>
            <w:tcW w:w="1079" w:type="dxa"/>
            <w:tcBorders>
              <w:top w:val="single" w:sz="6" w:space="0" w:color="000000"/>
              <w:left w:val="single" w:sz="4" w:space="0" w:color="000000"/>
              <w:bottom w:val="single" w:sz="6" w:space="0" w:color="000000"/>
              <w:right w:val="single" w:sz="4" w:space="0" w:color="000000"/>
            </w:tcBorders>
          </w:tcPr>
          <w:p>
            <w:pPr/>
          </w:p>
        </w:tc>
        <w:tc>
          <w:tcPr>
            <w:tcW w:w="1091" w:type="dxa"/>
            <w:tcBorders>
              <w:top w:val="single" w:sz="6" w:space="0" w:color="000000"/>
              <w:left w:val="single" w:sz="4"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362,183,7</w:t>
            </w:r>
          </w:p>
          <w:p>
            <w:pPr>
              <w:pStyle w:val="TableParagraph"/>
              <w:spacing w:line="235" w:lineRule="exact"/>
              <w:ind w:left="470" w:right="0"/>
              <w:jc w:val="left"/>
              <w:rPr>
                <w:rFonts w:ascii="宋体" w:hAnsi="宋体" w:cs="宋体" w:eastAsia="宋体" w:hint="default"/>
                <w:sz w:val="18"/>
                <w:szCs w:val="18"/>
              </w:rPr>
            </w:pPr>
            <w:r>
              <w:rPr>
                <w:rFonts w:ascii="宋体"/>
                <w:sz w:val="18"/>
              </w:rPr>
              <w:t>32.14</w:t>
            </w:r>
          </w:p>
        </w:tc>
        <w:tc>
          <w:tcPr>
            <w:tcW w:w="1064"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6" w:right="0"/>
              <w:jc w:val="left"/>
              <w:rPr>
                <w:rFonts w:ascii="宋体" w:hAnsi="宋体" w:cs="宋体" w:eastAsia="宋体" w:hint="default"/>
                <w:sz w:val="18"/>
                <w:szCs w:val="18"/>
              </w:rPr>
            </w:pPr>
            <w:r>
              <w:rPr>
                <w:rFonts w:ascii="宋体"/>
                <w:sz w:val="18"/>
              </w:rPr>
              <w:t>38,483,8</w:t>
            </w:r>
          </w:p>
          <w:p>
            <w:pPr>
              <w:pStyle w:val="TableParagraph"/>
              <w:spacing w:line="235" w:lineRule="exact"/>
              <w:ind w:left="456" w:right="0"/>
              <w:jc w:val="left"/>
              <w:rPr>
                <w:rFonts w:ascii="宋体" w:hAnsi="宋体" w:cs="宋体" w:eastAsia="宋体" w:hint="default"/>
                <w:sz w:val="18"/>
                <w:szCs w:val="18"/>
              </w:rPr>
            </w:pPr>
            <w:r>
              <w:rPr>
                <w:rFonts w:ascii="宋体"/>
                <w:sz w:val="18"/>
              </w:rPr>
              <w:t>61.71</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-799,023</w:t>
            </w:r>
          </w:p>
          <w:p>
            <w:pPr>
              <w:pStyle w:val="TableParagraph"/>
              <w:spacing w:line="235" w:lineRule="exact"/>
              <w:ind w:left="262" w:right="0"/>
              <w:jc w:val="left"/>
              <w:rPr>
                <w:rFonts w:ascii="宋体" w:hAnsi="宋体" w:cs="宋体" w:eastAsia="宋体" w:hint="default"/>
                <w:sz w:val="18"/>
                <w:szCs w:val="18"/>
              </w:rPr>
            </w:pPr>
            <w:r>
              <w:rPr>
                <w:rFonts w:ascii="宋体"/>
                <w:sz w:val="18"/>
              </w:rPr>
              <w:t>,760.42</w:t>
            </w:r>
          </w:p>
        </w:tc>
        <w:tc>
          <w:tcPr>
            <w:tcW w:w="10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-3,562,45</w:t>
            </w:r>
          </w:p>
          <w:p>
            <w:pPr>
              <w:pStyle w:val="TableParagraph"/>
              <w:spacing w:line="235" w:lineRule="exact"/>
              <w:ind w:left="550" w:right="0"/>
              <w:jc w:val="left"/>
              <w:rPr>
                <w:rFonts w:ascii="宋体" w:hAnsi="宋体" w:cs="宋体" w:eastAsia="宋体" w:hint="default"/>
                <w:sz w:val="18"/>
                <w:szCs w:val="18"/>
              </w:rPr>
            </w:pPr>
            <w:r>
              <w:rPr>
                <w:rFonts w:ascii="宋体"/>
                <w:sz w:val="18"/>
              </w:rPr>
              <w:t>8.57</w:t>
            </w:r>
          </w:p>
        </w:tc>
      </w:tr>
    </w:tbl>
    <w:p>
      <w:pPr>
        <w:pStyle w:val="BodyText"/>
        <w:tabs>
          <w:tab w:pos="3080" w:val="left" w:leader="none"/>
          <w:tab w:pos="6753" w:val="left" w:leader="none"/>
        </w:tabs>
        <w:spacing w:line="240" w:lineRule="exact"/>
        <w:ind w:left="140" w:right="0"/>
        <w:jc w:val="left"/>
      </w:pPr>
      <w:r>
        <w:rPr/>
        <w:t>法定代表人：顾国平</w:t>
        <w:tab/>
      </w:r>
      <w:r>
        <w:rPr>
          <w:spacing w:val="-1"/>
        </w:rPr>
        <w:t>主管会计工作负责人：顾国平</w:t>
        <w:tab/>
      </w:r>
      <w:r>
        <w:rPr/>
        <w:t>会计机构负责人：朱军</w:t>
      </w:r>
    </w:p>
    <w:p>
      <w:pPr>
        <w:spacing w:after="0" w:line="240" w:lineRule="exact"/>
        <w:jc w:val="left"/>
        <w:sectPr>
          <w:pgSz w:w="16840" w:h="11910" w:orient="landscape"/>
          <w:pgMar w:header="877" w:footer="1194" w:top="1100" w:bottom="1380" w:left="1300" w:right="1360"/>
        </w:sectPr>
      </w:pPr>
    </w:p>
    <w:p>
      <w:pPr>
        <w:spacing w:line="240" w:lineRule="auto" w:before="11"/>
        <w:rPr>
          <w:rFonts w:ascii="宋体" w:hAnsi="宋体" w:cs="宋体" w:eastAsia="宋体" w:hint="default"/>
          <w:sz w:val="29"/>
          <w:szCs w:val="29"/>
        </w:rPr>
      </w:pPr>
    </w:p>
    <w:p>
      <w:pPr>
        <w:pStyle w:val="Heading3"/>
        <w:spacing w:line="240" w:lineRule="auto"/>
        <w:ind w:left="138" w:right="0"/>
        <w:jc w:val="left"/>
        <w:rPr>
          <w:b w:val="0"/>
          <w:bCs w:val="0"/>
        </w:rPr>
      </w:pPr>
      <w:r>
        <w:rPr/>
        <w:t>三、公司基本情况</w:t>
      </w:r>
      <w:r>
        <w:rPr>
          <w:b w:val="0"/>
          <w:bCs w:val="0"/>
        </w:rPr>
      </w:r>
    </w:p>
    <w:p>
      <w:pPr>
        <w:pStyle w:val="Heading3"/>
        <w:tabs>
          <w:tab w:pos="557" w:val="left" w:leader="none"/>
        </w:tabs>
        <w:spacing w:line="240" w:lineRule="auto" w:before="57"/>
        <w:ind w:left="138" w:right="0"/>
        <w:jc w:val="left"/>
        <w:rPr>
          <w:b w:val="0"/>
          <w:bCs w:val="0"/>
        </w:rPr>
      </w:pPr>
      <w:r>
        <w:rPr>
          <w:rFonts w:ascii="Calibri" w:hAnsi="Calibri" w:cs="Calibri" w:eastAsia="Calibri" w:hint="default"/>
        </w:rPr>
        <w:t>1.</w:t>
        <w:tab/>
      </w:r>
      <w:r>
        <w:rPr/>
        <w:t>公司概况</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58" w:right="0"/>
        <w:jc w:val="left"/>
      </w:pPr>
      <w:r>
        <w:rPr/>
        <w:t>（一）企业注册地、组织形式和总部地址</w:t>
      </w:r>
    </w:p>
    <w:p>
      <w:pPr>
        <w:spacing w:line="240" w:lineRule="auto" w:before="2"/>
        <w:rPr>
          <w:rFonts w:ascii="宋体" w:hAnsi="宋体" w:cs="宋体" w:eastAsia="宋体" w:hint="default"/>
          <w:sz w:val="14"/>
          <w:szCs w:val="14"/>
        </w:rPr>
      </w:pPr>
    </w:p>
    <w:p>
      <w:pPr>
        <w:pStyle w:val="BodyText"/>
        <w:spacing w:line="379" w:lineRule="auto"/>
        <w:ind w:right="191" w:firstLine="435"/>
        <w:jc w:val="both"/>
      </w:pPr>
      <w:r>
        <w:rPr>
          <w:spacing w:val="4"/>
        </w:rPr>
        <w:t>广西慧球科技股份有限公司</w:t>
      </w:r>
      <w:r>
        <w:rPr>
          <w:rFonts w:ascii="Times New Roman" w:hAnsi="Times New Roman" w:cs="Times New Roman" w:eastAsia="Times New Roman" w:hint="default"/>
          <w:spacing w:val="4"/>
        </w:rPr>
        <w:t>(</w:t>
      </w:r>
      <w:r>
        <w:rPr>
          <w:spacing w:val="4"/>
        </w:rPr>
        <w:t>以下简称“慧球科技”</w:t>
      </w:r>
      <w:r>
        <w:rPr>
          <w:rFonts w:ascii="Times New Roman" w:hAnsi="Times New Roman" w:cs="Times New Roman" w:eastAsia="Times New Roman" w:hint="default"/>
          <w:spacing w:val="4"/>
        </w:rPr>
        <w:t>)</w:t>
      </w:r>
      <w:r>
        <w:rPr>
          <w:spacing w:val="4"/>
        </w:rPr>
        <w:t>原名广西北生药业股份有限公司</w:t>
      </w:r>
      <w:r>
        <w:rPr>
          <w:rFonts w:ascii="Times New Roman" w:hAnsi="Times New Roman" w:cs="Times New Roman" w:eastAsia="Times New Roman" w:hint="default"/>
          <w:spacing w:val="4"/>
        </w:rPr>
        <w:t>(</w:t>
      </w:r>
      <w:r>
        <w:rPr>
          <w:spacing w:val="4"/>
        </w:rPr>
        <w:t>以下</w:t>
      </w:r>
      <w:r>
        <w:rPr>
          <w:spacing w:val="8"/>
        </w:rPr>
        <w:t> 简称“北生药业”</w:t>
      </w:r>
      <w:r>
        <w:rPr>
          <w:rFonts w:ascii="Times New Roman" w:hAnsi="Times New Roman" w:cs="Times New Roman" w:eastAsia="Times New Roman" w:hint="default"/>
          <w:spacing w:val="8"/>
        </w:rPr>
        <w:t>)</w:t>
      </w:r>
      <w:r>
        <w:rPr>
          <w:spacing w:val="8"/>
        </w:rPr>
        <w:t>。公司的前身是北海通发实业股份有限公司，是经广西壮族自治区人民政</w:t>
      </w:r>
      <w:r>
        <w:rPr>
          <w:spacing w:val="-98"/>
        </w:rPr>
        <w:t> </w:t>
      </w:r>
      <w:r>
        <w:rPr>
          <w:spacing w:val="-98"/>
        </w:rPr>
      </w:r>
      <w:r>
        <w:rPr>
          <w:spacing w:val="3"/>
        </w:rPr>
        <w:t>府以“桂体改股字</w:t>
      </w:r>
      <w:r>
        <w:rPr>
          <w:rFonts w:ascii="Times New Roman" w:hAnsi="Times New Roman" w:cs="Times New Roman" w:eastAsia="Times New Roman" w:hint="default"/>
          <w:spacing w:val="3"/>
        </w:rPr>
        <w:t>(1993)106</w:t>
      </w:r>
      <w:r>
        <w:rPr>
          <w:rFonts w:ascii="Times New Roman" w:hAnsi="Times New Roman" w:cs="Times New Roman" w:eastAsia="Times New Roman" w:hint="default"/>
          <w:spacing w:val="10"/>
        </w:rPr>
        <w:t> </w:t>
      </w:r>
      <w:r>
        <w:rPr>
          <w:spacing w:val="-2"/>
        </w:rPr>
        <w:t>号”文批准，于</w:t>
      </w:r>
      <w:r>
        <w:rPr>
          <w:spacing w:val="-41"/>
        </w:rPr>
        <w:t> </w:t>
      </w:r>
      <w:r>
        <w:rPr>
          <w:rFonts w:ascii="Times New Roman" w:hAnsi="Times New Roman" w:cs="Times New Roman" w:eastAsia="Times New Roman" w:hint="default"/>
          <w:spacing w:val="3"/>
        </w:rPr>
        <w:t>1993</w:t>
      </w:r>
      <w:r>
        <w:rPr>
          <w:rFonts w:ascii="Times New Roman" w:hAnsi="Times New Roman" w:cs="Times New Roman" w:eastAsia="Times New Roman" w:hint="default"/>
          <w:spacing w:val="9"/>
        </w:rPr>
        <w:t> </w:t>
      </w:r>
      <w:r>
        <w:rPr/>
        <w:t>年</w:t>
      </w:r>
      <w:r>
        <w:rPr>
          <w:spacing w:val="-41"/>
        </w:rPr>
        <w:t> </w:t>
      </w:r>
      <w:r>
        <w:rPr>
          <w:rFonts w:ascii="Times New Roman" w:hAnsi="Times New Roman" w:cs="Times New Roman" w:eastAsia="Times New Roman" w:hint="default"/>
        </w:rPr>
        <w:t>11</w:t>
      </w:r>
      <w:r>
        <w:rPr>
          <w:rFonts w:ascii="Times New Roman" w:hAnsi="Times New Roman" w:cs="Times New Roman" w:eastAsia="Times New Roman" w:hint="default"/>
          <w:spacing w:val="9"/>
        </w:rPr>
        <w:t> </w:t>
      </w:r>
      <w:r>
        <w:rPr/>
        <w:t>月</w:t>
      </w:r>
      <w:r>
        <w:rPr>
          <w:spacing w:val="-41"/>
        </w:rPr>
        <w:t> </w:t>
      </w:r>
      <w:r>
        <w:rPr>
          <w:rFonts w:ascii="Times New Roman" w:hAnsi="Times New Roman" w:cs="Times New Roman" w:eastAsia="Times New Roman" w:hint="default"/>
          <w:spacing w:val="2"/>
        </w:rPr>
        <w:t>28</w:t>
      </w:r>
      <w:r>
        <w:rPr>
          <w:rFonts w:ascii="Times New Roman" w:hAnsi="Times New Roman" w:cs="Times New Roman" w:eastAsia="Times New Roman" w:hint="default"/>
          <w:spacing w:val="8"/>
        </w:rPr>
        <w:t> </w:t>
      </w:r>
      <w:r>
        <w:rPr>
          <w:spacing w:val="6"/>
        </w:rPr>
        <w:t>日以定向募集方式设立的股份有</w:t>
      </w:r>
      <w:r>
        <w:rPr>
          <w:spacing w:val="-103"/>
        </w:rPr>
        <w:t> </w:t>
      </w:r>
      <w:r>
        <w:rPr>
          <w:spacing w:val="-103"/>
        </w:rPr>
      </w:r>
      <w:r>
        <w:rPr>
          <w:spacing w:val="5"/>
        </w:rPr>
        <w:t>限公司。</w:t>
      </w:r>
      <w:r>
        <w:rPr>
          <w:rFonts w:ascii="Times New Roman" w:hAnsi="Times New Roman" w:cs="Times New Roman" w:eastAsia="Times New Roman" w:hint="default"/>
          <w:spacing w:val="5"/>
        </w:rPr>
        <w:t>1996</w:t>
      </w:r>
      <w:r>
        <w:rPr>
          <w:rFonts w:ascii="Times New Roman" w:hAnsi="Times New Roman" w:cs="Times New Roman" w:eastAsia="Times New Roman" w:hint="default"/>
          <w:spacing w:val="27"/>
        </w:rPr>
        <w:t> </w:t>
      </w:r>
      <w:r>
        <w:rPr>
          <w:spacing w:val="7"/>
        </w:rPr>
        <w:t>年本公司按《公司法》进行了规范，经广西壮族自治区人民政府以“桂体改股</w:t>
      </w:r>
      <w:r>
        <w:rPr>
          <w:spacing w:val="-101"/>
        </w:rPr>
        <w:t> </w:t>
      </w:r>
      <w:r>
        <w:rPr>
          <w:spacing w:val="-101"/>
        </w:rPr>
      </w:r>
      <w:r>
        <w:rPr>
          <w:spacing w:val="3"/>
        </w:rPr>
        <w:t>字</w:t>
      </w:r>
      <w:r>
        <w:rPr>
          <w:rFonts w:ascii="Times New Roman" w:hAnsi="Times New Roman" w:cs="Times New Roman" w:eastAsia="Times New Roman" w:hint="default"/>
          <w:spacing w:val="3"/>
        </w:rPr>
        <w:t>(1996)83 </w:t>
      </w:r>
      <w:r>
        <w:rPr>
          <w:spacing w:val="6"/>
        </w:rPr>
        <w:t>号”文批准，公司总股本 </w:t>
      </w:r>
      <w:r>
        <w:rPr>
          <w:rFonts w:ascii="Times New Roman" w:hAnsi="Times New Roman" w:cs="Times New Roman" w:eastAsia="Times New Roman" w:hint="default"/>
          <w:spacing w:val="3"/>
        </w:rPr>
        <w:t>1,158.5 </w:t>
      </w:r>
      <w:r>
        <w:rPr>
          <w:spacing w:val="6"/>
        </w:rPr>
        <w:t>万人民币元，其中法人股 </w:t>
      </w:r>
      <w:r>
        <w:rPr>
          <w:rFonts w:ascii="Times New Roman" w:hAnsi="Times New Roman" w:cs="Times New Roman" w:eastAsia="Times New Roman" w:hint="default"/>
          <w:spacing w:val="3"/>
        </w:rPr>
        <w:t>1,150</w:t>
      </w:r>
      <w:r>
        <w:rPr>
          <w:rFonts w:ascii="Times New Roman" w:hAnsi="Times New Roman" w:cs="Times New Roman" w:eastAsia="Times New Roman" w:hint="default"/>
          <w:spacing w:val="10"/>
        </w:rPr>
        <w:t> </w:t>
      </w:r>
      <w:r>
        <w:rPr>
          <w:spacing w:val="6"/>
        </w:rPr>
        <w:t>万人民币元，内</w:t>
      </w:r>
    </w:p>
    <w:p>
      <w:pPr>
        <w:pStyle w:val="BodyText"/>
        <w:spacing w:line="379" w:lineRule="auto" w:before="35"/>
        <w:ind w:right="0"/>
        <w:jc w:val="left"/>
      </w:pPr>
      <w:r>
        <w:rPr>
          <w:spacing w:val="5"/>
        </w:rPr>
        <w:t>部职工股</w:t>
      </w:r>
      <w:r>
        <w:rPr>
          <w:spacing w:val="-31"/>
        </w:rPr>
        <w:t> </w:t>
      </w:r>
      <w:r>
        <w:rPr>
          <w:rFonts w:ascii="Times New Roman" w:hAnsi="Times New Roman" w:cs="Times New Roman" w:eastAsia="Times New Roman" w:hint="default"/>
          <w:spacing w:val="2"/>
        </w:rPr>
        <w:t>8.5</w:t>
      </w:r>
      <w:r>
        <w:rPr>
          <w:rFonts w:ascii="Times New Roman" w:hAnsi="Times New Roman" w:cs="Times New Roman" w:eastAsia="Times New Roman" w:hint="default"/>
          <w:spacing w:val="18"/>
        </w:rPr>
        <w:t> </w:t>
      </w:r>
      <w:r>
        <w:rPr>
          <w:spacing w:val="5"/>
        </w:rPr>
        <w:t>万人民币元，并在广西壮族自治区工商行政管理局进行了登记。公司注册地为广</w:t>
      </w:r>
      <w:r>
        <w:rPr>
          <w:spacing w:val="-100"/>
        </w:rPr>
        <w:t> </w:t>
      </w:r>
      <w:r>
        <w:rPr>
          <w:spacing w:val="-100"/>
        </w:rPr>
      </w:r>
      <w:r>
        <w:rPr>
          <w:spacing w:val="6"/>
        </w:rPr>
        <w:t>西北海市，总部地址位于广西北海市。</w:t>
      </w:r>
    </w:p>
    <w:p>
      <w:pPr>
        <w:pStyle w:val="BodyText"/>
        <w:spacing w:line="240" w:lineRule="auto" w:before="63"/>
        <w:ind w:left="558" w:right="0"/>
        <w:jc w:val="left"/>
      </w:pPr>
      <w:r>
        <w:rPr/>
        <w:t>（二）企业的业务性质和主要经营活动</w:t>
      </w:r>
    </w:p>
    <w:p>
      <w:pPr>
        <w:spacing w:line="240" w:lineRule="auto" w:before="3"/>
        <w:rPr>
          <w:rFonts w:ascii="宋体" w:hAnsi="宋体" w:cs="宋体" w:eastAsia="宋体" w:hint="default"/>
          <w:sz w:val="14"/>
          <w:szCs w:val="14"/>
        </w:rPr>
      </w:pPr>
    </w:p>
    <w:p>
      <w:pPr>
        <w:pStyle w:val="BodyText"/>
        <w:spacing w:line="393" w:lineRule="auto"/>
        <w:ind w:right="0" w:firstLine="435"/>
        <w:jc w:val="left"/>
      </w:pP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8"/>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29</w:t>
      </w:r>
      <w:r>
        <w:rPr>
          <w:rFonts w:ascii="Times New Roman" w:hAnsi="Times New Roman" w:cs="Times New Roman" w:eastAsia="Times New Roman" w:hint="default"/>
          <w:spacing w:val="9"/>
        </w:rPr>
        <w:t> </w:t>
      </w:r>
      <w:r>
        <w:rPr/>
        <w:t>日，本公司</w:t>
      </w:r>
      <w:r>
        <w:rPr>
          <w:spacing w:val="-40"/>
        </w:rPr>
        <w:t> </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8"/>
        </w:rPr>
        <w:t> </w:t>
      </w:r>
      <w:r>
        <w:rPr>
          <w:spacing w:val="5"/>
        </w:rPr>
        <w:t>年第四次临时股东大会审议通过的《关于公司变更名称</w:t>
      </w:r>
      <w:r>
        <w:rPr/>
        <w:t> </w:t>
      </w:r>
      <w:r>
        <w:rPr>
          <w:spacing w:val="-6"/>
        </w:rPr>
        <w:t>及经营范围的议案》、《关于修改公司章程的议案》、《关于董事会换届选举的议案》，以及同日</w:t>
      </w:r>
      <w:r>
        <w:rPr>
          <w:spacing w:val="-75"/>
        </w:rPr>
        <w:t> </w:t>
      </w:r>
      <w:r>
        <w:rPr>
          <w:spacing w:val="-75"/>
        </w:rPr>
      </w:r>
      <w:r>
        <w:rPr>
          <w:spacing w:val="4"/>
        </w:rPr>
        <w:t>召开的第八届董事会第一次会议审议通过的《关于选举第八届董事会董事长的议案》，公司向</w:t>
      </w:r>
      <w:r>
        <w:rPr>
          <w:spacing w:val="-77"/>
        </w:rPr>
        <w:t> </w:t>
      </w:r>
      <w:r>
        <w:rPr>
          <w:spacing w:val="-77"/>
        </w:rPr>
      </w:r>
      <w:r>
        <w:rPr>
          <w:spacing w:val="7"/>
        </w:rPr>
        <w:t>北海市工商行政管理局申请办理关于公司名称、法定代表人、经营范围的工商变更登记工作。</w:t>
      </w:r>
      <w:r>
        <w:rPr>
          <w:spacing w:val="-91"/>
        </w:rPr>
        <w:t> </w:t>
      </w:r>
      <w:r>
        <w:rPr>
          <w:spacing w:val="-91"/>
        </w:rPr>
      </w:r>
      <w:r>
        <w:rPr>
          <w:spacing w:val="6"/>
        </w:rPr>
        <w:t>北海市工商行政管理局于</w:t>
      </w:r>
      <w:r>
        <w:rPr>
          <w:spacing w:val="-58"/>
        </w:rPr>
        <w:t> </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1"/>
        </w:rPr>
        <w:t> </w:t>
      </w:r>
      <w:r>
        <w:rPr/>
        <w:t>年</w:t>
      </w:r>
      <w:r>
        <w:rPr>
          <w:spacing w:val="-60"/>
        </w:rPr>
        <w:t> </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1"/>
        </w:rPr>
        <w:t> </w:t>
      </w:r>
      <w:r>
        <w:rPr/>
        <w:t>月</w:t>
      </w:r>
      <w:r>
        <w:rPr>
          <w:spacing w:val="-60"/>
        </w:rPr>
        <w:t> </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11"/>
        </w:rPr>
        <w:t> </w:t>
      </w:r>
      <w:r>
        <w:rPr>
          <w:spacing w:val="-7"/>
        </w:rPr>
        <w:t>日向公司下发了新的《企业法人营业执照》，注册号：</w:t>
      </w:r>
      <w:r>
        <w:rPr>
          <w:spacing w:val="-100"/>
        </w:rPr>
        <w:t> </w:t>
      </w:r>
      <w:r>
        <w:rPr>
          <w:spacing w:val="-100"/>
        </w:rPr>
      </w:r>
      <w:r>
        <w:rPr>
          <w:rFonts w:ascii="Times New Roman" w:hAnsi="Times New Roman" w:cs="Times New Roman" w:eastAsia="Times New Roman" w:hint="default"/>
          <w:spacing w:val="6"/>
        </w:rPr>
        <w:t>450500000000938</w:t>
      </w:r>
      <w:r>
        <w:rPr>
          <w:spacing w:val="6"/>
        </w:rPr>
        <w:t>。此次变更，公司名称变更为：广西慧球科技股份有限公司；法定代表人变</w:t>
      </w:r>
    </w:p>
    <w:p>
      <w:pPr>
        <w:pStyle w:val="BodyText"/>
        <w:spacing w:line="400" w:lineRule="auto" w:before="21"/>
        <w:ind w:right="0"/>
        <w:jc w:val="left"/>
      </w:pPr>
      <w:r>
        <w:rPr>
          <w:spacing w:val="4"/>
        </w:rPr>
        <w:t>更为：顾国平；经营范围变更为：通信技术、信息科技、计算机、电子科技的技术开发、技术</w:t>
      </w:r>
      <w:r>
        <w:rPr>
          <w:spacing w:val="-81"/>
        </w:rPr>
        <w:t> </w:t>
      </w:r>
      <w:r>
        <w:rPr>
          <w:spacing w:val="-81"/>
        </w:rPr>
      </w:r>
      <w:r>
        <w:rPr>
          <w:spacing w:val="7"/>
        </w:rPr>
        <w:t>服务、技术咨询，计算机网络工程，计算机软硬件开发，通讯器材、自动化控制系统的销售、</w:t>
      </w:r>
      <w:r>
        <w:rPr>
          <w:spacing w:val="-91"/>
        </w:rPr>
        <w:t> </w:t>
      </w:r>
      <w:r>
        <w:rPr>
          <w:spacing w:val="-91"/>
        </w:rPr>
      </w:r>
      <w:r>
        <w:rPr>
          <w:spacing w:val="-1"/>
        </w:rPr>
        <w:t>设计、安装及售后服务（以上项目不含互联网上网服务）。（依法须经批准的项目，经相关部门</w:t>
      </w:r>
      <w:r>
        <w:rPr>
          <w:spacing w:val="-90"/>
        </w:rPr>
        <w:t> </w:t>
      </w:r>
      <w:r>
        <w:rPr>
          <w:spacing w:val="-90"/>
        </w:rPr>
      </w:r>
      <w:r>
        <w:rPr>
          <w:spacing w:val="-2"/>
        </w:rPr>
        <w:t>批准后方可开展经营活动。）</w:t>
      </w:r>
    </w:p>
    <w:p>
      <w:pPr>
        <w:spacing w:line="240" w:lineRule="auto" w:before="5"/>
        <w:rPr>
          <w:rFonts w:ascii="宋体" w:hAnsi="宋体" w:cs="宋体" w:eastAsia="宋体" w:hint="default"/>
          <w:sz w:val="14"/>
          <w:szCs w:val="14"/>
        </w:rPr>
      </w:pPr>
    </w:p>
    <w:p>
      <w:pPr>
        <w:pStyle w:val="Heading3"/>
        <w:tabs>
          <w:tab w:pos="557" w:val="left" w:leader="none"/>
        </w:tabs>
        <w:spacing w:line="240" w:lineRule="auto" w:before="0"/>
        <w:ind w:left="138" w:right="0"/>
        <w:jc w:val="left"/>
        <w:rPr>
          <w:b w:val="0"/>
          <w:bCs w:val="0"/>
        </w:rPr>
      </w:pPr>
      <w:r>
        <w:rPr>
          <w:rFonts w:ascii="Calibri" w:hAnsi="Calibri" w:cs="Calibri" w:eastAsia="Calibri" w:hint="default"/>
        </w:rPr>
        <w:t>2.</w:t>
        <w:tab/>
      </w:r>
      <w:r>
        <w:rPr/>
        <w:t>合并财务报表范围</w:t>
      </w:r>
      <w:r>
        <w:rPr>
          <w:b w:val="0"/>
          <w:bCs w:val="0"/>
        </w:rPr>
      </w:r>
    </w:p>
    <w:p>
      <w:pPr>
        <w:spacing w:line="240" w:lineRule="auto" w:before="10"/>
        <w:rPr>
          <w:rFonts w:ascii="宋体" w:hAnsi="宋体" w:cs="宋体" w:eastAsia="宋体" w:hint="default"/>
          <w:b/>
          <w:bCs/>
          <w:sz w:val="16"/>
          <w:szCs w:val="16"/>
        </w:rPr>
      </w:pPr>
    </w:p>
    <w:p>
      <w:pPr>
        <w:pStyle w:val="BodyText"/>
        <w:spacing w:line="386" w:lineRule="auto"/>
        <w:ind w:right="199" w:firstLine="420"/>
        <w:jc w:val="both"/>
      </w:pPr>
      <w:r>
        <w:rPr>
          <w:spacing w:val="6"/>
        </w:rPr>
        <w:t>本公司将杭州郡原物业服务有限公司、南宁市智诚合讯信息技术有限公司等 </w:t>
      </w:r>
      <w:r>
        <w:rPr>
          <w:rFonts w:ascii="Times New Roman" w:hAnsi="Times New Roman" w:cs="Times New Roman" w:eastAsia="Times New Roman" w:hint="default"/>
        </w:rPr>
        <w:t>2 </w:t>
      </w:r>
      <w:r>
        <w:rPr>
          <w:spacing w:val="5"/>
        </w:rPr>
        <w:t>家子公司</w:t>
      </w:r>
      <w:r>
        <w:rPr>
          <w:spacing w:val="-78"/>
        </w:rPr>
        <w:t> </w:t>
      </w:r>
      <w:r>
        <w:rPr>
          <w:rFonts w:ascii="Times New Roman" w:hAnsi="Times New Roman" w:cs="Times New Roman" w:eastAsia="Times New Roman" w:hint="default"/>
        </w:rPr>
        <w:t>4 </w:t>
      </w:r>
      <w:r>
        <w:rPr>
          <w:spacing w:val="9"/>
        </w:rPr>
        <w:t>家孙公司纳入合并范围，其中南宁市智诚合讯信息技术有限公司为本期新设立的子公司，于</w:t>
      </w:r>
      <w:r>
        <w:rPr>
          <w:spacing w:val="-71"/>
        </w:rPr>
        <w:t> </w:t>
      </w:r>
      <w:r>
        <w:rPr>
          <w:spacing w:val="-71"/>
        </w:rPr>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日起纳入合并范围，具体情况详见“第十节、八</w:t>
      </w:r>
      <w:r>
        <w:rPr>
          <w:spacing w:val="8"/>
        </w:rPr>
        <w:t> </w:t>
      </w:r>
      <w:r>
        <w:rPr/>
        <w:t>合并范围的变更”及“第十节、</w:t>
      </w:r>
      <w:r>
        <w:rPr/>
        <w:t> 九</w:t>
      </w:r>
      <w:r>
        <w:rPr>
          <w:spacing w:val="14"/>
        </w:rPr>
        <w:t> </w:t>
      </w:r>
      <w:r>
        <w:rPr>
          <w:spacing w:val="-3"/>
        </w:rPr>
        <w:t>在其他主体中的权益”。</w:t>
      </w:r>
    </w:p>
    <w:p>
      <w:pPr>
        <w:spacing w:line="240" w:lineRule="auto" w:before="5"/>
        <w:rPr>
          <w:rFonts w:ascii="宋体" w:hAnsi="宋体" w:cs="宋体" w:eastAsia="宋体" w:hint="default"/>
          <w:sz w:val="15"/>
          <w:szCs w:val="15"/>
        </w:rPr>
      </w:pPr>
    </w:p>
    <w:p>
      <w:pPr>
        <w:pStyle w:val="Heading3"/>
        <w:spacing w:line="240" w:lineRule="auto" w:before="0"/>
        <w:ind w:left="138" w:right="0"/>
        <w:jc w:val="left"/>
        <w:rPr>
          <w:b w:val="0"/>
          <w:bCs w:val="0"/>
        </w:rPr>
      </w:pPr>
      <w:r>
        <w:rPr/>
        <w:t>四、财务报表的编制基础</w:t>
      </w:r>
      <w:r>
        <w:rPr>
          <w:b w:val="0"/>
          <w:bCs w:val="0"/>
        </w:rPr>
      </w:r>
    </w:p>
    <w:p>
      <w:pPr>
        <w:spacing w:line="240" w:lineRule="auto" w:before="2"/>
        <w:rPr>
          <w:rFonts w:ascii="宋体" w:hAnsi="宋体" w:cs="宋体" w:eastAsia="宋体" w:hint="default"/>
          <w:b/>
          <w:bCs/>
          <w:sz w:val="18"/>
          <w:szCs w:val="18"/>
        </w:rPr>
      </w:pPr>
    </w:p>
    <w:p>
      <w:pPr>
        <w:pStyle w:val="BodyText"/>
        <w:tabs>
          <w:tab w:pos="562" w:val="left" w:leader="none"/>
        </w:tabs>
        <w:spacing w:line="367" w:lineRule="auto"/>
        <w:ind w:left="558" w:right="196"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spacing w:val="1"/>
          <w:w w:val="99"/>
        </w:rPr>
        <w:t> </w:t>
      </w:r>
      <w:r>
        <w:rPr/>
        <w:t>本公司财务报表以持续经营为基础，根据实际发生的交易和事项，按照财政部颁布的《企业</w:t>
      </w:r>
    </w:p>
    <w:p>
      <w:pPr>
        <w:spacing w:after="0" w:line="367" w:lineRule="auto"/>
        <w:jc w:val="left"/>
        <w:sectPr>
          <w:headerReference w:type="default" r:id="rId40"/>
          <w:footerReference w:type="default" r:id="rId41"/>
          <w:pgSz w:w="11910" w:h="16840"/>
          <w:pgMar w:header="882" w:footer="1194" w:top="1120" w:bottom="1380" w:left="1660" w:right="1080"/>
          <w:pgNumType w:start="7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right="101"/>
        <w:jc w:val="left"/>
      </w:pPr>
      <w:r>
        <w:rPr>
          <w:spacing w:val="-3"/>
        </w:rPr>
        <w:t>会计准则</w:t>
      </w:r>
      <w:r>
        <w:rPr>
          <w:rFonts w:ascii="宋体" w:hAnsi="宋体" w:cs="宋体" w:eastAsia="宋体" w:hint="default"/>
          <w:spacing w:val="-3"/>
        </w:rPr>
        <w:t>-</w:t>
      </w:r>
      <w:r>
        <w:rPr>
          <w:spacing w:val="-3"/>
        </w:rPr>
        <w:t>基本准则》和具体会计准则等规定（以下合称“企业会计准则”），并基于以下所述重</w:t>
      </w:r>
      <w:r>
        <w:rPr>
          <w:spacing w:val="-73"/>
        </w:rPr>
        <w:t> </w:t>
      </w:r>
      <w:r>
        <w:rPr>
          <w:spacing w:val="-73"/>
        </w:rPr>
      </w:r>
      <w:r>
        <w:rPr/>
        <w:t>要会计政策、会计估计进行编制。</w:t>
      </w:r>
    </w:p>
    <w:p>
      <w:pPr>
        <w:spacing w:line="240" w:lineRule="auto" w:before="5"/>
        <w:rPr>
          <w:rFonts w:ascii="宋体" w:hAnsi="宋体" w:cs="宋体" w:eastAsia="宋体" w:hint="default"/>
          <w:sz w:val="14"/>
          <w:szCs w:val="14"/>
        </w:rPr>
      </w:pPr>
    </w:p>
    <w:p>
      <w:pPr>
        <w:pStyle w:val="Heading3"/>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持续经营</w:t>
      </w:r>
      <w:r>
        <w:rPr>
          <w:b w:val="0"/>
          <w:bCs w:val="0"/>
        </w:rPr>
      </w:r>
    </w:p>
    <w:p>
      <w:pPr>
        <w:spacing w:line="240" w:lineRule="auto" w:before="10"/>
        <w:rPr>
          <w:rFonts w:ascii="宋体" w:hAnsi="宋体" w:cs="宋体" w:eastAsia="宋体" w:hint="default"/>
          <w:b/>
          <w:bCs/>
          <w:sz w:val="16"/>
          <w:szCs w:val="16"/>
        </w:rPr>
      </w:pPr>
    </w:p>
    <w:p>
      <w:pPr>
        <w:spacing w:line="528" w:lineRule="auto" w:before="0"/>
        <w:ind w:left="138" w:right="473" w:firstLine="420"/>
        <w:jc w:val="left"/>
        <w:rPr>
          <w:rFonts w:ascii="宋体" w:hAnsi="宋体" w:cs="宋体" w:eastAsia="宋体" w:hint="default"/>
          <w:sz w:val="21"/>
          <w:szCs w:val="21"/>
        </w:rPr>
      </w:pPr>
      <w:r>
        <w:rPr>
          <w:rFonts w:ascii="宋体" w:hAnsi="宋体" w:cs="宋体" w:eastAsia="宋体" w:hint="default"/>
          <w:sz w:val="21"/>
          <w:szCs w:val="21"/>
        </w:rPr>
        <w:t>公司自本报告期末至少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个月内具备持续经营能力，无影响持续经营能力的重大事项。 </w:t>
      </w:r>
      <w:r>
        <w:rPr>
          <w:rFonts w:ascii="宋体" w:hAnsi="宋体" w:cs="宋体" w:eastAsia="宋体" w:hint="default"/>
          <w:b/>
          <w:bCs/>
          <w:sz w:val="21"/>
          <w:szCs w:val="21"/>
        </w:rPr>
        <w:t>五、重要会计政策及会计估计</w:t>
      </w:r>
      <w:r>
        <w:rPr>
          <w:rFonts w:ascii="宋体" w:hAnsi="宋体" w:cs="宋体" w:eastAsia="宋体" w:hint="default"/>
          <w:sz w:val="21"/>
          <w:szCs w:val="21"/>
        </w:rPr>
      </w:r>
    </w:p>
    <w:p>
      <w:pPr>
        <w:tabs>
          <w:tab w:pos="562" w:val="left" w:leader="none"/>
        </w:tabs>
        <w:spacing w:line="391" w:lineRule="auto" w:before="138"/>
        <w:ind w:left="558" w:right="226" w:hanging="420"/>
        <w:jc w:val="left"/>
        <w:rPr>
          <w:rFonts w:ascii="宋体" w:hAnsi="宋体" w:cs="宋体" w:eastAsia="宋体" w:hint="default"/>
          <w:sz w:val="21"/>
          <w:szCs w:val="21"/>
        </w:rPr>
      </w:pPr>
      <w:r>
        <w:rPr>
          <w:rFonts w:ascii="Calibri" w:hAnsi="Calibri" w:cs="Calibri" w:eastAsia="Calibri" w:hint="default"/>
          <w:b/>
          <w:bCs/>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本公司所编制的财务报表符合企业会计准则的要求，真实、完整地反映了公司的财务状况、</w:t>
      </w:r>
    </w:p>
    <w:p>
      <w:pPr>
        <w:pStyle w:val="BodyText"/>
        <w:spacing w:line="240" w:lineRule="auto" w:before="52"/>
        <w:ind w:right="0"/>
        <w:jc w:val="both"/>
      </w:pPr>
      <w:r>
        <w:rPr/>
        <w:t>经营成果、股东权益变动和现金流量等有关信息。</w:t>
      </w:r>
    </w:p>
    <w:p>
      <w:pPr>
        <w:spacing w:line="240" w:lineRule="auto" w:before="5"/>
        <w:rPr>
          <w:rFonts w:ascii="宋体" w:hAnsi="宋体" w:cs="宋体" w:eastAsia="宋体" w:hint="default"/>
          <w:sz w:val="27"/>
          <w:szCs w:val="27"/>
        </w:rPr>
      </w:pPr>
    </w:p>
    <w:p>
      <w:pPr>
        <w:pStyle w:val="Heading3"/>
        <w:spacing w:line="240" w:lineRule="auto" w:before="0"/>
        <w:ind w:left="138" w:right="0"/>
        <w:jc w:val="both"/>
        <w:rPr>
          <w:b w:val="0"/>
          <w:bCs w:val="0"/>
        </w:rPr>
      </w:pPr>
      <w:r>
        <w:rPr>
          <w:rFonts w:ascii="Calibri" w:hAnsi="Calibri" w:cs="Calibri" w:eastAsia="Calibri" w:hint="default"/>
        </w:rPr>
        <w:t>2.    </w:t>
      </w:r>
      <w:r>
        <w:rPr>
          <w:rFonts w:ascii="Calibri" w:hAnsi="Calibri" w:cs="Calibri" w:eastAsia="Calibri" w:hint="default"/>
          <w:spacing w:val="25"/>
        </w:rPr>
        <w:t> </w:t>
      </w:r>
      <w:r>
        <w:rPr/>
        <w:t>会计期间</w:t>
      </w:r>
      <w:r>
        <w:rPr>
          <w:b w:val="0"/>
          <w:bCs w:val="0"/>
        </w:rPr>
      </w:r>
    </w:p>
    <w:p>
      <w:pPr>
        <w:pStyle w:val="BodyText"/>
        <w:spacing w:line="240" w:lineRule="auto" w:before="189"/>
        <w:ind w:left="558" w:right="2938"/>
        <w:jc w:val="left"/>
      </w:pPr>
      <w:r>
        <w:rPr/>
        <w:t>本公司会计年度自公历</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日起至</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日止。</w:t>
      </w:r>
    </w:p>
    <w:p>
      <w:pPr>
        <w:spacing w:line="240" w:lineRule="auto" w:before="5"/>
        <w:rPr>
          <w:rFonts w:ascii="宋体" w:hAnsi="宋体" w:cs="宋体" w:eastAsia="宋体" w:hint="default"/>
          <w:sz w:val="27"/>
          <w:szCs w:val="27"/>
        </w:rPr>
      </w:pPr>
    </w:p>
    <w:p>
      <w:pPr>
        <w:pStyle w:val="Heading3"/>
        <w:spacing w:line="240" w:lineRule="auto" w:before="0"/>
        <w:ind w:left="138" w:right="0"/>
        <w:jc w:val="both"/>
        <w:rPr>
          <w:b w:val="0"/>
          <w:bCs w:val="0"/>
        </w:rPr>
      </w:pPr>
      <w:r>
        <w:rPr>
          <w:rFonts w:ascii="Calibri" w:hAnsi="Calibri" w:cs="Calibri" w:eastAsia="Calibri" w:hint="default"/>
        </w:rPr>
        <w:t>3.    </w:t>
      </w:r>
      <w:r>
        <w:rPr>
          <w:rFonts w:ascii="Calibri" w:hAnsi="Calibri" w:cs="Calibri" w:eastAsia="Calibri" w:hint="default"/>
          <w:spacing w:val="25"/>
        </w:rPr>
        <w:t> </w:t>
      </w:r>
      <w:r>
        <w:rPr/>
        <w:t>营业周期</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58" w:right="0"/>
        <w:jc w:val="left"/>
      </w:pPr>
      <w:r>
        <w:rPr/>
        <w:t>本公司以一年</w:t>
      </w:r>
      <w:r>
        <w:rPr>
          <w:spacing w:val="-29"/>
        </w:rPr>
        <w:t> </w:t>
      </w:r>
      <w:r>
        <w:rPr>
          <w:rFonts w:ascii="宋体" w:hAnsi="宋体" w:cs="宋体" w:eastAsia="宋体" w:hint="default"/>
        </w:rPr>
        <w:t>12</w:t>
      </w:r>
      <w:r>
        <w:rPr>
          <w:rFonts w:ascii="宋体" w:hAnsi="宋体" w:cs="宋体" w:eastAsia="宋体" w:hint="default"/>
          <w:spacing w:val="-67"/>
        </w:rPr>
        <w:t> </w:t>
      </w:r>
      <w:r>
        <w:rPr/>
        <w:t>个月作为正常营业周期，并以营业周期作为资产和负债的流动性划分标准。</w:t>
      </w:r>
    </w:p>
    <w:p>
      <w:pPr>
        <w:spacing w:line="240" w:lineRule="auto" w:before="3"/>
        <w:rPr>
          <w:rFonts w:ascii="宋体" w:hAnsi="宋体" w:cs="宋体" w:eastAsia="宋体" w:hint="default"/>
          <w:sz w:val="25"/>
          <w:szCs w:val="25"/>
        </w:rPr>
      </w:pPr>
    </w:p>
    <w:p>
      <w:pPr>
        <w:tabs>
          <w:tab w:pos="562" w:val="left" w:leader="none"/>
        </w:tabs>
        <w:spacing w:line="391" w:lineRule="auto" w:before="0"/>
        <w:ind w:left="558" w:right="5686" w:hanging="420"/>
        <w:jc w:val="left"/>
        <w:rPr>
          <w:rFonts w:ascii="宋体" w:hAnsi="宋体" w:cs="宋体" w:eastAsia="宋体" w:hint="default"/>
          <w:sz w:val="21"/>
          <w:szCs w:val="21"/>
        </w:rPr>
      </w:pPr>
      <w:r>
        <w:rPr>
          <w:rFonts w:ascii="Calibri" w:hAnsi="Calibri" w:cs="Calibri" w:eastAsia="Calibri"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本公司的记账本位币为人民币。</w:t>
      </w:r>
    </w:p>
    <w:p>
      <w:pPr>
        <w:spacing w:line="240" w:lineRule="auto" w:before="4"/>
        <w:rPr>
          <w:rFonts w:ascii="宋体" w:hAnsi="宋体" w:cs="宋体" w:eastAsia="宋体" w:hint="default"/>
          <w:sz w:val="17"/>
          <w:szCs w:val="17"/>
        </w:rPr>
      </w:pPr>
    </w:p>
    <w:p>
      <w:pPr>
        <w:pStyle w:val="Heading3"/>
        <w:spacing w:line="240" w:lineRule="auto" w:before="0"/>
        <w:ind w:left="138" w:right="0"/>
        <w:jc w:val="both"/>
        <w:rPr>
          <w:b w:val="0"/>
          <w:bCs w:val="0"/>
        </w:rPr>
      </w:pPr>
      <w:r>
        <w:rPr>
          <w:rFonts w:ascii="Calibri" w:hAnsi="Calibri" w:cs="Calibri" w:eastAsia="Calibri" w:hint="default"/>
        </w:rPr>
        <w:t>5.    </w:t>
      </w:r>
      <w:r>
        <w:rPr>
          <w:rFonts w:ascii="Calibri" w:hAnsi="Calibri" w:cs="Calibri" w:eastAsia="Calibri" w:hint="default"/>
          <w:spacing w:val="19"/>
        </w:rPr>
        <w:t> </w:t>
      </w:r>
      <w:r>
        <w:rPr/>
        <w:t>同一控制下和非同一控制下企业合并的会计处理方法</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208"/>
        <w:jc w:val="left"/>
      </w:pPr>
      <w:r>
        <w:rPr/>
        <w:t>（</w:t>
      </w:r>
      <w:r>
        <w:rPr>
          <w:rFonts w:ascii="宋体" w:hAnsi="宋体" w:cs="宋体" w:eastAsia="宋体" w:hint="default"/>
        </w:rPr>
        <w:t>1</w:t>
      </w:r>
      <w:r>
        <w:rPr/>
        <w:t>）同一控制下的企业合并 同一控制下企业合并形成的长期股权投资合并方以支付现金、转让非现金资产或承担债务方</w:t>
      </w:r>
    </w:p>
    <w:p>
      <w:pPr>
        <w:pStyle w:val="BodyText"/>
        <w:spacing w:line="400" w:lineRule="auto" w:before="45"/>
        <w:ind w:right="225"/>
        <w:jc w:val="both"/>
      </w:pPr>
      <w:r>
        <w:rPr/>
        <w:t>式作为合并对价的，本公司在合并日按照所取得的被合并方在最终控制方合并财务报表中的净资 产的账面价值的份额作为长期股权投资的初始投资成本。合并方以发行权益性工具作为合并对价 的，按发行股份的面值总额作为股本。长期股权投资的初始投资成本与合并对价账面价值（或发 行股份面值总额）的差额，应当调整资本公积；资本公积不足冲减的，调整留存收益。</w:t>
      </w:r>
    </w:p>
    <w:p>
      <w:pPr>
        <w:pStyle w:val="BodyText"/>
        <w:spacing w:line="400" w:lineRule="auto" w:before="44"/>
        <w:ind w:left="558" w:right="208"/>
        <w:jc w:val="left"/>
      </w:pPr>
      <w:r>
        <w:rPr/>
        <w:t>（</w:t>
      </w:r>
      <w:r>
        <w:rPr>
          <w:rFonts w:ascii="宋体" w:hAnsi="宋体" w:cs="宋体" w:eastAsia="宋体" w:hint="default"/>
        </w:rPr>
        <w:t>2</w:t>
      </w:r>
      <w:r>
        <w:rPr/>
        <w:t>）非同一控制下的企业合并 对于非同一控制下的企业合并，合并成本为购买方在购买日为取得对被购买方的控制权而付</w:t>
      </w:r>
    </w:p>
    <w:p>
      <w:pPr>
        <w:pStyle w:val="BodyText"/>
        <w:spacing w:line="400" w:lineRule="auto" w:before="45"/>
        <w:ind w:right="108"/>
        <w:jc w:val="both"/>
      </w:pPr>
      <w:r>
        <w:rPr/>
        <w:t>出的资产、发生或承担的负债以及发行的权益性证券的公允价值之和。非同一控制下企业合并中</w:t>
      </w:r>
      <w:r>
        <w:rPr>
          <w:spacing w:val="-96"/>
        </w:rPr>
        <w:t> </w:t>
      </w:r>
      <w:r>
        <w:rPr>
          <w:spacing w:val="-96"/>
        </w:rPr>
      </w:r>
      <w:r>
        <w:rPr/>
        <w:t>所取得的被购买方符合确认条件的可辨认资产、负债及或有负债，在购买日以公允价值计量。购</w:t>
      </w:r>
      <w:r>
        <w:rPr>
          <w:spacing w:val="-96"/>
        </w:rPr>
        <w:t> </w:t>
      </w:r>
      <w:r>
        <w:rPr>
          <w:spacing w:val="-96"/>
        </w:rPr>
      </w:r>
      <w:r>
        <w:rPr>
          <w:spacing w:val="-3"/>
        </w:rPr>
        <w:t>买方对合并成本大于合并中取得的被购买方可辨认净资产公允价值份额的差额，体现为商誉价值。</w:t>
      </w:r>
    </w:p>
    <w:p>
      <w:pPr>
        <w:pStyle w:val="BodyText"/>
        <w:spacing w:line="240" w:lineRule="auto" w:before="45"/>
        <w:ind w:right="0"/>
        <w:jc w:val="both"/>
      </w:pPr>
      <w:r>
        <w:rPr/>
        <w:t>购买方对合并成本小于合并中取得的被购买方可辨认净资产公允价值份额的，经复核后合并成本</w:t>
      </w:r>
    </w:p>
    <w:p>
      <w:pPr>
        <w:spacing w:after="0" w:line="240" w:lineRule="auto"/>
        <w:jc w:val="both"/>
        <w:sectPr>
          <w:pgSz w:w="11910" w:h="16840"/>
          <w:pgMar w:header="882" w:footer="1194"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right="0"/>
        <w:jc w:val="both"/>
      </w:pPr>
      <w:r>
        <w:rPr/>
        <w:t>仍小于合并中取得的被购买方可辨认净资产公允价值份额的差额，计入当期营业外收入。</w:t>
      </w:r>
    </w:p>
    <w:p>
      <w:pPr>
        <w:spacing w:line="240" w:lineRule="auto" w:before="2"/>
        <w:rPr>
          <w:rFonts w:ascii="宋体" w:hAnsi="宋体" w:cs="宋体" w:eastAsia="宋体" w:hint="default"/>
          <w:sz w:val="25"/>
          <w:szCs w:val="25"/>
        </w:rPr>
      </w:pPr>
    </w:p>
    <w:p>
      <w:pPr>
        <w:pStyle w:val="Heading3"/>
        <w:spacing w:line="240" w:lineRule="auto" w:before="0"/>
        <w:ind w:left="138" w:right="0"/>
        <w:jc w:val="both"/>
        <w:rPr>
          <w:b w:val="0"/>
          <w:bCs w:val="0"/>
        </w:rPr>
      </w:pPr>
      <w:r>
        <w:rPr>
          <w:rFonts w:ascii="Calibri" w:hAnsi="Calibri" w:cs="Calibri" w:eastAsia="Calibri" w:hint="default"/>
        </w:rPr>
        <w:t>6.    </w:t>
      </w:r>
      <w:r>
        <w:rPr>
          <w:rFonts w:ascii="Calibri" w:hAnsi="Calibri" w:cs="Calibri" w:eastAsia="Calibri" w:hint="default"/>
          <w:spacing w:val="21"/>
        </w:rPr>
        <w:t> </w:t>
      </w:r>
      <w:r>
        <w:rPr/>
        <w:t>合并财务报表的编制方法</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558" w:right="4958"/>
        <w:jc w:val="left"/>
      </w:pPr>
      <w:r>
        <w:rPr/>
        <w:t>（</w:t>
      </w:r>
      <w:r>
        <w:rPr>
          <w:rFonts w:ascii="宋体" w:hAnsi="宋体" w:cs="宋体" w:eastAsia="宋体" w:hint="default"/>
        </w:rPr>
        <w:t>1</w:t>
      </w:r>
      <w:r>
        <w:rPr/>
        <w:t>）投资主体的判断依据 本公司为投资性主体，判断依据如下：</w:t>
      </w:r>
    </w:p>
    <w:p>
      <w:pPr>
        <w:pStyle w:val="BodyText"/>
        <w:spacing w:line="400" w:lineRule="auto" w:before="45"/>
        <w:ind w:right="146" w:firstLine="420"/>
        <w:jc w:val="both"/>
      </w:pPr>
      <w:r>
        <w:rPr/>
        <w:t>如果母公司是投资性主体，则母公司应当仅将为其投资活动提供相关服务的子公司（如有） 纳入合并范围并编制合并财务报表；其他子公司不应当予以合并，母公司对其他子公司的投资应 当按照公允价值计量且其变动计入当期损益。</w:t>
      </w:r>
    </w:p>
    <w:p>
      <w:pPr>
        <w:pStyle w:val="BodyText"/>
        <w:spacing w:line="400" w:lineRule="auto" w:before="45"/>
        <w:ind w:right="147" w:firstLine="420"/>
        <w:jc w:val="both"/>
      </w:pPr>
      <w:r>
        <w:rPr/>
        <w:t>如果母公司是投资性主体，且不存在为其投资活动提供相关服务的子公司，则不应当编制合 并财务报表。</w:t>
      </w:r>
    </w:p>
    <w:p>
      <w:pPr>
        <w:pStyle w:val="BodyText"/>
        <w:spacing w:line="403" w:lineRule="auto" w:before="44"/>
        <w:ind w:left="663" w:right="0" w:hanging="106"/>
        <w:jc w:val="left"/>
      </w:pPr>
      <w:r>
        <w:rPr/>
        <w:t>（</w:t>
      </w:r>
      <w:r>
        <w:rPr>
          <w:rFonts w:ascii="宋体" w:hAnsi="宋体" w:cs="宋体" w:eastAsia="宋体" w:hint="default"/>
        </w:rPr>
        <w:t>2</w:t>
      </w:r>
      <w:r>
        <w:rPr/>
        <w:t>）合并财务报表范围 </w:t>
      </w:r>
      <w:r>
        <w:rPr>
          <w:spacing w:val="-3"/>
        </w:rPr>
        <w:t>本公司将全部子公司（包括本公司所控制的单独主体）纳入合并财务报表范围，包括被本公</w:t>
      </w:r>
    </w:p>
    <w:p>
      <w:pPr>
        <w:pStyle w:val="BodyText"/>
        <w:spacing w:line="240" w:lineRule="auto" w:before="42"/>
        <w:ind w:right="0"/>
        <w:jc w:val="both"/>
      </w:pPr>
      <w:r>
        <w:rPr/>
        <w:t>司控制的企业、被投资单位中可分割的部分以及结构化主体。</w:t>
      </w:r>
    </w:p>
    <w:p>
      <w:pPr>
        <w:spacing w:line="240" w:lineRule="auto" w:before="2"/>
        <w:rPr>
          <w:rFonts w:ascii="宋体" w:hAnsi="宋体" w:cs="宋体" w:eastAsia="宋体" w:hint="default"/>
          <w:sz w:val="14"/>
          <w:szCs w:val="14"/>
        </w:rPr>
      </w:pPr>
    </w:p>
    <w:p>
      <w:pPr>
        <w:pStyle w:val="BodyText"/>
        <w:spacing w:line="403" w:lineRule="auto"/>
        <w:ind w:left="558" w:right="128"/>
        <w:jc w:val="left"/>
      </w:pPr>
      <w:r>
        <w:rPr/>
        <w:t>（</w:t>
      </w:r>
      <w:r>
        <w:rPr>
          <w:rFonts w:ascii="宋体" w:hAnsi="宋体" w:cs="宋体" w:eastAsia="宋体" w:hint="default"/>
        </w:rPr>
        <w:t>3</w:t>
      </w:r>
      <w:r>
        <w:rPr/>
        <w:t>）统一母子公司的会计政策、统一母子公司的资产负债表日及会计期间 子公司与本公司采用的会计政策或会计期间不一致的，在编制合并财务报表时，按照本公司</w:t>
      </w:r>
    </w:p>
    <w:p>
      <w:pPr>
        <w:pStyle w:val="BodyText"/>
        <w:spacing w:line="240" w:lineRule="auto" w:before="42"/>
        <w:ind w:right="0"/>
        <w:jc w:val="both"/>
      </w:pPr>
      <w:r>
        <w:rPr/>
        <w:t>的会计政策或会计期间对子公司财务报表进行必要的调整。</w:t>
      </w:r>
    </w:p>
    <w:p>
      <w:pPr>
        <w:spacing w:line="240" w:lineRule="auto" w:before="2"/>
        <w:rPr>
          <w:rFonts w:ascii="宋体" w:hAnsi="宋体" w:cs="宋体" w:eastAsia="宋体" w:hint="default"/>
          <w:sz w:val="14"/>
          <w:szCs w:val="14"/>
        </w:rPr>
      </w:pPr>
    </w:p>
    <w:p>
      <w:pPr>
        <w:pStyle w:val="BodyText"/>
        <w:spacing w:line="403" w:lineRule="auto"/>
        <w:ind w:left="558" w:right="128"/>
        <w:jc w:val="left"/>
      </w:pPr>
      <w:r>
        <w:rPr/>
        <w:t>（</w:t>
      </w:r>
      <w:r>
        <w:rPr>
          <w:rFonts w:ascii="宋体" w:hAnsi="宋体" w:cs="宋体" w:eastAsia="宋体" w:hint="default"/>
        </w:rPr>
        <w:t>4</w:t>
      </w:r>
      <w:r>
        <w:rPr/>
        <w:t>）合并财务报表抵销事项 合并财务报表以母公司和子公司的资产负债表为基础，已抵销了母公司与子公司、子公司相</w:t>
      </w:r>
    </w:p>
    <w:p>
      <w:pPr>
        <w:pStyle w:val="BodyText"/>
        <w:spacing w:line="400" w:lineRule="auto" w:before="42"/>
        <w:ind w:right="147"/>
        <w:jc w:val="both"/>
      </w:pPr>
      <w:r>
        <w:rPr/>
        <w:t>互之间发生的内部交易。子公司所有者权益中不属于母公司的份额，作为少数股东权益，在合并 资产负债表中所有者权益项目下以“少数股东权益”项目列示。子公司持有母公司的长期股权投 资，视为企业集团的库存股，作为所有者权益的减项，在合并资产负债表中所有者权益项目下以 “减：库存股”项目列示。</w:t>
      </w:r>
    </w:p>
    <w:p>
      <w:pPr>
        <w:pStyle w:val="BodyText"/>
        <w:spacing w:line="403" w:lineRule="auto" w:before="44"/>
        <w:ind w:left="558" w:right="128"/>
        <w:jc w:val="left"/>
      </w:pPr>
      <w:r>
        <w:rPr/>
        <w:t>（</w:t>
      </w:r>
      <w:r>
        <w:rPr>
          <w:rFonts w:ascii="宋体" w:hAnsi="宋体" w:cs="宋体" w:eastAsia="宋体" w:hint="default"/>
        </w:rPr>
        <w:t>5</w:t>
      </w:r>
      <w:r>
        <w:rPr/>
        <w:t>）合并取得子公司会计处理 对于同一控制下企业合并取得的子公司，视同该企业合并于自最终控制方开始实时控制时已</w:t>
      </w:r>
    </w:p>
    <w:p>
      <w:pPr>
        <w:pStyle w:val="BodyText"/>
        <w:spacing w:line="400" w:lineRule="auto" w:before="42"/>
        <w:ind w:right="135"/>
        <w:jc w:val="both"/>
      </w:pPr>
      <w:r>
        <w:rPr/>
        <w:t>经发生，从合并当期的期初起将其资产、负债、经营成果和现金流量纳入合并财务报表；对于非</w:t>
      </w:r>
      <w:r>
        <w:rPr>
          <w:spacing w:val="-96"/>
        </w:rPr>
        <w:t> </w:t>
      </w:r>
      <w:r>
        <w:rPr>
          <w:spacing w:val="-96"/>
        </w:rPr>
      </w:r>
      <w:r>
        <w:rPr/>
        <w:t>同一控制下企业合并取得的子公司，在编制合并财务报表时，以购买日可辨认净资产公允价值为</w:t>
      </w:r>
      <w:r>
        <w:rPr>
          <w:spacing w:val="-96"/>
        </w:rPr>
        <w:t> </w:t>
      </w:r>
      <w:r>
        <w:rPr>
          <w:spacing w:val="-96"/>
        </w:rPr>
      </w:r>
      <w:r>
        <w:rPr/>
        <w:t>基础对其个别财务报表进行调整。</w:t>
      </w:r>
    </w:p>
    <w:p>
      <w:pPr>
        <w:spacing w:line="240" w:lineRule="auto" w:before="5"/>
        <w:rPr>
          <w:rFonts w:ascii="宋体" w:hAnsi="宋体" w:cs="宋体" w:eastAsia="宋体" w:hint="default"/>
          <w:sz w:val="14"/>
          <w:szCs w:val="14"/>
        </w:rPr>
      </w:pPr>
    </w:p>
    <w:p>
      <w:pPr>
        <w:tabs>
          <w:tab w:pos="562" w:val="left" w:leader="none"/>
        </w:tabs>
        <w:spacing w:line="415" w:lineRule="auto" w:before="0"/>
        <w:ind w:left="558" w:right="136" w:hanging="420"/>
        <w:jc w:val="left"/>
        <w:rPr>
          <w:rFonts w:ascii="宋体" w:hAnsi="宋体" w:cs="宋体" w:eastAsia="宋体" w:hint="default"/>
          <w:sz w:val="21"/>
          <w:szCs w:val="21"/>
        </w:rPr>
      </w:pPr>
      <w:r>
        <w:rPr>
          <w:rFonts w:ascii="Calibri" w:hAnsi="Calibri" w:cs="Calibri" w:eastAsia="Calibri" w:hint="default"/>
          <w:b/>
          <w:bCs/>
          <w:sz w:val="21"/>
          <w:szCs w:val="21"/>
        </w:rPr>
        <w:t>7.</w:t>
        <w:tab/>
        <w:tab/>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本公司在编制现金流量表时所确定的现金，是指本公司库存现金以及可以随时用于支付的存</w:t>
      </w:r>
    </w:p>
    <w:p>
      <w:pPr>
        <w:pStyle w:val="BodyText"/>
        <w:spacing w:line="240" w:lineRule="auto" w:before="31"/>
        <w:ind w:right="0"/>
        <w:jc w:val="both"/>
      </w:pPr>
      <w:r>
        <w:rPr/>
        <w:t>款。在编制现金流量表时所确定的现金等价物，是指持有的期限短、流动性强、易于转换为已知</w:t>
      </w:r>
    </w:p>
    <w:p>
      <w:pPr>
        <w:spacing w:after="0" w:line="240" w:lineRule="auto"/>
        <w:jc w:val="both"/>
        <w:sectPr>
          <w:footerReference w:type="default" r:id="rId42"/>
          <w:pgSz w:w="11910" w:h="16840"/>
          <w:pgMar w:footer="1194" w:header="882" w:top="1120" w:bottom="1380" w:left="1660" w:right="1140"/>
          <w:pgNumType w:start="75"/>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218" w:right="228"/>
        <w:jc w:val="left"/>
      </w:pPr>
      <w:r>
        <w:rPr/>
        <w:t>金额现金、价值变动风险很小的投资。</w:t>
      </w:r>
    </w:p>
    <w:p>
      <w:pPr>
        <w:spacing w:line="240" w:lineRule="auto" w:before="2"/>
        <w:rPr>
          <w:rFonts w:ascii="宋体" w:hAnsi="宋体" w:cs="宋体" w:eastAsia="宋体" w:hint="default"/>
          <w:sz w:val="25"/>
          <w:szCs w:val="25"/>
        </w:rPr>
      </w:pPr>
    </w:p>
    <w:p>
      <w:pPr>
        <w:pStyle w:val="BodyText"/>
        <w:tabs>
          <w:tab w:pos="642" w:val="left" w:leader="none"/>
        </w:tabs>
        <w:spacing w:line="391" w:lineRule="auto"/>
        <w:ind w:left="638" w:right="246" w:hanging="420"/>
        <w:jc w:val="left"/>
      </w:pPr>
      <w:r>
        <w:rPr>
          <w:rFonts w:ascii="Calibri" w:hAnsi="Calibri" w:cs="Calibri" w:eastAsia="Calibri" w:hint="default"/>
          <w:b/>
          <w:bCs/>
        </w:rPr>
        <w:t>8.</w:t>
        <w:tab/>
        <w:tab/>
      </w:r>
      <w:r>
        <w:rPr>
          <w:rFonts w:ascii="宋体" w:hAnsi="宋体" w:cs="宋体" w:eastAsia="宋体" w:hint="default"/>
          <w:b/>
          <w:bCs/>
        </w:rPr>
        <w:t>应收款项</w:t>
      </w:r>
      <w:r>
        <w:rPr>
          <w:rFonts w:ascii="宋体" w:hAnsi="宋体" w:cs="宋体" w:eastAsia="宋体" w:hint="default"/>
          <w:b/>
          <w:bCs/>
          <w:spacing w:val="1"/>
          <w:w w:val="99"/>
        </w:rPr>
        <w:t> </w:t>
      </w:r>
      <w:r>
        <w:rPr/>
        <w:t>本公司应收款项主要包括应收账款、长期应收款和其他应收款。在资产负债表日有客观证据</w:t>
      </w:r>
    </w:p>
    <w:p>
      <w:pPr>
        <w:spacing w:line="506" w:lineRule="auto" w:before="52"/>
        <w:ind w:left="218" w:right="228" w:firstLine="0"/>
        <w:jc w:val="left"/>
        <w:rPr>
          <w:rFonts w:ascii="宋体" w:hAnsi="宋体" w:cs="宋体" w:eastAsia="宋体" w:hint="default"/>
          <w:sz w:val="21"/>
          <w:szCs w:val="21"/>
        </w:rPr>
      </w:pPr>
      <w:r>
        <w:rPr>
          <w:rFonts w:ascii="宋体" w:hAnsi="宋体" w:cs="宋体" w:eastAsia="宋体" w:hint="default"/>
          <w:sz w:val="21"/>
          <w:szCs w:val="21"/>
        </w:rPr>
        <w:t>表明其发生了减值的，本公司根据其账面价值与预计未来现金流量现值之间差额确认减值损失。 </w:t>
      </w:r>
      <w:r>
        <w:rPr>
          <w:rFonts w:ascii="宋体" w:hAnsi="宋体" w:cs="宋体" w:eastAsia="宋体"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3"/>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4582"/>
        <w:gridCol w:w="4468"/>
      </w:tblGrid>
      <w:tr>
        <w:trPr>
          <w:trHeight w:val="45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期末账面余额在</w:t>
            </w:r>
            <w:r>
              <w:rPr>
                <w:rFonts w:ascii="宋体" w:hAnsi="宋体" w:cs="宋体" w:eastAsia="宋体" w:hint="default"/>
                <w:spacing w:val="-53"/>
                <w:sz w:val="21"/>
                <w:szCs w:val="21"/>
              </w:rPr>
              <w:t> </w:t>
            </w:r>
            <w:r>
              <w:rPr>
                <w:rFonts w:ascii="宋体" w:hAnsi="宋体" w:cs="宋体" w:eastAsia="宋体" w:hint="default"/>
                <w:sz w:val="21"/>
                <w:szCs w:val="21"/>
              </w:rPr>
              <w:t>300.00</w:t>
            </w:r>
            <w:r>
              <w:rPr>
                <w:rFonts w:ascii="宋体" w:hAnsi="宋体" w:cs="宋体" w:eastAsia="宋体" w:hint="default"/>
                <w:spacing w:val="-53"/>
                <w:sz w:val="21"/>
                <w:szCs w:val="21"/>
              </w:rPr>
              <w:t> </w:t>
            </w:r>
            <w:r>
              <w:rPr>
                <w:rFonts w:ascii="宋体" w:hAnsi="宋体" w:cs="宋体" w:eastAsia="宋体" w:hint="default"/>
                <w:sz w:val="21"/>
                <w:szCs w:val="21"/>
              </w:rPr>
              <w:t>万以上的应收款项</w:t>
            </w:r>
          </w:p>
        </w:tc>
      </w:tr>
      <w:tr>
        <w:trPr>
          <w:trHeight w:val="817"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38"/>
              <w:ind w:left="103" w:right="153"/>
              <w:jc w:val="left"/>
              <w:rPr>
                <w:rFonts w:ascii="宋体" w:hAnsi="宋体" w:cs="宋体" w:eastAsia="宋体" w:hint="default"/>
                <w:sz w:val="21"/>
                <w:szCs w:val="21"/>
              </w:rPr>
            </w:pPr>
            <w:r>
              <w:rPr>
                <w:rFonts w:ascii="宋体" w:hAnsi="宋体" w:cs="宋体" w:eastAsia="宋体" w:hint="default"/>
                <w:sz w:val="21"/>
                <w:szCs w:val="21"/>
              </w:rPr>
              <w:t>根据其账面价值与预计未来现金流量现值之间 差额确认</w:t>
            </w:r>
          </w:p>
        </w:tc>
      </w:tr>
    </w:tbl>
    <w:p>
      <w:pPr>
        <w:spacing w:line="240" w:lineRule="auto" w:before="0"/>
        <w:rPr>
          <w:rFonts w:ascii="宋体" w:hAnsi="宋体" w:cs="宋体" w:eastAsia="宋体" w:hint="default"/>
          <w:b/>
          <w:bCs/>
          <w:sz w:val="20"/>
          <w:szCs w:val="20"/>
        </w:rPr>
      </w:pPr>
    </w:p>
    <w:p>
      <w:pPr>
        <w:spacing w:line="456"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b/>
          <w:bCs/>
          <w:w w:val="99"/>
          <w:sz w:val="21"/>
          <w:szCs w:val="21"/>
        </w:rPr>
        <w:t> </w:t>
      </w:r>
      <w:r>
        <w:rPr>
          <w:rFonts w:ascii="宋体" w:hAnsi="宋体" w:cs="宋体" w:eastAsia="宋体" w:hint="default"/>
          <w:sz w:val="21"/>
          <w:szCs w:val="21"/>
        </w:rPr>
        <w:t>在资产负债表日，本公司对单项金额重大的应收款项单独进行减值测试，经测试发生了减值</w:t>
      </w:r>
    </w:p>
    <w:p>
      <w:pPr>
        <w:pStyle w:val="BodyText"/>
        <w:spacing w:line="400" w:lineRule="auto"/>
        <w:ind w:left="218" w:right="233"/>
        <w:jc w:val="both"/>
      </w:pPr>
      <w:r>
        <w:rPr/>
        <w:t>的，按其未来现金流量现值低于其账面价值的差额，确定减值损失，计提坏账准备；对单项测试 </w:t>
      </w:r>
      <w:r>
        <w:rPr>
          <w:spacing w:val="-5"/>
        </w:rPr>
        <w:t>未减值的应收款项，汇同对单项金额非重大的应收款项，按类似的信用风险特征划分为若干组合，</w:t>
      </w:r>
      <w:r>
        <w:rPr>
          <w:spacing w:val="-88"/>
        </w:rPr>
        <w:t> </w:t>
      </w:r>
      <w:r>
        <w:rPr>
          <w:spacing w:val="-88"/>
        </w:rPr>
      </w:r>
      <w:r>
        <w:rPr/>
        <w:t>再按这些应收款项组合在资产负债表日余额的一定比例计算确定减值损失，计提坏账准备。</w:t>
      </w:r>
    </w:p>
    <w:p>
      <w:pPr>
        <w:spacing w:line="240" w:lineRule="auto" w:before="7"/>
        <w:rPr>
          <w:rFonts w:ascii="宋体" w:hAnsi="宋体" w:cs="宋体" w:eastAsia="宋体"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3370"/>
        <w:gridCol w:w="5680"/>
      </w:tblGrid>
      <w:tr>
        <w:trPr>
          <w:trHeight w:val="450"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4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确定组合的依据及坏账计提方法</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款项性质及风险特征</w:t>
            </w:r>
          </w:p>
        </w:tc>
      </w:tr>
      <w:tr>
        <w:trPr>
          <w:trHeight w:val="114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56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ind w:left="103" w:right="105"/>
              <w:jc w:val="both"/>
              <w:rPr>
                <w:rFonts w:ascii="宋体" w:hAnsi="宋体" w:cs="宋体" w:eastAsia="宋体" w:hint="default"/>
                <w:sz w:val="21"/>
                <w:szCs w:val="21"/>
              </w:rPr>
            </w:pPr>
            <w:r>
              <w:rPr>
                <w:rFonts w:ascii="宋体" w:hAnsi="宋体" w:cs="宋体" w:eastAsia="宋体" w:hint="default"/>
                <w:sz w:val="21"/>
                <w:szCs w:val="21"/>
              </w:rPr>
              <w:t>除单项金额重大并已单项计提坏账准备的应收款项及单项金 额虽不重大但单项计提坏账准备的应收款项之外，其余应收 款项按账龄划分组合</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组合中，采用账龄分析法计提坏账准备的</w:t>
      </w:r>
    </w:p>
    <w:p>
      <w:pPr>
        <w:pStyle w:val="BodyText"/>
        <w:spacing w:line="274" w:lineRule="exact"/>
        <w:ind w:left="218" w:right="228"/>
        <w:jc w:val="left"/>
      </w:pPr>
      <w:r>
        <w:rPr/>
        <w:t>√适用</w:t>
      </w:r>
      <w:r>
        <w:rPr>
          <w:spacing w:val="-2"/>
        </w:rPr>
        <w:t> </w:t>
      </w:r>
      <w:r>
        <w:rPr/>
        <w:t>□不适用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22"/>
        <w:gridCol w:w="2963"/>
        <w:gridCol w:w="2964"/>
      </w:tblGrid>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7" w:right="0"/>
              <w:jc w:val="left"/>
              <w:rPr>
                <w:rFonts w:ascii="宋体" w:hAnsi="宋体" w:cs="宋体" w:eastAsia="宋体" w:hint="default"/>
                <w:sz w:val="21"/>
                <w:szCs w:val="21"/>
              </w:rPr>
            </w:pPr>
            <w:r>
              <w:rPr>
                <w:rFonts w:ascii="宋体" w:hAnsi="宋体" w:cs="宋体" w:eastAsia="宋体" w:hint="default"/>
                <w:sz w:val="21"/>
                <w:szCs w:val="21"/>
              </w:rPr>
              <w:t>应收账款计提比例</w:t>
            </w:r>
            <w:r>
              <w:rPr>
                <w:rFonts w:ascii="宋体" w:hAnsi="宋体" w:cs="宋体" w:eastAsia="宋体" w:hint="default"/>
                <w:sz w:val="21"/>
                <w:szCs w:val="21"/>
              </w:rPr>
              <w:t>(%)</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73"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r>
              <w:rPr>
                <w:rFonts w:ascii="宋体" w:hAnsi="宋体" w:cs="宋体" w:eastAsia="宋体" w:hint="default"/>
                <w:sz w:val="21"/>
                <w:szCs w:val="21"/>
              </w:rPr>
              <w:t>(%)</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15%</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30%</w:t>
            </w:r>
          </w:p>
        </w:tc>
      </w:tr>
      <w:tr>
        <w:trPr>
          <w:trHeight w:val="282"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50%</w:t>
            </w:r>
          </w:p>
        </w:tc>
      </w:tr>
      <w:tr>
        <w:trPr>
          <w:trHeight w:val="283" w:hRule="exact"/>
        </w:trPr>
        <w:tc>
          <w:tcPr>
            <w:tcW w:w="3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w:t>
            </w:r>
          </w:p>
        </w:tc>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100%</w:t>
            </w:r>
          </w:p>
        </w:tc>
      </w:tr>
    </w:tbl>
    <w:p>
      <w:pPr>
        <w:spacing w:line="240" w:lineRule="auto" w:before="7"/>
        <w:rPr>
          <w:rFonts w:ascii="宋体" w:hAnsi="宋体" w:cs="宋体" w:eastAsia="宋体" w:hint="default"/>
          <w:sz w:val="15"/>
          <w:szCs w:val="15"/>
        </w:rPr>
      </w:pPr>
    </w:p>
    <w:p>
      <w:pPr>
        <w:pStyle w:val="BodyText"/>
        <w:spacing w:line="240" w:lineRule="auto" w:before="35"/>
        <w:ind w:left="218" w:right="228"/>
        <w:jc w:val="left"/>
      </w:pPr>
      <w:r>
        <w:rPr/>
        <w:t>组合中，采用余额百分比法计提坏账准备的</w:t>
      </w:r>
    </w:p>
    <w:p>
      <w:pPr>
        <w:pStyle w:val="BodyText"/>
        <w:spacing w:line="357" w:lineRule="auto" w:before="133"/>
        <w:ind w:left="218" w:right="5478"/>
        <w:jc w:val="left"/>
      </w:pPr>
      <w:r>
        <w:rPr/>
        <w:t>□适用</w:t>
      </w:r>
      <w:r>
        <w:rPr>
          <w:spacing w:val="-1"/>
        </w:rPr>
        <w:t> </w:t>
      </w:r>
      <w:r>
        <w:rPr/>
        <w:t>√不适用</w:t>
      </w:r>
      <w:r>
        <w:rPr/>
        <w:t> 组合中，采用其他方法计提坏账准备的</w:t>
      </w:r>
    </w:p>
    <w:p>
      <w:pPr>
        <w:pStyle w:val="BodyText"/>
        <w:spacing w:line="240" w:lineRule="auto" w:before="30"/>
        <w:ind w:left="218" w:right="228"/>
        <w:jc w:val="left"/>
      </w:pPr>
      <w:r>
        <w:rPr/>
        <w:t>□适用</w:t>
      </w:r>
      <w:r>
        <w:rPr>
          <w:spacing w:val="-2"/>
        </w:rPr>
        <w:t> </w:t>
      </w:r>
      <w:r>
        <w:rPr/>
        <w:t>√不适用</w:t>
      </w:r>
    </w:p>
    <w:p>
      <w:pPr>
        <w:spacing w:after="0" w:line="240"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4"/>
        <w:ind w:right="228"/>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1"/>
        <w:rPr>
          <w:rFonts w:ascii="宋体" w:hAnsi="宋体" w:cs="宋体" w:eastAsia="宋体" w:hint="default"/>
          <w:b/>
          <w:bCs/>
          <w:sz w:val="20"/>
          <w:szCs w:val="20"/>
        </w:rPr>
      </w:pPr>
    </w:p>
    <w:tbl>
      <w:tblPr>
        <w:tblW w:w="0" w:type="auto"/>
        <w:jc w:val="left"/>
        <w:tblInd w:w="105" w:type="dxa"/>
        <w:tblLayout w:type="fixed"/>
        <w:tblCellMar>
          <w:top w:w="0" w:type="dxa"/>
          <w:left w:w="0" w:type="dxa"/>
          <w:bottom w:w="0" w:type="dxa"/>
          <w:right w:w="0" w:type="dxa"/>
        </w:tblCellMar>
        <w:tblLook w:val="01E0"/>
      </w:tblPr>
      <w:tblGrid>
        <w:gridCol w:w="4338"/>
        <w:gridCol w:w="4712"/>
      </w:tblGrid>
      <w:tr>
        <w:trPr>
          <w:trHeight w:val="449"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有客观证据表明其发生了减值</w:t>
            </w:r>
          </w:p>
        </w:tc>
      </w:tr>
      <w:tr>
        <w:trPr>
          <w:trHeight w:val="818" w:hRule="exact"/>
        </w:trPr>
        <w:tc>
          <w:tcPr>
            <w:tcW w:w="4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39"/>
              <w:ind w:left="103" w:right="186"/>
              <w:jc w:val="left"/>
              <w:rPr>
                <w:rFonts w:ascii="宋体" w:hAnsi="宋体" w:cs="宋体" w:eastAsia="宋体" w:hint="default"/>
                <w:sz w:val="21"/>
                <w:szCs w:val="21"/>
              </w:rPr>
            </w:pPr>
            <w:r>
              <w:rPr>
                <w:rFonts w:ascii="宋体" w:hAnsi="宋体" w:cs="宋体" w:eastAsia="宋体" w:hint="default"/>
                <w:sz w:val="21"/>
                <w:szCs w:val="21"/>
              </w:rPr>
              <w:t>根据其账面价值与预计未来现金流量现值之间差 额确认</w:t>
            </w:r>
          </w:p>
        </w:tc>
      </w:tr>
    </w:tbl>
    <w:p>
      <w:pPr>
        <w:spacing w:line="240" w:lineRule="auto" w:before="0"/>
        <w:rPr>
          <w:rFonts w:ascii="宋体" w:hAnsi="宋体" w:cs="宋体" w:eastAsia="宋体" w:hint="default"/>
          <w:b/>
          <w:bCs/>
          <w:sz w:val="20"/>
          <w:szCs w:val="20"/>
        </w:rPr>
      </w:pPr>
    </w:p>
    <w:p>
      <w:pPr>
        <w:pStyle w:val="Heading3"/>
        <w:spacing w:line="240" w:lineRule="auto"/>
        <w:ind w:right="0"/>
        <w:jc w:val="both"/>
        <w:rPr>
          <w:b w:val="0"/>
          <w:bCs w:val="0"/>
        </w:rPr>
      </w:pPr>
      <w:r>
        <w:rPr>
          <w:rFonts w:ascii="Calibri" w:hAnsi="Calibri" w:cs="Calibri" w:eastAsia="Calibri" w:hint="default"/>
        </w:rPr>
        <w:t>9.    </w:t>
      </w:r>
      <w:r>
        <w:rPr>
          <w:rFonts w:ascii="Calibri" w:hAnsi="Calibri" w:cs="Calibri" w:eastAsia="Calibri" w:hint="default"/>
          <w:spacing w:val="24"/>
        </w:rPr>
        <w:t> </w:t>
      </w:r>
      <w:r>
        <w:rPr/>
        <w:t>存货</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638" w:right="228"/>
        <w:jc w:val="left"/>
      </w:pPr>
      <w:r>
        <w:rPr/>
        <w:t>（</w:t>
      </w:r>
      <w:r>
        <w:rPr>
          <w:rFonts w:ascii="宋体" w:hAnsi="宋体" w:cs="宋体" w:eastAsia="宋体" w:hint="default"/>
        </w:rPr>
        <w:t>1</w:t>
      </w:r>
      <w:r>
        <w:rPr/>
        <w:t>）存货的分类 存货是指本公司在日常活动中持有以备出售的产成品或商品、处在生产过程中的在产品、在</w:t>
      </w:r>
    </w:p>
    <w:p>
      <w:pPr>
        <w:pStyle w:val="BodyText"/>
        <w:spacing w:line="403" w:lineRule="auto" w:before="44"/>
        <w:ind w:left="218" w:right="235"/>
        <w:jc w:val="both"/>
      </w:pPr>
      <w:r>
        <w:rPr/>
        <w:t>生产过程或提供劳务过程中耗用的材料和物料等。主要包括原材料、周转材料、委托加工材料、</w:t>
      </w:r>
      <w:r>
        <w:rPr>
          <w:spacing w:val="-96"/>
        </w:rPr>
        <w:t> </w:t>
      </w:r>
      <w:r>
        <w:rPr>
          <w:spacing w:val="-96"/>
        </w:rPr>
      </w:r>
      <w:r>
        <w:rPr/>
        <w:t>包装物、低值易耗品、在产品、自制半成品、产成品（库存商品）等。</w:t>
      </w:r>
    </w:p>
    <w:p>
      <w:pPr>
        <w:pStyle w:val="BodyText"/>
        <w:spacing w:line="400" w:lineRule="auto" w:before="42"/>
        <w:ind w:left="638" w:right="3588"/>
        <w:jc w:val="left"/>
      </w:pPr>
      <w:r>
        <w:rPr/>
        <w:t>（</w:t>
      </w:r>
      <w:r>
        <w:rPr>
          <w:rFonts w:ascii="宋体" w:hAnsi="宋体" w:cs="宋体" w:eastAsia="宋体" w:hint="default"/>
        </w:rPr>
        <w:t>2</w:t>
      </w:r>
      <w:r>
        <w:rPr/>
        <w:t>）发出存货的计价方法 存货发出时，采取加权平均法确定其发出的实际成本。</w:t>
      </w:r>
    </w:p>
    <w:p>
      <w:pPr>
        <w:pStyle w:val="BodyText"/>
        <w:spacing w:line="400" w:lineRule="auto" w:before="45"/>
        <w:ind w:left="638" w:right="223"/>
        <w:jc w:val="left"/>
      </w:pPr>
      <w:r>
        <w:rPr/>
        <w:t>（</w:t>
      </w:r>
      <w:r>
        <w:rPr>
          <w:rFonts w:ascii="宋体" w:hAnsi="宋体" w:cs="宋体" w:eastAsia="宋体" w:hint="default"/>
        </w:rPr>
        <w:t>3</w:t>
      </w:r>
      <w:r>
        <w:rPr/>
        <w:t>）存货跌价准备的计提方法 </w:t>
      </w:r>
      <w:r>
        <w:rPr>
          <w:spacing w:val="-5"/>
        </w:rPr>
        <w:t>资产负债表日，存货按照成本与可变现净值孰低计量，并按单个存货项目计提存货跌价准备，</w:t>
      </w:r>
    </w:p>
    <w:p>
      <w:pPr>
        <w:pStyle w:val="BodyText"/>
        <w:spacing w:line="240" w:lineRule="auto" w:before="44"/>
        <w:ind w:left="218" w:right="0"/>
        <w:jc w:val="both"/>
      </w:pPr>
      <w:r>
        <w:rPr/>
        <w:t>但对于数量繁多、单价较低的存货，按照存货类别计提存货跌价准备。</w:t>
      </w:r>
    </w:p>
    <w:p>
      <w:pPr>
        <w:spacing w:line="240" w:lineRule="auto" w:before="3"/>
        <w:rPr>
          <w:rFonts w:ascii="宋体" w:hAnsi="宋体" w:cs="宋体" w:eastAsia="宋体" w:hint="default"/>
          <w:sz w:val="14"/>
          <w:szCs w:val="14"/>
        </w:rPr>
      </w:pPr>
    </w:p>
    <w:p>
      <w:pPr>
        <w:pStyle w:val="BodyText"/>
        <w:spacing w:line="400" w:lineRule="auto"/>
        <w:ind w:left="638" w:right="5058"/>
        <w:jc w:val="left"/>
      </w:pPr>
      <w:r>
        <w:rPr/>
        <w:t>（</w:t>
      </w:r>
      <w:r>
        <w:rPr>
          <w:rFonts w:ascii="宋体" w:hAnsi="宋体" w:cs="宋体" w:eastAsia="宋体" w:hint="default"/>
        </w:rPr>
        <w:t>4</w:t>
      </w:r>
      <w:r>
        <w:rPr/>
        <w:t>）存货的盘存制度 本公司的存货盘存制度为永续盘存制。</w:t>
      </w:r>
    </w:p>
    <w:p>
      <w:pPr>
        <w:pStyle w:val="BodyText"/>
        <w:spacing w:line="403" w:lineRule="auto" w:before="44"/>
        <w:ind w:left="638" w:right="4638"/>
        <w:jc w:val="left"/>
      </w:pPr>
      <w:r>
        <w:rPr/>
        <w:t>（</w:t>
      </w:r>
      <w:r>
        <w:rPr>
          <w:rFonts w:ascii="宋体" w:hAnsi="宋体" w:cs="宋体" w:eastAsia="宋体" w:hint="default"/>
        </w:rPr>
        <w:t>5</w:t>
      </w:r>
      <w:r>
        <w:rPr/>
        <w:t>）低值易耗品和包装物的摊销方法 低值易耗品和包装物采用一次转销法摊销</w:t>
      </w:r>
      <w:r>
        <w:rPr>
          <w:color w:val="000099"/>
        </w:rPr>
        <w:t>。</w:t>
      </w:r>
      <w:r>
        <w:rPr/>
      </w:r>
    </w:p>
    <w:p>
      <w:pPr>
        <w:spacing w:line="240" w:lineRule="auto" w:before="3"/>
        <w:rPr>
          <w:rFonts w:ascii="宋体" w:hAnsi="宋体" w:cs="宋体" w:eastAsia="宋体" w:hint="default"/>
          <w:sz w:val="14"/>
          <w:szCs w:val="14"/>
        </w:rPr>
      </w:pPr>
    </w:p>
    <w:p>
      <w:pPr>
        <w:pStyle w:val="Heading3"/>
        <w:spacing w:line="240" w:lineRule="auto" w:before="0"/>
        <w:ind w:right="0"/>
        <w:jc w:val="both"/>
        <w:rPr>
          <w:b w:val="0"/>
          <w:bCs w:val="0"/>
        </w:rPr>
      </w:pPr>
      <w:r>
        <w:rPr>
          <w:rFonts w:ascii="Calibri" w:hAnsi="Calibri" w:cs="Calibri" w:eastAsia="Calibri" w:hint="default"/>
        </w:rPr>
        <w:t>10.  </w:t>
      </w:r>
      <w:r>
        <w:rPr>
          <w:rFonts w:ascii="Calibri" w:hAnsi="Calibri" w:cs="Calibri" w:eastAsia="Calibri" w:hint="default"/>
          <w:spacing w:val="10"/>
        </w:rPr>
        <w:t> </w:t>
      </w:r>
      <w:r>
        <w:rPr/>
        <w:t>长期股权投资</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left="638" w:right="228"/>
        <w:jc w:val="left"/>
      </w:pPr>
      <w:r>
        <w:rPr/>
        <w:t>（</w:t>
      </w:r>
      <w:r>
        <w:rPr>
          <w:rFonts w:ascii="宋体" w:hAnsi="宋体" w:cs="宋体" w:eastAsia="宋体" w:hint="default"/>
        </w:rPr>
        <w:t>1</w:t>
      </w:r>
      <w:r>
        <w:rPr/>
        <w:t>）初始投资成本确定 对于企业合并取得的长期股权投资，如为同一控制下的企业合并，应当按照取得被合并方所</w:t>
      </w:r>
    </w:p>
    <w:p>
      <w:pPr>
        <w:pStyle w:val="BodyText"/>
        <w:spacing w:line="400" w:lineRule="auto" w:before="45"/>
        <w:ind w:left="218" w:right="233"/>
        <w:jc w:val="both"/>
      </w:pPr>
      <w:r>
        <w:rPr/>
        <w:t>有者权益账面价值的份额确认为初始成本；非同一控制下的企业合并，应当按购买日确定的合并</w:t>
      </w:r>
      <w:r>
        <w:rPr>
          <w:spacing w:val="-96"/>
        </w:rPr>
        <w:t> </w:t>
      </w:r>
      <w:r>
        <w:rPr>
          <w:spacing w:val="-96"/>
        </w:rPr>
      </w:r>
      <w:r>
        <w:rPr/>
        <w:t>成本确认为初始成本；以支付现金取得的长期股权投资，初始投资成本为实际支付的购买价款；</w:t>
      </w:r>
      <w:r>
        <w:rPr>
          <w:spacing w:val="-96"/>
        </w:rPr>
        <w:t> </w:t>
      </w:r>
      <w:r>
        <w:rPr>
          <w:spacing w:val="-96"/>
        </w:rPr>
      </w:r>
      <w:r>
        <w:rPr/>
        <w:t>以发行权益性证券取得的长期股权投资，初始投资成本为发行权益性证券的公允价值；通过债务</w:t>
      </w:r>
      <w:r>
        <w:rPr>
          <w:spacing w:val="-95"/>
        </w:rPr>
        <w:t> </w:t>
      </w:r>
      <w:r>
        <w:rPr>
          <w:spacing w:val="-95"/>
        </w:rPr>
      </w:r>
      <w:r>
        <w:rPr>
          <w:spacing w:val="-3"/>
        </w:rPr>
        <w:t>重组取得的长期股权投资，其初始投资成本应当按照《企业会计准则第</w:t>
      </w:r>
      <w:r>
        <w:rPr>
          <w:spacing w:val="-37"/>
        </w:rPr>
        <w:t> </w:t>
      </w:r>
      <w:r>
        <w:rPr>
          <w:rFonts w:ascii="宋体" w:hAnsi="宋体" w:cs="宋体" w:eastAsia="宋体" w:hint="default"/>
        </w:rPr>
        <w:t>12</w:t>
      </w:r>
      <w:r>
        <w:rPr>
          <w:rFonts w:ascii="宋体" w:hAnsi="宋体" w:cs="宋体" w:eastAsia="宋体" w:hint="default"/>
          <w:spacing w:val="-37"/>
        </w:rPr>
        <w:t> </w:t>
      </w:r>
      <w:r>
        <w:rPr>
          <w:spacing w:val="-4"/>
        </w:rPr>
        <w:t>号—债务重组》的有关</w:t>
      </w:r>
      <w:r>
        <w:rPr>
          <w:spacing w:val="-102"/>
        </w:rPr>
        <w:t> </w:t>
      </w:r>
      <w:r>
        <w:rPr>
          <w:spacing w:val="-102"/>
        </w:rPr>
      </w:r>
      <w:r>
        <w:rPr/>
        <w:t>规定确定；非货币性资产交换取得的长期股权投资，初始投资成本根据准则相关规定确定。</w:t>
      </w:r>
    </w:p>
    <w:p>
      <w:pPr>
        <w:pStyle w:val="BodyText"/>
        <w:spacing w:line="403" w:lineRule="auto" w:before="44"/>
        <w:ind w:left="638" w:right="228"/>
        <w:jc w:val="left"/>
      </w:pPr>
      <w:r>
        <w:rPr/>
        <w:t>（</w:t>
      </w:r>
      <w:r>
        <w:rPr>
          <w:rFonts w:ascii="宋体" w:hAnsi="宋体" w:cs="宋体" w:eastAsia="宋体" w:hint="default"/>
        </w:rPr>
        <w:t>2</w:t>
      </w:r>
      <w:r>
        <w:rPr/>
        <w:t>）后续计量及损益确认方法 投资方能够对被投资单位实施控制的长期股权投资应当采用成本法核算，对联营企业和合营</w:t>
      </w:r>
    </w:p>
    <w:p>
      <w:pPr>
        <w:spacing w:after="0" w:line="403"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400" w:lineRule="auto" w:before="35"/>
        <w:ind w:left="218" w:right="117"/>
        <w:jc w:val="left"/>
      </w:pPr>
      <w:r>
        <w:rPr/>
        <w:t>企业的长期股权投资采用权益法核算。投资方对联营企业的权益性投资，其中一部分通过风险投</w:t>
      </w:r>
      <w:r>
        <w:rPr>
          <w:spacing w:val="-96"/>
        </w:rPr>
        <w:t> </w:t>
      </w:r>
      <w:r>
        <w:rPr>
          <w:spacing w:val="-96"/>
        </w:rPr>
      </w:r>
      <w:r>
        <w:rPr/>
        <w:t>资机构、共同基金、信托公司或包括投连险基金在内的类似主体间接持有的，无论以上主体是否</w:t>
      </w:r>
      <w:r>
        <w:rPr>
          <w:spacing w:val="-95"/>
        </w:rPr>
        <w:t> </w:t>
      </w:r>
      <w:r>
        <w:rPr>
          <w:spacing w:val="-95"/>
        </w:rPr>
      </w:r>
      <w:r>
        <w:rPr>
          <w:spacing w:val="-7"/>
        </w:rPr>
        <w:t>对这部分投资具有重大影响，投资方都应当按照《企业会计准则第</w:t>
      </w:r>
      <w:r>
        <w:rPr>
          <w:spacing w:val="-46"/>
        </w:rPr>
        <w:t> </w:t>
      </w:r>
      <w:r>
        <w:rPr>
          <w:rFonts w:ascii="宋体" w:hAnsi="宋体" w:cs="宋体" w:eastAsia="宋体" w:hint="default"/>
          <w:spacing w:val="-1"/>
        </w:rPr>
        <w:t>22</w:t>
      </w:r>
      <w:r>
        <w:rPr>
          <w:rFonts w:ascii="宋体" w:hAnsi="宋体" w:cs="宋体" w:eastAsia="宋体" w:hint="default"/>
          <w:spacing w:val="-45"/>
        </w:rPr>
        <w:t> </w:t>
      </w:r>
      <w:r>
        <w:rPr>
          <w:spacing w:val="-1"/>
        </w:rPr>
        <w:t>号——金融工具确认和计量》</w:t>
      </w:r>
      <w:r>
        <w:rPr/>
        <w:t> 的有关规定，对间接持有的该部分投资选择以公允价值计量且其变动计入损益，并对其余部分采</w:t>
      </w:r>
      <w:r>
        <w:rPr>
          <w:spacing w:val="-96"/>
        </w:rPr>
        <w:t> </w:t>
      </w:r>
      <w:r>
        <w:rPr>
          <w:spacing w:val="-96"/>
        </w:rPr>
      </w:r>
      <w:r>
        <w:rPr/>
        <w:t>用权益法核算。</w:t>
      </w:r>
    </w:p>
    <w:p>
      <w:pPr>
        <w:pStyle w:val="BodyText"/>
        <w:spacing w:line="400" w:lineRule="auto" w:before="45"/>
        <w:ind w:left="638" w:right="228"/>
        <w:jc w:val="left"/>
      </w:pPr>
      <w:r>
        <w:rPr/>
        <w:t>（</w:t>
      </w:r>
      <w:r>
        <w:rPr>
          <w:rFonts w:ascii="宋体" w:hAnsi="宋体" w:cs="宋体" w:eastAsia="宋体" w:hint="default"/>
        </w:rPr>
        <w:t>3</w:t>
      </w:r>
      <w:r>
        <w:rPr/>
        <w:t>）确定对被投资单位具有共同控制、重大影响的依据 对被投资单位具有共同控制，是指对某项安排的回报产生重大影响的活动必须经过分享控制</w:t>
      </w:r>
    </w:p>
    <w:p>
      <w:pPr>
        <w:pStyle w:val="BodyText"/>
        <w:spacing w:line="400" w:lineRule="auto" w:before="44"/>
        <w:ind w:left="218" w:right="232"/>
        <w:jc w:val="both"/>
      </w:pPr>
      <w:r>
        <w:rPr/>
        <w:t>权的参与方一致同意后才能决策，包括商品或劳务的销售和购买、金融资产的管理、资产的购买</w:t>
      </w:r>
      <w:r>
        <w:rPr>
          <w:spacing w:val="-96"/>
        </w:rPr>
        <w:t> </w:t>
      </w:r>
      <w:r>
        <w:rPr>
          <w:spacing w:val="-96"/>
        </w:rPr>
      </w:r>
      <w:r>
        <w:rPr/>
        <w:t>和处置、研究与开发活动以及融资活动等；对被投资单位具有重大影响，是指当持有被投资单位</w:t>
      </w:r>
      <w:r>
        <w:rPr>
          <w:spacing w:val="-96"/>
        </w:rPr>
        <w:t> </w:t>
      </w:r>
      <w:r>
        <w:rPr>
          <w:spacing w:val="-96"/>
        </w:rPr>
      </w:r>
      <w:r>
        <w:rPr>
          <w:rFonts w:ascii="宋体" w:hAnsi="宋体" w:cs="宋体" w:eastAsia="宋体" w:hint="default"/>
        </w:rPr>
        <w:t>20%</w:t>
      </w:r>
      <w:r>
        <w:rPr/>
        <w:t>以上至</w:t>
      </w:r>
      <w:r>
        <w:rPr>
          <w:spacing w:val="-49"/>
        </w:rPr>
        <w:t> </w:t>
      </w:r>
      <w:r>
        <w:rPr>
          <w:rFonts w:ascii="宋体" w:hAnsi="宋体" w:cs="宋体" w:eastAsia="宋体" w:hint="default"/>
        </w:rPr>
        <w:t>50%</w:t>
      </w:r>
      <w:r>
        <w:rPr/>
        <w:t>的表决权资本时，具有重大影响。或虽不足</w:t>
      </w:r>
      <w:r>
        <w:rPr>
          <w:spacing w:val="-48"/>
        </w:rPr>
        <w:t> </w:t>
      </w:r>
      <w:r>
        <w:rPr>
          <w:rFonts w:ascii="宋体" w:hAnsi="宋体" w:cs="宋体" w:eastAsia="宋体" w:hint="default"/>
        </w:rPr>
        <w:t>20%</w:t>
      </w:r>
      <w:r>
        <w:rPr/>
        <w:t>，但符合下列条件之一时，具有重 </w:t>
      </w:r>
      <w:r>
        <w:rPr>
          <w:spacing w:val="-5"/>
        </w:rPr>
        <w:t>大影响：在被投资单位的董事会或类似的权力机构中派有代表；参与被投资单位的政策制定过程；</w:t>
      </w:r>
      <w:r>
        <w:rPr>
          <w:spacing w:val="-87"/>
        </w:rPr>
        <w:t> </w:t>
      </w:r>
      <w:r>
        <w:rPr>
          <w:spacing w:val="-87"/>
        </w:rPr>
      </w:r>
      <w:r>
        <w:rPr/>
        <w:t>向被投资单位派出管理人员；被投资单位依赖投资公司的技术或技术资料；与被投资单位之间发</w:t>
      </w:r>
      <w:r>
        <w:rPr>
          <w:spacing w:val="-95"/>
        </w:rPr>
        <w:t> </w:t>
      </w:r>
      <w:r>
        <w:rPr>
          <w:spacing w:val="-95"/>
        </w:rPr>
      </w:r>
      <w:r>
        <w:rPr/>
        <w:t>生重要交易。</w:t>
      </w:r>
    </w:p>
    <w:p>
      <w:pPr>
        <w:spacing w:line="240" w:lineRule="auto" w:before="5"/>
        <w:rPr>
          <w:rFonts w:ascii="宋体" w:hAnsi="宋体" w:cs="宋体" w:eastAsia="宋体" w:hint="default"/>
          <w:sz w:val="14"/>
          <w:szCs w:val="14"/>
        </w:rPr>
      </w:pPr>
    </w:p>
    <w:p>
      <w:pPr>
        <w:pStyle w:val="Heading3"/>
        <w:spacing w:line="408" w:lineRule="auto" w:before="0"/>
        <w:ind w:right="7781"/>
        <w:jc w:val="left"/>
        <w:rPr>
          <w:b w:val="0"/>
          <w:bCs w:val="0"/>
        </w:rPr>
      </w:pPr>
      <w:r>
        <w:rPr>
          <w:rFonts w:ascii="Calibri" w:hAnsi="Calibri" w:cs="Calibri" w:eastAsia="Calibri" w:hint="default"/>
        </w:rPr>
        <w:t>11.</w:t>
      </w:r>
      <w:r>
        <w:rPr>
          <w:rFonts w:ascii="Calibri" w:hAnsi="Calibri" w:cs="Calibri" w:eastAsia="Calibri" w:hint="default"/>
          <w:spacing w:val="12"/>
        </w:rPr>
        <w:t> </w:t>
      </w:r>
      <w:r>
        <w:rPr/>
        <w:t>固定资产</w:t>
      </w:r>
      <w:r>
        <w:rPr>
          <w:spacing w:val="1"/>
          <w:w w:val="99"/>
        </w:rPr>
        <w:t> </w:t>
      </w:r>
      <w:r>
        <w:rPr>
          <w:rFonts w:ascii="宋体" w:hAnsi="宋体" w:cs="宋体" w:eastAsia="宋体" w:hint="default"/>
        </w:rPr>
        <w:t>(1).</w:t>
      </w:r>
      <w:r>
        <w:rPr/>
        <w:t>确认条件</w:t>
      </w:r>
      <w:r>
        <w:rPr>
          <w:b w:val="0"/>
          <w:bCs w:val="0"/>
        </w:rPr>
      </w:r>
    </w:p>
    <w:p>
      <w:pPr>
        <w:pStyle w:val="BodyText"/>
        <w:spacing w:line="400" w:lineRule="auto" w:before="159"/>
        <w:ind w:left="218" w:right="235" w:firstLine="420"/>
        <w:jc w:val="both"/>
      </w:pPr>
      <w:r>
        <w:rPr/>
        <w:t>固定资产指为生产商品、提供劳务、出租或经营管理而持有的，使用寿命超过一个会计年度 的有形资产。同时满足以下条件时予以确认：与该固定资产有关的经济利益很可能流入企业；该</w:t>
      </w:r>
      <w:r>
        <w:rPr>
          <w:spacing w:val="-96"/>
        </w:rPr>
        <w:t> </w:t>
      </w:r>
      <w:r>
        <w:rPr>
          <w:spacing w:val="-96"/>
        </w:rPr>
      </w:r>
      <w:r>
        <w:rPr/>
        <w:t>固定资产的成本能够可靠地计量。</w:t>
      </w:r>
    </w:p>
    <w:p>
      <w:pPr>
        <w:pStyle w:val="Heading3"/>
        <w:spacing w:line="240" w:lineRule="auto" w:before="95"/>
        <w:ind w:right="228"/>
        <w:jc w:val="left"/>
        <w:rPr>
          <w:b w:val="0"/>
          <w:bCs w:val="0"/>
        </w:rPr>
      </w:pPr>
      <w:r>
        <w:rPr>
          <w:rFonts w:ascii="宋体" w:hAnsi="宋体" w:cs="宋体" w:eastAsia="宋体" w:hint="default"/>
        </w:rPr>
        <w:t>(2).</w:t>
      </w:r>
      <w:r>
        <w:rPr/>
        <w:t>折旧方法</w:t>
      </w:r>
      <w:r>
        <w:rPr>
          <w:b w:val="0"/>
          <w:bCs w:val="0"/>
        </w:rPr>
      </w:r>
    </w:p>
    <w:p>
      <w:pPr>
        <w:spacing w:line="240" w:lineRule="auto" w:before="1"/>
        <w:rPr>
          <w:rFonts w:ascii="宋体" w:hAnsi="宋体" w:cs="宋体" w:eastAsia="宋体" w:hint="default"/>
          <w:b/>
          <w:bCs/>
          <w:sz w:val="21"/>
          <w:szCs w:val="21"/>
        </w:rPr>
      </w:pPr>
    </w:p>
    <w:p>
      <w:pPr>
        <w:pStyle w:val="BodyText"/>
        <w:spacing w:line="400" w:lineRule="auto"/>
        <w:ind w:left="218" w:right="246" w:firstLine="420"/>
        <w:jc w:val="both"/>
      </w:pPr>
      <w:r>
        <w:rPr/>
        <w:t>本公司固定资产主要分为：房屋建筑物、机器设备、电子设备、运输设备等；折旧方法采用 年限平均法。根据各类固定资产的性质和使用情况，确定固定资产的使用寿命和预计净残值。并 在年度终了，对固定资产的使用寿命、预计净残值和折旧方法进行复核，如与原先估计数存在差 异的，进行相应的调整。除已提足折旧仍继续使用的固定资产和单独计价入账的土地之外，本公 司对所有固定资产计提折旧。</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449"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89"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76"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333"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w:t>
            </w:r>
            <w:r>
              <w:rPr>
                <w:rFonts w:ascii="宋体" w:hAnsi="宋体" w:cs="宋体" w:eastAsia="宋体" w:hint="default"/>
                <w:sz w:val="21"/>
                <w:szCs w:val="21"/>
              </w:rPr>
              <w:t>）</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4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20-40</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4.75%-2.38%</w:t>
            </w:r>
          </w:p>
        </w:tc>
      </w:tr>
      <w:tr>
        <w:trPr>
          <w:trHeight w:val="4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10-16</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9.50%-5.94%</w:t>
            </w:r>
          </w:p>
        </w:tc>
      </w:tr>
      <w:tr>
        <w:trPr>
          <w:trHeight w:val="4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5-8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19%-11.88%</w:t>
            </w:r>
          </w:p>
        </w:tc>
      </w:tr>
    </w:tbl>
    <w:p>
      <w:pPr>
        <w:spacing w:after="0" w:line="24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3"/>
        <w:gridCol w:w="1834"/>
      </w:tblGrid>
      <w:tr>
        <w:trPr>
          <w:trHeight w:val="4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8</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11.88%</w:t>
            </w:r>
          </w:p>
        </w:tc>
      </w:tr>
      <w:tr>
        <w:trPr>
          <w:trHeight w:val="4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1"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3-5</w:t>
            </w:r>
          </w:p>
        </w:tc>
        <w:tc>
          <w:tcPr>
            <w:tcW w:w="1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2" w:right="0"/>
              <w:jc w:val="left"/>
              <w:rPr>
                <w:rFonts w:ascii="宋体" w:hAnsi="宋体" w:cs="宋体" w:eastAsia="宋体" w:hint="default"/>
                <w:sz w:val="21"/>
                <w:szCs w:val="21"/>
              </w:rPr>
            </w:pPr>
            <w:r>
              <w:rPr>
                <w:rFonts w:ascii="宋体"/>
                <w:sz w:val="21"/>
              </w:rPr>
              <w:t>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31.67%-19%</w:t>
            </w:r>
          </w:p>
        </w:tc>
      </w:tr>
    </w:tbl>
    <w:p>
      <w:pPr>
        <w:spacing w:line="240" w:lineRule="auto" w:before="1"/>
        <w:rPr>
          <w:rFonts w:ascii="宋体" w:hAnsi="宋体" w:cs="宋体" w:eastAsia="宋体" w:hint="default"/>
          <w:sz w:val="20"/>
          <w:szCs w:val="20"/>
        </w:rPr>
      </w:pPr>
    </w:p>
    <w:p>
      <w:pPr>
        <w:spacing w:line="480" w:lineRule="auto" w:before="35"/>
        <w:ind w:left="638" w:right="2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99"/>
          <w:sz w:val="21"/>
          <w:szCs w:val="21"/>
        </w:rPr>
        <w:t> </w:t>
      </w:r>
      <w:r>
        <w:rPr>
          <w:rFonts w:ascii="宋体" w:hAnsi="宋体" w:cs="宋体" w:eastAsia="宋体" w:hint="default"/>
          <w:sz w:val="21"/>
          <w:szCs w:val="21"/>
        </w:rPr>
        <w:t>融资租入固定资产为实质上转移了与资产所有权有关的全部风险和报酬的租赁。融资租入固</w:t>
      </w:r>
    </w:p>
    <w:p>
      <w:pPr>
        <w:pStyle w:val="BodyText"/>
        <w:spacing w:line="250" w:lineRule="exact"/>
        <w:ind w:left="218" w:right="0"/>
        <w:jc w:val="both"/>
      </w:pPr>
      <w:r>
        <w:rPr/>
        <w:t>定资产初始计价为租赁期开始日租赁资产公允价值与最低租赁付款额现值较低者作为入账价值；</w:t>
      </w:r>
    </w:p>
    <w:p>
      <w:pPr>
        <w:spacing w:line="240" w:lineRule="auto" w:before="2"/>
        <w:rPr>
          <w:rFonts w:ascii="宋体" w:hAnsi="宋体" w:cs="宋体" w:eastAsia="宋体" w:hint="default"/>
          <w:sz w:val="14"/>
          <w:szCs w:val="14"/>
        </w:rPr>
      </w:pPr>
    </w:p>
    <w:p>
      <w:pPr>
        <w:pStyle w:val="BodyText"/>
        <w:spacing w:line="240" w:lineRule="auto"/>
        <w:ind w:left="218" w:right="0"/>
        <w:jc w:val="both"/>
      </w:pPr>
      <w:r>
        <w:rPr/>
        <w:t>融资租入固定资产后续计价采用与自有固定资产相一致的折旧政策计提折旧及减值准备。</w:t>
      </w:r>
    </w:p>
    <w:p>
      <w:pPr>
        <w:spacing w:line="240" w:lineRule="auto" w:before="5"/>
        <w:rPr>
          <w:rFonts w:ascii="宋体" w:hAnsi="宋体" w:cs="宋体" w:eastAsia="宋体" w:hint="default"/>
          <w:sz w:val="27"/>
          <w:szCs w:val="27"/>
        </w:rPr>
      </w:pPr>
    </w:p>
    <w:p>
      <w:pPr>
        <w:pStyle w:val="Heading3"/>
        <w:spacing w:line="240" w:lineRule="auto" w:before="0"/>
        <w:ind w:right="0"/>
        <w:jc w:val="both"/>
        <w:rPr>
          <w:b w:val="0"/>
          <w:bCs w:val="0"/>
        </w:rPr>
      </w:pPr>
      <w:r>
        <w:rPr>
          <w:rFonts w:ascii="Calibri" w:hAnsi="Calibri" w:cs="Calibri" w:eastAsia="Calibri" w:hint="default"/>
        </w:rPr>
        <w:t>12.  </w:t>
      </w:r>
      <w:r>
        <w:rPr>
          <w:rFonts w:ascii="Calibri" w:hAnsi="Calibri" w:cs="Calibri" w:eastAsia="Calibri" w:hint="default"/>
          <w:spacing w:val="12"/>
        </w:rPr>
        <w:t> </w:t>
      </w:r>
      <w:r>
        <w:rPr/>
        <w:t>在建工程</w:t>
      </w:r>
      <w:r>
        <w:rPr>
          <w:b w:val="0"/>
          <w:bCs w:val="0"/>
        </w:rPr>
      </w:r>
    </w:p>
    <w:p>
      <w:pPr>
        <w:pStyle w:val="BodyText"/>
        <w:spacing w:line="400" w:lineRule="auto" w:before="189"/>
        <w:ind w:left="218" w:right="246" w:firstLine="420"/>
        <w:jc w:val="both"/>
      </w:pPr>
      <w:r>
        <w:rPr/>
        <w:t>本公司在建工程分为自营方式建造和出包方式建造两种。在建工程在工程完工达到预定可使 用状态时，结转固定资产。预定可使用状态的判断标准，应符合下列情况之一：固定资产的实体 建造（包括安装）工作已经全部完成或实质上已经全部完成；已经试生产或试运行，并且其结果 表明资产能够正常运行或能够稳定地生产出合格产品，或者试运行结果表明其能够正常运转或营 业；该项建造的固定资产上的支出金额很少或者几乎不再发生；所购建的固定资产已经达到设计 或合同要求，或与设计或合同要求基本相符。</w:t>
      </w:r>
    </w:p>
    <w:p>
      <w:pPr>
        <w:spacing w:line="240" w:lineRule="auto" w:before="9"/>
        <w:rPr>
          <w:rFonts w:ascii="宋体" w:hAnsi="宋体" w:cs="宋体" w:eastAsia="宋体" w:hint="default"/>
          <w:sz w:val="16"/>
          <w:szCs w:val="16"/>
        </w:rPr>
      </w:pPr>
    </w:p>
    <w:p>
      <w:pPr>
        <w:pStyle w:val="Heading3"/>
        <w:spacing w:line="240" w:lineRule="auto" w:before="0"/>
        <w:ind w:right="0"/>
        <w:jc w:val="both"/>
        <w:rPr>
          <w:b w:val="0"/>
          <w:bCs w:val="0"/>
        </w:rPr>
      </w:pPr>
      <w:r>
        <w:rPr>
          <w:rFonts w:ascii="Calibri" w:hAnsi="Calibri" w:cs="Calibri" w:eastAsia="Calibri" w:hint="default"/>
        </w:rPr>
        <w:t>13.  </w:t>
      </w:r>
      <w:r>
        <w:rPr>
          <w:rFonts w:ascii="Calibri" w:hAnsi="Calibri" w:cs="Calibri" w:eastAsia="Calibri" w:hint="default"/>
          <w:spacing w:val="12"/>
        </w:rPr>
        <w:t> </w:t>
      </w:r>
      <w:r>
        <w:rPr/>
        <w:t>借款费用</w:t>
      </w:r>
      <w:r>
        <w:rPr>
          <w:b w:val="0"/>
          <w:bCs w:val="0"/>
        </w:rPr>
      </w:r>
    </w:p>
    <w:p>
      <w:pPr>
        <w:spacing w:line="240" w:lineRule="auto" w:before="10"/>
        <w:rPr>
          <w:rFonts w:ascii="宋体" w:hAnsi="宋体" w:cs="宋体" w:eastAsia="宋体" w:hint="default"/>
          <w:b/>
          <w:bCs/>
          <w:sz w:val="16"/>
          <w:szCs w:val="16"/>
        </w:rPr>
      </w:pPr>
    </w:p>
    <w:p>
      <w:pPr>
        <w:pStyle w:val="BodyText"/>
        <w:spacing w:line="403" w:lineRule="auto"/>
        <w:ind w:left="638" w:right="228"/>
        <w:jc w:val="left"/>
      </w:pPr>
      <w:r>
        <w:rPr/>
        <w:t>（</w:t>
      </w:r>
      <w:r>
        <w:rPr>
          <w:rFonts w:ascii="宋体" w:hAnsi="宋体" w:cs="宋体" w:eastAsia="宋体" w:hint="default"/>
        </w:rPr>
        <w:t>1</w:t>
      </w:r>
      <w:r>
        <w:rPr/>
        <w:t>）借款费用资本化的确认原则 本公司发生的借款费用，可直接归属于符合资本化条件的资产的购建或者生产的，予以资本</w:t>
      </w:r>
    </w:p>
    <w:p>
      <w:pPr>
        <w:pStyle w:val="BodyText"/>
        <w:spacing w:line="400" w:lineRule="auto" w:before="42"/>
        <w:ind w:left="218" w:right="235"/>
        <w:jc w:val="both"/>
      </w:pPr>
      <w:r>
        <w:rPr/>
        <w:t>化，计入相关资产成本；其他借款费用，在发生时根据其发生额确认为费用，计入当期损益。符</w:t>
      </w:r>
      <w:r>
        <w:rPr>
          <w:spacing w:val="-96"/>
        </w:rPr>
        <w:t> </w:t>
      </w:r>
      <w:r>
        <w:rPr>
          <w:spacing w:val="-96"/>
        </w:rPr>
      </w:r>
      <w:r>
        <w:rPr/>
        <w:t>合资本化条件的资产，是指需要经过相当长时间的购建或者生产活动才能达到预定可使用或者可</w:t>
      </w:r>
      <w:r>
        <w:rPr>
          <w:spacing w:val="-96"/>
        </w:rPr>
        <w:t> </w:t>
      </w:r>
      <w:r>
        <w:rPr>
          <w:spacing w:val="-96"/>
        </w:rPr>
      </w:r>
      <w:r>
        <w:rPr/>
        <w:t>销售状态的固定资产、投资性房地产和存货等资产。</w:t>
      </w:r>
    </w:p>
    <w:p>
      <w:pPr>
        <w:pStyle w:val="BodyText"/>
        <w:spacing w:line="374" w:lineRule="auto" w:before="44"/>
        <w:ind w:left="638" w:right="228"/>
        <w:jc w:val="left"/>
      </w:pPr>
      <w:r>
        <w:rPr/>
        <w:t>（</w:t>
      </w:r>
      <w:r>
        <w:rPr>
          <w:rFonts w:ascii="宋体" w:hAnsi="宋体" w:cs="宋体" w:eastAsia="宋体" w:hint="default"/>
        </w:rPr>
        <w:t>2</w:t>
      </w:r>
      <w:r>
        <w:rPr/>
        <w:t>）资本化金额计算方法 资本化期间，是指从借款费用开始资本化时点到停止资本化时点的期间。借款费用暂停资本</w:t>
      </w:r>
    </w:p>
    <w:p>
      <w:pPr>
        <w:pStyle w:val="BodyText"/>
        <w:spacing w:line="400" w:lineRule="auto" w:before="68"/>
        <w:ind w:left="218" w:right="215"/>
        <w:jc w:val="left"/>
      </w:pPr>
      <w:r>
        <w:rPr/>
        <w:t>化的期间不包括在内。在购建或生产过程中发生非正常中断、且中断时间连续超过</w:t>
      </w:r>
      <w:r>
        <w:rPr>
          <w:spacing w:val="-46"/>
        </w:rPr>
        <w:t> </w:t>
      </w:r>
      <w:r>
        <w:rPr>
          <w:rFonts w:ascii="宋体" w:hAnsi="宋体" w:cs="宋体" w:eastAsia="宋体" w:hint="default"/>
        </w:rPr>
        <w:t>3</w:t>
      </w:r>
      <w:r>
        <w:rPr>
          <w:rFonts w:ascii="宋体" w:hAnsi="宋体" w:cs="宋体" w:eastAsia="宋体" w:hint="default"/>
          <w:spacing w:val="-46"/>
        </w:rPr>
        <w:t> </w:t>
      </w:r>
      <w:r>
        <w:rPr/>
        <w:t>个月的，应 当暂停借款费用的资本化。</w:t>
      </w:r>
    </w:p>
    <w:p>
      <w:pPr>
        <w:pStyle w:val="BodyText"/>
        <w:spacing w:line="403" w:lineRule="auto" w:before="44"/>
        <w:ind w:left="218" w:right="234" w:firstLine="420"/>
        <w:jc w:val="both"/>
      </w:pPr>
      <w:r>
        <w:rPr/>
        <w:t>借入专门借款，按照专门借款当期实际发生的利息费用，减去将尚未动用的借款资金存入银 行取得的利息收入或进行暂时性投资取得的投资收益后的金额确定；占用一般借款按照累计资产</w:t>
      </w:r>
      <w:r>
        <w:rPr>
          <w:spacing w:val="-95"/>
        </w:rPr>
        <w:t> </w:t>
      </w:r>
      <w:r>
        <w:rPr>
          <w:spacing w:val="-95"/>
        </w:rPr>
      </w:r>
      <w:r>
        <w:rPr/>
        <w:t>支出超过专门借款部分的资产支出加权平均数乘以所占用一般借款的资本化率计算确定，资本化</w:t>
      </w:r>
      <w:r>
        <w:rPr>
          <w:spacing w:val="-95"/>
        </w:rPr>
        <w:t> </w:t>
      </w:r>
      <w:r>
        <w:rPr>
          <w:spacing w:val="-95"/>
        </w:rPr>
      </w:r>
      <w:r>
        <w:rPr/>
        <w:t>率为一般借款的加权平均利率；借款存在折价或溢价的，按照实际利率法确定每一会计期间应摊</w:t>
      </w:r>
      <w:r>
        <w:rPr>
          <w:spacing w:val="-96"/>
        </w:rPr>
        <w:t> </w:t>
      </w:r>
      <w:r>
        <w:rPr>
          <w:spacing w:val="-96"/>
        </w:rPr>
      </w:r>
      <w:r>
        <w:rPr/>
        <w:t>销的折价或溢价金额，调整每期利息金额。</w:t>
      </w:r>
    </w:p>
    <w:p>
      <w:pPr>
        <w:spacing w:after="0" w:line="403" w:lineRule="auto"/>
        <w:jc w:val="both"/>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400" w:lineRule="auto" w:before="35"/>
        <w:ind w:right="146" w:firstLine="420"/>
        <w:jc w:val="both"/>
      </w:pPr>
      <w:r>
        <w:rPr/>
        <w:t>实际利率法是根据借款实际利率计算其摊余折价或溢价或利息费用的方法。其中实际利率是 借款在预期存续期间的未来现金流量，折现为该借款当前账面价值所使用的利率。</w:t>
      </w:r>
    </w:p>
    <w:p>
      <w:pPr>
        <w:spacing w:line="240" w:lineRule="auto" w:before="9"/>
        <w:rPr>
          <w:rFonts w:ascii="宋体" w:hAnsi="宋体" w:cs="宋体" w:eastAsia="宋体" w:hint="default"/>
          <w:sz w:val="16"/>
          <w:szCs w:val="16"/>
        </w:rPr>
      </w:pPr>
    </w:p>
    <w:p>
      <w:pPr>
        <w:pStyle w:val="Heading3"/>
        <w:spacing w:line="240" w:lineRule="auto" w:before="0"/>
        <w:ind w:left="138" w:right="0"/>
        <w:jc w:val="both"/>
        <w:rPr>
          <w:b w:val="0"/>
          <w:bCs w:val="0"/>
        </w:rPr>
      </w:pPr>
      <w:r>
        <w:rPr>
          <w:rFonts w:ascii="Calibri" w:hAnsi="Calibri" w:cs="Calibri" w:eastAsia="Calibri" w:hint="default"/>
        </w:rPr>
        <w:t>14.  </w:t>
      </w:r>
      <w:r>
        <w:rPr>
          <w:rFonts w:ascii="Calibri" w:hAnsi="Calibri" w:cs="Calibri" w:eastAsia="Calibri" w:hint="default"/>
          <w:spacing w:val="12"/>
        </w:rPr>
        <w:t> </w:t>
      </w:r>
      <w:r>
        <w:rPr/>
        <w:t>无形资产</w:t>
      </w:r>
      <w:r>
        <w:rPr>
          <w:b w:val="0"/>
          <w:bCs w:val="0"/>
        </w:rPr>
      </w:r>
    </w:p>
    <w:p>
      <w:pPr>
        <w:pStyle w:val="Heading3"/>
        <w:spacing w:line="240" w:lineRule="auto" w:before="90"/>
        <w:ind w:left="138" w:right="0"/>
        <w:jc w:val="both"/>
        <w:rPr>
          <w:b w:val="0"/>
          <w:bCs w:val="0"/>
        </w:rPr>
      </w:pPr>
      <w:r>
        <w:rPr>
          <w:rFonts w:ascii="宋体" w:hAnsi="宋体" w:cs="宋体" w:eastAsia="宋体" w:hint="default"/>
        </w:rPr>
        <w:t>(1).</w:t>
      </w:r>
      <w:r>
        <w:rPr>
          <w:rFonts w:ascii="宋体" w:hAnsi="宋体" w:cs="宋体" w:eastAsia="宋体" w:hint="default"/>
          <w:spacing w:val="-85"/>
        </w:rPr>
        <w:t> </w:t>
      </w:r>
      <w:r>
        <w:rPr/>
        <w:t>计价方法、使用寿命、减值测试</w:t>
      </w:r>
      <w:r>
        <w:rPr>
          <w:b w:val="0"/>
          <w:bCs w:val="0"/>
        </w:rPr>
      </w:r>
    </w:p>
    <w:p>
      <w:pPr>
        <w:spacing w:line="240" w:lineRule="auto" w:before="10"/>
        <w:rPr>
          <w:rFonts w:ascii="宋体" w:hAnsi="宋体" w:cs="宋体" w:eastAsia="宋体" w:hint="default"/>
          <w:b/>
          <w:bCs/>
          <w:sz w:val="18"/>
          <w:szCs w:val="18"/>
        </w:rPr>
      </w:pPr>
    </w:p>
    <w:p>
      <w:pPr>
        <w:pStyle w:val="BodyText"/>
        <w:spacing w:line="403" w:lineRule="auto"/>
        <w:ind w:left="558" w:right="128"/>
        <w:jc w:val="left"/>
      </w:pPr>
      <w:r>
        <w:rPr/>
        <w:t>（</w:t>
      </w:r>
      <w:r>
        <w:rPr>
          <w:rFonts w:ascii="宋体" w:hAnsi="宋体" w:cs="宋体" w:eastAsia="宋体" w:hint="default"/>
        </w:rPr>
        <w:t>1</w:t>
      </w:r>
      <w:r>
        <w:rPr/>
        <w:t>）无形资产的计价方法 本公司无形资产按照成本进行初始计量。购入的无形资产，按实际支付的价款和相关支出作</w:t>
      </w:r>
    </w:p>
    <w:p>
      <w:pPr>
        <w:pStyle w:val="BodyText"/>
        <w:spacing w:line="400" w:lineRule="auto" w:before="42"/>
        <w:ind w:right="135"/>
        <w:jc w:val="both"/>
      </w:pPr>
      <w:r>
        <w:rPr/>
        <w:t>为实际成本。投资者投入的无形资产，按投资合同或协议约定的价值确定实际成本，但合同或协</w:t>
      </w:r>
      <w:r>
        <w:rPr>
          <w:spacing w:val="-96"/>
        </w:rPr>
        <w:t> </w:t>
      </w:r>
      <w:r>
        <w:rPr>
          <w:spacing w:val="-96"/>
        </w:rPr>
      </w:r>
      <w:r>
        <w:rPr/>
        <w:t>议约定价值不公允的，按公允价值确定实际成本。自行开发的无形资产，其成本为达到预定用途</w:t>
      </w:r>
      <w:r>
        <w:rPr>
          <w:spacing w:val="-96"/>
        </w:rPr>
        <w:t> </w:t>
      </w:r>
      <w:r>
        <w:rPr>
          <w:spacing w:val="-96"/>
        </w:rPr>
      </w:r>
      <w:r>
        <w:rPr/>
        <w:t>前所发生的支出总额。</w:t>
      </w:r>
    </w:p>
    <w:p>
      <w:pPr>
        <w:pStyle w:val="BodyText"/>
        <w:spacing w:line="400" w:lineRule="auto" w:before="44"/>
        <w:ind w:right="133" w:firstLine="420"/>
        <w:jc w:val="both"/>
      </w:pPr>
      <w:r>
        <w:rPr/>
        <w:t>本公司无形资产后续计量方法分别为：使用寿命有限无形资产采用直线法摊销，并在年度终 </w:t>
      </w:r>
      <w:r>
        <w:rPr>
          <w:spacing w:val="-5"/>
        </w:rPr>
        <w:t>了，对无形资产的使用寿命和摊销方法进行复核，如与原先估计数存在差异的，进行相应的调整；</w:t>
      </w:r>
      <w:r>
        <w:rPr>
          <w:spacing w:val="-88"/>
        </w:rPr>
        <w:t> </w:t>
      </w:r>
      <w:r>
        <w:rPr>
          <w:spacing w:val="-88"/>
        </w:rPr>
      </w:r>
      <w:r>
        <w:rPr/>
        <w:t>使用寿命不确定的无形资产不摊销，但在年度终了，对使用寿命进行复核，当有确凿证据表明其</w:t>
      </w:r>
      <w:r>
        <w:rPr>
          <w:spacing w:val="-96"/>
        </w:rPr>
        <w:t> </w:t>
      </w:r>
      <w:r>
        <w:rPr>
          <w:spacing w:val="-96"/>
        </w:rPr>
      </w:r>
      <w:r>
        <w:rPr/>
        <w:t>使用寿命是有限的，则估计其使用寿命，按直线法进行摊销。</w:t>
      </w:r>
    </w:p>
    <w:p>
      <w:pPr>
        <w:pStyle w:val="BodyText"/>
        <w:spacing w:line="403" w:lineRule="auto" w:before="14"/>
        <w:ind w:left="558" w:right="128"/>
        <w:jc w:val="left"/>
      </w:pPr>
      <w:r>
        <w:rPr/>
        <w:t>（</w:t>
      </w:r>
      <w:r>
        <w:rPr>
          <w:rFonts w:ascii="宋体" w:hAnsi="宋体" w:cs="宋体" w:eastAsia="宋体" w:hint="default"/>
        </w:rPr>
        <w:t>2</w:t>
      </w:r>
      <w:r>
        <w:rPr/>
        <w:t>）使用寿命不确定的判断依据 本公司将无法预见该资产为公司带来经济利益的期限，或使用期限不确定等无形资产确定为</w:t>
      </w:r>
    </w:p>
    <w:p>
      <w:pPr>
        <w:pStyle w:val="BodyText"/>
        <w:spacing w:line="400" w:lineRule="auto" w:before="42"/>
        <w:ind w:right="132"/>
        <w:jc w:val="both"/>
      </w:pPr>
      <w:r>
        <w:rPr>
          <w:spacing w:val="-5"/>
        </w:rPr>
        <w:t>使用寿命不确定的无形资产。使用寿命不确定的判断依据为：来源于合同性权利或其他法定权利，</w:t>
      </w:r>
      <w:r>
        <w:rPr>
          <w:spacing w:val="-87"/>
        </w:rPr>
        <w:t> </w:t>
      </w:r>
      <w:r>
        <w:rPr>
          <w:spacing w:val="-87"/>
        </w:rPr>
      </w:r>
      <w:r>
        <w:rPr/>
        <w:t>但合同规定或法律规定无明确使用年限；综合同行业情况或相关专家论证等，仍无法判断无形资</w:t>
      </w:r>
      <w:r>
        <w:rPr>
          <w:spacing w:val="-96"/>
        </w:rPr>
        <w:t> </w:t>
      </w:r>
      <w:r>
        <w:rPr>
          <w:spacing w:val="-96"/>
        </w:rPr>
      </w:r>
      <w:r>
        <w:rPr/>
        <w:t>产为公司带来经济利益的期限。</w:t>
      </w:r>
    </w:p>
    <w:p>
      <w:pPr>
        <w:pStyle w:val="BodyText"/>
        <w:spacing w:line="400" w:lineRule="auto" w:before="44"/>
        <w:ind w:right="146" w:firstLine="420"/>
        <w:jc w:val="both"/>
      </w:pPr>
      <w:r>
        <w:rPr/>
        <w:t>每年年末，对使用寿命不确定无形资产使用寿命进行复核，主要采取自下而上的方式，由无 形资产使用相关部门进行基础复核，评价使用寿命不确定判断依据是否存在变化等。</w:t>
      </w:r>
    </w:p>
    <w:p>
      <w:pPr>
        <w:spacing w:line="240" w:lineRule="auto" w:before="4"/>
        <w:rPr>
          <w:rFonts w:ascii="宋体" w:hAnsi="宋体" w:cs="宋体" w:eastAsia="宋体" w:hint="default"/>
          <w:sz w:val="21"/>
          <w:szCs w:val="21"/>
        </w:rPr>
      </w:pPr>
    </w:p>
    <w:p>
      <w:pPr>
        <w:spacing w:line="480" w:lineRule="auto" w:before="0"/>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81"/>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b/>
          <w:bCs/>
          <w:w w:val="99"/>
          <w:sz w:val="21"/>
          <w:szCs w:val="21"/>
        </w:rPr>
        <w:t> </w:t>
      </w:r>
      <w:r>
        <w:rPr>
          <w:rFonts w:ascii="宋体" w:hAnsi="宋体" w:cs="宋体" w:eastAsia="宋体" w:hint="default"/>
          <w:sz w:val="21"/>
          <w:szCs w:val="21"/>
        </w:rPr>
        <w:t>内部研究开发项目研究阶段的支出，于发生时计入当期损益；开发阶段的支出，满足确认为</w:t>
      </w:r>
    </w:p>
    <w:p>
      <w:pPr>
        <w:pStyle w:val="BodyText"/>
        <w:spacing w:line="250" w:lineRule="exact"/>
        <w:ind w:right="0"/>
        <w:jc w:val="both"/>
      </w:pPr>
      <w:r>
        <w:rPr/>
        <w:t>无形资产条件的转入无形资产核算。</w:t>
      </w:r>
    </w:p>
    <w:p>
      <w:pPr>
        <w:spacing w:line="240" w:lineRule="auto" w:before="5"/>
        <w:rPr>
          <w:rFonts w:ascii="宋体" w:hAnsi="宋体" w:cs="宋体" w:eastAsia="宋体" w:hint="default"/>
          <w:sz w:val="27"/>
          <w:szCs w:val="27"/>
        </w:rPr>
      </w:pPr>
    </w:p>
    <w:p>
      <w:pPr>
        <w:spacing w:line="391" w:lineRule="auto" w:before="0"/>
        <w:ind w:left="558" w:right="128" w:hanging="420"/>
        <w:jc w:val="left"/>
        <w:rPr>
          <w:rFonts w:ascii="宋体" w:hAnsi="宋体" w:cs="宋体" w:eastAsia="宋体" w:hint="default"/>
          <w:sz w:val="21"/>
          <w:szCs w:val="21"/>
        </w:rPr>
      </w:pPr>
      <w:r>
        <w:rPr>
          <w:rFonts w:ascii="Calibri" w:hAnsi="Calibri" w:cs="Calibri" w:eastAsia="Calibri" w:hint="default"/>
          <w:b/>
          <w:bCs/>
          <w:sz w:val="21"/>
          <w:szCs w:val="21"/>
        </w:rPr>
        <w:t>15.</w:t>
      </w:r>
      <w:r>
        <w:rPr>
          <w:rFonts w:ascii="Calibri" w:hAnsi="Calibri" w:cs="Calibri" w:eastAsia="Calibri" w:hint="default"/>
          <w:b/>
          <w:bCs/>
          <w:spacing w:val="11"/>
          <w:sz w:val="21"/>
          <w:szCs w:val="21"/>
        </w:rPr>
        <w:t> </w:t>
      </w:r>
      <w:r>
        <w:rPr>
          <w:rFonts w:ascii="宋体" w:hAnsi="宋体" w:cs="宋体" w:eastAsia="宋体" w:hint="default"/>
          <w:b/>
          <w:bCs/>
          <w:sz w:val="21"/>
          <w:szCs w:val="21"/>
        </w:rPr>
        <w:t>长期资产减值</w:t>
      </w:r>
      <w:r>
        <w:rPr>
          <w:rFonts w:ascii="宋体" w:hAnsi="宋体" w:cs="宋体" w:eastAsia="宋体" w:hint="default"/>
          <w:b/>
          <w:bCs/>
          <w:w w:val="99"/>
          <w:sz w:val="21"/>
          <w:szCs w:val="21"/>
        </w:rPr>
        <w:t> </w:t>
      </w:r>
      <w:r>
        <w:rPr>
          <w:rFonts w:ascii="宋体" w:hAnsi="宋体" w:cs="宋体" w:eastAsia="宋体" w:hint="default"/>
          <w:sz w:val="21"/>
          <w:szCs w:val="21"/>
        </w:rPr>
        <w:t>长期股权投资、采用成本模式计量的投资性房地产、固定资产、在建工程、采用成本模式计</w:t>
      </w:r>
    </w:p>
    <w:p>
      <w:pPr>
        <w:pStyle w:val="BodyText"/>
        <w:spacing w:line="400" w:lineRule="auto" w:before="54"/>
        <w:ind w:right="147"/>
        <w:jc w:val="both"/>
      </w:pPr>
      <w:r>
        <w:rPr/>
        <w:t>量的生产性生物资产、油气资产、无形资产、商誉等长期资产于资产负债表日存在减值迹象的， 进行减值测试。减值测试结果表明资产的可收回金额低于其账面价值的，按其差额计提减值准备 并计入减值损失。</w:t>
      </w:r>
    </w:p>
    <w:p>
      <w:pPr>
        <w:spacing w:after="0" w:line="400" w:lineRule="auto"/>
        <w:jc w:val="both"/>
        <w:sectPr>
          <w:footerReference w:type="default" r:id="rId43"/>
          <w:pgSz w:w="11910" w:h="16840"/>
          <w:pgMar w:footer="1194" w:header="882" w:top="1120" w:bottom="1380" w:left="1660" w:right="11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400" w:lineRule="auto" w:before="35"/>
        <w:ind w:right="226" w:firstLine="420"/>
        <w:jc w:val="both"/>
      </w:pPr>
      <w:r>
        <w:rPr/>
        <w:t>可收回金额为资产的公允价值减去处置费用后的净额与资产预计未来现金流量的现值两者之 间的较高者。资产减值准备按单项资产为基础计算并确认，如果难以对单项资产的可收回金额进 行估计的，以该资产所属的资产组确定资产组的可收回金额。资产组是能够独立产生现金流入的 最小资产组合。</w:t>
      </w:r>
    </w:p>
    <w:p>
      <w:pPr>
        <w:pStyle w:val="BodyText"/>
        <w:spacing w:line="400" w:lineRule="auto" w:before="44"/>
        <w:ind w:right="108" w:firstLine="420"/>
        <w:jc w:val="both"/>
      </w:pPr>
      <w:r>
        <w:rPr/>
        <w:t>在财务报表中单独列示的商誉，无论是否存在减值迹象，至少每年进行减值测试。减值测试 时，商誉的账面价值分摊至预期从企业合并的协同效应中受益的资产组或资产组组合。测试结果 表明包含分摊的商誉的资产组或资产组组合的可收回金额低于其账面价值的，确认相应的减值损 失。减值损失金额先抵减分摊至该资产组或资产组组合的商誉的账面价值，再根据资产组或资产 </w:t>
      </w:r>
      <w:r>
        <w:rPr>
          <w:spacing w:val="-3"/>
        </w:rPr>
        <w:t>组组合中除商誉以外的其他各项资产的账面价值所占比重，按比例抵减其他各项资产的账面价值。</w:t>
      </w:r>
    </w:p>
    <w:p>
      <w:pPr>
        <w:pStyle w:val="BodyText"/>
        <w:spacing w:line="240" w:lineRule="auto" w:before="44"/>
        <w:ind w:left="559" w:right="101"/>
        <w:jc w:val="left"/>
      </w:pPr>
      <w:r>
        <w:rPr/>
        <w:t>上述资产减值损失一经确认，以后期间不予转回价值得以恢复的部分。</w:t>
      </w:r>
    </w:p>
    <w:p>
      <w:pPr>
        <w:spacing w:line="240" w:lineRule="auto" w:before="5"/>
        <w:rPr>
          <w:rFonts w:ascii="宋体" w:hAnsi="宋体" w:cs="宋体" w:eastAsia="宋体" w:hint="default"/>
          <w:sz w:val="27"/>
          <w:szCs w:val="27"/>
        </w:rPr>
      </w:pPr>
    </w:p>
    <w:p>
      <w:pPr>
        <w:spacing w:line="391" w:lineRule="auto" w:before="0"/>
        <w:ind w:left="558" w:right="208" w:hanging="420"/>
        <w:jc w:val="left"/>
        <w:rPr>
          <w:rFonts w:ascii="宋体" w:hAnsi="宋体" w:cs="宋体" w:eastAsia="宋体" w:hint="default"/>
          <w:sz w:val="21"/>
          <w:szCs w:val="21"/>
        </w:rPr>
      </w:pPr>
      <w:r>
        <w:rPr>
          <w:rFonts w:ascii="Calibri" w:hAnsi="Calibri" w:cs="Calibri" w:eastAsia="Calibri" w:hint="default"/>
          <w:b/>
          <w:bCs/>
          <w:sz w:val="21"/>
          <w:szCs w:val="21"/>
        </w:rPr>
        <w:t>16.</w:t>
      </w:r>
      <w:r>
        <w:rPr>
          <w:rFonts w:ascii="Calibri" w:hAnsi="Calibri" w:cs="Calibri" w:eastAsia="Calibri" w:hint="default"/>
          <w:b/>
          <w:bCs/>
          <w:spacing w:val="11"/>
          <w:sz w:val="21"/>
          <w:szCs w:val="21"/>
        </w:rPr>
        <w:t> </w:t>
      </w:r>
      <w:r>
        <w:rPr>
          <w:rFonts w:ascii="宋体" w:hAnsi="宋体" w:cs="宋体" w:eastAsia="宋体" w:hint="default"/>
          <w:b/>
          <w:bCs/>
          <w:sz w:val="21"/>
          <w:szCs w:val="21"/>
        </w:rPr>
        <w:t>长期待摊费用</w:t>
      </w:r>
      <w:r>
        <w:rPr>
          <w:rFonts w:ascii="宋体" w:hAnsi="宋体" w:cs="宋体" w:eastAsia="宋体" w:hint="default"/>
          <w:b/>
          <w:bCs/>
          <w:w w:val="99"/>
          <w:sz w:val="21"/>
          <w:szCs w:val="21"/>
        </w:rPr>
        <w:t> </w:t>
      </w:r>
      <w:r>
        <w:rPr>
          <w:rFonts w:ascii="宋体" w:hAnsi="宋体" w:cs="宋体" w:eastAsia="宋体" w:hint="default"/>
          <w:sz w:val="21"/>
          <w:szCs w:val="21"/>
        </w:rPr>
        <w:t>本公司长期待摊费用是指已经支出，但受益期限在一年以上（不含一年）的各项费用。长期</w:t>
      </w:r>
    </w:p>
    <w:p>
      <w:pPr>
        <w:pStyle w:val="BodyText"/>
        <w:spacing w:line="403" w:lineRule="auto" w:before="52"/>
        <w:ind w:right="208"/>
        <w:jc w:val="left"/>
      </w:pPr>
      <w:r>
        <w:rPr/>
        <w:t>待摊费用按费用项目的受益期限分期摊销。若长期待摊的费用项目不能使以后会计期间受益，则 将尚未摊销的该项目的摊余价值全部转入当期损益。</w:t>
      </w:r>
    </w:p>
    <w:p>
      <w:pPr>
        <w:spacing w:line="240" w:lineRule="auto" w:before="7"/>
        <w:rPr>
          <w:rFonts w:ascii="宋体" w:hAnsi="宋体" w:cs="宋体" w:eastAsia="宋体" w:hint="default"/>
          <w:sz w:val="16"/>
          <w:szCs w:val="16"/>
        </w:rPr>
      </w:pPr>
    </w:p>
    <w:p>
      <w:pPr>
        <w:pStyle w:val="Heading3"/>
        <w:spacing w:line="240" w:lineRule="auto" w:before="0"/>
        <w:ind w:left="138" w:right="2938"/>
        <w:jc w:val="left"/>
        <w:rPr>
          <w:b w:val="0"/>
          <w:bCs w:val="0"/>
        </w:rPr>
      </w:pPr>
      <w:r>
        <w:rPr>
          <w:rFonts w:ascii="Calibri" w:hAnsi="Calibri" w:cs="Calibri" w:eastAsia="Calibri" w:hint="default"/>
        </w:rPr>
        <w:t>17.  </w:t>
      </w:r>
      <w:r>
        <w:rPr>
          <w:rFonts w:ascii="Calibri" w:hAnsi="Calibri" w:cs="Calibri" w:eastAsia="Calibri" w:hint="default"/>
          <w:spacing w:val="12"/>
        </w:rPr>
        <w:t> </w:t>
      </w:r>
      <w:r>
        <w:rPr/>
        <w:t>职工薪酬</w:t>
      </w:r>
      <w:r>
        <w:rPr>
          <w:b w:val="0"/>
          <w:bCs w:val="0"/>
        </w:rPr>
      </w:r>
    </w:p>
    <w:p>
      <w:pPr>
        <w:pStyle w:val="BodyText"/>
        <w:spacing w:line="384" w:lineRule="auto" w:before="189"/>
        <w:ind w:right="101" w:firstLine="420"/>
        <w:jc w:val="left"/>
        <w:rPr>
          <w:rFonts w:ascii="宋体" w:hAnsi="宋体" w:cs="宋体" w:eastAsia="宋体" w:hint="default"/>
        </w:rPr>
      </w:pPr>
      <w:r>
        <w:rPr>
          <w:spacing w:val="-3"/>
        </w:rPr>
        <w:t>职工薪酬，是指企业为获得职工提供的服务或解除劳动关系而给予的各种形式的报酬或补偿。</w:t>
      </w:r>
      <w:r>
        <w:rPr/>
        <w:t> 职工薪酬主要包括短期薪酬、离职后福利、辞退福利和其他长期职工福利。 </w:t>
      </w:r>
      <w:r>
        <w:rPr>
          <w:rFonts w:ascii="宋体" w:hAnsi="宋体" w:cs="宋体" w:eastAsia="宋体" w:hint="default"/>
          <w:b/>
          <w:bCs/>
        </w:rPr>
        <w:t>(1)</w:t>
      </w:r>
      <w:r>
        <w:rPr>
          <w:rFonts w:ascii="宋体" w:hAnsi="宋体" w:cs="宋体" w:eastAsia="宋体" w:hint="default"/>
          <w:b/>
          <w:bCs/>
        </w:rPr>
        <w:t>、短期薪酬的会计处理方法</w:t>
      </w:r>
      <w:r>
        <w:rPr>
          <w:rFonts w:ascii="宋体" w:hAnsi="宋体" w:cs="宋体" w:eastAsia="宋体" w:hint="default"/>
        </w:rPr>
      </w:r>
    </w:p>
    <w:p>
      <w:pPr>
        <w:pStyle w:val="BodyText"/>
        <w:spacing w:line="400" w:lineRule="auto" w:before="120"/>
        <w:ind w:right="213" w:firstLine="420"/>
        <w:jc w:val="both"/>
      </w:pPr>
      <w:r>
        <w:rPr>
          <w:spacing w:val="-5"/>
        </w:rPr>
        <w:t>在职工为本公司提供服务的会计期间，将实际发生的短期薪酬确认为负债，并计入当期损益，</w:t>
      </w:r>
      <w:r>
        <w:rPr/>
        <w:t> 其他会计准则要求或允许计入资产成本的除外。本公司发生的职工福利费，在实际发生时根据实</w:t>
      </w:r>
      <w:r>
        <w:rPr>
          <w:spacing w:val="-96"/>
        </w:rPr>
        <w:t> </w:t>
      </w:r>
      <w:r>
        <w:rPr>
          <w:spacing w:val="-96"/>
        </w:rPr>
      </w:r>
      <w:r>
        <w:rPr/>
        <w:t>际发生额计入当期损益或相关资产成本。职工福利费为非货币性福利的，按照公允价值计量。企</w:t>
      </w:r>
      <w:r>
        <w:rPr>
          <w:spacing w:val="-96"/>
        </w:rPr>
        <w:t> </w:t>
      </w:r>
      <w:r>
        <w:rPr>
          <w:spacing w:val="-96"/>
        </w:rPr>
      </w:r>
      <w:r>
        <w:rPr/>
        <w:t>业为职工缴纳的医疗保险费、工伤保险费、生育保险费等社会保险费和住房公积金，以及按规定</w:t>
      </w:r>
      <w:r>
        <w:rPr>
          <w:spacing w:val="-96"/>
        </w:rPr>
        <w:t> </w:t>
      </w:r>
      <w:r>
        <w:rPr>
          <w:spacing w:val="-96"/>
        </w:rPr>
      </w:r>
      <w:r>
        <w:rPr/>
        <w:t>提取的工会经费和职工教育经费，在职工提供服务的会计期间，根据规定的计提基础和计提比例</w:t>
      </w:r>
    </w:p>
    <w:p>
      <w:pPr>
        <w:spacing w:line="343" w:lineRule="auto" w:before="44"/>
        <w:ind w:left="138" w:right="1468" w:firstLine="0"/>
        <w:jc w:val="left"/>
        <w:rPr>
          <w:rFonts w:ascii="宋体" w:hAnsi="宋体" w:cs="宋体" w:eastAsia="宋体" w:hint="default"/>
          <w:sz w:val="21"/>
          <w:szCs w:val="21"/>
        </w:rPr>
      </w:pPr>
      <w:r>
        <w:rPr>
          <w:rFonts w:ascii="宋体" w:hAnsi="宋体" w:cs="宋体" w:eastAsia="宋体" w:hint="default"/>
          <w:sz w:val="21"/>
          <w:szCs w:val="21"/>
        </w:rPr>
        <w:t>计算确定相应的职工薪酬金额，并确认相应负债，计入当期损益或相关资产成本。 </w:t>
      </w: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2"/>
        <w:rPr>
          <w:rFonts w:ascii="宋体" w:hAnsi="宋体" w:cs="宋体" w:eastAsia="宋体" w:hint="default"/>
          <w:b/>
          <w:bCs/>
          <w:sz w:val="14"/>
          <w:szCs w:val="14"/>
        </w:rPr>
      </w:pPr>
    </w:p>
    <w:p>
      <w:pPr>
        <w:pStyle w:val="BodyText"/>
        <w:spacing w:line="400" w:lineRule="auto"/>
        <w:ind w:right="226" w:firstLine="420"/>
        <w:jc w:val="both"/>
      </w:pPr>
      <w:r>
        <w:rPr/>
        <w:t>本公司在职工提供服务的会计期间，根据设定提存计划计算的应缴存金额确认为负债，并计 入当期损益或相关资产成本。根据预期累计福利单位法确定的公式将设定受益计划产生的福利义 务归属于职工提供服务的期间，并计入当期损益或相关资产成本。</w:t>
      </w:r>
    </w:p>
    <w:p>
      <w:pPr>
        <w:spacing w:after="0" w:line="400" w:lineRule="auto"/>
        <w:jc w:val="both"/>
        <w:sectPr>
          <w:footerReference w:type="default" r:id="rId44"/>
          <w:pgSz w:w="11910" w:h="16840"/>
          <w:pgMar w:footer="1194" w:header="882" w:top="1120" w:bottom="1380" w:left="1660" w:right="1060"/>
          <w:pgNumType w:start="81"/>
        </w:sectPr>
      </w:pPr>
    </w:p>
    <w:p>
      <w:pPr>
        <w:spacing w:line="240" w:lineRule="auto" w:before="3"/>
        <w:rPr>
          <w:rFonts w:ascii="宋体" w:hAnsi="宋体" w:cs="宋体" w:eastAsia="宋体" w:hint="default"/>
          <w:sz w:val="25"/>
          <w:szCs w:val="25"/>
        </w:rPr>
      </w:pPr>
    </w:p>
    <w:p>
      <w:pPr>
        <w:spacing w:line="480" w:lineRule="auto" w:before="35"/>
        <w:ind w:left="558" w:right="128" w:hanging="42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企业向职工提供辞退福利时，在下列两者孰早日确认辞退福利产生的职工薪酬负债，并计入</w:t>
      </w:r>
    </w:p>
    <w:p>
      <w:pPr>
        <w:pStyle w:val="BodyText"/>
        <w:spacing w:line="250" w:lineRule="exact"/>
        <w:ind w:right="0"/>
        <w:jc w:val="left"/>
      </w:pPr>
      <w:r>
        <w:rPr/>
        <w:t>当期损益：企业不能单方面撤回因解除劳动关系计划或裁减建议所提供的辞退福利时；企业确认</w:t>
      </w:r>
    </w:p>
    <w:p>
      <w:pPr>
        <w:spacing w:line="240" w:lineRule="auto" w:before="2"/>
        <w:rPr>
          <w:rFonts w:ascii="宋体" w:hAnsi="宋体" w:cs="宋体" w:eastAsia="宋体" w:hint="default"/>
          <w:sz w:val="14"/>
          <w:szCs w:val="14"/>
        </w:rPr>
      </w:pPr>
    </w:p>
    <w:p>
      <w:pPr>
        <w:spacing w:line="369" w:lineRule="auto" w:before="0"/>
        <w:ind w:left="138" w:right="4328" w:firstLine="0"/>
        <w:jc w:val="left"/>
        <w:rPr>
          <w:rFonts w:ascii="宋体" w:hAnsi="宋体" w:cs="宋体" w:eastAsia="宋体" w:hint="default"/>
          <w:sz w:val="21"/>
          <w:szCs w:val="21"/>
        </w:rPr>
      </w:pPr>
      <w:r>
        <w:rPr>
          <w:rFonts w:ascii="宋体" w:hAnsi="宋体" w:cs="宋体" w:eastAsia="宋体" w:hint="default"/>
          <w:sz w:val="21"/>
          <w:szCs w:val="21"/>
        </w:rPr>
        <w:t>与涉及支付辞退福利的重组相关的成本或费用时。 </w:t>
      </w:r>
      <w:r>
        <w:rPr>
          <w:rFonts w:ascii="宋体" w:hAnsi="宋体" w:cs="宋体" w:eastAsia="宋体"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pStyle w:val="BodyText"/>
        <w:spacing w:line="400" w:lineRule="auto" w:before="162"/>
        <w:ind w:right="146" w:firstLine="420"/>
        <w:jc w:val="both"/>
      </w:pPr>
      <w:r>
        <w:rPr/>
        <w:t>本公司向职工提供的其他长期职工福利，符合设定提存计划条件的，应当有关设定提存计划 的规定进行处理；除此外，根据设定受益计划的有关规定，确认和计量其他长期职工福利净负债 或净资产。</w:t>
      </w:r>
    </w:p>
    <w:p>
      <w:pPr>
        <w:spacing w:line="240" w:lineRule="auto" w:before="10"/>
        <w:rPr>
          <w:rFonts w:ascii="宋体" w:hAnsi="宋体" w:cs="宋体" w:eastAsia="宋体" w:hint="default"/>
          <w:sz w:val="16"/>
          <w:szCs w:val="16"/>
        </w:rPr>
      </w:pPr>
    </w:p>
    <w:p>
      <w:pPr>
        <w:pStyle w:val="Heading3"/>
        <w:spacing w:line="240" w:lineRule="auto" w:before="0"/>
        <w:ind w:left="138" w:right="135"/>
        <w:jc w:val="left"/>
        <w:rPr>
          <w:b w:val="0"/>
          <w:bCs w:val="0"/>
        </w:rPr>
      </w:pPr>
      <w:r>
        <w:rPr>
          <w:rFonts w:ascii="Calibri" w:hAnsi="Calibri" w:cs="Calibri" w:eastAsia="Calibri" w:hint="default"/>
        </w:rPr>
        <w:t>18.  </w:t>
      </w:r>
      <w:r>
        <w:rPr>
          <w:rFonts w:ascii="Calibri" w:hAnsi="Calibri" w:cs="Calibri" w:eastAsia="Calibri" w:hint="default"/>
          <w:spacing w:val="12"/>
        </w:rPr>
        <w:t> </w:t>
      </w:r>
      <w:r>
        <w:rPr/>
        <w:t>预计负债</w:t>
      </w:r>
      <w:r>
        <w:rPr>
          <w:b w:val="0"/>
          <w:bCs w:val="0"/>
        </w:rPr>
      </w:r>
    </w:p>
    <w:p>
      <w:pPr>
        <w:pStyle w:val="BodyText"/>
        <w:spacing w:line="400" w:lineRule="auto" w:before="189"/>
        <w:ind w:right="134" w:firstLine="420"/>
        <w:jc w:val="both"/>
      </w:pPr>
      <w:r>
        <w:rPr/>
        <w:t>当与或有事项相关的义务是公司承担的现时义务，且履行该义务很可能导致经济利益流出， 同时其金额能够可靠地计量时确认该义务为预计负债。本公司按照履行相关现时义务所需支出的</w:t>
      </w:r>
      <w:r>
        <w:rPr>
          <w:spacing w:val="-95"/>
        </w:rPr>
        <w:t> </w:t>
      </w:r>
      <w:r>
        <w:rPr>
          <w:spacing w:val="-95"/>
        </w:rPr>
      </w:r>
      <w:r>
        <w:rPr/>
        <w:t>最佳估计数进行初始计量，如所需支出存在一个连续范围，且该范围内各种结果发生的可能性相</w:t>
      </w:r>
      <w:r>
        <w:rPr>
          <w:spacing w:val="-96"/>
        </w:rPr>
        <w:t> </w:t>
      </w:r>
      <w:r>
        <w:rPr>
          <w:spacing w:val="-96"/>
        </w:rPr>
      </w:r>
      <w:r>
        <w:rPr/>
        <w:t>同，最佳估计数按照该范围内的中间值确定；如涉及多个项目，按照各种可能结果及相关概率计</w:t>
      </w:r>
      <w:r>
        <w:rPr>
          <w:spacing w:val="-96"/>
        </w:rPr>
        <w:t> </w:t>
      </w:r>
      <w:r>
        <w:rPr>
          <w:spacing w:val="-96"/>
        </w:rPr>
      </w:r>
      <w:r>
        <w:rPr/>
        <w:t>算确定最佳估计数。</w:t>
      </w:r>
    </w:p>
    <w:p>
      <w:pPr>
        <w:pStyle w:val="BodyText"/>
        <w:spacing w:line="403" w:lineRule="auto" w:before="44"/>
        <w:ind w:right="146" w:firstLine="420"/>
        <w:jc w:val="both"/>
      </w:pPr>
      <w:r>
        <w:rPr/>
        <w:t>资产负债表日应当对预计负债账面价值进行复核，有确凿证据表明该账面价值不能真实反映 当前最佳估计数，应当按照当前最佳估计数对该账面价值进行调整。</w:t>
      </w:r>
    </w:p>
    <w:p>
      <w:pPr>
        <w:spacing w:line="240" w:lineRule="auto" w:before="7"/>
        <w:rPr>
          <w:rFonts w:ascii="宋体" w:hAnsi="宋体" w:cs="宋体" w:eastAsia="宋体" w:hint="default"/>
          <w:sz w:val="16"/>
          <w:szCs w:val="16"/>
        </w:rPr>
      </w:pPr>
    </w:p>
    <w:p>
      <w:pPr>
        <w:pStyle w:val="Heading3"/>
        <w:spacing w:line="240" w:lineRule="auto" w:before="0"/>
        <w:ind w:left="138" w:right="135"/>
        <w:jc w:val="left"/>
        <w:rPr>
          <w:b w:val="0"/>
          <w:bCs w:val="0"/>
        </w:rPr>
      </w:pPr>
      <w:r>
        <w:rPr>
          <w:rFonts w:ascii="Calibri" w:hAnsi="Calibri" w:cs="Calibri" w:eastAsia="Calibri" w:hint="default"/>
        </w:rPr>
        <w:t>19.  </w:t>
      </w:r>
      <w:r>
        <w:rPr>
          <w:rFonts w:ascii="Calibri" w:hAnsi="Calibri" w:cs="Calibri" w:eastAsia="Calibri" w:hint="default"/>
          <w:spacing w:val="12"/>
        </w:rPr>
        <w:t> </w:t>
      </w:r>
      <w:r>
        <w:rPr/>
        <w:t>收入</w:t>
      </w:r>
      <w:r>
        <w:rPr>
          <w:b w:val="0"/>
          <w:bCs w:val="0"/>
        </w:rPr>
      </w:r>
    </w:p>
    <w:p>
      <w:pPr>
        <w:spacing w:line="240" w:lineRule="auto" w:before="10"/>
        <w:rPr>
          <w:rFonts w:ascii="宋体" w:hAnsi="宋体" w:cs="宋体" w:eastAsia="宋体" w:hint="default"/>
          <w:b/>
          <w:bCs/>
          <w:sz w:val="16"/>
          <w:szCs w:val="16"/>
        </w:rPr>
      </w:pPr>
    </w:p>
    <w:p>
      <w:pPr>
        <w:pStyle w:val="BodyText"/>
        <w:spacing w:line="400" w:lineRule="auto"/>
        <w:ind w:right="147" w:firstLine="420"/>
        <w:jc w:val="both"/>
      </w:pPr>
      <w:r>
        <w:rPr/>
        <w:t>公司本年提供的是物业管理服务收入，在同一会计年度内开始并完成的劳务，在完成劳务时 确认收入。</w:t>
      </w:r>
    </w:p>
    <w:p>
      <w:pPr>
        <w:pStyle w:val="BodyText"/>
        <w:spacing w:line="240" w:lineRule="auto" w:before="45"/>
        <w:ind w:left="558" w:right="135"/>
        <w:jc w:val="left"/>
      </w:pPr>
      <w:r>
        <w:rPr/>
        <w:t>在资产负债表日提供劳务交易结果不能够可靠估计的，分别下列情况处理：</w:t>
      </w:r>
    </w:p>
    <w:p>
      <w:pPr>
        <w:spacing w:line="240" w:lineRule="auto" w:before="2"/>
        <w:rPr>
          <w:rFonts w:ascii="宋体" w:hAnsi="宋体" w:cs="宋体" w:eastAsia="宋体" w:hint="default"/>
          <w:sz w:val="14"/>
          <w:szCs w:val="14"/>
        </w:rPr>
      </w:pPr>
    </w:p>
    <w:p>
      <w:pPr>
        <w:pStyle w:val="BodyText"/>
        <w:spacing w:line="400" w:lineRule="auto"/>
        <w:ind w:right="146" w:firstLine="420"/>
        <w:jc w:val="both"/>
      </w:pPr>
      <w:r>
        <w:rPr/>
        <w:t>①已经发生的劳务成本预计能够得到补偿的，按照已经发生的劳务成本金额确认提供劳务收 入，并按相同金额结转劳务成本。</w:t>
      </w:r>
    </w:p>
    <w:p>
      <w:pPr>
        <w:pStyle w:val="BodyText"/>
        <w:spacing w:line="400" w:lineRule="auto" w:before="15"/>
        <w:ind w:right="146" w:firstLine="420"/>
        <w:jc w:val="both"/>
      </w:pPr>
      <w:r>
        <w:rPr/>
        <w:t>②已经发生的劳务成本预计不能够得到补偿的，将已经发生的劳务成本计入当期损益，不确 认提供劳务收入。</w:t>
      </w:r>
    </w:p>
    <w:p>
      <w:pPr>
        <w:spacing w:after="0" w:line="400" w:lineRule="auto"/>
        <w:jc w:val="both"/>
        <w:sectPr>
          <w:pgSz w:w="11910" w:h="16840"/>
          <w:pgMar w:header="882" w:footer="1194" w:top="1120" w:bottom="1380" w:left="1660" w:right="1140"/>
        </w:sectPr>
      </w:pPr>
    </w:p>
    <w:p>
      <w:pPr>
        <w:spacing w:line="240" w:lineRule="auto" w:before="3"/>
        <w:rPr>
          <w:rFonts w:ascii="宋体" w:hAnsi="宋体" w:cs="宋体" w:eastAsia="宋体" w:hint="default"/>
          <w:sz w:val="25"/>
          <w:szCs w:val="25"/>
        </w:rPr>
      </w:pPr>
    </w:p>
    <w:p>
      <w:pPr>
        <w:pStyle w:val="Heading3"/>
        <w:spacing w:line="312" w:lineRule="auto"/>
        <w:ind w:left="138" w:right="3188"/>
        <w:jc w:val="left"/>
        <w:rPr>
          <w:b w:val="0"/>
          <w:bCs w:val="0"/>
        </w:rPr>
      </w:pPr>
      <w:r>
        <w:rPr>
          <w:rFonts w:ascii="Calibri" w:hAnsi="Calibri" w:cs="Calibri" w:eastAsia="Calibri" w:hint="default"/>
        </w:rPr>
        <w:t>20.</w:t>
      </w:r>
      <w:r>
        <w:rPr>
          <w:rFonts w:ascii="Calibri" w:hAnsi="Calibri" w:cs="Calibri" w:eastAsia="Calibri" w:hint="default"/>
          <w:spacing w:val="12"/>
        </w:rPr>
        <w:t> </w:t>
      </w:r>
      <w:r>
        <w:rPr/>
        <w:t>政府补助</w:t>
      </w:r>
      <w:r>
        <w:rPr>
          <w:spacing w:val="1"/>
          <w:w w:val="99"/>
        </w:rPr>
        <w:t> </w:t>
      </w:r>
      <w:r>
        <w:rPr>
          <w:rFonts w:ascii="宋体" w:hAnsi="宋体" w:cs="宋体" w:eastAsia="宋体" w:hint="default"/>
          <w:w w:val="95"/>
        </w:rPr>
        <w:t>(1)</w:t>
      </w:r>
      <w:r>
        <w:rPr>
          <w:w w:val="95"/>
        </w:rPr>
        <w:t>、与资产相关的政府补助判断依据及会计处理方法</w:t>
      </w:r>
      <w:r>
        <w:rPr>
          <w:b w:val="0"/>
          <w:bCs w:val="0"/>
        </w:rPr>
      </w:r>
    </w:p>
    <w:p>
      <w:pPr>
        <w:spacing w:line="240" w:lineRule="auto" w:before="4"/>
        <w:rPr>
          <w:rFonts w:ascii="宋体" w:hAnsi="宋体" w:cs="宋体" w:eastAsia="宋体" w:hint="default"/>
          <w:b/>
          <w:bCs/>
          <w:sz w:val="16"/>
          <w:szCs w:val="16"/>
        </w:rPr>
      </w:pPr>
    </w:p>
    <w:p>
      <w:pPr>
        <w:pStyle w:val="BodyText"/>
        <w:spacing w:line="391" w:lineRule="auto"/>
        <w:ind w:right="208" w:firstLine="420"/>
        <w:jc w:val="left"/>
        <w:rPr>
          <w:rFonts w:ascii="宋体" w:hAnsi="宋体" w:cs="宋体" w:eastAsia="宋体" w:hint="default"/>
        </w:rPr>
      </w:pPr>
      <w:r>
        <w:rPr/>
        <w:t>本公司取得的、用于购建或以其他方式形成长期资产的政府补助，确认为与资产相关的政府 补助，与资产相关的政府补助，确认为递延收益，自相关资产可供使用时起，按照相关资产的预 计使用期限，将递延收益平均分摊转入当期损益。 </w:t>
      </w:r>
      <w:r>
        <w:rPr>
          <w:rFonts w:ascii="宋体" w:hAnsi="宋体" w:cs="宋体" w:eastAsia="宋体" w:hint="default"/>
          <w:b/>
          <w:bCs/>
        </w:rPr>
        <w:t>(2)</w:t>
      </w:r>
      <w:r>
        <w:rPr>
          <w:rFonts w:ascii="宋体" w:hAnsi="宋体" w:cs="宋体" w:eastAsia="宋体" w:hint="default"/>
          <w:b/>
          <w:bCs/>
        </w:rPr>
        <w:t>、与收益相关的政府补助判断依据及会计处理方法</w:t>
      </w:r>
      <w:r>
        <w:rPr>
          <w:rFonts w:ascii="宋体" w:hAnsi="宋体" w:cs="宋体" w:eastAsia="宋体" w:hint="default"/>
        </w:rPr>
      </w:r>
    </w:p>
    <w:p>
      <w:pPr>
        <w:pStyle w:val="BodyText"/>
        <w:spacing w:line="400" w:lineRule="auto" w:before="143"/>
        <w:ind w:right="214" w:firstLine="420"/>
        <w:jc w:val="both"/>
      </w:pPr>
      <w:r>
        <w:rPr/>
        <w:t>除与资产相关的政府补助之外的政府补助，确认为与收益相关的政府补助。分别下列情况处 理：用于补偿企业以后期间的相关费用或损失的，确认为递延收益，并在确认相关费用的期间，</w:t>
      </w:r>
      <w:r>
        <w:rPr>
          <w:spacing w:val="-95"/>
        </w:rPr>
        <w:t> </w:t>
      </w:r>
      <w:r>
        <w:rPr>
          <w:spacing w:val="-95"/>
        </w:rPr>
      </w:r>
      <w:r>
        <w:rPr/>
        <w:t>计入当期损益；用于补偿企业已发生的相关费用或损失的，直接计入当期损益。</w:t>
      </w:r>
    </w:p>
    <w:p>
      <w:pPr>
        <w:pStyle w:val="BodyText"/>
        <w:spacing w:line="400" w:lineRule="auto" w:before="45"/>
        <w:ind w:left="558" w:right="101"/>
        <w:jc w:val="left"/>
      </w:pPr>
      <w:r>
        <w:rPr/>
        <w:t>区分与资产相关政府补助和与收益相关政府补助的具体标准 </w:t>
      </w:r>
      <w:r>
        <w:rPr>
          <w:spacing w:val="-3"/>
        </w:rPr>
        <w:t>若政府文件未明确规定补助对象，将该政府补助划分为与资产相关或与收益相关的判断依据：</w:t>
      </w:r>
    </w:p>
    <w:p>
      <w:pPr>
        <w:pStyle w:val="BodyText"/>
        <w:spacing w:line="400" w:lineRule="auto" w:before="44"/>
        <w:ind w:right="226"/>
        <w:jc w:val="both"/>
      </w:pPr>
      <w:r>
        <w:rPr/>
        <w:t>①政府文件明确了补助所针对的特定项目的，根据该特定项目的预算中将形成资产的支出金额和 计入费用的支出金额的相对比例进行划分，对该划分比例需在每个资产负债表日进行复核，必要 时进行变更；②政府文件中对用途仅作一般性表述，没有指明特定项目的，作为与收益相关的政 府补助。</w:t>
      </w:r>
    </w:p>
    <w:p>
      <w:pPr>
        <w:spacing w:line="240" w:lineRule="auto" w:before="10"/>
        <w:rPr>
          <w:rFonts w:ascii="宋体" w:hAnsi="宋体" w:cs="宋体" w:eastAsia="宋体" w:hint="default"/>
          <w:sz w:val="16"/>
          <w:szCs w:val="16"/>
        </w:rPr>
      </w:pPr>
    </w:p>
    <w:p>
      <w:pPr>
        <w:pStyle w:val="Heading3"/>
        <w:spacing w:line="240" w:lineRule="auto" w:before="0"/>
        <w:ind w:left="138" w:right="0"/>
        <w:jc w:val="both"/>
        <w:rPr>
          <w:b w:val="0"/>
          <w:bCs w:val="0"/>
        </w:rPr>
      </w:pPr>
      <w:r>
        <w:rPr>
          <w:rFonts w:ascii="Calibri" w:hAnsi="Calibri" w:cs="Calibri" w:eastAsia="Calibri" w:hint="default"/>
        </w:rPr>
        <w:t>21.  </w:t>
      </w:r>
      <w:r>
        <w:rPr>
          <w:rFonts w:ascii="Calibri" w:hAnsi="Calibri" w:cs="Calibri" w:eastAsia="Calibri" w:hint="default"/>
          <w:spacing w:val="9"/>
        </w:rPr>
        <w:t> </w:t>
      </w:r>
      <w:r>
        <w:rPr/>
        <w:t>递延所得税资产</w:t>
      </w:r>
      <w:r>
        <w:rPr>
          <w:rFonts w:ascii="Calibri" w:hAnsi="Calibri" w:cs="Calibri" w:eastAsia="Calibri" w:hint="default"/>
        </w:rPr>
        <w:t>/</w:t>
      </w:r>
      <w:r>
        <w:rPr/>
        <w:t>递延所得税负债</w:t>
      </w:r>
      <w:r>
        <w:rPr>
          <w:b w:val="0"/>
          <w:bCs w:val="0"/>
        </w:rPr>
      </w:r>
    </w:p>
    <w:p>
      <w:pPr>
        <w:pStyle w:val="BodyText"/>
        <w:spacing w:line="400" w:lineRule="auto" w:before="189"/>
        <w:ind w:right="214" w:firstLine="420"/>
        <w:jc w:val="both"/>
      </w:pPr>
      <w:r>
        <w:rPr>
          <w:spacing w:val="-3"/>
        </w:rPr>
        <w:t>（</w:t>
      </w:r>
      <w:r>
        <w:rPr>
          <w:rFonts w:ascii="宋体" w:hAnsi="宋体" w:cs="宋体" w:eastAsia="宋体" w:hint="default"/>
          <w:spacing w:val="-3"/>
        </w:rPr>
        <w:t>1</w:t>
      </w:r>
      <w:r>
        <w:rPr>
          <w:spacing w:val="-3"/>
        </w:rPr>
        <w:t>）根据资产、负债的账面价值与其计税基础之间的差额（未作为资产和负债确认的项目按</w:t>
      </w:r>
      <w:r>
        <w:rPr/>
        <w:t> 照税法规定可以确定其计税基础的，确定该计税基础为其差额），按照预期收回该资产或清偿该</w:t>
      </w:r>
      <w:r>
        <w:rPr>
          <w:spacing w:val="-95"/>
        </w:rPr>
        <w:t> </w:t>
      </w:r>
      <w:r>
        <w:rPr>
          <w:spacing w:val="-95"/>
        </w:rPr>
      </w:r>
      <w:r>
        <w:rPr/>
        <w:t>负债期间的适用税率计算确认递延所得税资产或递延所得税负债。</w:t>
      </w:r>
    </w:p>
    <w:p>
      <w:pPr>
        <w:pStyle w:val="BodyText"/>
        <w:spacing w:line="400" w:lineRule="auto" w:before="45"/>
        <w:ind w:right="103" w:firstLine="420"/>
        <w:jc w:val="left"/>
      </w:pPr>
      <w:r>
        <w:rPr/>
        <w:t>（</w:t>
      </w:r>
      <w:r>
        <w:rPr>
          <w:rFonts w:ascii="宋体" w:hAnsi="宋体" w:cs="宋体" w:eastAsia="宋体" w:hint="default"/>
        </w:rPr>
        <w:t>2</w:t>
      </w:r>
      <w:r>
        <w:rPr/>
        <w:t>）递延所得税资产的确认以很可能取得用来抵扣可抵扣暂时性差异的应纳税所得额为限。 资产负债表日，有确凿证据表明未来期间很可能获得足够的应纳税所得额用来抵扣可抵扣暂时性</w:t>
      </w:r>
      <w:r>
        <w:rPr>
          <w:spacing w:val="-96"/>
        </w:rPr>
        <w:t> </w:t>
      </w:r>
      <w:r>
        <w:rPr>
          <w:spacing w:val="-96"/>
        </w:rPr>
      </w:r>
      <w:r>
        <w:rPr/>
        <w:t>差异的，确认以前会计期间未确认的递延所得税资产。如未来期间很可能无法获得足够的应纳税</w:t>
      </w:r>
      <w:r>
        <w:rPr>
          <w:spacing w:val="-96"/>
        </w:rPr>
        <w:t> </w:t>
      </w:r>
      <w:r>
        <w:rPr>
          <w:spacing w:val="-96"/>
        </w:rPr>
      </w:r>
      <w:r>
        <w:rPr/>
        <w:t>所得额用以抵扣递延所得税资产的，则减记递延所得税资产的账面价值。</w:t>
      </w:r>
    </w:p>
    <w:p>
      <w:pPr>
        <w:pStyle w:val="BodyText"/>
        <w:spacing w:line="400" w:lineRule="auto" w:before="44"/>
        <w:ind w:right="214" w:firstLine="420"/>
        <w:jc w:val="both"/>
      </w:pPr>
      <w:r>
        <w:rPr>
          <w:spacing w:val="-3"/>
        </w:rPr>
        <w:t>（</w:t>
      </w:r>
      <w:r>
        <w:rPr>
          <w:rFonts w:ascii="宋体" w:hAnsi="宋体" w:cs="宋体" w:eastAsia="宋体" w:hint="default"/>
          <w:spacing w:val="-3"/>
        </w:rPr>
        <w:t>3</w:t>
      </w:r>
      <w:r>
        <w:rPr>
          <w:spacing w:val="-3"/>
        </w:rPr>
        <w:t>）对与子公司及联营企业投资相关的应纳税暂时性差异，确认递延所得税负债，除非本公</w:t>
      </w:r>
      <w:r>
        <w:rPr/>
        <w:t> 司能够控制暂时性差异转回的时间且该暂时性差异在可预见的未来很可能不会转回。对与子公司 及联营企业投资相关的可抵扣暂时性差异，当该暂时性差异在可预见的未来很可能转回且未来很 可能获得用来抵扣可抵扣暂时性差异的应纳税所得额时，确认递延所得税资产。</w:t>
      </w:r>
    </w:p>
    <w:p>
      <w:pPr>
        <w:spacing w:after="0" w:line="400" w:lineRule="auto"/>
        <w:jc w:val="both"/>
        <w:sectPr>
          <w:pgSz w:w="11910" w:h="16840"/>
          <w:pgMar w:header="882" w:footer="1194" w:top="1120" w:bottom="1380" w:left="1660" w:right="1060"/>
        </w:sectPr>
      </w:pPr>
    </w:p>
    <w:p>
      <w:pPr>
        <w:spacing w:line="240" w:lineRule="auto" w:before="3"/>
        <w:rPr>
          <w:rFonts w:ascii="宋体" w:hAnsi="宋体" w:cs="宋体" w:eastAsia="宋体" w:hint="default"/>
          <w:sz w:val="25"/>
          <w:szCs w:val="25"/>
        </w:rPr>
      </w:pPr>
    </w:p>
    <w:p>
      <w:pPr>
        <w:pStyle w:val="Heading3"/>
        <w:spacing w:line="312" w:lineRule="auto"/>
        <w:ind w:right="6201"/>
        <w:jc w:val="left"/>
        <w:rPr>
          <w:b w:val="0"/>
          <w:bCs w:val="0"/>
        </w:rPr>
      </w:pPr>
      <w:r>
        <w:rPr>
          <w:rFonts w:ascii="Calibri" w:hAnsi="Calibri" w:cs="Calibri" w:eastAsia="Calibri" w:hint="default"/>
        </w:rPr>
        <w:t>22.</w:t>
      </w:r>
      <w:r>
        <w:rPr>
          <w:rFonts w:ascii="Calibri" w:hAnsi="Calibri" w:cs="Calibri" w:eastAsia="Calibri" w:hint="default"/>
          <w:spacing w:val="12"/>
        </w:rPr>
        <w:t> </w:t>
      </w:r>
      <w:r>
        <w:rPr/>
        <w:t>租赁</w:t>
      </w:r>
      <w:r>
        <w:rPr>
          <w:spacing w:val="1"/>
          <w:w w:val="99"/>
        </w:rPr>
        <w:t> </w:t>
      </w:r>
      <w:r>
        <w:rPr>
          <w:rFonts w:ascii="宋体" w:hAnsi="宋体" w:cs="宋体" w:eastAsia="宋体" w:hint="default"/>
        </w:rPr>
        <w:t>(1)</w:t>
      </w:r>
      <w:r>
        <w:rPr/>
        <w:t>、经营租赁的会计处理方法</w:t>
      </w:r>
      <w:r>
        <w:rPr>
          <w:b w:val="0"/>
          <w:bCs w:val="0"/>
        </w:rPr>
      </w:r>
    </w:p>
    <w:p>
      <w:pPr>
        <w:spacing w:line="472" w:lineRule="auto" w:before="93"/>
        <w:ind w:left="218" w:right="1698" w:firstLine="420"/>
        <w:jc w:val="left"/>
        <w:rPr>
          <w:rFonts w:ascii="宋体" w:hAnsi="宋体" w:cs="宋体" w:eastAsia="宋体" w:hint="default"/>
          <w:sz w:val="21"/>
          <w:szCs w:val="21"/>
        </w:rPr>
      </w:pPr>
      <w:r>
        <w:rPr>
          <w:rFonts w:ascii="宋体" w:hAnsi="宋体" w:cs="宋体" w:eastAsia="宋体" w:hint="default"/>
          <w:sz w:val="21"/>
          <w:szCs w:val="21"/>
        </w:rPr>
        <w:t>经营租赁的租金支出在租赁期内按照直线法计入相关资产成本或当期损益。 </w:t>
      </w: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pStyle w:val="BodyText"/>
        <w:spacing w:line="227" w:lineRule="exact"/>
        <w:ind w:left="218" w:right="86" w:firstLine="420"/>
        <w:jc w:val="left"/>
      </w:pPr>
      <w:r>
        <w:rPr/>
        <w:t>以租赁资产的公允价值与最低租赁付款额的现值两者中较低者作为租入资产的入账价值，租</w:t>
      </w:r>
    </w:p>
    <w:p>
      <w:pPr>
        <w:spacing w:line="240" w:lineRule="auto" w:before="2"/>
        <w:rPr>
          <w:rFonts w:ascii="宋体" w:hAnsi="宋体" w:cs="宋体" w:eastAsia="宋体" w:hint="default"/>
          <w:sz w:val="14"/>
          <w:szCs w:val="14"/>
        </w:rPr>
      </w:pPr>
    </w:p>
    <w:p>
      <w:pPr>
        <w:pStyle w:val="BodyText"/>
        <w:spacing w:line="403" w:lineRule="auto"/>
        <w:ind w:left="218" w:right="228"/>
        <w:jc w:val="left"/>
      </w:pPr>
      <w:r>
        <w:rPr/>
        <w:t>入资产的入账价值与最低租赁付款额之间的差额作为未确认融资费用，在租赁期内按实际利率法 摊销。最低租赁付款额扣除未确认融资费用后的余额作为长期应付款列示。</w:t>
      </w:r>
    </w:p>
    <w:p>
      <w:pPr>
        <w:spacing w:line="240" w:lineRule="auto" w:before="7"/>
        <w:rPr>
          <w:rFonts w:ascii="宋体" w:hAnsi="宋体" w:cs="宋体" w:eastAsia="宋体" w:hint="default"/>
          <w:sz w:val="16"/>
          <w:szCs w:val="16"/>
        </w:rPr>
      </w:pPr>
    </w:p>
    <w:p>
      <w:pPr>
        <w:pStyle w:val="Heading3"/>
        <w:spacing w:line="312" w:lineRule="auto" w:before="0"/>
        <w:ind w:right="3906"/>
        <w:jc w:val="left"/>
        <w:rPr>
          <w:b w:val="0"/>
          <w:bCs w:val="0"/>
        </w:rPr>
      </w:pPr>
      <w:r>
        <w:rPr>
          <w:rFonts w:ascii="Calibri" w:hAnsi="Calibri" w:cs="Calibri" w:eastAsia="Calibri" w:hint="default"/>
        </w:rPr>
        <w:t>23.</w:t>
      </w:r>
      <w:r>
        <w:rPr>
          <w:rFonts w:ascii="Calibri" w:hAnsi="Calibri" w:cs="Calibri" w:eastAsia="Calibri" w:hint="default"/>
          <w:spacing w:val="9"/>
        </w:rPr>
        <w:t> </w:t>
      </w:r>
      <w:r>
        <w:rPr/>
        <w:t>重要会计政策和会计估计的变更</w:t>
      </w:r>
      <w:r>
        <w:rPr>
          <w:w w:val="99"/>
        </w:rPr>
        <w:t> </w:t>
      </w:r>
      <w:r>
        <w:rPr>
          <w:rFonts w:ascii="宋体" w:hAnsi="宋体" w:cs="宋体" w:eastAsia="宋体" w:hint="default"/>
        </w:rPr>
        <w:t>(1)</w:t>
      </w:r>
      <w:r>
        <w:rPr/>
        <w:t>、重要会计政策变更</w:t>
      </w:r>
      <w:r>
        <w:rPr>
          <w:b w:val="0"/>
          <w:bCs w:val="0"/>
        </w:rPr>
      </w:r>
    </w:p>
    <w:p>
      <w:pPr>
        <w:pStyle w:val="BodyText"/>
        <w:spacing w:line="240" w:lineRule="auto" w:before="54"/>
        <w:ind w:left="218" w:right="228"/>
        <w:jc w:val="left"/>
      </w:pPr>
      <w:r>
        <w:rPr/>
        <w:t>√适用</w:t>
      </w:r>
      <w:r>
        <w:rPr>
          <w:spacing w:val="-2"/>
        </w:rPr>
        <w:t> </w:t>
      </w:r>
      <w:r>
        <w:rPr/>
        <w:t>□不适用</w:t>
      </w:r>
    </w:p>
    <w:p>
      <w:pPr>
        <w:spacing w:line="240" w:lineRule="auto" w:before="3"/>
        <w:rPr>
          <w:rFonts w:ascii="宋体" w:hAnsi="宋体" w:cs="宋体" w:eastAsia="宋体" w:hint="default"/>
          <w:sz w:val="14"/>
          <w:szCs w:val="14"/>
        </w:rPr>
      </w:pPr>
    </w:p>
    <w:p>
      <w:pPr>
        <w:pStyle w:val="BodyText"/>
        <w:spacing w:line="240" w:lineRule="auto"/>
        <w:ind w:left="638" w:right="86"/>
        <w:jc w:val="left"/>
      </w:pPr>
      <w:r>
        <w:rPr/>
        <w:t>财政部于</w:t>
      </w:r>
      <w:r>
        <w:rPr>
          <w:spacing w:val="-53"/>
        </w:rPr>
        <w:t> </w:t>
      </w:r>
      <w:r>
        <w:rPr>
          <w:rFonts w:ascii="宋体" w:hAnsi="宋体" w:cs="宋体" w:eastAsia="宋体" w:hint="default"/>
        </w:rPr>
        <w:t>2014</w:t>
      </w:r>
      <w:r>
        <w:rPr>
          <w:rFonts w:ascii="宋体" w:hAnsi="宋体" w:cs="宋体" w:eastAsia="宋体" w:hint="default"/>
          <w:spacing w:val="-53"/>
        </w:rPr>
        <w:t> </w:t>
      </w:r>
      <w:r>
        <w:rPr>
          <w:spacing w:val="-3"/>
        </w:rPr>
        <w:t>年修订和新颁布了《企业会计准则第</w:t>
      </w:r>
      <w:r>
        <w:rPr>
          <w:spacing w:val="-52"/>
        </w:rPr>
        <w:t> </w:t>
      </w:r>
      <w:r>
        <w:rPr>
          <w:rFonts w:ascii="宋体" w:hAnsi="宋体" w:cs="宋体" w:eastAsia="宋体" w:hint="default"/>
        </w:rPr>
        <w:t>2</w:t>
      </w:r>
      <w:r>
        <w:rPr>
          <w:rFonts w:ascii="宋体" w:hAnsi="宋体" w:cs="宋体" w:eastAsia="宋体" w:hint="default"/>
          <w:spacing w:val="-52"/>
        </w:rPr>
        <w:t> </w:t>
      </w:r>
      <w:r>
        <w:rPr>
          <w:spacing w:val="-3"/>
        </w:rPr>
        <w:t>号—长期股权投资》等八项企业会计准</w:t>
      </w:r>
    </w:p>
    <w:p>
      <w:pPr>
        <w:spacing w:line="240" w:lineRule="auto" w:before="2"/>
        <w:rPr>
          <w:rFonts w:ascii="宋体" w:hAnsi="宋体" w:cs="宋体" w:eastAsia="宋体" w:hint="default"/>
          <w:sz w:val="14"/>
          <w:szCs w:val="14"/>
        </w:rPr>
      </w:pPr>
    </w:p>
    <w:p>
      <w:pPr>
        <w:pStyle w:val="BodyText"/>
        <w:spacing w:line="240" w:lineRule="auto"/>
        <w:ind w:left="218" w:right="86"/>
        <w:jc w:val="left"/>
        <w:rPr>
          <w:rFonts w:ascii="宋体" w:hAnsi="宋体" w:cs="宋体" w:eastAsia="宋体" w:hint="default"/>
        </w:rPr>
      </w:pPr>
      <w:r>
        <w:rPr>
          <w:spacing w:val="-12"/>
        </w:rPr>
        <w:t>则，除《企业会计准则第</w:t>
      </w:r>
      <w:r>
        <w:rPr>
          <w:spacing w:val="-49"/>
        </w:rPr>
        <w:t> </w:t>
      </w:r>
      <w:r>
        <w:rPr>
          <w:rFonts w:ascii="宋体" w:hAnsi="宋体" w:cs="宋体" w:eastAsia="宋体" w:hint="default"/>
        </w:rPr>
        <w:t>37</w:t>
      </w:r>
      <w:r>
        <w:rPr>
          <w:rFonts w:ascii="宋体" w:hAnsi="宋体" w:cs="宋体" w:eastAsia="宋体" w:hint="default"/>
          <w:spacing w:val="-47"/>
        </w:rPr>
        <w:t> </w:t>
      </w:r>
      <w:r>
        <w:rPr>
          <w:spacing w:val="-7"/>
        </w:rPr>
        <w:t>号—金融工具列报》从</w:t>
      </w:r>
      <w:r>
        <w:rPr>
          <w:spacing w:val="-47"/>
        </w:rPr>
        <w:t> </w:t>
      </w:r>
      <w:r>
        <w:rPr>
          <w:rFonts w:ascii="宋体" w:hAnsi="宋体" w:cs="宋体" w:eastAsia="宋体" w:hint="default"/>
        </w:rPr>
        <w:t>2014</w:t>
      </w:r>
      <w:r>
        <w:rPr>
          <w:rFonts w:ascii="宋体" w:hAnsi="宋体" w:cs="宋体" w:eastAsia="宋体" w:hint="default"/>
          <w:spacing w:val="-49"/>
        </w:rPr>
        <w:t> </w:t>
      </w:r>
      <w:r>
        <w:rPr>
          <w:spacing w:val="-5"/>
        </w:rPr>
        <w:t>年度及以后期间实施外，其他准则从</w:t>
      </w:r>
      <w:r>
        <w:rPr>
          <w:spacing w:val="-47"/>
        </w:rPr>
        <w:t> </w:t>
      </w:r>
      <w:r>
        <w:rPr>
          <w:rFonts w:ascii="宋体" w:hAnsi="宋体" w:cs="宋体" w:eastAsia="宋体" w:hint="default"/>
        </w:rPr>
        <w:t>2014</w:t>
      </w:r>
    </w:p>
    <w:p>
      <w:pPr>
        <w:spacing w:line="240" w:lineRule="auto" w:before="3"/>
        <w:rPr>
          <w:rFonts w:ascii="宋体" w:hAnsi="宋体" w:cs="宋体" w:eastAsia="宋体" w:hint="default"/>
          <w:sz w:val="14"/>
          <w:szCs w:val="14"/>
        </w:rPr>
      </w:pPr>
    </w:p>
    <w:p>
      <w:pPr>
        <w:pStyle w:val="BodyText"/>
        <w:spacing w:line="240" w:lineRule="auto"/>
        <w:ind w:left="218" w:right="86"/>
        <w:jc w:val="left"/>
      </w:pPr>
      <w:r>
        <w:rPr/>
        <w:t>年</w:t>
      </w:r>
      <w:r>
        <w:rPr>
          <w:spacing w:val="-50"/>
        </w:rPr>
        <w:t> </w:t>
      </w:r>
      <w:r>
        <w:rPr>
          <w:rFonts w:ascii="宋体" w:hAnsi="宋体" w:cs="宋体" w:eastAsia="宋体" w:hint="default"/>
        </w:rPr>
        <w:t>7</w:t>
      </w:r>
      <w:r>
        <w:rPr>
          <w:rFonts w:ascii="宋体" w:hAnsi="宋体" w:cs="宋体" w:eastAsia="宋体" w:hint="default"/>
          <w:spacing w:val="-50"/>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t>日起在执行企业会计准则的企业实施。本公司根据准则规定重新厘定了相关会计政策，</w:t>
      </w:r>
    </w:p>
    <w:p>
      <w:pPr>
        <w:spacing w:line="240" w:lineRule="auto" w:before="2"/>
        <w:rPr>
          <w:rFonts w:ascii="宋体" w:hAnsi="宋体" w:cs="宋体" w:eastAsia="宋体" w:hint="default"/>
          <w:sz w:val="14"/>
          <w:szCs w:val="14"/>
        </w:rPr>
      </w:pPr>
    </w:p>
    <w:p>
      <w:pPr>
        <w:pStyle w:val="BodyText"/>
        <w:spacing w:line="240" w:lineRule="auto"/>
        <w:ind w:left="218" w:right="228"/>
        <w:jc w:val="left"/>
      </w:pPr>
      <w:r>
        <w:rPr/>
        <w:t>本次会计政策变更未对</w:t>
      </w:r>
      <w:r>
        <w:rPr>
          <w:spacing w:val="-54"/>
        </w:rPr>
        <w:t> </w:t>
      </w:r>
      <w:r>
        <w:rPr>
          <w:rFonts w:ascii="宋体" w:hAnsi="宋体" w:cs="宋体" w:eastAsia="宋体" w:hint="default"/>
        </w:rPr>
        <w:t>2014</w:t>
      </w:r>
      <w:r>
        <w:rPr>
          <w:rFonts w:ascii="宋体" w:hAnsi="宋体" w:cs="宋体" w:eastAsia="宋体" w:hint="default"/>
          <w:spacing w:val="-54"/>
        </w:rPr>
        <w:t> </w:t>
      </w:r>
      <w:r>
        <w:rPr/>
        <w:t>年度比较财务报表产生影响。</w:t>
      </w:r>
    </w:p>
    <w:p>
      <w:pPr>
        <w:spacing w:line="240" w:lineRule="auto" w:before="2"/>
        <w:rPr>
          <w:rFonts w:ascii="宋体" w:hAnsi="宋体" w:cs="宋体" w:eastAsia="宋体" w:hint="default"/>
          <w:sz w:val="25"/>
          <w:szCs w:val="25"/>
        </w:rPr>
      </w:pPr>
    </w:p>
    <w:p>
      <w:pPr>
        <w:pStyle w:val="Heading3"/>
        <w:spacing w:line="240" w:lineRule="auto" w:before="0"/>
        <w:ind w:right="228"/>
        <w:jc w:val="left"/>
        <w:rPr>
          <w:b w:val="0"/>
          <w:bCs w:val="0"/>
        </w:rPr>
      </w:pPr>
      <w:r>
        <w:rPr>
          <w:rFonts w:ascii="宋体" w:hAnsi="宋体" w:cs="宋体" w:eastAsia="宋体" w:hint="default"/>
        </w:rPr>
        <w:t>(2)</w:t>
      </w:r>
      <w:r>
        <w:rPr/>
        <w:t>、重要会计估计变更</w:t>
      </w:r>
      <w:r>
        <w:rPr>
          <w:b w:val="0"/>
          <w:bCs w:val="0"/>
        </w:rPr>
      </w:r>
    </w:p>
    <w:p>
      <w:pPr>
        <w:pStyle w:val="BodyText"/>
        <w:spacing w:line="240" w:lineRule="auto" w:before="118"/>
        <w:ind w:left="218" w:right="228"/>
        <w:jc w:val="left"/>
      </w:pPr>
      <w:r>
        <w:rPr/>
        <w:t>□适用</w:t>
      </w:r>
      <w:r>
        <w:rPr>
          <w:spacing w:val="-2"/>
        </w:rPr>
        <w:t> </w:t>
      </w:r>
      <w:r>
        <w:rPr/>
        <w:t>√不适用</w:t>
      </w:r>
    </w:p>
    <w:p>
      <w:pPr>
        <w:spacing w:line="240" w:lineRule="auto" w:before="3"/>
        <w:rPr>
          <w:rFonts w:ascii="宋体" w:hAnsi="宋体" w:cs="宋体" w:eastAsia="宋体" w:hint="default"/>
          <w:sz w:val="25"/>
          <w:szCs w:val="25"/>
        </w:rPr>
      </w:pPr>
    </w:p>
    <w:p>
      <w:pPr>
        <w:pStyle w:val="Heading3"/>
        <w:spacing w:line="240" w:lineRule="auto" w:before="0"/>
        <w:ind w:right="228"/>
        <w:jc w:val="left"/>
        <w:rPr>
          <w:b w:val="0"/>
          <w:bCs w:val="0"/>
        </w:rPr>
      </w:pPr>
      <w:r>
        <w:rPr/>
        <w:t>六、税项</w:t>
      </w:r>
      <w:r>
        <w:rPr>
          <w:b w:val="0"/>
          <w:bCs w:val="0"/>
        </w:rPr>
      </w:r>
    </w:p>
    <w:p>
      <w:pPr>
        <w:pStyle w:val="Heading3"/>
        <w:tabs>
          <w:tab w:pos="642" w:val="left" w:leader="none"/>
        </w:tabs>
        <w:spacing w:line="240" w:lineRule="auto" w:before="117"/>
        <w:ind w:right="228"/>
        <w:jc w:val="left"/>
        <w:rPr>
          <w:b w:val="0"/>
          <w:bCs w:val="0"/>
        </w:rPr>
      </w:pPr>
      <w:r>
        <w:rPr>
          <w:rFonts w:ascii="Calibri" w:hAnsi="Calibri" w:cs="Calibri" w:eastAsia="Calibri" w:hint="default"/>
        </w:rPr>
        <w:t>1.</w:t>
        <w:tab/>
      </w:r>
      <w:r>
        <w:rPr/>
        <w:t>主要税种及税率</w:t>
      </w:r>
      <w:r>
        <w:rPr>
          <w:b w:val="0"/>
          <w:bCs w:val="0"/>
        </w:rPr>
      </w:r>
    </w:p>
    <w:p>
      <w:pPr>
        <w:spacing w:line="240" w:lineRule="auto" w:before="8"/>
        <w:rPr>
          <w:rFonts w:ascii="宋体" w:hAnsi="宋体" w:cs="宋体" w:eastAsia="宋体" w:hint="default"/>
          <w:b/>
          <w:bCs/>
          <w:sz w:val="9"/>
          <w:szCs w:val="9"/>
        </w:rPr>
      </w:pPr>
    </w:p>
    <w:tbl>
      <w:tblPr>
        <w:tblW w:w="0" w:type="auto"/>
        <w:jc w:val="left"/>
        <w:tblInd w:w="105" w:type="dxa"/>
        <w:tblLayout w:type="fixed"/>
        <w:tblCellMar>
          <w:top w:w="0" w:type="dxa"/>
          <w:left w:w="0" w:type="dxa"/>
          <w:bottom w:w="0" w:type="dxa"/>
          <w:right w:w="0" w:type="dxa"/>
        </w:tblCellMar>
        <w:tblLook w:val="01E0"/>
      </w:tblPr>
      <w:tblGrid>
        <w:gridCol w:w="2782"/>
        <w:gridCol w:w="3146"/>
        <w:gridCol w:w="3123"/>
      </w:tblGrid>
      <w:tr>
        <w:trPr>
          <w:trHeight w:val="45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4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劳务收入</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5%</w:t>
            </w:r>
          </w:p>
        </w:tc>
      </w:tr>
      <w:tr>
        <w:trPr>
          <w:trHeight w:val="45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境内销售</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17%</w:t>
            </w:r>
          </w:p>
        </w:tc>
      </w:tr>
      <w:tr>
        <w:trPr>
          <w:trHeight w:val="45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城建税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7%</w:t>
            </w:r>
          </w:p>
        </w:tc>
      </w:tr>
      <w:tr>
        <w:trPr>
          <w:trHeight w:val="45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3%</w:t>
            </w:r>
          </w:p>
        </w:tc>
      </w:tr>
      <w:tr>
        <w:trPr>
          <w:trHeight w:val="449"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应交流转税额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2%</w:t>
            </w:r>
          </w:p>
        </w:tc>
      </w:tr>
      <w:tr>
        <w:trPr>
          <w:trHeight w:val="450"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应交所得税额</w:t>
            </w:r>
          </w:p>
        </w:tc>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25%</w:t>
            </w:r>
          </w:p>
        </w:tc>
      </w:tr>
    </w:tbl>
    <w:p>
      <w:pPr>
        <w:spacing w:line="240" w:lineRule="auto" w:before="0"/>
        <w:rPr>
          <w:rFonts w:ascii="宋体" w:hAnsi="宋体" w:cs="宋体" w:eastAsia="宋体" w:hint="default"/>
          <w:b/>
          <w:bCs/>
          <w:sz w:val="20"/>
          <w:szCs w:val="20"/>
        </w:rPr>
      </w:pPr>
    </w:p>
    <w:p>
      <w:pPr>
        <w:pStyle w:val="Heading3"/>
        <w:tabs>
          <w:tab w:pos="642" w:val="left" w:leader="none"/>
        </w:tabs>
        <w:spacing w:line="391" w:lineRule="auto"/>
        <w:ind w:right="7796"/>
        <w:jc w:val="left"/>
        <w:rPr>
          <w:rFonts w:ascii="宋体" w:hAnsi="宋体" w:cs="宋体" w:eastAsia="宋体" w:hint="default"/>
          <w:b w:val="0"/>
          <w:bCs w:val="0"/>
        </w:rPr>
      </w:pPr>
      <w:r>
        <w:rPr>
          <w:rFonts w:ascii="Calibri" w:hAnsi="Calibri" w:cs="Calibri" w:eastAsia="Calibri" w:hint="default"/>
        </w:rPr>
        <w:t>2.</w:t>
        <w:tab/>
      </w:r>
      <w:r>
        <w:rPr/>
        <w:t>税收优惠</w:t>
      </w:r>
      <w:r>
        <w:rPr>
          <w:spacing w:val="1"/>
          <w:w w:val="99"/>
        </w:rPr>
        <w:t> </w:t>
      </w:r>
      <w:r>
        <w:rPr>
          <w:rFonts w:ascii="宋体" w:hAnsi="宋体" w:cs="宋体" w:eastAsia="宋体" w:hint="default"/>
          <w:b w:val="0"/>
          <w:bCs w:val="0"/>
        </w:rPr>
        <w:t>无</w:t>
      </w:r>
    </w:p>
    <w:p>
      <w:pPr>
        <w:spacing w:after="0" w:line="391" w:lineRule="auto"/>
        <w:jc w:val="left"/>
        <w:rPr>
          <w:rFonts w:ascii="宋体" w:hAnsi="宋体" w:cs="宋体" w:eastAsia="宋体" w:hint="default"/>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660" w:right="1120"/>
        </w:sectPr>
      </w:pPr>
    </w:p>
    <w:p>
      <w:pPr>
        <w:pStyle w:val="Heading3"/>
        <w:spacing w:line="343" w:lineRule="auto"/>
        <w:ind w:left="138" w:right="-19"/>
        <w:jc w:val="left"/>
        <w:rPr>
          <w:b w:val="0"/>
          <w:bCs w:val="0"/>
        </w:rPr>
      </w:pPr>
      <w:r>
        <w:rPr/>
        <w:t>七、合并财务报表项目注释</w:t>
      </w:r>
      <w:r>
        <w:rPr>
          <w:w w:val="99"/>
        </w:rPr>
        <w:t> </w:t>
      </w:r>
      <w:r>
        <w:rPr>
          <w:rFonts w:ascii="宋体" w:hAnsi="宋体" w:cs="宋体" w:eastAsia="宋体" w:hint="default"/>
        </w:rPr>
        <w:t>1</w:t>
      </w:r>
      <w:r>
        <w:rPr/>
        <w:t>、</w:t>
      </w:r>
      <w:r>
        <w:rPr>
          <w:spacing w:val="-3"/>
        </w:rPr>
        <w:t> </w:t>
      </w:r>
      <w:r>
        <w:rPr/>
        <w:t>货币资金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187" w:val="left" w:leader="none"/>
        </w:tabs>
        <w:spacing w:line="240" w:lineRule="auto"/>
        <w:ind w:left="137" w:right="0"/>
        <w:jc w:val="left"/>
      </w:pPr>
      <w:r>
        <w:rPr/>
        <w:t>单位：元</w:t>
        <w:tab/>
        <w:t>币种：人民币</w:t>
      </w:r>
    </w:p>
    <w:p>
      <w:pPr>
        <w:spacing w:after="0" w:line="240" w:lineRule="auto"/>
        <w:jc w:val="left"/>
        <w:sectPr>
          <w:type w:val="continuous"/>
          <w:pgSz w:w="11910" w:h="16840"/>
          <w:pgMar w:top="1120" w:bottom="1380" w:left="1660" w:right="1120"/>
          <w:cols w:num="2" w:equalWidth="0">
            <w:col w:w="2670" w:space="3854"/>
            <w:col w:w="2606"/>
          </w:cols>
        </w:sectPr>
      </w:pPr>
    </w:p>
    <w:p>
      <w:pPr>
        <w:spacing w:line="240" w:lineRule="auto" w:before="7"/>
        <w:rPr>
          <w:rFonts w:ascii="宋体" w:hAnsi="宋体" w:cs="宋体" w:eastAsia="宋体" w:hint="default"/>
          <w:sz w:val="2"/>
          <w:szCs w:val="2"/>
        </w:rPr>
      </w:pPr>
    </w:p>
    <w:tbl>
      <w:tblPr>
        <w:tblW w:w="0" w:type="auto"/>
        <w:jc w:val="left"/>
        <w:tblInd w:w="122" w:type="dxa"/>
        <w:tblLayout w:type="fixed"/>
        <w:tblCellMar>
          <w:top w:w="0" w:type="dxa"/>
          <w:left w:w="0" w:type="dxa"/>
          <w:bottom w:w="0" w:type="dxa"/>
          <w:right w:w="0" w:type="dxa"/>
        </w:tblCellMar>
        <w:tblLook w:val="01E0"/>
      </w:tblPr>
      <w:tblGrid>
        <w:gridCol w:w="3694"/>
        <w:gridCol w:w="2694"/>
        <w:gridCol w:w="2462"/>
      </w:tblGrid>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29"/>
              <w:jc w:val="right"/>
              <w:rPr>
                <w:rFonts w:ascii="宋体" w:hAnsi="宋体" w:cs="宋体" w:eastAsia="宋体" w:hint="default"/>
                <w:sz w:val="21"/>
                <w:szCs w:val="21"/>
              </w:rPr>
            </w:pPr>
            <w:r>
              <w:rPr>
                <w:rFonts w:ascii="宋体" w:hAnsi="宋体" w:cs="宋体" w:eastAsia="宋体" w:hint="default"/>
                <w:sz w:val="21"/>
                <w:szCs w:val="21"/>
              </w:rPr>
              <w:t>项目</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801"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z w:val="21"/>
              </w:rPr>
              <w:t>197,630.15</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right"/>
              <w:rPr>
                <w:rFonts w:ascii="宋体" w:hAnsi="宋体" w:cs="宋体" w:eastAsia="宋体" w:hint="default"/>
                <w:sz w:val="21"/>
                <w:szCs w:val="21"/>
              </w:rPr>
            </w:pPr>
            <w:r>
              <w:rPr>
                <w:rFonts w:ascii="宋体"/>
                <w:sz w:val="21"/>
              </w:rPr>
              <w:t>146,944.98</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21"/>
                <w:szCs w:val="21"/>
              </w:rPr>
            </w:pPr>
            <w:r>
              <w:rPr>
                <w:rFonts w:ascii="宋体"/>
                <w:sz w:val="21"/>
              </w:rPr>
              <w:t>30,532,520.23</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21"/>
                <w:szCs w:val="21"/>
              </w:rPr>
            </w:pPr>
            <w:r>
              <w:rPr>
                <w:rFonts w:ascii="宋体"/>
                <w:sz w:val="21"/>
              </w:rPr>
              <w:t>25,824,309.47</w:t>
            </w:r>
          </w:p>
        </w:tc>
      </w:tr>
      <w:tr>
        <w:trPr>
          <w:trHeight w:val="390"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694" w:type="dxa"/>
            <w:tcBorders>
              <w:top w:val="single" w:sz="6" w:space="0" w:color="000000"/>
              <w:left w:val="single" w:sz="6" w:space="0" w:color="000000"/>
              <w:bottom w:val="single" w:sz="6" w:space="0" w:color="000000"/>
              <w:right w:val="single" w:sz="6" w:space="0" w:color="000000"/>
            </w:tcBorders>
          </w:tcPr>
          <w:p>
            <w:pPr/>
          </w:p>
        </w:tc>
        <w:tc>
          <w:tcPr>
            <w:tcW w:w="246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629"/>
              <w:jc w:val="right"/>
              <w:rPr>
                <w:rFonts w:ascii="宋体" w:hAnsi="宋体" w:cs="宋体" w:eastAsia="宋体" w:hint="default"/>
                <w:sz w:val="21"/>
                <w:szCs w:val="21"/>
              </w:rPr>
            </w:pPr>
            <w:r>
              <w:rPr>
                <w:rFonts w:ascii="宋体" w:hAnsi="宋体" w:cs="宋体" w:eastAsia="宋体" w:hint="default"/>
                <w:sz w:val="21"/>
                <w:szCs w:val="21"/>
              </w:rPr>
              <w:t>合计</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21"/>
                <w:szCs w:val="21"/>
              </w:rPr>
            </w:pPr>
            <w:r>
              <w:rPr>
                <w:rFonts w:ascii="宋体"/>
                <w:sz w:val="21"/>
              </w:rPr>
              <w:t>30,730,150.38</w:t>
            </w:r>
          </w:p>
        </w:tc>
        <w:tc>
          <w:tcPr>
            <w:tcW w:w="2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21"/>
                <w:szCs w:val="21"/>
              </w:rPr>
            </w:pPr>
            <w:r>
              <w:rPr>
                <w:rFonts w:ascii="宋体"/>
                <w:sz w:val="21"/>
              </w:rPr>
              <w:t>25,971,254.45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20" w:bottom="1380" w:left="1660" w:right="1120"/>
        </w:sectPr>
      </w:pPr>
    </w:p>
    <w:p>
      <w:pPr>
        <w:pStyle w:val="Heading3"/>
        <w:spacing w:line="240" w:lineRule="auto"/>
        <w:ind w:left="138" w:right="-19"/>
        <w:jc w:val="left"/>
        <w:rPr>
          <w:b w:val="0"/>
          <w:bCs w:val="0"/>
        </w:rPr>
      </w:pPr>
      <w:r>
        <w:rPr>
          <w:rFonts w:ascii="宋体" w:hAnsi="宋体" w:cs="宋体" w:eastAsia="宋体" w:hint="default"/>
        </w:rPr>
        <w:t>2</w:t>
      </w:r>
      <w:r>
        <w:rPr/>
        <w:t>、</w:t>
      </w:r>
      <w:r>
        <w:rPr>
          <w:spacing w:val="-3"/>
        </w:rPr>
        <w:t> </w:t>
      </w:r>
      <w:r>
        <w:rPr/>
        <w:t>应收账款</w:t>
      </w:r>
      <w:r>
        <w:rPr>
          <w:b w:val="0"/>
          <w:bCs w:val="0"/>
        </w:rPr>
      </w:r>
    </w:p>
    <w:p>
      <w:pPr>
        <w:pStyle w:val="Heading3"/>
        <w:spacing w:line="240" w:lineRule="auto" w:before="117"/>
        <w:ind w:left="138" w:right="-19"/>
        <w:jc w:val="left"/>
        <w:rPr>
          <w:b w:val="0"/>
          <w:bCs w:val="0"/>
        </w:rPr>
      </w:pPr>
      <w:r>
        <w:rPr>
          <w:rFonts w:ascii="宋体" w:hAnsi="宋体" w:cs="宋体" w:eastAsia="宋体" w:hint="default"/>
        </w:rPr>
        <w:t>(1).</w:t>
      </w:r>
      <w:r>
        <w:rPr>
          <w:rFonts w:ascii="宋体" w:hAnsi="宋体" w:cs="宋体" w:eastAsia="宋体" w:hint="default"/>
          <w:spacing w:val="42"/>
        </w:rPr>
        <w:t> </w:t>
      </w:r>
      <w:r>
        <w:rPr/>
        <w:t>应收账款分类披露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tabs>
          <w:tab w:pos="1187" w:val="left" w:leader="none"/>
        </w:tabs>
        <w:spacing w:line="240" w:lineRule="auto"/>
        <w:ind w:right="0"/>
        <w:jc w:val="left"/>
      </w:pPr>
      <w:r>
        <w:rPr/>
        <w:t>单位：元</w:t>
        <w:tab/>
        <w:t>币种：人民币</w:t>
      </w:r>
    </w:p>
    <w:p>
      <w:pPr>
        <w:spacing w:after="0" w:line="240" w:lineRule="auto"/>
        <w:jc w:val="left"/>
        <w:sectPr>
          <w:type w:val="continuous"/>
          <w:pgSz w:w="11910" w:h="16840"/>
          <w:pgMar w:top="1120" w:bottom="1380" w:left="1660" w:right="1120"/>
          <w:cols w:num="2" w:equalWidth="0">
            <w:col w:w="2397" w:space="4021"/>
            <w:col w:w="2712"/>
          </w:cols>
        </w:sectPr>
      </w:pP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381"/>
        <w:gridCol w:w="748"/>
        <w:gridCol w:w="738"/>
        <w:gridCol w:w="735"/>
        <w:gridCol w:w="756"/>
        <w:gridCol w:w="736"/>
        <w:gridCol w:w="775"/>
        <w:gridCol w:w="756"/>
        <w:gridCol w:w="770"/>
        <w:gridCol w:w="770"/>
        <w:gridCol w:w="731"/>
      </w:tblGrid>
      <w:tr>
        <w:trPr>
          <w:trHeight w:val="338" w:hRule="exact"/>
        </w:trPr>
        <w:tc>
          <w:tcPr>
            <w:tcW w:w="13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71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8" w:hRule="exact"/>
        </w:trPr>
        <w:tc>
          <w:tcPr>
            <w:tcW w:w="1381" w:type="dxa"/>
            <w:vMerge/>
            <w:tcBorders>
              <w:left w:val="single" w:sz="4" w:space="0" w:color="000000"/>
              <w:right w:val="single" w:sz="4" w:space="0" w:color="000000"/>
            </w:tcBorders>
          </w:tcPr>
          <w:p>
            <w:pPr/>
          </w:p>
        </w:tc>
        <w:tc>
          <w:tcPr>
            <w:tcW w:w="14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6" w:lineRule="auto"/>
              <w:ind w:left="181" w:right="18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36" w:lineRule="auto"/>
              <w:ind w:left="178"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618" w:hRule="exact"/>
        </w:trPr>
        <w:tc>
          <w:tcPr>
            <w:tcW w:w="1381" w:type="dxa"/>
            <w:vMerge/>
            <w:tcBorders>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48"/>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46" w:right="102" w:hanging="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736"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57"/>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2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53" w:right="109" w:hanging="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731" w:type="dxa"/>
            <w:vMerge/>
            <w:tcBorders>
              <w:left w:val="single" w:sz="4" w:space="0" w:color="000000"/>
              <w:bottom w:val="single" w:sz="4" w:space="0" w:color="000000"/>
              <w:right w:val="single" w:sz="4" w:space="0" w:color="000000"/>
            </w:tcBorders>
          </w:tcPr>
          <w:p>
            <w:pPr/>
          </w:p>
        </w:tc>
      </w:tr>
      <w:tr>
        <w:trPr>
          <w:trHeight w:val="8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6" w:right="25"/>
              <w:jc w:val="both"/>
              <w:rPr>
                <w:rFonts w:ascii="宋体" w:hAnsi="宋体" w:cs="宋体" w:eastAsia="宋体" w:hint="default"/>
                <w:sz w:val="18"/>
                <w:szCs w:val="18"/>
              </w:rPr>
            </w:pPr>
            <w:r>
              <w:rPr>
                <w:rFonts w:ascii="宋体" w:hAnsi="宋体" w:cs="宋体" w:eastAsia="宋体" w:hint="default"/>
                <w:spacing w:val="7"/>
                <w:sz w:val="18"/>
                <w:szCs w:val="18"/>
              </w:rPr>
              <w:t>单项金额重大并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单独计提坏账准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89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6" w:right="25"/>
              <w:jc w:val="both"/>
              <w:rPr>
                <w:rFonts w:ascii="宋体" w:hAnsi="宋体" w:cs="宋体" w:eastAsia="宋体" w:hint="default"/>
                <w:sz w:val="18"/>
                <w:szCs w:val="18"/>
              </w:rPr>
            </w:pPr>
            <w:r>
              <w:rPr>
                <w:rFonts w:ascii="宋体" w:hAnsi="宋体" w:cs="宋体" w:eastAsia="宋体" w:hint="default"/>
                <w:spacing w:val="7"/>
                <w:sz w:val="18"/>
                <w:szCs w:val="18"/>
              </w:rPr>
              <w:t>按信用风险特征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组合计提坏账准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备的应收账款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宋体" w:hAnsi="宋体" w:cs="宋体" w:eastAsia="宋体" w:hint="default"/>
                <w:sz w:val="18"/>
                <w:szCs w:val="18"/>
              </w:rPr>
            </w:pPr>
            <w:r>
              <w:rPr>
                <w:rFonts w:ascii="宋体"/>
                <w:sz w:val="18"/>
              </w:rPr>
              <w:t>4,758,9</w:t>
            </w:r>
          </w:p>
          <w:p>
            <w:pPr>
              <w:pStyle w:val="TableParagraph"/>
              <w:spacing w:line="240" w:lineRule="auto" w:before="44"/>
              <w:ind w:left="232" w:right="0"/>
              <w:jc w:val="center"/>
              <w:rPr>
                <w:rFonts w:ascii="宋体" w:hAnsi="宋体" w:cs="宋体" w:eastAsia="宋体" w:hint="default"/>
                <w:sz w:val="18"/>
                <w:szCs w:val="18"/>
              </w:rPr>
            </w:pPr>
            <w:r>
              <w:rPr>
                <w:rFonts w:ascii="宋体"/>
                <w:sz w:val="18"/>
              </w:rPr>
              <w:t>78.16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81.09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8" w:right="0"/>
              <w:jc w:val="left"/>
              <w:rPr>
                <w:rFonts w:ascii="宋体" w:hAnsi="宋体" w:cs="宋体" w:eastAsia="宋体" w:hint="default"/>
                <w:sz w:val="18"/>
                <w:szCs w:val="18"/>
              </w:rPr>
            </w:pPr>
            <w:r>
              <w:rPr>
                <w:rFonts w:ascii="宋体"/>
                <w:sz w:val="18"/>
              </w:rPr>
              <w:t>286,687</w:t>
            </w:r>
          </w:p>
          <w:p>
            <w:pPr>
              <w:pStyle w:val="TableParagraph"/>
              <w:spacing w:line="240" w:lineRule="auto" w:before="44"/>
              <w:ind w:left="428" w:right="0"/>
              <w:jc w:val="left"/>
              <w:rPr>
                <w:rFonts w:ascii="宋体" w:hAnsi="宋体" w:cs="宋体" w:eastAsia="宋体" w:hint="default"/>
                <w:sz w:val="18"/>
                <w:szCs w:val="18"/>
              </w:rPr>
            </w:pPr>
            <w:r>
              <w:rPr>
                <w:rFonts w:ascii="宋体"/>
                <w:sz w:val="18"/>
              </w:rPr>
              <w:t>.37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6.02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 w:right="0"/>
              <w:jc w:val="center"/>
              <w:rPr>
                <w:rFonts w:ascii="宋体" w:hAnsi="宋体" w:cs="宋体" w:eastAsia="宋体" w:hint="default"/>
                <w:sz w:val="18"/>
                <w:szCs w:val="18"/>
              </w:rPr>
            </w:pPr>
            <w:r>
              <w:rPr>
                <w:rFonts w:ascii="宋体"/>
                <w:sz w:val="18"/>
              </w:rPr>
              <w:t>4,472,2</w:t>
            </w:r>
          </w:p>
          <w:p>
            <w:pPr>
              <w:pStyle w:val="TableParagraph"/>
              <w:spacing w:line="240" w:lineRule="auto" w:before="44"/>
              <w:ind w:left="220" w:right="0"/>
              <w:jc w:val="center"/>
              <w:rPr>
                <w:rFonts w:ascii="宋体" w:hAnsi="宋体" w:cs="宋体" w:eastAsia="宋体" w:hint="default"/>
                <w:sz w:val="18"/>
                <w:szCs w:val="18"/>
              </w:rPr>
            </w:pPr>
            <w:r>
              <w:rPr>
                <w:rFonts w:ascii="宋体"/>
                <w:sz w:val="18"/>
              </w:rPr>
              <w:t>90.79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 w:right="0"/>
              <w:jc w:val="center"/>
              <w:rPr>
                <w:rFonts w:ascii="宋体" w:hAnsi="宋体" w:cs="宋体" w:eastAsia="宋体" w:hint="default"/>
                <w:sz w:val="18"/>
                <w:szCs w:val="18"/>
              </w:rPr>
            </w:pPr>
            <w:r>
              <w:rPr>
                <w:rFonts w:ascii="宋体"/>
                <w:sz w:val="18"/>
              </w:rPr>
              <w:t>3,859,8</w:t>
            </w:r>
          </w:p>
          <w:p>
            <w:pPr>
              <w:pStyle w:val="TableParagraph"/>
              <w:spacing w:line="240" w:lineRule="auto" w:before="44"/>
              <w:ind w:left="262" w:right="0"/>
              <w:jc w:val="center"/>
              <w:rPr>
                <w:rFonts w:ascii="宋体" w:hAnsi="宋体" w:cs="宋体" w:eastAsia="宋体" w:hint="default"/>
                <w:sz w:val="18"/>
                <w:szCs w:val="18"/>
              </w:rPr>
            </w:pPr>
            <w:r>
              <w:rPr>
                <w:rFonts w:ascii="宋体"/>
                <w:sz w:val="18"/>
              </w:rPr>
              <w:t>51.69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4"/>
              <w:jc w:val="right"/>
              <w:rPr>
                <w:rFonts w:ascii="宋体" w:hAnsi="宋体" w:cs="宋体" w:eastAsia="宋体" w:hint="default"/>
                <w:sz w:val="18"/>
                <w:szCs w:val="18"/>
              </w:rPr>
            </w:pPr>
            <w:r>
              <w:rPr>
                <w:rFonts w:ascii="宋体"/>
                <w:sz w:val="18"/>
              </w:rPr>
              <w:t>100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sz w:val="18"/>
              </w:rPr>
              <w:t>184,311</w:t>
            </w:r>
          </w:p>
          <w:p>
            <w:pPr>
              <w:pStyle w:val="TableParagraph"/>
              <w:spacing w:line="240" w:lineRule="auto" w:before="44"/>
              <w:ind w:left="464" w:right="0"/>
              <w:jc w:val="left"/>
              <w:rPr>
                <w:rFonts w:ascii="宋体" w:hAnsi="宋体" w:cs="宋体" w:eastAsia="宋体" w:hint="default"/>
                <w:sz w:val="18"/>
                <w:szCs w:val="18"/>
              </w:rPr>
            </w:pPr>
            <w:r>
              <w:rPr>
                <w:rFonts w:ascii="宋体"/>
                <w:sz w:val="18"/>
              </w:rPr>
              <w:t>.36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5"/>
              <w:jc w:val="right"/>
              <w:rPr>
                <w:rFonts w:ascii="宋体" w:hAnsi="宋体" w:cs="宋体" w:eastAsia="宋体" w:hint="default"/>
                <w:sz w:val="18"/>
                <w:szCs w:val="18"/>
              </w:rPr>
            </w:pPr>
            <w:r>
              <w:rPr>
                <w:rFonts w:ascii="宋体"/>
                <w:sz w:val="18"/>
              </w:rPr>
              <w:t>4.78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center"/>
              <w:rPr>
                <w:rFonts w:ascii="宋体" w:hAnsi="宋体" w:cs="宋体" w:eastAsia="宋体" w:hint="default"/>
                <w:sz w:val="18"/>
                <w:szCs w:val="18"/>
              </w:rPr>
            </w:pPr>
            <w:r>
              <w:rPr>
                <w:rFonts w:ascii="宋体"/>
                <w:sz w:val="18"/>
              </w:rPr>
              <w:t>3,675,5</w:t>
            </w:r>
          </w:p>
          <w:p>
            <w:pPr>
              <w:pStyle w:val="TableParagraph"/>
              <w:spacing w:line="240" w:lineRule="auto" w:before="44"/>
              <w:ind w:left="215" w:right="0"/>
              <w:jc w:val="center"/>
              <w:rPr>
                <w:rFonts w:ascii="宋体" w:hAnsi="宋体" w:cs="宋体" w:eastAsia="宋体" w:hint="default"/>
                <w:sz w:val="18"/>
                <w:szCs w:val="18"/>
              </w:rPr>
            </w:pPr>
            <w:r>
              <w:rPr>
                <w:rFonts w:ascii="宋体"/>
                <w:sz w:val="18"/>
              </w:rPr>
              <w:t>40.33</w:t>
            </w:r>
          </w:p>
        </w:tc>
      </w:tr>
      <w:tr>
        <w:trPr>
          <w:trHeight w:val="899"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26" w:right="25"/>
              <w:jc w:val="both"/>
              <w:rPr>
                <w:rFonts w:ascii="宋体" w:hAnsi="宋体" w:cs="宋体" w:eastAsia="宋体" w:hint="default"/>
                <w:sz w:val="18"/>
                <w:szCs w:val="18"/>
              </w:rPr>
            </w:pPr>
            <w:r>
              <w:rPr>
                <w:rFonts w:ascii="宋体" w:hAnsi="宋体" w:cs="宋体" w:eastAsia="宋体" w:hint="default"/>
                <w:spacing w:val="7"/>
                <w:sz w:val="18"/>
                <w:szCs w:val="18"/>
              </w:rPr>
              <w:t>单项金额不重大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7"/>
                <w:sz w:val="18"/>
                <w:szCs w:val="18"/>
              </w:rPr>
              <w:t>但单独计提坏账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准备的应收账款</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2" w:right="0"/>
              <w:jc w:val="center"/>
              <w:rPr>
                <w:rFonts w:ascii="宋体" w:hAnsi="宋体" w:cs="宋体" w:eastAsia="宋体" w:hint="default"/>
                <w:sz w:val="18"/>
                <w:szCs w:val="18"/>
              </w:rPr>
            </w:pPr>
            <w:r>
              <w:rPr>
                <w:rFonts w:ascii="宋体"/>
                <w:sz w:val="18"/>
              </w:rPr>
              <w:t>1,109,5</w:t>
            </w:r>
          </w:p>
          <w:p>
            <w:pPr>
              <w:pStyle w:val="TableParagraph"/>
              <w:spacing w:line="240" w:lineRule="auto" w:before="44"/>
              <w:ind w:left="232" w:right="0"/>
              <w:jc w:val="center"/>
              <w:rPr>
                <w:rFonts w:ascii="宋体" w:hAnsi="宋体" w:cs="宋体" w:eastAsia="宋体" w:hint="default"/>
                <w:sz w:val="18"/>
                <w:szCs w:val="18"/>
              </w:rPr>
            </w:pPr>
            <w:r>
              <w:rPr>
                <w:rFonts w:ascii="宋体"/>
                <w:sz w:val="18"/>
              </w:rPr>
              <w:t>61.00</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5"/>
              <w:jc w:val="right"/>
              <w:rPr>
                <w:rFonts w:ascii="宋体" w:hAnsi="宋体" w:cs="宋体" w:eastAsia="宋体" w:hint="default"/>
                <w:sz w:val="18"/>
                <w:szCs w:val="18"/>
              </w:rPr>
            </w:pPr>
            <w:r>
              <w:rPr>
                <w:rFonts w:ascii="宋体"/>
                <w:sz w:val="18"/>
              </w:rPr>
              <w:t>18.91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4"/>
              <w:jc w:val="right"/>
              <w:rPr>
                <w:rFonts w:ascii="宋体" w:hAnsi="宋体" w:cs="宋体" w:eastAsia="宋体" w:hint="default"/>
                <w:sz w:val="18"/>
                <w:szCs w:val="18"/>
              </w:rPr>
            </w:pPr>
            <w:r>
              <w:rPr>
                <w:rFonts w:ascii="宋体"/>
                <w:sz w:val="18"/>
              </w:rPr>
              <w:t>88,764.</w:t>
            </w:r>
          </w:p>
          <w:p>
            <w:pPr>
              <w:pStyle w:val="TableParagraph"/>
              <w:spacing w:line="240" w:lineRule="auto" w:before="44"/>
              <w:ind w:right="24"/>
              <w:jc w:val="right"/>
              <w:rPr>
                <w:rFonts w:ascii="宋体" w:hAnsi="宋体" w:cs="宋体" w:eastAsia="宋体" w:hint="default"/>
                <w:sz w:val="18"/>
                <w:szCs w:val="18"/>
              </w:rPr>
            </w:pPr>
            <w:r>
              <w:rPr>
                <w:rFonts w:ascii="宋体"/>
                <w:sz w:val="18"/>
              </w:rPr>
              <w:t>88</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5"/>
              <w:jc w:val="right"/>
              <w:rPr>
                <w:rFonts w:ascii="宋体" w:hAnsi="宋体" w:cs="宋体" w:eastAsia="宋体" w:hint="default"/>
                <w:sz w:val="18"/>
                <w:szCs w:val="18"/>
              </w:rPr>
            </w:pPr>
            <w:r>
              <w:rPr>
                <w:rFonts w:ascii="宋体"/>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40" w:right="0"/>
              <w:jc w:val="center"/>
              <w:rPr>
                <w:rFonts w:ascii="宋体" w:hAnsi="宋体" w:cs="宋体" w:eastAsia="宋体" w:hint="default"/>
                <w:sz w:val="18"/>
                <w:szCs w:val="18"/>
              </w:rPr>
            </w:pPr>
            <w:r>
              <w:rPr>
                <w:rFonts w:ascii="宋体"/>
                <w:sz w:val="18"/>
              </w:rPr>
              <w:t>1,020,7</w:t>
            </w:r>
          </w:p>
          <w:p>
            <w:pPr>
              <w:pStyle w:val="TableParagraph"/>
              <w:spacing w:line="240" w:lineRule="auto" w:before="44"/>
              <w:ind w:left="220" w:right="0"/>
              <w:jc w:val="center"/>
              <w:rPr>
                <w:rFonts w:ascii="宋体" w:hAnsi="宋体" w:cs="宋体" w:eastAsia="宋体" w:hint="default"/>
                <w:sz w:val="18"/>
                <w:szCs w:val="18"/>
              </w:rPr>
            </w:pPr>
            <w:r>
              <w:rPr>
                <w:rFonts w:ascii="宋体"/>
                <w:sz w:val="18"/>
              </w:rPr>
              <w:t>96.12</w:t>
            </w: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1" w:type="dxa"/>
            <w:tcBorders>
              <w:top w:val="single" w:sz="4" w:space="0" w:color="000000"/>
              <w:left w:val="single" w:sz="4" w:space="0" w:color="000000"/>
              <w:bottom w:val="single" w:sz="4" w:space="0" w:color="000000"/>
              <w:right w:val="single" w:sz="4" w:space="0" w:color="000000"/>
            </w:tcBorders>
          </w:tcPr>
          <w:p>
            <w:pPr/>
          </w:p>
        </w:tc>
      </w:tr>
      <w:tr>
        <w:trPr>
          <w:trHeight w:val="618" w:hRule="exact"/>
        </w:trPr>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宋体" w:hAnsi="宋体" w:cs="宋体" w:eastAsia="宋体" w:hint="default"/>
                <w:sz w:val="18"/>
                <w:szCs w:val="18"/>
              </w:rPr>
            </w:pPr>
            <w:r>
              <w:rPr>
                <w:rFonts w:ascii="宋体"/>
                <w:sz w:val="18"/>
              </w:rPr>
              <w:t>5,868,5</w:t>
            </w:r>
          </w:p>
          <w:p>
            <w:pPr>
              <w:pStyle w:val="TableParagraph"/>
              <w:spacing w:line="240" w:lineRule="auto" w:before="45"/>
              <w:ind w:left="232" w:right="0"/>
              <w:jc w:val="center"/>
              <w:rPr>
                <w:rFonts w:ascii="宋体" w:hAnsi="宋体" w:cs="宋体" w:eastAsia="宋体" w:hint="default"/>
                <w:sz w:val="18"/>
                <w:szCs w:val="18"/>
              </w:rPr>
            </w:pPr>
            <w:r>
              <w:rPr>
                <w:rFonts w:ascii="宋体"/>
                <w:sz w:val="18"/>
              </w:rPr>
              <w:t>39.16</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8" w:right="0"/>
              <w:jc w:val="left"/>
              <w:rPr>
                <w:rFonts w:ascii="宋体" w:hAnsi="宋体" w:cs="宋体" w:eastAsia="宋体" w:hint="default"/>
                <w:sz w:val="18"/>
                <w:szCs w:val="18"/>
              </w:rPr>
            </w:pPr>
            <w:r>
              <w:rPr>
                <w:rFonts w:ascii="宋体"/>
                <w:sz w:val="18"/>
              </w:rPr>
              <w:t>375,452</w:t>
            </w:r>
          </w:p>
          <w:p>
            <w:pPr>
              <w:pStyle w:val="TableParagraph"/>
              <w:spacing w:line="240" w:lineRule="auto" w:before="45"/>
              <w:ind w:left="428" w:right="0"/>
              <w:jc w:val="left"/>
              <w:rPr>
                <w:rFonts w:ascii="宋体" w:hAnsi="宋体" w:cs="宋体" w:eastAsia="宋体" w:hint="default"/>
                <w:sz w:val="18"/>
                <w:szCs w:val="18"/>
              </w:rPr>
            </w:pPr>
            <w:r>
              <w:rPr>
                <w:rFonts w:ascii="宋体"/>
                <w:sz w:val="18"/>
              </w:rPr>
              <w:t>.25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9"/>
              <w:jc w:val="right"/>
              <w:rPr>
                <w:rFonts w:ascii="宋体" w:hAnsi="宋体" w:cs="宋体" w:eastAsia="宋体" w:hint="default"/>
                <w:sz w:val="18"/>
                <w:szCs w:val="18"/>
              </w:rPr>
            </w:pPr>
            <w:r>
              <w:rPr>
                <w:rFonts w:ascii="宋体"/>
                <w:sz w:val="18"/>
              </w:rPr>
              <w:t>6.40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0" w:right="0"/>
              <w:jc w:val="center"/>
              <w:rPr>
                <w:rFonts w:ascii="宋体" w:hAnsi="宋体" w:cs="宋体" w:eastAsia="宋体" w:hint="default"/>
                <w:sz w:val="18"/>
                <w:szCs w:val="18"/>
              </w:rPr>
            </w:pPr>
            <w:r>
              <w:rPr>
                <w:rFonts w:ascii="宋体"/>
                <w:sz w:val="18"/>
              </w:rPr>
              <w:t>5,493,0</w:t>
            </w:r>
          </w:p>
          <w:p>
            <w:pPr>
              <w:pStyle w:val="TableParagraph"/>
              <w:spacing w:line="240" w:lineRule="auto" w:before="45"/>
              <w:ind w:left="220" w:right="0"/>
              <w:jc w:val="center"/>
              <w:rPr>
                <w:rFonts w:ascii="宋体" w:hAnsi="宋体" w:cs="宋体" w:eastAsia="宋体" w:hint="default"/>
                <w:sz w:val="18"/>
                <w:szCs w:val="18"/>
              </w:rPr>
            </w:pPr>
            <w:r>
              <w:rPr>
                <w:rFonts w:ascii="宋体"/>
                <w:sz w:val="18"/>
              </w:rPr>
              <w:t>86.91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2" w:right="0"/>
              <w:jc w:val="center"/>
              <w:rPr>
                <w:rFonts w:ascii="宋体" w:hAnsi="宋体" w:cs="宋体" w:eastAsia="宋体" w:hint="default"/>
                <w:sz w:val="18"/>
                <w:szCs w:val="18"/>
              </w:rPr>
            </w:pPr>
            <w:r>
              <w:rPr>
                <w:rFonts w:ascii="宋体"/>
                <w:sz w:val="18"/>
              </w:rPr>
              <w:t>3,859,8</w:t>
            </w:r>
          </w:p>
          <w:p>
            <w:pPr>
              <w:pStyle w:val="TableParagraph"/>
              <w:spacing w:line="240" w:lineRule="auto" w:before="45"/>
              <w:ind w:left="262" w:right="0"/>
              <w:jc w:val="center"/>
              <w:rPr>
                <w:rFonts w:ascii="宋体" w:hAnsi="宋体" w:cs="宋体" w:eastAsia="宋体" w:hint="default"/>
                <w:sz w:val="18"/>
                <w:szCs w:val="18"/>
              </w:rPr>
            </w:pPr>
            <w:r>
              <w:rPr>
                <w:rFonts w:ascii="宋体"/>
                <w:sz w:val="18"/>
              </w:rPr>
              <w:t>51.69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4" w:right="0"/>
              <w:jc w:val="left"/>
              <w:rPr>
                <w:rFonts w:ascii="宋体" w:hAnsi="宋体" w:cs="宋体" w:eastAsia="宋体" w:hint="default"/>
                <w:sz w:val="18"/>
                <w:szCs w:val="18"/>
              </w:rPr>
            </w:pPr>
            <w:r>
              <w:rPr>
                <w:rFonts w:ascii="宋体"/>
                <w:sz w:val="18"/>
              </w:rPr>
              <w:t>184,311</w:t>
            </w:r>
          </w:p>
          <w:p>
            <w:pPr>
              <w:pStyle w:val="TableParagraph"/>
              <w:spacing w:line="240" w:lineRule="auto" w:before="45"/>
              <w:ind w:left="464" w:right="0"/>
              <w:jc w:val="left"/>
              <w:rPr>
                <w:rFonts w:ascii="宋体" w:hAnsi="宋体" w:cs="宋体" w:eastAsia="宋体" w:hint="default"/>
                <w:sz w:val="18"/>
                <w:szCs w:val="18"/>
              </w:rPr>
            </w:pPr>
            <w:r>
              <w:rPr>
                <w:rFonts w:ascii="宋体"/>
                <w:sz w:val="18"/>
              </w:rPr>
              <w:t>.36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5"/>
              <w:jc w:val="right"/>
              <w:rPr>
                <w:rFonts w:ascii="宋体" w:hAnsi="宋体" w:cs="宋体" w:eastAsia="宋体" w:hint="default"/>
                <w:sz w:val="18"/>
                <w:szCs w:val="18"/>
              </w:rPr>
            </w:pPr>
            <w:r>
              <w:rPr>
                <w:rFonts w:ascii="宋体"/>
                <w:sz w:val="18"/>
              </w:rPr>
              <w:t>4.78</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center"/>
              <w:rPr>
                <w:rFonts w:ascii="宋体" w:hAnsi="宋体" w:cs="宋体" w:eastAsia="宋体" w:hint="default"/>
                <w:sz w:val="18"/>
                <w:szCs w:val="18"/>
              </w:rPr>
            </w:pPr>
            <w:r>
              <w:rPr>
                <w:rFonts w:ascii="宋体"/>
                <w:sz w:val="18"/>
              </w:rPr>
              <w:t>3,675,5</w:t>
            </w:r>
          </w:p>
          <w:p>
            <w:pPr>
              <w:pStyle w:val="TableParagraph"/>
              <w:spacing w:line="240" w:lineRule="auto" w:before="45"/>
              <w:ind w:left="215" w:right="0"/>
              <w:jc w:val="center"/>
              <w:rPr>
                <w:rFonts w:ascii="宋体" w:hAnsi="宋体" w:cs="宋体" w:eastAsia="宋体" w:hint="default"/>
                <w:sz w:val="18"/>
                <w:szCs w:val="18"/>
              </w:rPr>
            </w:pPr>
            <w:r>
              <w:rPr>
                <w:rFonts w:ascii="宋体"/>
                <w:sz w:val="18"/>
              </w:rPr>
              <w:t>40.33</w:t>
            </w:r>
          </w:p>
        </w:tc>
      </w:tr>
    </w:tbl>
    <w:p>
      <w:pPr>
        <w:spacing w:line="240" w:lineRule="auto" w:before="7"/>
        <w:rPr>
          <w:rFonts w:ascii="宋体" w:hAnsi="宋体" w:cs="宋体" w:eastAsia="宋体" w:hint="default"/>
          <w:sz w:val="27"/>
          <w:szCs w:val="27"/>
        </w:rPr>
      </w:pPr>
    </w:p>
    <w:p>
      <w:pPr>
        <w:pStyle w:val="BodyText"/>
        <w:spacing w:line="240" w:lineRule="auto" w:before="35"/>
        <w:ind w:right="148"/>
        <w:jc w:val="left"/>
      </w:pPr>
      <w:r>
        <w:rPr/>
        <w:t>期末单项金额重大并单项计提坏帐准备的应收账款</w:t>
      </w:r>
    </w:p>
    <w:p>
      <w:pPr>
        <w:spacing w:line="240" w:lineRule="auto" w:before="3"/>
        <w:rPr>
          <w:rFonts w:ascii="宋体" w:hAnsi="宋体" w:cs="宋体" w:eastAsia="宋体" w:hint="default"/>
          <w:sz w:val="14"/>
          <w:szCs w:val="14"/>
        </w:rPr>
      </w:pPr>
    </w:p>
    <w:p>
      <w:pPr>
        <w:pStyle w:val="BodyText"/>
        <w:spacing w:line="400" w:lineRule="auto"/>
        <w:ind w:right="4348"/>
        <w:jc w:val="left"/>
      </w:pPr>
      <w:r>
        <w:rPr/>
        <w:t>□适用</w:t>
      </w:r>
      <w:r>
        <w:rPr>
          <w:spacing w:val="-1"/>
        </w:rPr>
        <w:t> </w:t>
      </w:r>
      <w:r>
        <w:rPr/>
        <w:t>√不适用</w:t>
      </w:r>
      <w:r>
        <w:rPr/>
        <w:t> 组合中，按账龄分析法计提坏账准备的应收账款：</w:t>
      </w:r>
    </w:p>
    <w:p>
      <w:pPr>
        <w:pStyle w:val="BodyText"/>
        <w:spacing w:line="240" w:lineRule="auto" w:before="44"/>
        <w:ind w:right="148"/>
        <w:jc w:val="left"/>
      </w:pPr>
      <w:r>
        <w:rPr/>
        <w:t>√适用□不适用</w:t>
      </w:r>
    </w:p>
    <w:p>
      <w:pPr>
        <w:pStyle w:val="BodyText"/>
        <w:tabs>
          <w:tab w:pos="1049" w:val="left" w:leader="none"/>
        </w:tabs>
        <w:spacing w:line="240" w:lineRule="auto" w:before="2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048"/>
        <w:gridCol w:w="2283"/>
        <w:gridCol w:w="2316"/>
        <w:gridCol w:w="2249"/>
      </w:tblGrid>
      <w:tr>
        <w:trPr>
          <w:trHeight w:val="384"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85" w:hRule="exact"/>
        </w:trPr>
        <w:tc>
          <w:tcPr>
            <w:tcW w:w="2048" w:type="dxa"/>
            <w:vMerge/>
            <w:tcBorders>
              <w:left w:val="single" w:sz="4" w:space="0" w:color="000000"/>
              <w:bottom w:val="single" w:sz="4" w:space="0" w:color="000000"/>
              <w:right w:val="single" w:sz="4" w:space="0" w:color="000000"/>
            </w:tcBorders>
          </w:tcPr>
          <w:p>
            <w:pP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86"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2,829,704.30</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84,771.13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3.00</w:t>
            </w:r>
          </w:p>
        </w:tc>
      </w:tr>
      <w:tr>
        <w:trPr>
          <w:trHeight w:val="3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1,066,081.08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53,923.23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5.00</w:t>
            </w:r>
          </w:p>
        </w:tc>
      </w:tr>
      <w:tr>
        <w:trPr>
          <w:trHeight w:val="38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宋体" w:hAnsi="宋体" w:cs="宋体" w:eastAsia="宋体" w:hint="default"/>
                <w:sz w:val="21"/>
                <w:szCs w:val="21"/>
              </w:rPr>
            </w:pPr>
            <w:r>
              <w:rPr>
                <w:rFonts w:ascii="宋体"/>
                <w:sz w:val="21"/>
              </w:rPr>
              <w:t>783,021.99</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宋体" w:hAnsi="宋体" w:cs="宋体" w:eastAsia="宋体" w:hint="default"/>
                <w:sz w:val="21"/>
                <w:szCs w:val="21"/>
              </w:rPr>
            </w:pPr>
            <w:r>
              <w:rPr>
                <w:rFonts w:ascii="宋体"/>
                <w:sz w:val="21"/>
              </w:rPr>
              <w:t>117,453.30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21"/>
                <w:szCs w:val="21"/>
              </w:rPr>
            </w:pPr>
            <w:r>
              <w:rPr>
                <w:rFonts w:ascii="宋体"/>
                <w:sz w:val="21"/>
              </w:rPr>
              <w:t>15.00</w:t>
            </w:r>
          </w:p>
        </w:tc>
      </w:tr>
      <w:tr>
        <w:trPr>
          <w:trHeight w:val="38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z w:val="21"/>
              </w:rPr>
              <w:t>47,728.41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14,318.52</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21"/>
                <w:szCs w:val="21"/>
              </w:rPr>
            </w:pPr>
            <w:r>
              <w:rPr>
                <w:rFonts w:ascii="宋体"/>
                <w:sz w:val="21"/>
              </w:rPr>
              <w:t>30.00</w:t>
            </w:r>
          </w:p>
        </w:tc>
      </w:tr>
    </w:tbl>
    <w:p>
      <w:pPr>
        <w:spacing w:after="0" w:line="240" w:lineRule="auto"/>
        <w:jc w:val="righ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48"/>
        <w:gridCol w:w="2283"/>
        <w:gridCol w:w="2316"/>
        <w:gridCol w:w="2249"/>
      </w:tblGrid>
      <w:tr>
        <w:trPr>
          <w:trHeight w:val="38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z w:val="21"/>
              </w:rPr>
              <w:t>32,442.38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16,221.19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21"/>
                <w:szCs w:val="21"/>
              </w:rPr>
            </w:pPr>
            <w:r>
              <w:rPr>
                <w:rFonts w:ascii="宋体"/>
                <w:sz w:val="21"/>
              </w:rPr>
              <w:t>50.00</w:t>
            </w:r>
          </w:p>
        </w:tc>
      </w:tr>
      <w:tr>
        <w:trPr>
          <w:trHeight w:val="384"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83"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249"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21"/>
                <w:szCs w:val="21"/>
              </w:rPr>
            </w:pPr>
            <w:r>
              <w:rPr>
                <w:rFonts w:ascii="宋体"/>
                <w:sz w:val="21"/>
              </w:rPr>
              <w:t>4,758,978.16</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7"/>
              <w:jc w:val="right"/>
              <w:rPr>
                <w:rFonts w:ascii="宋体" w:hAnsi="宋体" w:cs="宋体" w:eastAsia="宋体" w:hint="default"/>
                <w:sz w:val="21"/>
                <w:szCs w:val="21"/>
              </w:rPr>
            </w:pPr>
            <w:r>
              <w:rPr>
                <w:rFonts w:ascii="宋体"/>
                <w:sz w:val="21"/>
              </w:rPr>
              <w:t>286,687.37</w:t>
            </w:r>
          </w:p>
        </w:tc>
        <w:tc>
          <w:tcPr>
            <w:tcW w:w="22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9"/>
        </w:rPr>
        <w:t> </w:t>
      </w:r>
      <w:r>
        <w:rPr/>
        <w:t>本期计提、收回或转回的坏账准备情况：</w:t>
      </w:r>
      <w:r>
        <w:rPr>
          <w:b w:val="0"/>
          <w:bCs w:val="0"/>
        </w:rPr>
      </w:r>
    </w:p>
    <w:p>
      <w:pPr>
        <w:spacing w:line="240" w:lineRule="auto" w:before="1"/>
        <w:rPr>
          <w:rFonts w:ascii="宋体" w:hAnsi="宋体" w:cs="宋体" w:eastAsia="宋体" w:hint="default"/>
          <w:b/>
          <w:bCs/>
          <w:sz w:val="21"/>
          <w:szCs w:val="21"/>
        </w:rPr>
      </w:pPr>
    </w:p>
    <w:p>
      <w:pPr>
        <w:pStyle w:val="BodyText"/>
        <w:spacing w:line="240" w:lineRule="auto"/>
        <w:ind w:left="218" w:right="228"/>
        <w:jc w:val="left"/>
      </w:pPr>
      <w:r>
        <w:rPr/>
        <w:t>本期计提坏账准备金额</w:t>
      </w:r>
      <w:r>
        <w:rPr>
          <w:spacing w:val="-54"/>
        </w:rPr>
        <w:t> </w:t>
      </w:r>
      <w:r>
        <w:rPr>
          <w:rFonts w:ascii="宋体" w:hAnsi="宋体" w:cs="宋体" w:eastAsia="宋体" w:hint="default"/>
        </w:rPr>
        <w:t>191,140.89</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5"/>
        <w:rPr>
          <w:rFonts w:ascii="宋体" w:hAnsi="宋体" w:cs="宋体" w:eastAsia="宋体" w:hint="default"/>
          <w:sz w:val="27"/>
          <w:szCs w:val="27"/>
        </w:rPr>
      </w:pPr>
    </w:p>
    <w:p>
      <w:pPr>
        <w:pStyle w:val="Heading3"/>
        <w:spacing w:line="240" w:lineRule="auto" w:before="0"/>
        <w:ind w:right="228"/>
        <w:jc w:val="left"/>
        <w:rPr>
          <w:b w:val="0"/>
          <w:bCs w:val="0"/>
        </w:rPr>
      </w:pPr>
      <w:r>
        <w:rPr>
          <w:rFonts w:ascii="宋体" w:hAnsi="宋体" w:cs="宋体" w:eastAsia="宋体" w:hint="default"/>
        </w:rPr>
        <w:t>(3).</w:t>
      </w:r>
      <w:r>
        <w:rPr>
          <w:rFonts w:ascii="宋体" w:hAnsi="宋体" w:cs="宋体" w:eastAsia="宋体" w:hint="default"/>
          <w:spacing w:val="38"/>
        </w:rPr>
        <w:t> </w:t>
      </w:r>
      <w:r>
        <w:rPr/>
        <w:t>按欠款方归集的期末余额前五名的应收账款情况：</w:t>
      </w:r>
      <w:r>
        <w:rPr>
          <w:b w:val="0"/>
          <w:bCs w:val="0"/>
        </w:rPr>
      </w:r>
    </w:p>
    <w:p>
      <w:pPr>
        <w:spacing w:line="240" w:lineRule="auto" w:before="12"/>
        <w:rPr>
          <w:rFonts w:ascii="宋体" w:hAnsi="宋体" w:cs="宋体" w:eastAsia="宋体" w:hint="default"/>
          <w:b/>
          <w:bCs/>
          <w:sz w:val="27"/>
          <w:szCs w:val="27"/>
        </w:rPr>
      </w:pPr>
    </w:p>
    <w:tbl>
      <w:tblPr>
        <w:tblW w:w="0" w:type="auto"/>
        <w:jc w:val="left"/>
        <w:tblInd w:w="105" w:type="dxa"/>
        <w:tblLayout w:type="fixed"/>
        <w:tblCellMar>
          <w:top w:w="0" w:type="dxa"/>
          <w:left w:w="0" w:type="dxa"/>
          <w:bottom w:w="0" w:type="dxa"/>
          <w:right w:w="0" w:type="dxa"/>
        </w:tblCellMar>
        <w:tblLook w:val="01E0"/>
      </w:tblPr>
      <w:tblGrid>
        <w:gridCol w:w="2803"/>
        <w:gridCol w:w="1841"/>
        <w:gridCol w:w="2696"/>
        <w:gridCol w:w="1710"/>
      </w:tblGrid>
      <w:tr>
        <w:trPr>
          <w:trHeight w:val="350"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7"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r>
              <w:rPr>
                <w:rFonts w:ascii="宋体" w:hAnsi="宋体" w:cs="宋体" w:eastAsia="宋体" w:hint="default"/>
                <w:sz w:val="18"/>
                <w:szCs w:val="18"/>
              </w:rPr>
              <w:t>(%)</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08" w:right="0"/>
              <w:jc w:val="left"/>
              <w:rPr>
                <w:rFonts w:ascii="宋体" w:hAnsi="宋体" w:cs="宋体" w:eastAsia="宋体" w:hint="default"/>
                <w:sz w:val="18"/>
                <w:szCs w:val="18"/>
              </w:rPr>
            </w:pPr>
            <w:r>
              <w:rPr>
                <w:rFonts w:ascii="宋体" w:hAnsi="宋体" w:cs="宋体" w:eastAsia="宋体" w:hint="default"/>
                <w:sz w:val="18"/>
                <w:szCs w:val="18"/>
              </w:rPr>
              <w:t>坏账准备余额</w:t>
            </w:r>
          </w:p>
        </w:tc>
      </w:tr>
      <w:tr>
        <w:trPr>
          <w:trHeight w:val="350"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湖南中锴置业有限公司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2,763,623.11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47.09</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82,908.69</w:t>
            </w:r>
          </w:p>
        </w:tc>
      </w:tr>
      <w:tr>
        <w:trPr>
          <w:trHeight w:val="349"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湖南宏梦卡通传播有限公司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547,500.00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9.33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82,125.00</w:t>
            </w:r>
          </w:p>
        </w:tc>
      </w:tr>
      <w:tr>
        <w:trPr>
          <w:trHeight w:val="350"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成都郡原置业有限公司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203,327.50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3.46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6,099.83</w:t>
            </w:r>
          </w:p>
        </w:tc>
      </w:tr>
      <w:tr>
        <w:trPr>
          <w:trHeight w:val="350"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杭州天名房地产开发有限公司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172,738.81</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2.94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5,182.16</w:t>
            </w:r>
          </w:p>
        </w:tc>
      </w:tr>
      <w:tr>
        <w:trPr>
          <w:trHeight w:val="349"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浙江黄龙体育中心有限公司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55,114.32</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1"/>
              <w:jc w:val="right"/>
              <w:rPr>
                <w:rFonts w:ascii="宋体" w:hAnsi="宋体" w:cs="宋体" w:eastAsia="宋体" w:hint="default"/>
                <w:sz w:val="18"/>
                <w:szCs w:val="18"/>
              </w:rPr>
            </w:pPr>
            <w:r>
              <w:rPr>
                <w:rFonts w:ascii="宋体"/>
                <w:sz w:val="18"/>
              </w:rPr>
              <w:t>0.94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02"/>
              <w:jc w:val="right"/>
              <w:rPr>
                <w:rFonts w:ascii="宋体" w:hAnsi="宋体" w:cs="宋体" w:eastAsia="宋体" w:hint="default"/>
                <w:sz w:val="18"/>
                <w:szCs w:val="18"/>
              </w:rPr>
            </w:pPr>
            <w:r>
              <w:rPr>
                <w:rFonts w:ascii="宋体"/>
                <w:sz w:val="18"/>
              </w:rPr>
              <w:t>1,653.43</w:t>
            </w:r>
          </w:p>
        </w:tc>
      </w:tr>
      <w:tr>
        <w:trPr>
          <w:trHeight w:val="350" w:hRule="exact"/>
        </w:trPr>
        <w:tc>
          <w:tcPr>
            <w:tcW w:w="2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3,742,303.74</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sz w:val="18"/>
              </w:rPr>
              <w:t>63.76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宋体" w:hAnsi="宋体" w:cs="宋体" w:eastAsia="宋体" w:hint="default"/>
                <w:sz w:val="18"/>
                <w:szCs w:val="18"/>
              </w:rPr>
            </w:pPr>
            <w:r>
              <w:rPr>
                <w:rFonts w:ascii="宋体"/>
                <w:sz w:val="18"/>
              </w:rPr>
              <w:t>177,969.11</w:t>
            </w:r>
          </w:p>
        </w:tc>
      </w:tr>
    </w:tbl>
    <w:p>
      <w:pPr>
        <w:spacing w:line="240" w:lineRule="auto" w:before="0"/>
        <w:rPr>
          <w:rFonts w:ascii="宋体" w:hAnsi="宋体" w:cs="宋体" w:eastAsia="宋体" w:hint="default"/>
          <w:b/>
          <w:bCs/>
          <w:sz w:val="20"/>
          <w:szCs w:val="20"/>
        </w:rPr>
      </w:pPr>
    </w:p>
    <w:p>
      <w:pPr>
        <w:pStyle w:val="Heading3"/>
        <w:spacing w:line="386" w:lineRule="auto"/>
        <w:ind w:left="112" w:right="4685" w:firstLine="105"/>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0"/>
        </w:rPr>
        <w:t> </w:t>
      </w:r>
      <w:r>
        <w:rPr/>
        <w:t>因金融资产转移而终止确认的应收账款：</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4"/>
          <w:szCs w:val="14"/>
        </w:rPr>
      </w:pPr>
    </w:p>
    <w:p>
      <w:pPr>
        <w:pStyle w:val="Heading3"/>
        <w:spacing w:line="386" w:lineRule="auto" w:before="0"/>
        <w:ind w:left="112" w:right="3843" w:firstLine="10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9"/>
        </w:rPr>
        <w:t> </w:t>
      </w:r>
      <w:r>
        <w:rPr/>
        <w:t>转移应收账款且继续涉入形成的资产、负债金额：</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3</w:t>
      </w:r>
      <w:r>
        <w:rPr/>
        <w:t>、</w:t>
      </w:r>
      <w:r>
        <w:rPr>
          <w:spacing w:val="-3"/>
        </w:rPr>
        <w:t> </w:t>
      </w:r>
      <w:r>
        <w:rPr/>
        <w:t>预付款项</w:t>
      </w:r>
      <w:r>
        <w:rPr>
          <w:b w:val="0"/>
          <w:bCs w:val="0"/>
        </w:rPr>
      </w:r>
    </w:p>
    <w:p>
      <w:pPr>
        <w:pStyle w:val="Heading3"/>
        <w:spacing w:line="240" w:lineRule="auto" w:before="117"/>
        <w:ind w:right="-19"/>
        <w:jc w:val="left"/>
        <w:rPr>
          <w:b w:val="0"/>
          <w:bCs w:val="0"/>
        </w:rPr>
      </w:pPr>
      <w:r>
        <w:rPr>
          <w:rFonts w:ascii="宋体" w:hAnsi="宋体" w:cs="宋体" w:eastAsia="宋体" w:hint="default"/>
        </w:rPr>
        <w:t>(1).</w:t>
      </w:r>
      <w:r>
        <w:rPr>
          <w:rFonts w:ascii="宋体" w:hAnsi="宋体" w:cs="宋体" w:eastAsia="宋体" w:hint="default"/>
          <w:spacing w:val="84"/>
        </w:rPr>
        <w:t> </w:t>
      </w:r>
      <w:r>
        <w:rPr/>
        <w:t>预付款项按账龄列示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730" w:space="3794"/>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6"/>
        <w:gridCol w:w="1891"/>
      </w:tblGrid>
      <w:tr>
        <w:trPr>
          <w:trHeight w:val="287"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08"/>
              <w:ind w:right="2"/>
              <w:jc w:val="center"/>
              <w:rPr>
                <w:rFonts w:ascii="宋体" w:hAnsi="宋体" w:cs="宋体" w:eastAsia="宋体" w:hint="default"/>
                <w:sz w:val="21"/>
                <w:szCs w:val="21"/>
              </w:rPr>
            </w:pPr>
            <w:r>
              <w:rPr>
                <w:rFonts w:ascii="宋体" w:hAnsi="宋体" w:cs="宋体" w:eastAsia="宋体" w:hint="default"/>
                <w:sz w:val="21"/>
                <w:szCs w:val="21"/>
              </w:rPr>
              <w:t>账龄</w:t>
            </w:r>
          </w:p>
        </w:tc>
        <w:tc>
          <w:tcPr>
            <w:tcW w:w="37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金额</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601,732.36</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96.60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224,451.76</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78.79</w:t>
            </w: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21,190.03</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3.40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6"/>
              <w:jc w:val="right"/>
              <w:rPr>
                <w:rFonts w:ascii="宋体" w:hAnsi="宋体" w:cs="宋体" w:eastAsia="宋体" w:hint="default"/>
                <w:sz w:val="21"/>
                <w:szCs w:val="21"/>
              </w:rPr>
            </w:pPr>
            <w:r>
              <w:rPr>
                <w:rFonts w:ascii="宋体"/>
                <w:sz w:val="21"/>
              </w:rPr>
              <w:t>60,429.03</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7"/>
              <w:jc w:val="right"/>
              <w:rPr>
                <w:rFonts w:ascii="宋体" w:hAnsi="宋体" w:cs="宋体" w:eastAsia="宋体" w:hint="default"/>
                <w:sz w:val="21"/>
                <w:szCs w:val="21"/>
              </w:rPr>
            </w:pPr>
            <w:r>
              <w:rPr>
                <w:rFonts w:ascii="宋体"/>
                <w:sz w:val="21"/>
              </w:rPr>
              <w:t>21.21</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6"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6" w:type="dxa"/>
            <w:tcBorders>
              <w:top w:val="single" w:sz="6" w:space="0" w:color="000000"/>
              <w:left w:val="single" w:sz="6" w:space="0" w:color="000000"/>
              <w:bottom w:val="single" w:sz="6" w:space="0" w:color="000000"/>
              <w:right w:val="single" w:sz="6" w:space="0" w:color="000000"/>
            </w:tcBorders>
          </w:tcPr>
          <w:p>
            <w:pPr/>
          </w:p>
        </w:tc>
        <w:tc>
          <w:tcPr>
            <w:tcW w:w="1891" w:type="dxa"/>
            <w:tcBorders>
              <w:top w:val="single" w:sz="6" w:space="0" w:color="000000"/>
              <w:left w:val="single" w:sz="6" w:space="0" w:color="000000"/>
              <w:bottom w:val="single" w:sz="6" w:space="0" w:color="000000"/>
              <w:right w:val="single" w:sz="6" w:space="0" w:color="000000"/>
            </w:tcBorders>
          </w:tcPr>
          <w:p>
            <w:pP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622,922.39</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6"/>
              <w:jc w:val="right"/>
              <w:rPr>
                <w:rFonts w:ascii="宋体" w:hAnsi="宋体" w:cs="宋体" w:eastAsia="宋体" w:hint="default"/>
                <w:sz w:val="21"/>
                <w:szCs w:val="21"/>
              </w:rPr>
            </w:pPr>
            <w:r>
              <w:rPr>
                <w:rFonts w:ascii="宋体"/>
                <w:sz w:val="21"/>
              </w:rPr>
              <w:t>100.00</w:t>
            </w:r>
          </w:p>
        </w:tc>
        <w:tc>
          <w:tcPr>
            <w:tcW w:w="1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7"/>
              <w:jc w:val="right"/>
              <w:rPr>
                <w:rFonts w:ascii="宋体" w:hAnsi="宋体" w:cs="宋体" w:eastAsia="宋体" w:hint="default"/>
                <w:sz w:val="21"/>
                <w:szCs w:val="21"/>
              </w:rPr>
            </w:pPr>
            <w:r>
              <w:rPr>
                <w:rFonts w:ascii="宋体"/>
                <w:sz w:val="21"/>
              </w:rPr>
              <w:t>284,880.79</w:t>
            </w:r>
          </w:p>
        </w:tc>
        <w:tc>
          <w:tcPr>
            <w:tcW w:w="18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21"/>
                <w:szCs w:val="21"/>
              </w:rPr>
            </w:pPr>
            <w:r>
              <w:rPr>
                <w:rFonts w:ascii="宋体"/>
                <w:sz w:val="21"/>
              </w:rPr>
              <w:t>100.00</w:t>
            </w:r>
          </w:p>
        </w:tc>
      </w:tr>
    </w:tbl>
    <w:p>
      <w:pPr>
        <w:spacing w:line="240" w:lineRule="auto" w:before="13"/>
        <w:rPr>
          <w:rFonts w:ascii="宋体" w:hAnsi="宋体" w:cs="宋体" w:eastAsia="宋体" w:hint="default"/>
          <w:sz w:val="15"/>
          <w:szCs w:val="15"/>
        </w:rPr>
      </w:pPr>
    </w:p>
    <w:p>
      <w:pPr>
        <w:pStyle w:val="BodyText"/>
        <w:spacing w:line="360" w:lineRule="auto" w:before="35"/>
        <w:ind w:left="218" w:right="3379"/>
        <w:jc w:val="left"/>
      </w:pPr>
      <w:r>
        <w:rPr/>
        <w:t>账龄超过</w:t>
      </w:r>
      <w:r>
        <w:rPr>
          <w:spacing w:val="-53"/>
        </w:rPr>
        <w:t> </w:t>
      </w:r>
      <w:r>
        <w:rPr>
          <w:rFonts w:ascii="宋体" w:hAnsi="宋体" w:cs="宋体" w:eastAsia="宋体" w:hint="default"/>
        </w:rPr>
        <w:t>1</w:t>
      </w:r>
      <w:r>
        <w:rPr>
          <w:rFonts w:ascii="宋体" w:hAnsi="宋体" w:cs="宋体" w:eastAsia="宋体" w:hint="default"/>
          <w:spacing w:val="-53"/>
        </w:rPr>
        <w:t> </w:t>
      </w:r>
      <w:r>
        <w:rPr/>
        <w:t>年且金额重要的预付款项未及时结算原因的说明： 无</w:t>
      </w:r>
    </w:p>
    <w:p>
      <w:pPr>
        <w:spacing w:line="240" w:lineRule="auto" w:before="6"/>
        <w:rPr>
          <w:rFonts w:ascii="宋体" w:hAnsi="宋体" w:cs="宋体" w:eastAsia="宋体" w:hint="default"/>
          <w:sz w:val="18"/>
          <w:szCs w:val="18"/>
        </w:rPr>
      </w:pPr>
    </w:p>
    <w:p>
      <w:pPr>
        <w:pStyle w:val="Heading3"/>
        <w:spacing w:line="240" w:lineRule="auto" w:before="0"/>
        <w:ind w:right="228"/>
        <w:jc w:val="left"/>
        <w:rPr>
          <w:b w:val="0"/>
          <w:bCs w:val="0"/>
        </w:rPr>
      </w:pPr>
      <w:r>
        <w:rPr>
          <w:rFonts w:ascii="宋体" w:hAnsi="宋体" w:cs="宋体" w:eastAsia="宋体" w:hint="default"/>
        </w:rPr>
        <w:t>(2).</w:t>
      </w:r>
      <w:r>
        <w:rPr>
          <w:rFonts w:ascii="宋体" w:hAnsi="宋体" w:cs="宋体" w:eastAsia="宋体" w:hint="default"/>
          <w:spacing w:val="80"/>
        </w:rPr>
        <w:t> </w:t>
      </w:r>
      <w:r>
        <w:rPr/>
        <w:t>按预付对象归集的期末余额前五名的预付款情况：</w:t>
      </w:r>
      <w:r>
        <w:rPr>
          <w:b w:val="0"/>
          <w:bCs w:val="0"/>
        </w:rPr>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790"/>
        <w:gridCol w:w="2556"/>
        <w:gridCol w:w="2704"/>
      </w:tblGrid>
      <w:tr>
        <w:trPr>
          <w:trHeight w:val="385"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40"/>
              <w:jc w:val="right"/>
              <w:rPr>
                <w:rFonts w:ascii="宋体" w:hAnsi="宋体" w:cs="宋体" w:eastAsia="宋体" w:hint="default"/>
                <w:sz w:val="21"/>
                <w:szCs w:val="21"/>
              </w:rPr>
            </w:pPr>
            <w:r>
              <w:rPr>
                <w:rFonts w:ascii="宋体" w:hAnsi="宋体" w:cs="宋体" w:eastAsia="宋体" w:hint="default"/>
                <w:sz w:val="21"/>
                <w:szCs w:val="21"/>
              </w:rPr>
              <w:t>占预付款项总额的比例</w:t>
            </w:r>
            <w:r>
              <w:rPr>
                <w:rFonts w:ascii="宋体" w:hAnsi="宋体" w:cs="宋体" w:eastAsia="宋体" w:hint="default"/>
                <w:sz w:val="21"/>
                <w:szCs w:val="21"/>
              </w:rPr>
              <w:t>(%)</w:t>
            </w:r>
          </w:p>
        </w:tc>
      </w:tr>
      <w:tr>
        <w:trPr>
          <w:trHeight w:val="712"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4"/>
              <w:ind w:left="103" w:right="105"/>
              <w:jc w:val="left"/>
              <w:rPr>
                <w:rFonts w:ascii="宋体" w:hAnsi="宋体" w:cs="宋体" w:eastAsia="宋体" w:hint="default"/>
                <w:sz w:val="21"/>
                <w:szCs w:val="21"/>
              </w:rPr>
            </w:pPr>
            <w:r>
              <w:rPr>
                <w:rFonts w:ascii="宋体" w:hAnsi="宋体" w:cs="宋体" w:eastAsia="宋体" w:hint="default"/>
                <w:sz w:val="21"/>
                <w:szCs w:val="21"/>
              </w:rPr>
              <w:t>国网辽宁省电力有限公司沈阳市苏家屯 区供电分公司</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1"/>
              <w:jc w:val="right"/>
              <w:rPr>
                <w:rFonts w:ascii="宋体" w:hAnsi="宋体" w:cs="宋体" w:eastAsia="宋体" w:hint="default"/>
                <w:sz w:val="21"/>
                <w:szCs w:val="21"/>
              </w:rPr>
            </w:pPr>
            <w:r>
              <w:rPr>
                <w:rFonts w:ascii="宋体"/>
                <w:sz w:val="21"/>
              </w:rPr>
              <w:t>56,092.36</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102"/>
              <w:jc w:val="right"/>
              <w:rPr>
                <w:rFonts w:ascii="宋体" w:hAnsi="宋体" w:cs="宋体" w:eastAsia="宋体" w:hint="default"/>
                <w:sz w:val="21"/>
                <w:szCs w:val="21"/>
              </w:rPr>
            </w:pPr>
            <w:r>
              <w:rPr>
                <w:rFonts w:ascii="宋体"/>
                <w:sz w:val="21"/>
              </w:rPr>
              <w:t>9.00</w:t>
            </w:r>
          </w:p>
        </w:tc>
      </w:tr>
      <w:tr>
        <w:trPr>
          <w:trHeight w:val="384"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湖南省电力公司长沙电业局</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240,000.00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38.53</w:t>
            </w:r>
          </w:p>
        </w:tc>
      </w:tr>
      <w:tr>
        <w:trPr>
          <w:trHeight w:val="385"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南宁市翔域网络科技股份有限公司</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z w:val="21"/>
              </w:rPr>
              <w:t>300,000.00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48.16</w:t>
            </w:r>
          </w:p>
        </w:tc>
      </w:tr>
      <w:tr>
        <w:trPr>
          <w:trHeight w:val="385"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浙江娃哈哈股份有限公司饮用水分公司</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4,745.00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0.76</w:t>
            </w:r>
          </w:p>
        </w:tc>
      </w:tr>
      <w:tr>
        <w:trPr>
          <w:trHeight w:val="384"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杭州仲裁委员会办公室</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20,800.00</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3.34</w:t>
            </w:r>
          </w:p>
        </w:tc>
      </w:tr>
      <w:tr>
        <w:trPr>
          <w:trHeight w:val="385"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2"/>
              <w:jc w:val="right"/>
              <w:rPr>
                <w:rFonts w:ascii="宋体" w:hAnsi="宋体" w:cs="宋体" w:eastAsia="宋体" w:hint="default"/>
                <w:sz w:val="21"/>
                <w:szCs w:val="21"/>
              </w:rPr>
            </w:pPr>
            <w:r>
              <w:rPr>
                <w:rFonts w:ascii="宋体"/>
                <w:sz w:val="21"/>
              </w:rPr>
              <w:t>621,637.36</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99.79</w:t>
            </w:r>
          </w:p>
        </w:tc>
      </w:tr>
    </w:tbl>
    <w:p>
      <w:pPr>
        <w:spacing w:line="240" w:lineRule="auto" w:before="8"/>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3"/>
        <w:spacing w:line="240" w:lineRule="auto"/>
        <w:ind w:right="-20"/>
        <w:jc w:val="left"/>
        <w:rPr>
          <w:b w:val="0"/>
          <w:bCs w:val="0"/>
        </w:rPr>
      </w:pPr>
      <w:r>
        <w:rPr>
          <w:rFonts w:ascii="宋体" w:hAnsi="宋体" w:cs="宋体" w:eastAsia="宋体" w:hint="default"/>
        </w:rPr>
        <w:t>4</w:t>
      </w:r>
      <w:r>
        <w:rPr/>
        <w:t>、</w:t>
      </w:r>
      <w:r>
        <w:rPr>
          <w:spacing w:val="-5"/>
        </w:rPr>
        <w:t> </w:t>
      </w:r>
      <w:r>
        <w:rPr/>
        <w:t>其他应收款</w:t>
      </w:r>
      <w:r>
        <w:rPr>
          <w:b w:val="0"/>
          <w:bCs w:val="0"/>
        </w:rPr>
      </w:r>
    </w:p>
    <w:p>
      <w:pPr>
        <w:pStyle w:val="Heading3"/>
        <w:spacing w:line="240" w:lineRule="auto" w:before="117"/>
        <w:ind w:right="-20"/>
        <w:jc w:val="left"/>
        <w:rPr>
          <w:b w:val="0"/>
          <w:bCs w:val="0"/>
        </w:rPr>
      </w:pPr>
      <w:r>
        <w:rPr>
          <w:rFonts w:ascii="宋体" w:hAnsi="宋体" w:cs="宋体" w:eastAsia="宋体" w:hint="default"/>
        </w:rPr>
        <w:t>(1).</w:t>
      </w:r>
      <w:r>
        <w:rPr>
          <w:rFonts w:ascii="宋体" w:hAnsi="宋体" w:cs="宋体" w:eastAsia="宋体" w:hint="default"/>
          <w:spacing w:val="57"/>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8" w:right="0"/>
        <w:jc w:val="left"/>
      </w:pPr>
      <w:r>
        <w:rPr/>
        <w:t>单位：元</w:t>
        <w:tab/>
        <w:t>币种：人民币</w:t>
      </w:r>
    </w:p>
    <w:p>
      <w:pPr>
        <w:spacing w:after="0" w:line="240" w:lineRule="auto"/>
        <w:jc w:val="left"/>
        <w:sectPr>
          <w:type w:val="continuous"/>
          <w:pgSz w:w="11910" w:h="16840"/>
          <w:pgMar w:top="1120" w:bottom="1380" w:left="1580" w:right="1040"/>
          <w:cols w:num="2" w:equalWidth="0">
            <w:col w:w="2703" w:space="3716"/>
            <w:col w:w="2871"/>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727"/>
        <w:gridCol w:w="1270"/>
        <w:gridCol w:w="603"/>
        <w:gridCol w:w="986"/>
        <w:gridCol w:w="838"/>
        <w:gridCol w:w="1142"/>
        <w:gridCol w:w="683"/>
        <w:gridCol w:w="871"/>
        <w:gridCol w:w="778"/>
      </w:tblGrid>
      <w:tr>
        <w:trPr>
          <w:trHeight w:val="338" w:hRule="exact"/>
        </w:trPr>
        <w:tc>
          <w:tcPr>
            <w:tcW w:w="17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6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8" w:hRule="exact"/>
        </w:trPr>
        <w:tc>
          <w:tcPr>
            <w:tcW w:w="1727" w:type="dxa"/>
            <w:vMerge/>
            <w:tcBorders>
              <w:left w:val="single" w:sz="4" w:space="0" w:color="000000"/>
              <w:right w:val="single" w:sz="4" w:space="0" w:color="000000"/>
            </w:tcBorders>
          </w:tcPr>
          <w:p>
            <w:pPr/>
          </w:p>
        </w:tc>
        <w:tc>
          <w:tcPr>
            <w:tcW w:w="18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18" w:hRule="exact"/>
        </w:trPr>
        <w:tc>
          <w:tcPr>
            <w:tcW w:w="1727" w:type="dxa"/>
            <w:vMerge/>
            <w:tcBorders>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60" w:right="115"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77" w:right="53" w:hanging="225"/>
              <w:jc w:val="left"/>
              <w:rPr>
                <w:rFonts w:ascii="宋体" w:hAnsi="宋体" w:cs="宋体" w:eastAsia="宋体" w:hint="default"/>
                <w:sz w:val="18"/>
                <w:szCs w:val="18"/>
              </w:rPr>
            </w:pPr>
            <w:r>
              <w:rPr>
                <w:rFonts w:ascii="宋体" w:hAnsi="宋体" w:cs="宋体" w:eastAsia="宋体" w:hint="default"/>
                <w:sz w:val="18"/>
                <w:szCs w:val="18"/>
              </w:rPr>
              <w:t>计提比例 </w:t>
            </w:r>
            <w:r>
              <w:rPr>
                <w:rFonts w:ascii="宋体" w:hAnsi="宋体" w:cs="宋体" w:eastAsia="宋体" w:hint="default"/>
                <w:sz w:val="18"/>
                <w:szCs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01" w:right="155" w:hanging="46"/>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158" w:right="113" w:hanging="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r>
      <w:tr>
        <w:trPr>
          <w:trHeight w:val="89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6" w:right="68"/>
              <w:jc w:val="both"/>
              <w:rPr>
                <w:rFonts w:ascii="宋体" w:hAnsi="宋体" w:cs="宋体" w:eastAsia="宋体" w:hint="default"/>
                <w:sz w:val="18"/>
                <w:szCs w:val="18"/>
              </w:rPr>
            </w:pPr>
            <w:r>
              <w:rPr>
                <w:rFonts w:ascii="宋体" w:hAnsi="宋体" w:cs="宋体" w:eastAsia="宋体" w:hint="default"/>
                <w:sz w:val="18"/>
                <w:szCs w:val="18"/>
              </w:rPr>
              <w:t>单项金额重大并单独 计提坏账准备的其他 应收款</w:t>
            </w:r>
          </w:p>
        </w:tc>
        <w:tc>
          <w:tcPr>
            <w:tcW w:w="127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899"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9"/>
              <w:ind w:left="26" w:right="68"/>
              <w:jc w:val="both"/>
              <w:rPr>
                <w:rFonts w:ascii="宋体" w:hAnsi="宋体" w:cs="宋体" w:eastAsia="宋体" w:hint="default"/>
                <w:sz w:val="18"/>
                <w:szCs w:val="18"/>
              </w:rPr>
            </w:pPr>
            <w:r>
              <w:rPr>
                <w:rFonts w:ascii="宋体" w:hAnsi="宋体" w:cs="宋体" w:eastAsia="宋体" w:hint="default"/>
                <w:sz w:val="18"/>
                <w:szCs w:val="18"/>
              </w:rPr>
              <w:t>按信用风险特征组合 计提坏账准备的其他 应收款</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27" w:right="0"/>
              <w:jc w:val="center"/>
              <w:rPr>
                <w:rFonts w:ascii="宋体" w:hAnsi="宋体" w:cs="宋体" w:eastAsia="宋体" w:hint="default"/>
                <w:sz w:val="18"/>
                <w:szCs w:val="18"/>
              </w:rPr>
            </w:pPr>
            <w:r>
              <w:rPr>
                <w:rFonts w:ascii="宋体"/>
                <w:sz w:val="18"/>
              </w:rPr>
              <w:t>2,101,786.44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3" w:right="0"/>
              <w:jc w:val="center"/>
              <w:rPr>
                <w:rFonts w:ascii="宋体" w:hAnsi="宋体" w:cs="宋体" w:eastAsia="宋体" w:hint="default"/>
                <w:sz w:val="18"/>
                <w:szCs w:val="18"/>
              </w:rPr>
            </w:pPr>
            <w:r>
              <w:rPr>
                <w:rFonts w:ascii="宋体"/>
                <w:sz w:val="18"/>
              </w:rPr>
              <w:t>216,773.38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50" w:right="0"/>
              <w:jc w:val="left"/>
              <w:rPr>
                <w:rFonts w:ascii="宋体" w:hAnsi="宋体" w:cs="宋体" w:eastAsia="宋体" w:hint="default"/>
                <w:sz w:val="18"/>
                <w:szCs w:val="18"/>
              </w:rPr>
            </w:pPr>
            <w:r>
              <w:rPr>
                <w:rFonts w:ascii="宋体"/>
                <w:sz w:val="18"/>
              </w:rPr>
              <w:t>10.31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sz w:val="18"/>
              </w:rPr>
              <w:t>2,461,564.20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0" w:right="0"/>
              <w:jc w:val="center"/>
              <w:rPr>
                <w:rFonts w:ascii="宋体" w:hAnsi="宋体" w:cs="宋体" w:eastAsia="宋体" w:hint="default"/>
                <w:sz w:val="18"/>
                <w:szCs w:val="18"/>
              </w:rPr>
            </w:pPr>
            <w:r>
              <w:rPr>
                <w:rFonts w:ascii="宋体"/>
                <w:sz w:val="18"/>
              </w:rPr>
              <w:t>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sz w:val="18"/>
              </w:rPr>
              <w:t>92,801.04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381" w:right="0"/>
              <w:jc w:val="left"/>
              <w:rPr>
                <w:rFonts w:ascii="宋体" w:hAnsi="宋体" w:cs="宋体" w:eastAsia="宋体" w:hint="default"/>
                <w:sz w:val="18"/>
                <w:szCs w:val="18"/>
              </w:rPr>
            </w:pPr>
            <w:r>
              <w:rPr>
                <w:rFonts w:ascii="宋体"/>
                <w:sz w:val="18"/>
              </w:rPr>
              <w:t>3.77</w:t>
            </w:r>
          </w:p>
        </w:tc>
      </w:tr>
      <w:tr>
        <w:trPr>
          <w:trHeight w:val="899"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7"/>
              <w:ind w:left="26" w:right="68"/>
              <w:jc w:val="both"/>
              <w:rPr>
                <w:rFonts w:ascii="宋体" w:hAnsi="宋体" w:cs="宋体" w:eastAsia="宋体" w:hint="default"/>
                <w:sz w:val="18"/>
                <w:szCs w:val="18"/>
              </w:rPr>
            </w:pPr>
            <w:r>
              <w:rPr>
                <w:rFonts w:ascii="宋体" w:hAnsi="宋体" w:cs="宋体" w:eastAsia="宋体" w:hint="default"/>
                <w:sz w:val="18"/>
                <w:szCs w:val="18"/>
              </w:rPr>
              <w:t>单项金额不重大但单 独计提坏账准备的其 他应收款</w:t>
            </w:r>
          </w:p>
        </w:tc>
        <w:tc>
          <w:tcPr>
            <w:tcW w:w="1270"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7" w:right="0"/>
              <w:jc w:val="center"/>
              <w:rPr>
                <w:rFonts w:ascii="宋体" w:hAnsi="宋体" w:cs="宋体" w:eastAsia="宋体" w:hint="default"/>
                <w:sz w:val="18"/>
                <w:szCs w:val="18"/>
              </w:rPr>
            </w:pPr>
            <w:r>
              <w:rPr>
                <w:rFonts w:ascii="宋体"/>
                <w:sz w:val="18"/>
              </w:rPr>
              <w:t>2,101,786.44</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100.00</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 w:right="0"/>
              <w:jc w:val="center"/>
              <w:rPr>
                <w:rFonts w:ascii="宋体" w:hAnsi="宋体" w:cs="宋体" w:eastAsia="宋体" w:hint="default"/>
                <w:sz w:val="18"/>
                <w:szCs w:val="18"/>
              </w:rPr>
            </w:pPr>
            <w:r>
              <w:rPr>
                <w:rFonts w:ascii="宋体"/>
                <w:sz w:val="18"/>
              </w:rPr>
              <w:t>216,773.38</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87" w:right="0"/>
              <w:jc w:val="left"/>
              <w:rPr>
                <w:rFonts w:ascii="宋体" w:hAnsi="宋体" w:cs="宋体" w:eastAsia="宋体" w:hint="default"/>
                <w:sz w:val="18"/>
                <w:szCs w:val="18"/>
              </w:rPr>
            </w:pPr>
            <w:r>
              <w:rPr>
                <w:rFonts w:ascii="宋体"/>
                <w:sz w:val="18"/>
              </w:rPr>
              <w:t>10.31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2,461,564.20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92,801.04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3" w:right="0"/>
              <w:jc w:val="left"/>
              <w:rPr>
                <w:rFonts w:ascii="宋体" w:hAnsi="宋体" w:cs="宋体" w:eastAsia="宋体" w:hint="default"/>
                <w:sz w:val="18"/>
                <w:szCs w:val="18"/>
              </w:rPr>
            </w:pPr>
            <w:r>
              <w:rPr>
                <w:rFonts w:ascii="宋体"/>
                <w:sz w:val="18"/>
              </w:rPr>
              <w:t>3.77</w:t>
            </w:r>
          </w:p>
        </w:tc>
      </w:tr>
    </w:tbl>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120" w:bottom="1380" w:left="1580" w:right="1040"/>
        </w:sectPr>
      </w:pPr>
    </w:p>
    <w:p>
      <w:pPr>
        <w:pStyle w:val="BodyText"/>
        <w:spacing w:line="240" w:lineRule="auto" w:before="35"/>
        <w:ind w:left="218" w:right="-20"/>
        <w:jc w:val="left"/>
      </w:pPr>
      <w:r>
        <w:rPr/>
        <w:t>期末单项金额重大并单项计提坏帐准备的其他应收款</w:t>
      </w:r>
    </w:p>
    <w:p>
      <w:pPr>
        <w:pStyle w:val="BodyText"/>
        <w:spacing w:line="343" w:lineRule="auto" w:before="117"/>
        <w:ind w:left="218" w:right="-20"/>
        <w:jc w:val="left"/>
      </w:pPr>
      <w:r>
        <w:rPr/>
        <w:t>□适用</w:t>
      </w:r>
      <w:r>
        <w:rPr>
          <w:spacing w:val="-1"/>
        </w:rPr>
        <w:t> </w:t>
      </w:r>
      <w:r>
        <w:rPr/>
        <w:t>√不适用</w:t>
      </w:r>
      <w:r>
        <w:rPr/>
        <w:t> 组合中，按账龄分析法计提坏账准备的其他应收款：</w:t>
      </w:r>
    </w:p>
    <w:p>
      <w:pPr>
        <w:pStyle w:val="BodyText"/>
        <w:spacing w:line="240" w:lineRule="auto" w:before="27"/>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tabs>
          <w:tab w:pos="1267" w:val="left" w:leader="none"/>
        </w:tabs>
        <w:spacing w:line="240" w:lineRule="auto" w:before="176"/>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375"/>
        <w:gridCol w:w="2202"/>
        <w:gridCol w:w="2130"/>
        <w:gridCol w:w="2189"/>
      </w:tblGrid>
      <w:tr>
        <w:trPr>
          <w:trHeight w:val="384"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85" w:hRule="exact"/>
        </w:trPr>
        <w:tc>
          <w:tcPr>
            <w:tcW w:w="2375" w:type="dxa"/>
            <w:vMerge/>
            <w:tcBorders>
              <w:left w:val="single" w:sz="4" w:space="0" w:color="000000"/>
              <w:bottom w:val="single" w:sz="4" w:space="0" w:color="000000"/>
              <w:right w:val="single" w:sz="4" w:space="0" w:color="000000"/>
            </w:tcBorders>
          </w:tcPr>
          <w:p>
            <w:pP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7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3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66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38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978,037.76</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29,222.54</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3.00</w:t>
            </w:r>
          </w:p>
        </w:tc>
      </w:tr>
      <w:tr>
        <w:trPr>
          <w:trHeight w:val="384"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宋体" w:hAnsi="宋体" w:cs="宋体" w:eastAsia="宋体" w:hint="default"/>
                <w:sz w:val="21"/>
                <w:szCs w:val="21"/>
              </w:rPr>
            </w:pPr>
            <w:r>
              <w:rPr>
                <w:rFonts w:ascii="宋体"/>
                <w:sz w:val="21"/>
              </w:rPr>
              <w:t>366,669.53</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18,333.46</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5.00</w:t>
            </w:r>
          </w:p>
        </w:tc>
      </w:tr>
      <w:tr>
        <w:trPr>
          <w:trHeight w:val="386"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5"/>
              <w:jc w:val="right"/>
              <w:rPr>
                <w:rFonts w:ascii="宋体" w:hAnsi="宋体" w:cs="宋体" w:eastAsia="宋体" w:hint="default"/>
                <w:sz w:val="21"/>
                <w:szCs w:val="21"/>
              </w:rPr>
            </w:pPr>
            <w:r>
              <w:rPr>
                <w:rFonts w:ascii="宋体"/>
                <w:sz w:val="21"/>
              </w:rPr>
              <w:t>652,839.11</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4"/>
              <w:jc w:val="right"/>
              <w:rPr>
                <w:rFonts w:ascii="宋体" w:hAnsi="宋体" w:cs="宋体" w:eastAsia="宋体" w:hint="default"/>
                <w:sz w:val="21"/>
                <w:szCs w:val="21"/>
              </w:rPr>
            </w:pPr>
            <w:r>
              <w:rPr>
                <w:rFonts w:ascii="宋体"/>
                <w:sz w:val="21"/>
              </w:rPr>
              <w:t>97,925.87</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23"/>
              <w:jc w:val="right"/>
              <w:rPr>
                <w:rFonts w:ascii="宋体" w:hAnsi="宋体" w:cs="宋体" w:eastAsia="宋体" w:hint="default"/>
                <w:sz w:val="21"/>
                <w:szCs w:val="21"/>
              </w:rPr>
            </w:pPr>
            <w:r>
              <w:rPr>
                <w:rFonts w:ascii="宋体"/>
                <w:sz w:val="21"/>
              </w:rPr>
              <w:t>15.00</w:t>
            </w:r>
          </w:p>
        </w:tc>
      </w:tr>
      <w:tr>
        <w:trPr>
          <w:trHeight w:val="38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z w:val="21"/>
              </w:rPr>
              <w:t>18,305.04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5,491.51</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21"/>
                <w:szCs w:val="21"/>
              </w:rPr>
            </w:pPr>
            <w:r>
              <w:rPr>
                <w:rFonts w:ascii="宋体"/>
                <w:sz w:val="21"/>
              </w:rPr>
              <w:t>30.00</w:t>
            </w:r>
          </w:p>
        </w:tc>
      </w:tr>
      <w:tr>
        <w:trPr>
          <w:trHeight w:val="38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z w:val="21"/>
              </w:rPr>
              <w:t>40,270.00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20,135.00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21"/>
                <w:szCs w:val="21"/>
              </w:rPr>
            </w:pPr>
            <w:r>
              <w:rPr>
                <w:rFonts w:ascii="宋体"/>
                <w:sz w:val="21"/>
              </w:rPr>
              <w:t>50.00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222" w:type="dxa"/>
        <w:tblLayout w:type="fixed"/>
        <w:tblCellMar>
          <w:top w:w="0" w:type="dxa"/>
          <w:left w:w="0" w:type="dxa"/>
          <w:bottom w:w="0" w:type="dxa"/>
          <w:right w:w="0" w:type="dxa"/>
        </w:tblCellMar>
        <w:tblLook w:val="01E0"/>
      </w:tblPr>
      <w:tblGrid>
        <w:gridCol w:w="2375"/>
        <w:gridCol w:w="2202"/>
        <w:gridCol w:w="2130"/>
        <w:gridCol w:w="2189"/>
      </w:tblGrid>
      <w:tr>
        <w:trPr>
          <w:trHeight w:val="38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6"/>
              <w:jc w:val="right"/>
              <w:rPr>
                <w:rFonts w:ascii="宋体" w:hAnsi="宋体" w:cs="宋体" w:eastAsia="宋体" w:hint="default"/>
                <w:sz w:val="21"/>
                <w:szCs w:val="21"/>
              </w:rPr>
            </w:pPr>
            <w:r>
              <w:rPr>
                <w:rFonts w:ascii="宋体"/>
                <w:sz w:val="21"/>
              </w:rPr>
              <w:t>45,665.00</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45,665.00</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100.00</w:t>
            </w:r>
          </w:p>
        </w:tc>
      </w:tr>
      <w:tr>
        <w:trPr>
          <w:trHeight w:val="38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2,101,786.44</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宋体" w:hAnsi="宋体" w:cs="宋体" w:eastAsia="宋体" w:hint="default"/>
                <w:sz w:val="21"/>
                <w:szCs w:val="21"/>
              </w:rPr>
            </w:pPr>
            <w:r>
              <w:rPr>
                <w:rFonts w:ascii="宋体"/>
                <w:sz w:val="21"/>
              </w:rPr>
              <w:t>216,773.38</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宋体" w:hAnsi="宋体" w:cs="宋体" w:eastAsia="宋体" w:hint="default"/>
                <w:sz w:val="21"/>
                <w:szCs w:val="21"/>
              </w:rPr>
            </w:pPr>
            <w:r>
              <w:rPr>
                <w:rFonts w:ascii="宋体"/>
                <w:sz w:val="21"/>
              </w:rPr>
              <w:t>-</w:t>
            </w:r>
          </w:p>
        </w:tc>
      </w:tr>
    </w:tbl>
    <w:p>
      <w:pPr>
        <w:spacing w:line="240" w:lineRule="auto" w:before="12"/>
        <w:rPr>
          <w:rFonts w:ascii="宋体" w:hAnsi="宋体" w:cs="宋体" w:eastAsia="宋体" w:hint="default"/>
          <w:sz w:val="19"/>
          <w:szCs w:val="19"/>
        </w:rPr>
      </w:pPr>
    </w:p>
    <w:p>
      <w:pPr>
        <w:pStyle w:val="Heading3"/>
        <w:spacing w:line="240" w:lineRule="auto"/>
        <w:ind w:left="258" w:right="0"/>
        <w:jc w:val="left"/>
        <w:rPr>
          <w:b w:val="0"/>
          <w:bCs w:val="0"/>
        </w:rPr>
      </w:pPr>
      <w:r>
        <w:rPr>
          <w:rFonts w:ascii="宋体" w:hAnsi="宋体" w:cs="宋体" w:eastAsia="宋体" w:hint="default"/>
        </w:rPr>
        <w:t>(2).</w:t>
      </w:r>
      <w:r>
        <w:rPr>
          <w:rFonts w:ascii="宋体" w:hAnsi="宋体" w:cs="宋体" w:eastAsia="宋体" w:hint="default"/>
          <w:spacing w:val="54"/>
        </w:rPr>
        <w:t> </w:t>
      </w:r>
      <w:r>
        <w:rPr/>
        <w:t>本期计提、收回或转回的坏账准备情况：</w:t>
      </w:r>
      <w:r>
        <w:rPr>
          <w:b w:val="0"/>
          <w:bCs w:val="0"/>
        </w:rPr>
      </w:r>
    </w:p>
    <w:p>
      <w:pPr>
        <w:spacing w:line="240" w:lineRule="auto" w:before="7"/>
        <w:rPr>
          <w:rFonts w:ascii="宋体" w:hAnsi="宋体" w:cs="宋体" w:eastAsia="宋体" w:hint="default"/>
          <w:b/>
          <w:bCs/>
          <w:sz w:val="16"/>
          <w:szCs w:val="16"/>
        </w:rPr>
      </w:pPr>
    </w:p>
    <w:p>
      <w:pPr>
        <w:pStyle w:val="BodyText"/>
        <w:spacing w:line="240" w:lineRule="auto"/>
        <w:ind w:left="258" w:right="0"/>
        <w:jc w:val="left"/>
      </w:pPr>
      <w:r>
        <w:rPr/>
        <w:t>本期计提坏账准备金额</w:t>
      </w:r>
      <w:r>
        <w:rPr>
          <w:spacing w:val="-54"/>
        </w:rPr>
        <w:t> </w:t>
      </w:r>
      <w:r>
        <w:rPr>
          <w:rFonts w:ascii="宋体" w:hAnsi="宋体" w:cs="宋体" w:eastAsia="宋体" w:hint="default"/>
        </w:rPr>
        <w:t>122,818.37</w:t>
      </w:r>
      <w:r>
        <w:rPr>
          <w:rFonts w:ascii="宋体" w:hAnsi="宋体" w:cs="宋体" w:eastAsia="宋体" w:hint="default"/>
          <w:spacing w:val="-53"/>
        </w:rPr>
        <w:t> </w:t>
      </w:r>
      <w:r>
        <w:rPr/>
        <w:t>元；本期收回或转回坏账准备金额</w:t>
      </w:r>
      <w:r>
        <w:rPr>
          <w:spacing w:val="-53"/>
        </w:rPr>
        <w:t> </w:t>
      </w:r>
      <w:r>
        <w:rPr>
          <w:rFonts w:ascii="宋体" w:hAnsi="宋体" w:cs="宋体" w:eastAsia="宋体" w:hint="default"/>
        </w:rPr>
        <w:t>0</w:t>
      </w:r>
      <w:r>
        <w:rPr>
          <w:rFonts w:ascii="宋体" w:hAnsi="宋体" w:cs="宋体" w:eastAsia="宋体" w:hint="default"/>
          <w:spacing w:val="-54"/>
        </w:rPr>
        <w:t> </w:t>
      </w:r>
      <w:r>
        <w:rPr/>
        <w:t>元。</w:t>
      </w:r>
    </w:p>
    <w:p>
      <w:pPr>
        <w:spacing w:line="240" w:lineRule="auto" w:before="7"/>
        <w:rPr>
          <w:rFonts w:ascii="宋体" w:hAnsi="宋体" w:cs="宋体" w:eastAsia="宋体" w:hint="default"/>
          <w:sz w:val="27"/>
          <w:szCs w:val="27"/>
        </w:rPr>
      </w:pPr>
    </w:p>
    <w:p>
      <w:pPr>
        <w:pStyle w:val="Heading3"/>
        <w:spacing w:line="240" w:lineRule="auto" w:before="0"/>
        <w:ind w:left="258" w:right="0"/>
        <w:jc w:val="left"/>
        <w:rPr>
          <w:b w:val="0"/>
          <w:bCs w:val="0"/>
        </w:rPr>
      </w:pPr>
      <w:r>
        <w:rPr>
          <w:rFonts w:ascii="宋体" w:hAnsi="宋体" w:cs="宋体" w:eastAsia="宋体" w:hint="default"/>
        </w:rPr>
        <w:t>(3).</w:t>
      </w:r>
      <w:r>
        <w:rPr>
          <w:rFonts w:ascii="宋体" w:hAnsi="宋体" w:cs="宋体" w:eastAsia="宋体" w:hint="default"/>
          <w:spacing w:val="56"/>
        </w:rPr>
        <w:t> </w:t>
      </w:r>
      <w:r>
        <w:rPr/>
        <w:t>其他应收款按款项性质分类情况</w:t>
      </w:r>
      <w:r>
        <w:rPr>
          <w:b w:val="0"/>
          <w:bCs w:val="0"/>
        </w:rPr>
      </w:r>
    </w:p>
    <w:p>
      <w:pPr>
        <w:spacing w:line="240" w:lineRule="auto" w:before="1"/>
        <w:rPr>
          <w:rFonts w:ascii="宋体" w:hAnsi="宋体" w:cs="宋体" w:eastAsia="宋体" w:hint="default"/>
          <w:b/>
          <w:bCs/>
          <w:sz w:val="7"/>
          <w:szCs w:val="7"/>
        </w:rPr>
      </w:pPr>
    </w:p>
    <w:tbl>
      <w:tblPr>
        <w:tblW w:w="0" w:type="auto"/>
        <w:jc w:val="left"/>
        <w:tblInd w:w="145" w:type="dxa"/>
        <w:tblLayout w:type="fixed"/>
        <w:tblCellMar>
          <w:top w:w="0" w:type="dxa"/>
          <w:left w:w="0" w:type="dxa"/>
          <w:bottom w:w="0" w:type="dxa"/>
          <w:right w:w="0" w:type="dxa"/>
        </w:tblCellMar>
        <w:tblLook w:val="01E0"/>
      </w:tblPr>
      <w:tblGrid>
        <w:gridCol w:w="3076"/>
        <w:gridCol w:w="2982"/>
        <w:gridCol w:w="2992"/>
      </w:tblGrid>
      <w:tr>
        <w:trPr>
          <w:trHeight w:val="3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85"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1,103,067.67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1,266,930.43</w:t>
            </w:r>
          </w:p>
        </w:tc>
      </w:tr>
      <w:tr>
        <w:trPr>
          <w:trHeight w:val="385"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498,718.77</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694,633.77</w:t>
            </w:r>
          </w:p>
        </w:tc>
      </w:tr>
      <w:tr>
        <w:trPr>
          <w:trHeight w:val="384"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500,000.00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500,000.00</w:t>
            </w:r>
          </w:p>
        </w:tc>
      </w:tr>
      <w:tr>
        <w:trPr>
          <w:trHeight w:val="385"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2,101,786.44</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2,461,564.20</w:t>
            </w:r>
          </w:p>
        </w:tc>
      </w:tr>
    </w:tbl>
    <w:p>
      <w:pPr>
        <w:spacing w:line="240" w:lineRule="auto" w:before="0"/>
        <w:rPr>
          <w:rFonts w:ascii="宋体" w:hAnsi="宋体" w:cs="宋体" w:eastAsia="宋体" w:hint="default"/>
          <w:b/>
          <w:bCs/>
          <w:sz w:val="20"/>
          <w:szCs w:val="20"/>
        </w:rPr>
      </w:pPr>
    </w:p>
    <w:p>
      <w:pPr>
        <w:pStyle w:val="Heading3"/>
        <w:spacing w:line="240" w:lineRule="auto"/>
        <w:ind w:left="258" w:right="0"/>
        <w:jc w:val="left"/>
        <w:rPr>
          <w:b w:val="0"/>
          <w:bCs w:val="0"/>
        </w:rPr>
      </w:pPr>
      <w:r>
        <w:rPr>
          <w:rFonts w:ascii="宋体" w:hAnsi="宋体" w:cs="宋体" w:eastAsia="宋体" w:hint="default"/>
        </w:rPr>
        <w:t>(4).</w:t>
      </w:r>
      <w:r>
        <w:rPr>
          <w:rFonts w:ascii="宋体" w:hAnsi="宋体" w:cs="宋体" w:eastAsia="宋体" w:hint="default"/>
          <w:spacing w:val="53"/>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649"/>
        <w:gridCol w:w="1354"/>
        <w:gridCol w:w="1229"/>
        <w:gridCol w:w="1330"/>
        <w:gridCol w:w="1767"/>
        <w:gridCol w:w="1746"/>
      </w:tblGrid>
      <w:tr>
        <w:trPr>
          <w:trHeight w:val="672"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09"/>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账龄</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3"/>
              <w:ind w:left="109" w:right="65" w:hanging="45"/>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r>
              <w:rPr>
                <w:rFonts w:ascii="宋体" w:hAnsi="宋体" w:cs="宋体" w:eastAsia="宋体" w:hint="default"/>
                <w:sz w:val="18"/>
                <w:szCs w:val="18"/>
              </w:rPr>
              <w:t>(%)</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333" w:lineRule="auto" w:before="19"/>
              <w:ind w:left="503" w:right="50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623"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7"/>
              <w:ind w:left="22" w:right="169"/>
              <w:jc w:val="left"/>
              <w:rPr>
                <w:rFonts w:ascii="宋体" w:hAnsi="宋体" w:cs="宋体" w:eastAsia="宋体" w:hint="default"/>
                <w:sz w:val="18"/>
                <w:szCs w:val="18"/>
              </w:rPr>
            </w:pPr>
            <w:r>
              <w:rPr>
                <w:rFonts w:ascii="宋体" w:hAnsi="宋体" w:cs="宋体" w:eastAsia="宋体" w:hint="default"/>
                <w:sz w:val="18"/>
                <w:szCs w:val="18"/>
              </w:rPr>
              <w:t>北京生物医药产业 基地发展有限公司</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资产转让款</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z w:val="18"/>
              </w:rPr>
              <w:t>500,000.00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23.79</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75,000.00</w:t>
            </w:r>
          </w:p>
        </w:tc>
      </w:tr>
      <w:tr>
        <w:trPr>
          <w:trHeight w:val="623"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8"/>
              <w:ind w:left="22" w:right="169"/>
              <w:jc w:val="left"/>
              <w:rPr>
                <w:rFonts w:ascii="宋体" w:hAnsi="宋体" w:cs="宋体" w:eastAsia="宋体" w:hint="default"/>
                <w:sz w:val="18"/>
                <w:szCs w:val="18"/>
              </w:rPr>
            </w:pPr>
            <w:r>
              <w:rPr>
                <w:rFonts w:ascii="宋体" w:hAnsi="宋体" w:cs="宋体" w:eastAsia="宋体" w:hint="default"/>
                <w:sz w:val="18"/>
                <w:szCs w:val="18"/>
              </w:rPr>
              <w:t>沈阳华凌房地产有 限公司</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宋体" w:hAnsi="宋体" w:cs="宋体" w:eastAsia="宋体" w:hint="default"/>
                <w:sz w:val="18"/>
                <w:szCs w:val="18"/>
              </w:rPr>
            </w:pPr>
            <w:r>
              <w:rPr>
                <w:rFonts w:ascii="宋体"/>
                <w:sz w:val="18"/>
              </w:rPr>
              <w:t>444,182.38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21.13</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13,325.47</w:t>
            </w:r>
          </w:p>
        </w:tc>
      </w:tr>
      <w:tr>
        <w:trPr>
          <w:trHeight w:val="343"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29"/>
              <w:jc w:val="right"/>
              <w:rPr>
                <w:rFonts w:ascii="宋体" w:hAnsi="宋体" w:cs="宋体" w:eastAsia="宋体" w:hint="default"/>
                <w:sz w:val="18"/>
                <w:szCs w:val="18"/>
              </w:rPr>
            </w:pPr>
            <w:r>
              <w:rPr>
                <w:rFonts w:ascii="宋体" w:hAnsi="宋体" w:cs="宋体" w:eastAsia="宋体" w:hint="default"/>
                <w:sz w:val="18"/>
                <w:szCs w:val="18"/>
              </w:rPr>
              <w:t>沈阳市房产局</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150,562.05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7.16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7,528.10</w:t>
            </w:r>
          </w:p>
        </w:tc>
      </w:tr>
      <w:tr>
        <w:trPr>
          <w:trHeight w:val="624"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9"/>
              <w:ind w:left="22" w:right="169"/>
              <w:jc w:val="left"/>
              <w:rPr>
                <w:rFonts w:ascii="宋体" w:hAnsi="宋体" w:cs="宋体" w:eastAsia="宋体" w:hint="default"/>
                <w:sz w:val="18"/>
                <w:szCs w:val="18"/>
              </w:rPr>
            </w:pPr>
            <w:r>
              <w:rPr>
                <w:rFonts w:ascii="宋体" w:hAnsi="宋体" w:cs="宋体" w:eastAsia="宋体" w:hint="default"/>
                <w:sz w:val="18"/>
                <w:szCs w:val="18"/>
              </w:rPr>
              <w:t>泗阳县招标投标服 务中心</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100,000.00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年内</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4.76</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3,000.00</w:t>
            </w:r>
          </w:p>
        </w:tc>
      </w:tr>
      <w:tr>
        <w:trPr>
          <w:trHeight w:val="902"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7"/>
              <w:ind w:left="22" w:right="169"/>
              <w:jc w:val="both"/>
              <w:rPr>
                <w:rFonts w:ascii="宋体" w:hAnsi="宋体" w:cs="宋体" w:eastAsia="宋体" w:hint="default"/>
                <w:sz w:val="18"/>
                <w:szCs w:val="18"/>
              </w:rPr>
            </w:pPr>
            <w:r>
              <w:rPr>
                <w:rFonts w:ascii="宋体" w:hAnsi="宋体" w:cs="宋体" w:eastAsia="宋体" w:hint="default"/>
                <w:sz w:val="18"/>
                <w:szCs w:val="18"/>
              </w:rPr>
              <w:t>浙江绿城郡原物业 服务有限公司辽宁 分公司</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z w:val="18"/>
              </w:rPr>
              <w:t>88,561.57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4.21</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13,284.24</w:t>
            </w:r>
          </w:p>
        </w:tc>
      </w:tr>
      <w:tr>
        <w:trPr>
          <w:trHeight w:val="343" w:hRule="exact"/>
        </w:trPr>
        <w:tc>
          <w:tcPr>
            <w:tcW w:w="16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07"/>
              <w:jc w:val="center"/>
              <w:rPr>
                <w:rFonts w:ascii="宋体" w:hAnsi="宋体" w:cs="宋体" w:eastAsia="宋体" w:hint="default"/>
                <w:sz w:val="18"/>
                <w:szCs w:val="18"/>
              </w:rPr>
            </w:pPr>
            <w:r>
              <w:rPr>
                <w:rFonts w:ascii="宋体" w:hAnsi="宋体" w:cs="宋体" w:eastAsia="宋体" w:hint="default"/>
                <w:sz w:val="18"/>
                <w:szCs w:val="18"/>
              </w:rPr>
              <w:t>合计</w:t>
            </w:r>
          </w:p>
        </w:tc>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73"/>
              <w:jc w:val="center"/>
              <w:rPr>
                <w:rFonts w:ascii="宋体" w:hAnsi="宋体" w:cs="宋体" w:eastAsia="宋体" w:hint="default"/>
                <w:sz w:val="18"/>
                <w:szCs w:val="18"/>
              </w:rPr>
            </w:pPr>
            <w:r>
              <w:rPr>
                <w:rFonts w:ascii="宋体"/>
                <w:sz w:val="18"/>
              </w:rPr>
              <w:t>/</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95"/>
              <w:jc w:val="right"/>
              <w:rPr>
                <w:rFonts w:ascii="宋体" w:hAnsi="宋体" w:cs="宋体" w:eastAsia="宋体" w:hint="default"/>
                <w:sz w:val="18"/>
                <w:szCs w:val="18"/>
              </w:rPr>
            </w:pPr>
            <w:r>
              <w:rPr>
                <w:rFonts w:ascii="宋体"/>
                <w:sz w:val="18"/>
              </w:rPr>
              <w:t>1,283,306.00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73"/>
              <w:jc w:val="center"/>
              <w:rPr>
                <w:rFonts w:ascii="宋体" w:hAnsi="宋体" w:cs="宋体" w:eastAsia="宋体" w:hint="default"/>
                <w:sz w:val="18"/>
                <w:szCs w:val="18"/>
              </w:rPr>
            </w:pPr>
            <w:r>
              <w:rPr>
                <w:rFonts w:ascii="宋体"/>
                <w:sz w:val="18"/>
              </w:rPr>
              <w:t>/</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61.05</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112,137.81</w:t>
            </w:r>
          </w:p>
        </w:tc>
      </w:tr>
    </w:tbl>
    <w:p>
      <w:pPr>
        <w:spacing w:line="240" w:lineRule="auto" w:before="1"/>
        <w:rPr>
          <w:rFonts w:ascii="宋体" w:hAnsi="宋体" w:cs="宋体" w:eastAsia="宋体" w:hint="default"/>
          <w:sz w:val="20"/>
          <w:szCs w:val="20"/>
        </w:rPr>
      </w:pPr>
    </w:p>
    <w:p>
      <w:pPr>
        <w:pStyle w:val="Heading3"/>
        <w:spacing w:line="376" w:lineRule="auto"/>
        <w:ind w:left="258" w:right="6145"/>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55"/>
        </w:rPr>
        <w:t> </w:t>
      </w:r>
      <w:r>
        <w:rPr/>
        <w:t>涉及政府补助的应收款项</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3"/>
        <w:spacing w:line="429" w:lineRule="auto" w:before="0"/>
        <w:ind w:left="258" w:right="4458"/>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5"/>
        </w:rPr>
        <w:t> </w:t>
      </w:r>
      <w:r>
        <w:rPr/>
        <w:t>因金融资产转移而终止确认的其他应收款：</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4"/>
          <w:szCs w:val="14"/>
        </w:rPr>
      </w:pPr>
    </w:p>
    <w:p>
      <w:pPr>
        <w:pStyle w:val="Heading3"/>
        <w:spacing w:line="429" w:lineRule="auto" w:before="0"/>
        <w:ind w:left="258" w:right="3405"/>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54"/>
        </w:rPr>
        <w:t> </w:t>
      </w:r>
      <w:r>
        <w:rPr/>
        <w:t>转移其他应收款且继续涉入形成的资产、负债的金额：</w:t>
      </w:r>
      <w:r>
        <w:rPr>
          <w:w w:val="99"/>
        </w:rPr>
        <w:t> </w:t>
      </w:r>
      <w:r>
        <w:rPr>
          <w:rFonts w:ascii="宋体" w:hAnsi="宋体" w:cs="宋体" w:eastAsia="宋体" w:hint="default"/>
          <w:b w:val="0"/>
          <w:bCs w:val="0"/>
        </w:rPr>
        <w:t>无</w:t>
      </w:r>
    </w:p>
    <w:p>
      <w:pPr>
        <w:spacing w:after="0" w:line="429" w:lineRule="auto"/>
        <w:jc w:val="left"/>
        <w:rPr>
          <w:rFonts w:ascii="宋体" w:hAnsi="宋体" w:cs="宋体" w:eastAsia="宋体" w:hint="default"/>
        </w:rPr>
        <w:sectPr>
          <w:pgSz w:w="11910" w:h="16840"/>
          <w:pgMar w:header="882" w:footer="1194" w:top="1120" w:bottom="1380" w:left="154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4"/>
        </w:rPr>
        <w:t> </w:t>
      </w:r>
      <w:r>
        <w:rPr/>
        <w:t>存货</w:t>
      </w:r>
      <w:r>
        <w:rPr>
          <w:b w:val="0"/>
          <w:bCs w:val="0"/>
        </w:rPr>
      </w:r>
    </w:p>
    <w:p>
      <w:pPr>
        <w:pStyle w:val="Heading3"/>
        <w:tabs>
          <w:tab w:pos="847" w:val="left" w:leader="none"/>
        </w:tabs>
        <w:spacing w:line="240" w:lineRule="auto" w:before="117"/>
        <w:ind w:right="-18"/>
        <w:jc w:val="left"/>
        <w:rPr>
          <w:b w:val="0"/>
          <w:bCs w:val="0"/>
        </w:rPr>
      </w:pP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693" w:space="4831"/>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04"/>
        <w:gridCol w:w="1192"/>
        <w:gridCol w:w="1250"/>
        <w:gridCol w:w="1249"/>
        <w:gridCol w:w="1229"/>
        <w:gridCol w:w="1238"/>
        <w:gridCol w:w="1235"/>
      </w:tblGrid>
      <w:tr>
        <w:trPr>
          <w:trHeight w:val="344" w:hRule="exact"/>
        </w:trPr>
        <w:tc>
          <w:tcPr>
            <w:tcW w:w="150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69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0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3" w:hRule="exact"/>
        </w:trPr>
        <w:tc>
          <w:tcPr>
            <w:tcW w:w="1504" w:type="dxa"/>
            <w:vMerge/>
            <w:tcBorders>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8" w:right="0"/>
              <w:jc w:val="left"/>
              <w:rPr>
                <w:rFonts w:ascii="宋体" w:hAnsi="宋体" w:cs="宋体" w:eastAsia="宋体" w:hint="default"/>
                <w:sz w:val="18"/>
                <w:szCs w:val="18"/>
              </w:rPr>
            </w:pPr>
            <w:r>
              <w:rPr>
                <w:rFonts w:ascii="宋体"/>
                <w:sz w:val="18"/>
              </w:rPr>
              <w:t>182,972.11</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sz w:val="18"/>
              </w:rPr>
              <w:t>182,972.11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84" w:right="0"/>
              <w:jc w:val="left"/>
              <w:rPr>
                <w:rFonts w:ascii="宋体" w:hAnsi="宋体" w:cs="宋体" w:eastAsia="宋体" w:hint="default"/>
                <w:sz w:val="18"/>
                <w:szCs w:val="18"/>
              </w:rPr>
            </w:pPr>
            <w:r>
              <w:rPr>
                <w:rFonts w:ascii="宋体"/>
                <w:sz w:val="18"/>
              </w:rPr>
              <w:t>175,187.39</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90" w:right="0"/>
              <w:jc w:val="left"/>
              <w:rPr>
                <w:rFonts w:ascii="宋体" w:hAnsi="宋体" w:cs="宋体" w:eastAsia="宋体" w:hint="default"/>
                <w:sz w:val="18"/>
                <w:szCs w:val="18"/>
              </w:rPr>
            </w:pPr>
            <w:r>
              <w:rPr>
                <w:rFonts w:ascii="宋体"/>
                <w:sz w:val="18"/>
              </w:rPr>
              <w:t>175,187.39</w:t>
            </w:r>
          </w:p>
        </w:tc>
      </w:tr>
      <w:tr>
        <w:trPr>
          <w:trHeight w:val="342"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2"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15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48" w:right="0"/>
              <w:jc w:val="left"/>
              <w:rPr>
                <w:rFonts w:ascii="宋体" w:hAnsi="宋体" w:cs="宋体" w:eastAsia="宋体" w:hint="default"/>
                <w:sz w:val="18"/>
                <w:szCs w:val="18"/>
              </w:rPr>
            </w:pPr>
            <w:r>
              <w:rPr>
                <w:rFonts w:ascii="宋体"/>
                <w:sz w:val="18"/>
              </w:rPr>
              <w:t>182,972.11</w:t>
            </w:r>
          </w:p>
        </w:tc>
        <w:tc>
          <w:tcPr>
            <w:tcW w:w="1250"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04" w:right="0"/>
              <w:jc w:val="left"/>
              <w:rPr>
                <w:rFonts w:ascii="宋体" w:hAnsi="宋体" w:cs="宋体" w:eastAsia="宋体" w:hint="default"/>
                <w:sz w:val="18"/>
                <w:szCs w:val="18"/>
              </w:rPr>
            </w:pPr>
            <w:r>
              <w:rPr>
                <w:rFonts w:ascii="宋体"/>
                <w:sz w:val="18"/>
              </w:rPr>
              <w:t>182,972.11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84" w:right="0"/>
              <w:jc w:val="left"/>
              <w:rPr>
                <w:rFonts w:ascii="宋体" w:hAnsi="宋体" w:cs="宋体" w:eastAsia="宋体" w:hint="default"/>
                <w:sz w:val="18"/>
                <w:szCs w:val="18"/>
              </w:rPr>
            </w:pPr>
            <w:r>
              <w:rPr>
                <w:rFonts w:ascii="宋体"/>
                <w:sz w:val="18"/>
              </w:rPr>
              <w:t>175,187.39</w:t>
            </w:r>
          </w:p>
        </w:tc>
        <w:tc>
          <w:tcPr>
            <w:tcW w:w="1238" w:type="dxa"/>
            <w:tcBorders>
              <w:top w:val="single" w:sz="6" w:space="0" w:color="000000"/>
              <w:left w:val="single" w:sz="6" w:space="0" w:color="000000"/>
              <w:bottom w:val="single" w:sz="6" w:space="0" w:color="000000"/>
              <w:right w:val="single" w:sz="6" w:space="0" w:color="000000"/>
            </w:tcBorders>
          </w:tcPr>
          <w:p>
            <w:pPr/>
          </w:p>
        </w:tc>
        <w:tc>
          <w:tcPr>
            <w:tcW w:w="12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90" w:right="0"/>
              <w:jc w:val="left"/>
              <w:rPr>
                <w:rFonts w:ascii="宋体" w:hAnsi="宋体" w:cs="宋体" w:eastAsia="宋体" w:hint="default"/>
                <w:sz w:val="18"/>
                <w:szCs w:val="18"/>
              </w:rPr>
            </w:pPr>
            <w:r>
              <w:rPr>
                <w:rFonts w:ascii="宋体"/>
                <w:sz w:val="18"/>
              </w:rPr>
              <w:t>175,187.39</w:t>
            </w:r>
          </w:p>
        </w:tc>
      </w:tr>
    </w:tbl>
    <w:p>
      <w:pPr>
        <w:spacing w:line="240" w:lineRule="auto" w:before="4"/>
        <w:rPr>
          <w:rFonts w:ascii="宋体" w:hAnsi="宋体" w:cs="宋体" w:eastAsia="宋体" w:hint="default"/>
          <w:sz w:val="24"/>
          <w:szCs w:val="24"/>
        </w:rPr>
      </w:pPr>
    </w:p>
    <w:p>
      <w:pPr>
        <w:pStyle w:val="Heading3"/>
        <w:tabs>
          <w:tab w:pos="847" w:val="left" w:leader="none"/>
        </w:tabs>
        <w:spacing w:line="376" w:lineRule="auto"/>
        <w:ind w:right="6119"/>
        <w:jc w:val="left"/>
        <w:rPr>
          <w:rFonts w:ascii="宋体" w:hAnsi="宋体" w:cs="宋体" w:eastAsia="宋体" w:hint="default"/>
          <w:b w:val="0"/>
          <w:bCs w:val="0"/>
        </w:rPr>
      </w:pPr>
      <w:r>
        <w:rPr>
          <w:rFonts w:ascii="宋体" w:hAnsi="宋体" w:cs="宋体" w:eastAsia="宋体" w:hint="default"/>
          <w:w w:val="95"/>
        </w:rPr>
        <w:t>(2).</w:t>
        <w:tab/>
      </w:r>
      <w:r>
        <w:rPr/>
        <w:t>存货跌价准备的增减变动</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15"/>
          <w:szCs w:val="15"/>
        </w:rPr>
      </w:pPr>
    </w:p>
    <w:p>
      <w:pPr>
        <w:pStyle w:val="Heading3"/>
        <w:spacing w:line="240" w:lineRule="auto"/>
        <w:ind w:right="228"/>
        <w:jc w:val="left"/>
        <w:rPr>
          <w:b w:val="0"/>
          <w:bCs w:val="0"/>
        </w:rPr>
      </w:pPr>
      <w:r>
        <w:rPr>
          <w:rFonts w:ascii="宋体" w:hAnsi="宋体" w:cs="宋体" w:eastAsia="宋体" w:hint="default"/>
        </w:rPr>
        <w:t>6</w:t>
      </w:r>
      <w:r>
        <w:rPr/>
        <w:t>、</w:t>
      </w:r>
      <w:r>
        <w:rPr>
          <w:spacing w:val="-6"/>
        </w:rPr>
        <w:t> </w:t>
      </w:r>
      <w:r>
        <w:rPr/>
        <w:t>其他流动资产</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87"/>
        <w:gridCol w:w="2917"/>
        <w:gridCol w:w="2846"/>
      </w:tblGrid>
      <w:tr>
        <w:trPr>
          <w:trHeight w:val="38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85"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宋体" w:hAnsi="宋体" w:cs="宋体" w:eastAsia="宋体" w:hint="default"/>
                <w:sz w:val="21"/>
                <w:szCs w:val="21"/>
              </w:rPr>
            </w:pPr>
            <w:r>
              <w:rPr>
                <w:rFonts w:ascii="宋体" w:hAnsi="宋体" w:cs="宋体" w:eastAsia="宋体" w:hint="default"/>
                <w:sz w:val="21"/>
                <w:szCs w:val="21"/>
              </w:rPr>
              <w:t>银行保本理财收益产品</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15,000,000.00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22,000,000.00</w:t>
            </w:r>
          </w:p>
        </w:tc>
      </w:tr>
      <w:tr>
        <w:trPr>
          <w:trHeight w:val="386" w:hRule="exact"/>
        </w:trPr>
        <w:tc>
          <w:tcPr>
            <w:tcW w:w="3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5"/>
              <w:jc w:val="center"/>
              <w:rPr>
                <w:rFonts w:ascii="宋体" w:hAnsi="宋体" w:cs="宋体" w:eastAsia="宋体" w:hint="default"/>
                <w:sz w:val="21"/>
                <w:szCs w:val="21"/>
              </w:rPr>
            </w:pPr>
            <w:r>
              <w:rPr>
                <w:rFonts w:ascii="宋体" w:hAnsi="宋体" w:cs="宋体" w:eastAsia="宋体" w:hint="default"/>
                <w:sz w:val="21"/>
                <w:szCs w:val="21"/>
              </w:rPr>
              <w:t>合计</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15,000,000.00</w:t>
            </w:r>
          </w:p>
        </w:tc>
        <w:tc>
          <w:tcPr>
            <w:tcW w:w="2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0"/>
              <w:jc w:val="right"/>
              <w:rPr>
                <w:rFonts w:ascii="宋体" w:hAnsi="宋体" w:cs="宋体" w:eastAsia="宋体" w:hint="default"/>
                <w:sz w:val="21"/>
                <w:szCs w:val="21"/>
              </w:rPr>
            </w:pPr>
            <w:r>
              <w:rPr>
                <w:rFonts w:ascii="宋体"/>
                <w:sz w:val="21"/>
              </w:rPr>
              <w:t>22,000,000.00</w:t>
            </w:r>
          </w:p>
        </w:tc>
      </w:tr>
    </w:tbl>
    <w:p>
      <w:pPr>
        <w:pStyle w:val="BodyText"/>
        <w:spacing w:line="240" w:lineRule="exact"/>
        <w:ind w:left="218" w:right="228"/>
        <w:jc w:val="left"/>
      </w:pPr>
      <w:r>
        <w:rPr/>
        <w:t>其他说明</w:t>
      </w:r>
    </w:p>
    <w:p>
      <w:pPr>
        <w:spacing w:line="240" w:lineRule="auto" w:before="3"/>
        <w:rPr>
          <w:rFonts w:ascii="宋体" w:hAnsi="宋体" w:cs="宋体" w:eastAsia="宋体" w:hint="default"/>
          <w:sz w:val="14"/>
          <w:szCs w:val="14"/>
        </w:rPr>
      </w:pPr>
    </w:p>
    <w:p>
      <w:pPr>
        <w:pStyle w:val="BodyText"/>
        <w:spacing w:line="400" w:lineRule="auto"/>
        <w:ind w:left="218" w:right="224"/>
        <w:jc w:val="left"/>
      </w:pPr>
      <w:r>
        <w:rPr/>
        <w:t>其他流动资产是购买的期限</w:t>
      </w:r>
      <w:r>
        <w:rPr>
          <w:spacing w:val="-48"/>
        </w:rPr>
        <w:t> </w:t>
      </w:r>
      <w:r>
        <w:rPr>
          <w:rFonts w:ascii="宋体" w:hAnsi="宋体" w:cs="宋体" w:eastAsia="宋体" w:hint="default"/>
          <w:spacing w:val="-1"/>
        </w:rPr>
        <w:t>35</w:t>
      </w:r>
      <w:r>
        <w:rPr>
          <w:rFonts w:ascii="宋体" w:hAnsi="宋体" w:cs="宋体" w:eastAsia="宋体" w:hint="default"/>
          <w:spacing w:val="-47"/>
        </w:rPr>
        <w:t> </w:t>
      </w:r>
      <w:r>
        <w:rPr>
          <w:spacing w:val="-1"/>
        </w:rPr>
        <w:t>天的银行保本理财产品</w:t>
      </w:r>
      <w:r>
        <w:rPr>
          <w:spacing w:val="-48"/>
        </w:rPr>
        <w:t> </w:t>
      </w:r>
      <w:r>
        <w:rPr>
          <w:rFonts w:ascii="宋体" w:hAnsi="宋体" w:cs="宋体" w:eastAsia="宋体" w:hint="default"/>
          <w:spacing w:val="-1"/>
        </w:rPr>
        <w:t>15,000,000.00</w:t>
      </w:r>
      <w:r>
        <w:rPr>
          <w:rFonts w:ascii="宋体" w:hAnsi="宋体" w:cs="宋体" w:eastAsia="宋体" w:hint="default"/>
          <w:spacing w:val="-47"/>
        </w:rPr>
        <w:t> </w:t>
      </w:r>
      <w:r>
        <w:rPr>
          <w:spacing w:val="-8"/>
        </w:rPr>
        <w:t>元，本公司将其作为现金等</w:t>
      </w:r>
      <w:r>
        <w:rPr/>
        <w:t> 价物。</w:t>
      </w:r>
    </w:p>
    <w:p>
      <w:pPr>
        <w:spacing w:line="240" w:lineRule="auto" w:before="9"/>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type w:val="continuous"/>
          <w:pgSz w:w="11910" w:h="16840"/>
          <w:pgMar w:top="1120" w:bottom="1380" w:left="1580" w:right="1040"/>
        </w:sectPr>
      </w:pPr>
    </w:p>
    <w:p>
      <w:pPr>
        <w:pStyle w:val="Heading3"/>
        <w:spacing w:line="240" w:lineRule="auto"/>
        <w:ind w:right="-19"/>
        <w:jc w:val="left"/>
        <w:rPr>
          <w:b w:val="0"/>
          <w:bCs w:val="0"/>
        </w:rPr>
      </w:pPr>
      <w:r>
        <w:rPr>
          <w:rFonts w:ascii="宋体" w:hAnsi="宋体" w:cs="宋体" w:eastAsia="宋体" w:hint="default"/>
        </w:rPr>
        <w:t>7</w:t>
      </w:r>
      <w:r>
        <w:rPr/>
        <w:t>、</w:t>
      </w:r>
      <w:r>
        <w:rPr>
          <w:spacing w:val="-3"/>
        </w:rPr>
        <w:t> </w:t>
      </w:r>
      <w:r>
        <w:rPr/>
        <w:t>固定资产</w:t>
      </w:r>
      <w:r>
        <w:rPr>
          <w:b w:val="0"/>
          <w:bCs w:val="0"/>
        </w:rPr>
      </w:r>
    </w:p>
    <w:p>
      <w:pPr>
        <w:pStyle w:val="Heading3"/>
        <w:spacing w:line="240" w:lineRule="auto" w:before="11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固定资产情况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158"/>
        <w:gridCol w:w="1181"/>
        <w:gridCol w:w="1025"/>
        <w:gridCol w:w="1025"/>
        <w:gridCol w:w="1024"/>
        <w:gridCol w:w="1025"/>
        <w:gridCol w:w="1457"/>
      </w:tblGrid>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4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4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4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404,259.00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636,149.50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39,197.00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1,079,605.50</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11,040.00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130,385.00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48,120.00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189,545.00</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11,040.00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130,385.00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48,120.00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189,545.00</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）在建工程转入</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2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119,184.00</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119,184.00</w:t>
            </w:r>
          </w:p>
        </w:tc>
      </w:tr>
      <w:tr>
        <w:trPr>
          <w:trHeight w:val="344"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119,184.00</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119,184.00</w:t>
            </w:r>
          </w:p>
        </w:tc>
      </w:tr>
      <w:tr>
        <w:trPr>
          <w:trHeight w:val="342"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296,115.00</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766,534.50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87,317.00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1,149,966.50</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233,085.96</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z w:val="18"/>
              </w:rPr>
              <w:t>382,483.01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28,630.49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644,199.46</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2158"/>
        <w:gridCol w:w="1181"/>
        <w:gridCol w:w="1025"/>
        <w:gridCol w:w="1025"/>
        <w:gridCol w:w="1024"/>
        <w:gridCol w:w="1025"/>
        <w:gridCol w:w="1457"/>
      </w:tblGrid>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56,087.08</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105,013.52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5,936.27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167,036.87</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56,087.08</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105,013.52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5,936.27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167,036.87</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113,224.80</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113,224.80</w:t>
            </w:r>
          </w:p>
        </w:tc>
      </w:tr>
      <w:tr>
        <w:trPr>
          <w:trHeight w:val="344"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113,224.80</w:t>
            </w: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113,224.80</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175,948.24</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487,496.53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34,566.76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698,011.53</w:t>
            </w:r>
          </w:p>
        </w:tc>
      </w:tr>
      <w:tr>
        <w:trPr>
          <w:trHeight w:val="342"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8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120,166.76</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z w:val="18"/>
              </w:rPr>
              <w:t>279,037.97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52,750.24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451,954.97</w:t>
            </w:r>
          </w:p>
        </w:tc>
      </w:tr>
      <w:tr>
        <w:trPr>
          <w:trHeight w:val="343" w:hRule="exact"/>
        </w:trPr>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38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181"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171,173.04</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1"/>
              <w:jc w:val="right"/>
              <w:rPr>
                <w:rFonts w:ascii="宋体" w:hAnsi="宋体" w:cs="宋体" w:eastAsia="宋体" w:hint="default"/>
                <w:sz w:val="18"/>
                <w:szCs w:val="18"/>
              </w:rPr>
            </w:pPr>
            <w:r>
              <w:rPr>
                <w:rFonts w:ascii="宋体"/>
                <w:sz w:val="18"/>
              </w:rPr>
              <w:t>253,666.49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10,566.51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435,406.04</w:t>
            </w:r>
          </w:p>
        </w:tc>
      </w:tr>
    </w:tbl>
    <w:p>
      <w:pPr>
        <w:spacing w:line="240" w:lineRule="auto" w:before="1"/>
        <w:rPr>
          <w:rFonts w:ascii="宋体" w:hAnsi="宋体" w:cs="宋体" w:eastAsia="宋体" w:hint="default"/>
          <w:sz w:val="20"/>
          <w:szCs w:val="20"/>
        </w:rPr>
      </w:pPr>
    </w:p>
    <w:p>
      <w:pPr>
        <w:pStyle w:val="Heading3"/>
        <w:spacing w:line="429" w:lineRule="auto"/>
        <w:ind w:right="614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55"/>
        </w:rPr>
        <w:t> </w:t>
      </w:r>
      <w:r>
        <w:rPr/>
        <w:t>暂时闲置的固定资产情况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4"/>
          <w:szCs w:val="14"/>
        </w:rPr>
      </w:pPr>
    </w:p>
    <w:p>
      <w:pPr>
        <w:pStyle w:val="Heading3"/>
        <w:spacing w:line="429" w:lineRule="auto" w:before="0"/>
        <w:ind w:right="530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5"/>
        </w:rPr>
        <w:t> </w:t>
      </w:r>
      <w:r>
        <w:rPr/>
        <w:t>通过融资租赁租入的固定资产情况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4"/>
          <w:szCs w:val="14"/>
        </w:rPr>
      </w:pPr>
    </w:p>
    <w:p>
      <w:pPr>
        <w:pStyle w:val="Heading3"/>
        <w:spacing w:line="429" w:lineRule="auto" w:before="0"/>
        <w:ind w:right="572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w w:val="99"/>
        </w:rPr>
        <w:t> </w:t>
      </w:r>
      <w:r>
        <w:rPr>
          <w:rFonts w:ascii="宋体" w:hAnsi="宋体" w:cs="宋体" w:eastAsia="宋体" w:hint="default"/>
          <w:b w:val="0"/>
          <w:bCs w:val="0"/>
        </w:rPr>
        <w:t>无</w:t>
      </w:r>
    </w:p>
    <w:p>
      <w:pPr>
        <w:spacing w:line="240" w:lineRule="auto" w:before="1"/>
        <w:rPr>
          <w:rFonts w:ascii="宋体" w:hAnsi="宋体" w:cs="宋体" w:eastAsia="宋体" w:hint="default"/>
          <w:sz w:val="12"/>
          <w:szCs w:val="12"/>
        </w:rPr>
      </w:pPr>
    </w:p>
    <w:p>
      <w:pPr>
        <w:pStyle w:val="Heading3"/>
        <w:spacing w:line="240" w:lineRule="auto"/>
        <w:ind w:right="228"/>
        <w:jc w:val="left"/>
        <w:rPr>
          <w:b w:val="0"/>
          <w:bCs w:val="0"/>
        </w:rPr>
      </w:pPr>
      <w:r>
        <w:rPr>
          <w:rFonts w:ascii="宋体" w:hAnsi="宋体" w:cs="宋体" w:eastAsia="宋体" w:hint="default"/>
        </w:rPr>
        <w:t>8</w:t>
      </w:r>
      <w:r>
        <w:rPr/>
        <w:t>、</w:t>
      </w:r>
      <w:r>
        <w:rPr>
          <w:spacing w:val="-6"/>
        </w:rPr>
        <w:t> </w:t>
      </w:r>
      <w:r>
        <w:rPr/>
        <w:t>长期待摊费用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9"/>
        <w:gridCol w:w="1274"/>
        <w:gridCol w:w="1562"/>
        <w:gridCol w:w="1560"/>
        <w:gridCol w:w="1559"/>
        <w:gridCol w:w="1426"/>
      </w:tblGrid>
      <w:tr>
        <w:trPr>
          <w:trHeight w:val="397"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5"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3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4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1"/>
              <w:jc w:val="center"/>
              <w:rPr>
                <w:rFonts w:ascii="宋体" w:hAnsi="宋体" w:cs="宋体" w:eastAsia="宋体" w:hint="default"/>
                <w:sz w:val="18"/>
                <w:szCs w:val="18"/>
              </w:rPr>
            </w:pPr>
            <w:r>
              <w:rPr>
                <w:rFonts w:ascii="宋体" w:hAnsi="宋体" w:cs="宋体" w:eastAsia="宋体" w:hint="default"/>
                <w:sz w:val="18"/>
                <w:szCs w:val="18"/>
              </w:rPr>
              <w:t>新视窗软件服务费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35,000.00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20,000.00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15,000.00</w:t>
            </w:r>
          </w:p>
        </w:tc>
      </w:tr>
      <w:tr>
        <w:trPr>
          <w:trHeight w:val="398" w:hRule="exact"/>
        </w:trPr>
        <w:tc>
          <w:tcPr>
            <w:tcW w:w="1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35,000.00</w:t>
            </w:r>
          </w:p>
        </w:tc>
        <w:tc>
          <w:tcPr>
            <w:tcW w:w="15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20,000.00</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15,000.00</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45"/>
          <w:pgSz w:w="11910" w:h="16840"/>
          <w:pgMar w:footer="1194" w:header="882" w:top="1120" w:bottom="1380" w:left="1580" w:right="1040"/>
        </w:sectPr>
      </w:pPr>
    </w:p>
    <w:p>
      <w:pPr>
        <w:pStyle w:val="Heading3"/>
        <w:spacing w:line="343" w:lineRule="auto"/>
        <w:ind w:right="-18"/>
        <w:jc w:val="left"/>
        <w:rPr>
          <w:b w:val="0"/>
          <w:bCs w:val="0"/>
        </w:rPr>
      </w:pPr>
      <w:r>
        <w:rPr>
          <w:rFonts w:ascii="宋体" w:hAnsi="宋体" w:cs="宋体" w:eastAsia="宋体" w:hint="default"/>
        </w:rPr>
        <w:t>9</w:t>
      </w:r>
      <w:r>
        <w:rPr/>
        <w:t>、 递延所得税资产</w:t>
      </w:r>
      <w:r>
        <w:rPr>
          <w:rFonts w:ascii="宋体" w:hAnsi="宋体" w:cs="宋体" w:eastAsia="宋体" w:hint="default"/>
        </w:rPr>
        <w:t>/</w:t>
      </w:r>
      <w:r>
        <w:rPr>
          <w:rFonts w:ascii="宋体" w:hAnsi="宋体" w:cs="宋体" w:eastAsia="宋体" w:hint="default"/>
          <w:spacing w:val="-7"/>
        </w:rPr>
        <w:t> </w:t>
      </w:r>
      <w:r>
        <w:rPr/>
        <w:t>递延所得税负债</w:t>
      </w:r>
      <w:r>
        <w:rPr>
          <w:w w:val="99"/>
        </w:rPr>
        <w:t> </w:t>
      </w:r>
      <w:r>
        <w:rPr>
          <w:rFonts w:ascii="宋体" w:hAnsi="宋体" w:cs="宋体" w:eastAsia="宋体" w:hint="default"/>
        </w:rPr>
        <w:t>(1).</w:t>
      </w:r>
      <w:r>
        <w:rPr>
          <w:rFonts w:ascii="宋体" w:hAnsi="宋体" w:cs="宋体" w:eastAsia="宋体" w:hint="default"/>
          <w:spacing w:val="55"/>
        </w:rPr>
        <w:t> </w:t>
      </w:r>
      <w:r>
        <w:rPr/>
        <w:t>未经抵销的递延所得税资产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800" w:space="272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2"/>
        <w:gridCol w:w="1646"/>
        <w:gridCol w:w="1665"/>
        <w:gridCol w:w="1645"/>
      </w:tblGrid>
      <w:tr>
        <w:trPr>
          <w:trHeight w:val="397"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85" w:hRule="exact"/>
        </w:trPr>
        <w:tc>
          <w:tcPr>
            <w:tcW w:w="2444" w:type="dxa"/>
            <w:vMerge/>
            <w:tcBorders>
              <w:left w:val="single" w:sz="4" w:space="0" w:color="000000"/>
              <w:bottom w:val="single" w:sz="4" w:space="0" w:color="000000"/>
              <w:right w:val="single" w:sz="4" w:space="0" w:color="000000"/>
            </w:tcBorders>
          </w:tcPr>
          <w:p>
            <w:pP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9"/>
              <w:ind w:left="729" w:right="190" w:hanging="540"/>
              <w:jc w:val="left"/>
              <w:rPr>
                <w:rFonts w:ascii="宋体" w:hAnsi="宋体" w:cs="宋体" w:eastAsia="宋体" w:hint="default"/>
                <w:sz w:val="18"/>
                <w:szCs w:val="18"/>
              </w:rPr>
            </w:pPr>
            <w:r>
              <w:rPr>
                <w:rFonts w:ascii="宋体" w:hAnsi="宋体" w:cs="宋体" w:eastAsia="宋体" w:hint="default"/>
                <w:sz w:val="18"/>
                <w:szCs w:val="18"/>
              </w:rPr>
              <w:t>可抵扣暂时性差 异</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43"/>
              <w:ind w:left="637" w:right="367" w:hanging="270"/>
              <w:jc w:val="left"/>
              <w:rPr>
                <w:rFonts w:ascii="宋体" w:hAnsi="宋体" w:cs="宋体" w:eastAsia="宋体" w:hint="default"/>
                <w:sz w:val="18"/>
                <w:szCs w:val="18"/>
              </w:rPr>
            </w:pPr>
            <w:r>
              <w:rPr>
                <w:rFonts w:ascii="宋体" w:hAnsi="宋体" w:cs="宋体" w:eastAsia="宋体" w:hint="default"/>
                <w:sz w:val="18"/>
                <w:szCs w:val="18"/>
              </w:rPr>
              <w:t>递延所得税 资产</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43"/>
              <w:ind w:left="636" w:right="367" w:hanging="270"/>
              <w:jc w:val="left"/>
              <w:rPr>
                <w:rFonts w:ascii="宋体" w:hAnsi="宋体" w:cs="宋体" w:eastAsia="宋体" w:hint="default"/>
                <w:sz w:val="18"/>
                <w:szCs w:val="18"/>
              </w:rPr>
            </w:pPr>
            <w:r>
              <w:rPr>
                <w:rFonts w:ascii="宋体" w:hAnsi="宋体" w:cs="宋体" w:eastAsia="宋体" w:hint="default"/>
                <w:sz w:val="18"/>
                <w:szCs w:val="18"/>
              </w:rPr>
              <w:t>递延所得税 资产</w:t>
            </w:r>
          </w:p>
        </w:tc>
      </w:tr>
      <w:tr>
        <w:trPr>
          <w:trHeight w:val="39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365,937.32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91,484.33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174,380.92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43,595.23</w:t>
            </w:r>
          </w:p>
        </w:tc>
      </w:tr>
      <w:tr>
        <w:trPr>
          <w:trHeight w:val="39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3"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3"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652" w:type="dxa"/>
            <w:tcBorders>
              <w:top w:val="single" w:sz="4" w:space="0" w:color="000000"/>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
        </w:tc>
        <w:tc>
          <w:tcPr>
            <w:tcW w:w="1665" w:type="dxa"/>
            <w:tcBorders>
              <w:top w:val="single" w:sz="4" w:space="0" w:color="000000"/>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365,937.32</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91,484.33</w:t>
            </w:r>
          </w:p>
        </w:tc>
        <w:tc>
          <w:tcPr>
            <w:tcW w:w="1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174,380.92</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43,595.23</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55"/>
        </w:rPr>
        <w:t> </w:t>
      </w:r>
      <w:r>
        <w:rPr/>
        <w:t>未经抵销的递延所得税负债</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374"/>
        <w:gridCol w:w="3342"/>
        <w:gridCol w:w="3334"/>
      </w:tblGrid>
      <w:tr>
        <w:trPr>
          <w:trHeight w:val="39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374"/>
        <w:gridCol w:w="1677"/>
        <w:gridCol w:w="1666"/>
        <w:gridCol w:w="1658"/>
        <w:gridCol w:w="1676"/>
      </w:tblGrid>
      <w:tr>
        <w:trPr>
          <w:trHeight w:val="784"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2"/>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1"/>
              <w:ind w:left="646" w:right="377" w:hanging="270"/>
              <w:jc w:val="left"/>
              <w:rPr>
                <w:rFonts w:ascii="宋体" w:hAnsi="宋体" w:cs="宋体" w:eastAsia="宋体" w:hint="default"/>
                <w:sz w:val="18"/>
                <w:szCs w:val="18"/>
              </w:rPr>
            </w:pPr>
            <w:r>
              <w:rPr>
                <w:rFonts w:ascii="宋体" w:hAnsi="宋体" w:cs="宋体" w:eastAsia="宋体" w:hint="default"/>
                <w:sz w:val="18"/>
                <w:szCs w:val="18"/>
              </w:rPr>
              <w:t>递延所得税 负债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02"/>
              <w:jc w:val="righ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1"/>
              <w:ind w:left="652" w:right="383" w:hanging="270"/>
              <w:jc w:val="left"/>
              <w:rPr>
                <w:rFonts w:ascii="宋体" w:hAnsi="宋体" w:cs="宋体" w:eastAsia="宋体" w:hint="default"/>
                <w:sz w:val="18"/>
                <w:szCs w:val="18"/>
              </w:rPr>
            </w:pPr>
            <w:r>
              <w:rPr>
                <w:rFonts w:ascii="宋体" w:hAnsi="宋体" w:cs="宋体" w:eastAsia="宋体" w:hint="default"/>
                <w:sz w:val="18"/>
                <w:szCs w:val="18"/>
              </w:rPr>
              <w:t>递延所得税 负债</w:t>
            </w:r>
          </w:p>
        </w:tc>
      </w:tr>
      <w:tr>
        <w:trPr>
          <w:trHeight w:val="71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3"/>
              <w:ind w:left="103" w:right="278"/>
              <w:jc w:val="left"/>
              <w:rPr>
                <w:rFonts w:ascii="宋体" w:hAnsi="宋体" w:cs="宋体" w:eastAsia="宋体" w:hint="default"/>
                <w:sz w:val="18"/>
                <w:szCs w:val="18"/>
              </w:rPr>
            </w:pPr>
            <w:r>
              <w:rPr>
                <w:rFonts w:ascii="宋体" w:hAnsi="宋体" w:cs="宋体" w:eastAsia="宋体" w:hint="default"/>
                <w:sz w:val="18"/>
                <w:szCs w:val="18"/>
              </w:rPr>
              <w:t>非同一控制企业合并资产 评估增值</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278"/>
              <w:jc w:val="left"/>
              <w:rPr>
                <w:rFonts w:ascii="宋体" w:hAnsi="宋体" w:cs="宋体" w:eastAsia="宋体" w:hint="default"/>
                <w:sz w:val="18"/>
                <w:szCs w:val="18"/>
              </w:rPr>
            </w:pPr>
            <w:r>
              <w:rPr>
                <w:rFonts w:ascii="宋体" w:hAnsi="宋体" w:cs="宋体" w:eastAsia="宋体" w:hint="default"/>
                <w:sz w:val="18"/>
                <w:szCs w:val="18"/>
              </w:rPr>
              <w:t>可供出售金融资产公允价 值变动</w:t>
            </w:r>
          </w:p>
        </w:tc>
        <w:tc>
          <w:tcPr>
            <w:tcW w:w="1677"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
        </w:tc>
        <w:tc>
          <w:tcPr>
            <w:tcW w:w="167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(3).</w:t>
      </w:r>
      <w:r>
        <w:rPr>
          <w:rFonts w:ascii="宋体" w:hAnsi="宋体" w:cs="宋体" w:eastAsia="宋体" w:hint="default"/>
          <w:spacing w:val="55"/>
        </w:rPr>
        <w:t> </w:t>
      </w:r>
      <w:r>
        <w:rPr/>
        <w:t>未确认递延所得税资产明细</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8"/>
      </w:tblGrid>
      <w:tr>
        <w:trPr>
          <w:trHeight w:val="449"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50"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226,288.31</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102,731.48</w:t>
            </w:r>
          </w:p>
        </w:tc>
      </w:tr>
      <w:tr>
        <w:trPr>
          <w:trHeight w:val="450"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18,770,396.37</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15,001,027.06</w:t>
            </w:r>
          </w:p>
        </w:tc>
      </w:tr>
      <w:tr>
        <w:trPr>
          <w:trHeight w:val="450"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18,996,684.68</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15,103,758.54</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(4).</w:t>
      </w:r>
      <w:r>
        <w:rPr>
          <w:rFonts w:ascii="宋体" w:hAnsi="宋体" w:cs="宋体" w:eastAsia="宋体" w:hint="default"/>
          <w:spacing w:val="53"/>
        </w:rPr>
        <w:t> </w:t>
      </w:r>
      <w:r>
        <w:rPr/>
        <w:t>未确认递延所得税资产的可抵扣亏损将于以下年度到期</w:t>
      </w:r>
      <w:r>
        <w:rPr>
          <w:b w:val="0"/>
          <w:bCs w:val="0"/>
        </w:rPr>
      </w:r>
    </w:p>
    <w:p>
      <w:pPr>
        <w:pStyle w:val="BodyText"/>
        <w:tabs>
          <w:tab w:pos="1049" w:val="left" w:leader="none"/>
        </w:tabs>
        <w:spacing w:line="240" w:lineRule="auto" w:before="57"/>
        <w:ind w:left="0" w:right="290"/>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4"/>
        <w:gridCol w:w="2286"/>
        <w:gridCol w:w="2324"/>
        <w:gridCol w:w="2356"/>
      </w:tblGrid>
      <w:tr>
        <w:trPr>
          <w:trHeight w:val="4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7"/>
              <w:jc w:val="right"/>
              <w:rPr>
                <w:rFonts w:ascii="宋体" w:hAnsi="宋体" w:cs="宋体" w:eastAsia="宋体" w:hint="default"/>
                <w:sz w:val="21"/>
                <w:szCs w:val="21"/>
              </w:rPr>
            </w:pPr>
            <w:r>
              <w:rPr>
                <w:rFonts w:ascii="宋体" w:hAnsi="宋体" w:cs="宋体" w:eastAsia="宋体" w:hint="default"/>
                <w:sz w:val="21"/>
                <w:szCs w:val="21"/>
              </w:rPr>
              <w:t>年份</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16"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3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4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2015</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680,369.86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680,369.86</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2016</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2017</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14,320,657.20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14,320,657.20</w:t>
            </w: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sz w:val="21"/>
              </w:rPr>
              <w:t>2018</w:t>
            </w:r>
          </w:p>
        </w:tc>
        <w:tc>
          <w:tcPr>
            <w:tcW w:w="2286"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sz w:val="21"/>
              </w:rPr>
              <w:t>2019</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3,769,369.31</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6"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827"/>
              <w:jc w:val="right"/>
              <w:rPr>
                <w:rFonts w:ascii="宋体" w:hAnsi="宋体" w:cs="宋体" w:eastAsia="宋体" w:hint="default"/>
                <w:sz w:val="21"/>
                <w:szCs w:val="21"/>
              </w:rPr>
            </w:pPr>
            <w:r>
              <w:rPr>
                <w:rFonts w:ascii="宋体" w:hAnsi="宋体" w:cs="宋体" w:eastAsia="宋体" w:hint="default"/>
                <w:sz w:val="21"/>
                <w:szCs w:val="21"/>
              </w:rPr>
              <w:t>合计</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18,770,396.37</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15,001,027.06</w:t>
            </w:r>
          </w:p>
        </w:tc>
        <w:tc>
          <w:tcPr>
            <w:tcW w:w="23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6"/>
          <w:pgSz w:w="11910" w:h="16840"/>
          <w:pgMar w:footer="1194" w:header="882" w:top="1120" w:bottom="1380" w:left="1580" w:right="1040"/>
          <w:pgNumType w:start="91"/>
        </w:sectPr>
      </w:pPr>
    </w:p>
    <w:p>
      <w:pPr>
        <w:pStyle w:val="Heading3"/>
        <w:spacing w:line="240" w:lineRule="auto"/>
        <w:ind w:right="-19"/>
        <w:jc w:val="left"/>
        <w:rPr>
          <w:b w:val="0"/>
          <w:bCs w:val="0"/>
        </w:rPr>
      </w:pPr>
      <w:r>
        <w:rPr>
          <w:rFonts w:ascii="宋体" w:hAnsi="宋体" w:cs="宋体" w:eastAsia="宋体" w:hint="default"/>
        </w:rPr>
        <w:t>10</w:t>
      </w:r>
      <w:r>
        <w:rPr/>
        <w:t>、</w:t>
      </w:r>
      <w:r>
        <w:rPr>
          <w:spacing w:val="-26"/>
        </w:rPr>
        <w:t> </w:t>
      </w:r>
      <w:r>
        <w:rPr/>
        <w:t>应付账款</w:t>
      </w:r>
      <w:r>
        <w:rPr>
          <w:b w:val="0"/>
          <w:bCs w:val="0"/>
        </w:rPr>
      </w:r>
    </w:p>
    <w:p>
      <w:pPr>
        <w:pStyle w:val="Heading3"/>
        <w:spacing w:line="240" w:lineRule="auto" w:before="117"/>
        <w:ind w:right="-19"/>
        <w:jc w:val="left"/>
        <w:rPr>
          <w:b w:val="0"/>
          <w:bCs w:val="0"/>
        </w:rPr>
      </w:pPr>
      <w:r>
        <w:rPr>
          <w:rFonts w:ascii="宋体" w:hAnsi="宋体" w:cs="宋体" w:eastAsia="宋体" w:hint="default"/>
        </w:rPr>
        <w:t>(1).</w:t>
      </w:r>
      <w:r>
        <w:rPr>
          <w:rFonts w:ascii="宋体" w:hAnsi="宋体" w:cs="宋体" w:eastAsia="宋体" w:hint="default"/>
          <w:spacing w:val="56"/>
        </w:rPr>
        <w:t> </w:t>
      </w:r>
      <w:r>
        <w:rPr/>
        <w:t>应付账款列示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070" w:space="4454"/>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3078"/>
        <w:gridCol w:w="3130"/>
      </w:tblGrid>
      <w:tr>
        <w:trPr>
          <w:trHeight w:val="4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49"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407,283.53</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357,383.53</w:t>
            </w:r>
          </w:p>
        </w:tc>
      </w:tr>
      <w:tr>
        <w:trPr>
          <w:trHeight w:val="4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0"/>
              <w:jc w:val="right"/>
              <w:rPr>
                <w:rFonts w:ascii="宋体" w:hAnsi="宋体" w:cs="宋体" w:eastAsia="宋体" w:hint="default"/>
                <w:sz w:val="21"/>
                <w:szCs w:val="21"/>
              </w:rPr>
            </w:pPr>
            <w:r>
              <w:rPr>
                <w:rFonts w:ascii="宋体"/>
                <w:sz w:val="21"/>
              </w:rPr>
              <w:t>37,680.00</w:t>
            </w:r>
          </w:p>
        </w:tc>
        <w:tc>
          <w:tcPr>
            <w:tcW w:w="3130" w:type="dxa"/>
            <w:tcBorders>
              <w:top w:val="single" w:sz="4" w:space="0" w:color="000000"/>
              <w:left w:val="single" w:sz="4" w:space="0" w:color="000000"/>
              <w:bottom w:val="single" w:sz="4" w:space="0" w:color="000000"/>
              <w:right w:val="single" w:sz="4" w:space="0" w:color="000000"/>
            </w:tcBorders>
          </w:tcPr>
          <w:p>
            <w:pPr/>
          </w:p>
        </w:tc>
      </w:tr>
      <w:tr>
        <w:trPr>
          <w:trHeight w:val="450"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444,963.53</w:t>
            </w:r>
          </w:p>
        </w:tc>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357,383.53</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7"/>
        </w:rPr>
        <w:t> </w:t>
      </w:r>
      <w:r>
        <w:rPr/>
        <w:t>年的重要应付账款</w:t>
      </w:r>
      <w:r>
        <w:rPr>
          <w:b w:val="0"/>
          <w:bCs w:val="0"/>
        </w:rPr>
      </w:r>
    </w:p>
    <w:p>
      <w:pPr>
        <w:spacing w:line="240" w:lineRule="auto" w:before="3"/>
        <w:rPr>
          <w:rFonts w:ascii="宋体" w:hAnsi="宋体" w:cs="宋体" w:eastAsia="宋体" w:hint="default"/>
          <w:b/>
          <w:bCs/>
          <w:sz w:val="15"/>
          <w:szCs w:val="15"/>
        </w:rPr>
      </w:pPr>
    </w:p>
    <w:p>
      <w:pPr>
        <w:pStyle w:val="BodyText"/>
        <w:spacing w:line="240" w:lineRule="auto"/>
        <w:ind w:left="218" w:right="228"/>
        <w:jc w:val="left"/>
      </w:pPr>
      <w:r>
        <w:rPr/>
        <w:t>无</w:t>
      </w:r>
    </w:p>
    <w:p>
      <w:pPr>
        <w:spacing w:after="0" w:line="240" w:lineRule="auto"/>
        <w:jc w:val="left"/>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40" w:lineRule="auto" w:before="174"/>
        <w:ind w:right="-19"/>
        <w:jc w:val="left"/>
        <w:rPr>
          <w:b w:val="0"/>
          <w:bCs w:val="0"/>
        </w:rPr>
      </w:pPr>
      <w:r>
        <w:rPr>
          <w:rFonts w:ascii="宋体" w:hAnsi="宋体" w:cs="宋体" w:eastAsia="宋体" w:hint="default"/>
        </w:rPr>
        <w:t>11</w:t>
      </w:r>
      <w:r>
        <w:rPr/>
        <w:t>、</w:t>
      </w:r>
      <w:r>
        <w:rPr>
          <w:spacing w:val="-26"/>
        </w:rPr>
        <w:t> </w:t>
      </w:r>
      <w:r>
        <w:rPr/>
        <w:t>预收款项</w:t>
      </w:r>
      <w:r>
        <w:rPr>
          <w:b w:val="0"/>
          <w:bCs w:val="0"/>
        </w:rPr>
      </w:r>
    </w:p>
    <w:p>
      <w:pPr>
        <w:pStyle w:val="Heading3"/>
        <w:spacing w:line="240" w:lineRule="auto" w:before="117"/>
        <w:ind w:right="-19"/>
        <w:jc w:val="left"/>
        <w:rPr>
          <w:b w:val="0"/>
          <w:bCs w:val="0"/>
        </w:rPr>
      </w:pPr>
      <w:r>
        <w:rPr>
          <w:rFonts w:ascii="宋体" w:hAnsi="宋体" w:cs="宋体" w:eastAsia="宋体" w:hint="default"/>
        </w:rPr>
        <w:t>(1).</w:t>
      </w:r>
      <w:r>
        <w:rPr>
          <w:rFonts w:ascii="宋体" w:hAnsi="宋体" w:cs="宋体" w:eastAsia="宋体" w:hint="default"/>
          <w:spacing w:val="-3"/>
        </w:rPr>
        <w:t> </w:t>
      </w:r>
      <w:r>
        <w:rPr/>
        <w:t>预收账款项列示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74"/>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222" w:space="4302"/>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8"/>
        <w:gridCol w:w="3078"/>
        <w:gridCol w:w="3074"/>
      </w:tblGrid>
      <w:tr>
        <w:trPr>
          <w:trHeight w:val="449"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5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3,843,831.93</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1,973,618.79</w:t>
            </w:r>
          </w:p>
        </w:tc>
      </w:tr>
      <w:tr>
        <w:trPr>
          <w:trHeight w:val="45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476.92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41,985.79</w:t>
            </w:r>
          </w:p>
        </w:tc>
      </w:tr>
      <w:tr>
        <w:trPr>
          <w:trHeight w:val="450"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3,844,308.85</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2,015,604.58</w:t>
            </w:r>
          </w:p>
        </w:tc>
      </w:tr>
    </w:tbl>
    <w:p>
      <w:pPr>
        <w:spacing w:line="240" w:lineRule="auto" w:before="0"/>
        <w:rPr>
          <w:rFonts w:ascii="宋体" w:hAnsi="宋体" w:cs="宋体" w:eastAsia="宋体" w:hint="default"/>
          <w:sz w:val="20"/>
          <w:szCs w:val="20"/>
        </w:rPr>
      </w:pPr>
    </w:p>
    <w:p>
      <w:pPr>
        <w:pStyle w:val="Heading3"/>
        <w:spacing w:line="403" w:lineRule="auto"/>
        <w:ind w:right="576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年的重要预收款项</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20" w:bottom="1380" w:left="1580" w:right="1040"/>
        </w:sectPr>
      </w:pPr>
    </w:p>
    <w:p>
      <w:pPr>
        <w:pStyle w:val="Heading3"/>
        <w:spacing w:line="343" w:lineRule="auto"/>
        <w:ind w:right="-20"/>
        <w:jc w:val="left"/>
        <w:rPr>
          <w:b w:val="0"/>
          <w:bCs w:val="0"/>
        </w:rPr>
      </w:pPr>
      <w:r>
        <w:rPr>
          <w:rFonts w:ascii="宋体" w:hAnsi="宋体" w:cs="宋体" w:eastAsia="宋体" w:hint="default"/>
        </w:rPr>
        <w:t>12</w:t>
      </w:r>
      <w:r>
        <w:rPr/>
        <w:t>、</w:t>
      </w:r>
      <w:r>
        <w:rPr>
          <w:spacing w:val="-26"/>
        </w:rPr>
        <w:t> </w:t>
      </w:r>
      <w:r>
        <w:rPr/>
        <w:t>应付职工薪酬</w:t>
      </w:r>
      <w:r>
        <w:rPr>
          <w:w w:val="99"/>
        </w:rPr>
        <w:t> </w:t>
      </w:r>
      <w:r>
        <w:rPr>
          <w:rFonts w:ascii="宋体" w:hAnsi="宋体" w:cs="宋体" w:eastAsia="宋体" w:hint="default"/>
        </w:rPr>
        <w:t>(1).</w:t>
      </w:r>
      <w:r>
        <w:rPr/>
        <w:t>应付职工薪酬列示：</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540" w:space="3984"/>
            <w:col w:w="2766"/>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1"/>
        <w:gridCol w:w="1607"/>
        <w:gridCol w:w="1612"/>
        <w:gridCol w:w="1620"/>
      </w:tblGrid>
      <w:tr>
        <w:trPr>
          <w:trHeight w:val="40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3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3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3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89,275.42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24,296,635.33</w:t>
            </w:r>
          </w:p>
        </w:tc>
        <w:tc>
          <w:tcPr>
            <w:tcW w:w="16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23,888,180.99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0"/>
              <w:jc w:val="right"/>
              <w:rPr>
                <w:rFonts w:ascii="宋体" w:hAnsi="宋体" w:cs="宋体" w:eastAsia="宋体" w:hint="default"/>
                <w:sz w:val="18"/>
                <w:szCs w:val="18"/>
              </w:rPr>
            </w:pPr>
            <w:r>
              <w:rPr>
                <w:rFonts w:ascii="宋体"/>
                <w:sz w:val="18"/>
              </w:rPr>
              <w:t>497,729.76</w:t>
            </w:r>
          </w:p>
        </w:tc>
      </w:tr>
      <w:tr>
        <w:trPr>
          <w:trHeight w:val="40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pacing w:val="-4"/>
                <w:sz w:val="18"/>
                <w:szCs w:val="18"/>
              </w:rPr>
              <w:t>二、离职后福利</w:t>
            </w:r>
            <w:r>
              <w:rPr>
                <w:rFonts w:ascii="宋体" w:hAnsi="宋体" w:cs="宋体" w:eastAsia="宋体" w:hint="default"/>
                <w:spacing w:val="-4"/>
                <w:sz w:val="18"/>
                <w:szCs w:val="18"/>
              </w:rPr>
              <w:t>-</w:t>
            </w:r>
            <w:r>
              <w:rPr>
                <w:rFonts w:ascii="宋体" w:hAnsi="宋体" w:cs="宋体" w:eastAsia="宋体" w:hint="default"/>
                <w:spacing w:val="-4"/>
                <w:sz w:val="18"/>
                <w:szCs w:val="18"/>
              </w:rPr>
              <w:t>设定提存计划</w:t>
            </w:r>
          </w:p>
        </w:tc>
        <w:tc>
          <w:tcPr>
            <w:tcW w:w="1611"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5,311.98</w:t>
            </w:r>
          </w:p>
        </w:tc>
        <w:tc>
          <w:tcPr>
            <w:tcW w:w="160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918,692.49</w:t>
            </w:r>
          </w:p>
        </w:tc>
        <w:tc>
          <w:tcPr>
            <w:tcW w:w="16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920,184.97</w:t>
            </w:r>
          </w:p>
        </w:tc>
        <w:tc>
          <w:tcPr>
            <w:tcW w:w="162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3,819.50</w:t>
            </w:r>
          </w:p>
        </w:tc>
      </w:tr>
      <w:tr>
        <w:trPr>
          <w:trHeight w:val="40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四、一年内到期的其他福利</w:t>
            </w:r>
          </w:p>
        </w:tc>
        <w:tc>
          <w:tcPr>
            <w:tcW w:w="1611" w:type="dxa"/>
            <w:tcBorders>
              <w:top w:val="single" w:sz="4" w:space="0" w:color="000000"/>
              <w:left w:val="single" w:sz="6" w:space="0" w:color="000000"/>
              <w:bottom w:val="single" w:sz="4" w:space="0" w:color="000000"/>
              <w:right w:val="single" w:sz="4" w:space="0" w:color="000000"/>
            </w:tcBorders>
          </w:tcPr>
          <w:p>
            <w:pPr/>
          </w:p>
        </w:tc>
        <w:tc>
          <w:tcPr>
            <w:tcW w:w="160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94,587.40</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25,215,327.82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24,808,365.96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8"/>
                <w:szCs w:val="18"/>
              </w:rPr>
            </w:pPr>
            <w:r>
              <w:rPr>
                <w:rFonts w:ascii="宋体"/>
                <w:sz w:val="18"/>
              </w:rPr>
              <w:t>501,549.26</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t>短期薪酬列示：</w:t>
      </w:r>
      <w:r>
        <w:rPr>
          <w:b w:val="0"/>
          <w:bCs w:val="0"/>
        </w:rPr>
      </w:r>
    </w:p>
    <w:p>
      <w:pPr>
        <w:pStyle w:val="BodyText"/>
        <w:tabs>
          <w:tab w:pos="1049" w:val="left" w:leader="none"/>
        </w:tabs>
        <w:spacing w:line="240" w:lineRule="auto" w:before="57"/>
        <w:ind w:left="0" w:right="231"/>
        <w:jc w:val="right"/>
      </w:pPr>
      <w:r>
        <w:rPr/>
        <w:t>单位：元</w:t>
        <w:tab/>
        <w:t>币种</w:t>
      </w:r>
      <w:r>
        <w:rPr>
          <w:rFonts w:ascii="宋体" w:hAnsi="宋体" w:cs="宋体" w:eastAsia="宋体" w:hint="default"/>
        </w:rPr>
        <w:t>:</w:t>
      </w:r>
      <w:r>
        <w:rPr/>
        <w:t>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3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78,150.00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21,838,419.92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21,428,080.71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488,489.21</w:t>
            </w: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1,247,610.72</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1,247,610.72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1,884.87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672,281.91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674,166.78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1,713.52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581,631.47</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583,344.99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46,665.29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46,665.29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171.35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43,985.15</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44,156.50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299,416.50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299,416.50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9,240.55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124,204.10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18"/>
                <w:szCs w:val="18"/>
              </w:rPr>
            </w:pPr>
            <w:r>
              <w:rPr>
                <w:rFonts w:ascii="宋体"/>
                <w:sz w:val="18"/>
              </w:rPr>
              <w:t>124,204.10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18"/>
                <w:szCs w:val="18"/>
              </w:rPr>
            </w:pPr>
            <w:r>
              <w:rPr>
                <w:rFonts w:ascii="宋体"/>
                <w:sz w:val="18"/>
              </w:rPr>
              <w:t>9,240.55</w:t>
            </w: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10"/>
        <w:gridCol w:w="1620"/>
      </w:tblGrid>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58"/>
              <w:jc w:val="right"/>
              <w:rPr>
                <w:rFonts w:ascii="宋体" w:hAnsi="宋体" w:cs="宋体" w:eastAsia="宋体" w:hint="default"/>
                <w:sz w:val="18"/>
                <w:szCs w:val="18"/>
              </w:rPr>
            </w:pPr>
            <w:r>
              <w:rPr>
                <w:rFonts w:ascii="宋体" w:hAnsi="宋体" w:cs="宋体" w:eastAsia="宋体" w:hint="default"/>
                <w:sz w:val="18"/>
                <w:szCs w:val="18"/>
              </w:rPr>
              <w:t>八、其他短期薪酬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114,702.18</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114,702.18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121"/>
              <w:jc w:val="right"/>
              <w:rPr>
                <w:rFonts w:ascii="宋体" w:hAnsi="宋体" w:cs="宋体" w:eastAsia="宋体" w:hint="default"/>
                <w:sz w:val="18"/>
                <w:szCs w:val="18"/>
              </w:rPr>
            </w:pPr>
            <w:r>
              <w:rPr>
                <w:rFonts w:ascii="宋体" w:hAnsi="宋体" w:cs="宋体" w:eastAsia="宋体" w:hint="default"/>
                <w:sz w:val="18"/>
                <w:szCs w:val="18"/>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89" w:right="0"/>
              <w:jc w:val="left"/>
              <w:rPr>
                <w:rFonts w:ascii="宋体" w:hAnsi="宋体" w:cs="宋体" w:eastAsia="宋体" w:hint="default"/>
                <w:sz w:val="18"/>
                <w:szCs w:val="18"/>
              </w:rPr>
            </w:pPr>
            <w:r>
              <w:rPr>
                <w:rFonts w:ascii="宋体"/>
                <w:sz w:val="18"/>
              </w:rPr>
              <w:t>89,275.42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24,296,635.33</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23,888,180.99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05" w:right="0"/>
              <w:jc w:val="left"/>
              <w:rPr>
                <w:rFonts w:ascii="宋体" w:hAnsi="宋体" w:cs="宋体" w:eastAsia="宋体" w:hint="default"/>
                <w:sz w:val="18"/>
                <w:szCs w:val="18"/>
              </w:rPr>
            </w:pPr>
            <w:r>
              <w:rPr>
                <w:rFonts w:ascii="宋体"/>
                <w:sz w:val="18"/>
              </w:rPr>
              <w:t>497,729.76</w:t>
            </w: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(3).</w:t>
      </w:r>
      <w:r>
        <w:rPr/>
        <w:t>设定提存计划列示</w:t>
      </w:r>
      <w:r>
        <w:rPr>
          <w:b w:val="0"/>
          <w:bCs w:val="0"/>
        </w:rPr>
      </w:r>
    </w:p>
    <w:p>
      <w:pPr>
        <w:spacing w:line="240" w:lineRule="auto" w:before="9"/>
        <w:rPr>
          <w:rFonts w:ascii="宋体" w:hAnsi="宋体" w:cs="宋体" w:eastAsia="宋体" w:hint="default"/>
          <w:b/>
          <w:bCs/>
          <w:sz w:val="11"/>
          <w:szCs w:val="11"/>
        </w:rPr>
      </w:pPr>
    </w:p>
    <w:tbl>
      <w:tblPr>
        <w:tblW w:w="0" w:type="auto"/>
        <w:jc w:val="left"/>
        <w:tblInd w:w="102" w:type="dxa"/>
        <w:tblLayout w:type="fixed"/>
        <w:tblCellMar>
          <w:top w:w="0" w:type="dxa"/>
          <w:left w:w="0" w:type="dxa"/>
          <w:bottom w:w="0" w:type="dxa"/>
          <w:right w:w="0" w:type="dxa"/>
        </w:tblCellMar>
        <w:tblLook w:val="01E0"/>
      </w:tblPr>
      <w:tblGrid>
        <w:gridCol w:w="2586"/>
        <w:gridCol w:w="1624"/>
        <w:gridCol w:w="1608"/>
        <w:gridCol w:w="1638"/>
        <w:gridCol w:w="1594"/>
      </w:tblGrid>
      <w:tr>
        <w:trPr>
          <w:trHeight w:val="455"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84"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7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9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69"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55"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p>
        </w:tc>
        <w:tc>
          <w:tcPr>
            <w:tcW w:w="1624"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4,797.94</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8"/>
              <w:ind w:left="445" w:right="0"/>
              <w:jc w:val="left"/>
              <w:rPr>
                <w:rFonts w:ascii="宋体" w:hAnsi="宋体" w:cs="宋体" w:eastAsia="宋体" w:hint="default"/>
                <w:sz w:val="21"/>
                <w:szCs w:val="21"/>
              </w:rPr>
            </w:pPr>
            <w:r>
              <w:rPr>
                <w:rFonts w:ascii="宋体"/>
                <w:sz w:val="21"/>
              </w:rPr>
              <w:t>815,237.37</w:t>
            </w:r>
          </w:p>
        </w:tc>
        <w:tc>
          <w:tcPr>
            <w:tcW w:w="163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816,215.81</w:t>
            </w:r>
          </w:p>
        </w:tc>
        <w:tc>
          <w:tcPr>
            <w:tcW w:w="15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3,819.50</w:t>
            </w:r>
          </w:p>
        </w:tc>
      </w:tr>
      <w:tr>
        <w:trPr>
          <w:trHeight w:val="455"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514.04</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5" w:right="0"/>
              <w:jc w:val="left"/>
              <w:rPr>
                <w:rFonts w:ascii="宋体" w:hAnsi="宋体" w:cs="宋体" w:eastAsia="宋体" w:hint="default"/>
                <w:sz w:val="21"/>
                <w:szCs w:val="21"/>
              </w:rPr>
            </w:pPr>
            <w:r>
              <w:rPr>
                <w:rFonts w:ascii="宋体"/>
                <w:sz w:val="21"/>
              </w:rPr>
              <w:t>103,455.12</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103,969.16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p>
        </w:tc>
        <w:tc>
          <w:tcPr>
            <w:tcW w:w="1624"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55" w:hRule="exact"/>
        </w:trPr>
        <w:tc>
          <w:tcPr>
            <w:tcW w:w="2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5,311.98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445" w:right="0"/>
              <w:jc w:val="left"/>
              <w:rPr>
                <w:rFonts w:ascii="宋体" w:hAnsi="宋体" w:cs="宋体" w:eastAsia="宋体" w:hint="default"/>
                <w:sz w:val="21"/>
                <w:szCs w:val="21"/>
              </w:rPr>
            </w:pPr>
            <w:r>
              <w:rPr>
                <w:rFonts w:ascii="宋体"/>
                <w:sz w:val="21"/>
              </w:rPr>
              <w:t>918,692.49</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920,184.97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宋体" w:hAnsi="宋体" w:cs="宋体" w:eastAsia="宋体" w:hint="default"/>
                <w:sz w:val="21"/>
                <w:szCs w:val="21"/>
              </w:rPr>
            </w:pPr>
            <w:r>
              <w:rPr>
                <w:rFonts w:ascii="宋体"/>
                <w:sz w:val="21"/>
              </w:rPr>
              <w:t>3,819.50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13</w:t>
      </w:r>
      <w:r>
        <w:rPr/>
        <w:t>、</w:t>
      </w:r>
      <w:r>
        <w:rPr>
          <w:spacing w:val="-26"/>
        </w:rPr>
        <w:t> </w:t>
      </w:r>
      <w:r>
        <w:rPr/>
        <w:t>应交税费</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1"/>
      </w:tblGrid>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325"/>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5"/>
              <w:jc w:val="right"/>
              <w:rPr>
                <w:rFonts w:ascii="宋体" w:hAnsi="宋体" w:cs="宋体" w:eastAsia="宋体" w:hint="default"/>
                <w:sz w:val="21"/>
                <w:szCs w:val="21"/>
              </w:rPr>
            </w:pPr>
            <w:r>
              <w:rPr>
                <w:rFonts w:ascii="宋体"/>
                <w:sz w:val="21"/>
              </w:rPr>
              <w:t>952.25</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z w:val="21"/>
              </w:rPr>
              <w:t>761.37</w:t>
            </w:r>
          </w:p>
        </w:tc>
      </w:tr>
      <w:tr>
        <w:trPr>
          <w:trHeight w:val="454"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宋体" w:hAnsi="宋体" w:cs="宋体" w:eastAsia="宋体" w:hint="default"/>
                <w:sz w:val="21"/>
                <w:szCs w:val="21"/>
              </w:rPr>
            </w:pPr>
            <w:r>
              <w:rPr>
                <w:rFonts w:ascii="宋体"/>
                <w:sz w:val="21"/>
              </w:rPr>
              <w:t>756,617.76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3"/>
              <w:jc w:val="right"/>
              <w:rPr>
                <w:rFonts w:ascii="宋体" w:hAnsi="宋体" w:cs="宋体" w:eastAsia="宋体" w:hint="default"/>
                <w:sz w:val="21"/>
                <w:szCs w:val="21"/>
              </w:rPr>
            </w:pPr>
            <w:r>
              <w:rPr>
                <w:rFonts w:ascii="宋体"/>
                <w:sz w:val="21"/>
              </w:rPr>
              <w:t>406,742.23</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宋体" w:hAnsi="宋体" w:cs="宋体" w:eastAsia="宋体" w:hint="default"/>
                <w:sz w:val="21"/>
                <w:szCs w:val="21"/>
              </w:rPr>
            </w:pPr>
            <w:r>
              <w:rPr>
                <w:rFonts w:ascii="宋体"/>
                <w:sz w:val="21"/>
              </w:rPr>
              <w:t>1,143,150.27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3"/>
              <w:jc w:val="right"/>
              <w:rPr>
                <w:rFonts w:ascii="宋体" w:hAnsi="宋体" w:cs="宋体" w:eastAsia="宋体" w:hint="default"/>
                <w:sz w:val="21"/>
                <w:szCs w:val="21"/>
              </w:rPr>
            </w:pPr>
            <w:r>
              <w:rPr>
                <w:rFonts w:ascii="宋体"/>
                <w:sz w:val="21"/>
              </w:rPr>
              <w:t>1,372,763.13</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宋体" w:hAnsi="宋体" w:cs="宋体" w:eastAsia="宋体" w:hint="default"/>
                <w:sz w:val="21"/>
                <w:szCs w:val="21"/>
              </w:rPr>
            </w:pPr>
            <w:r>
              <w:rPr>
                <w:rFonts w:ascii="宋体"/>
                <w:sz w:val="21"/>
              </w:rPr>
              <w:t>50,442.87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z w:val="21"/>
              </w:rPr>
              <w:t>24,702.66</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4"/>
              <w:jc w:val="right"/>
              <w:rPr>
                <w:rFonts w:ascii="宋体" w:hAnsi="宋体" w:cs="宋体" w:eastAsia="宋体" w:hint="default"/>
                <w:sz w:val="21"/>
                <w:szCs w:val="21"/>
              </w:rPr>
            </w:pPr>
            <w:r>
              <w:rPr>
                <w:rFonts w:ascii="宋体"/>
                <w:sz w:val="21"/>
              </w:rPr>
              <w:t>16,876.26</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2"/>
              <w:jc w:val="right"/>
              <w:rPr>
                <w:rFonts w:ascii="宋体" w:hAnsi="宋体" w:cs="宋体" w:eastAsia="宋体" w:hint="default"/>
                <w:sz w:val="21"/>
                <w:szCs w:val="21"/>
              </w:rPr>
            </w:pPr>
            <w:r>
              <w:rPr>
                <w:rFonts w:ascii="宋体"/>
                <w:sz w:val="21"/>
              </w:rPr>
              <w:t>12,764.97</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1"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5"/>
              <w:jc w:val="right"/>
              <w:rPr>
                <w:rFonts w:ascii="宋体" w:hAnsi="宋体" w:cs="宋体" w:eastAsia="宋体" w:hint="default"/>
                <w:sz w:val="21"/>
                <w:szCs w:val="21"/>
              </w:rPr>
            </w:pPr>
            <w:r>
              <w:rPr>
                <w:rFonts w:ascii="宋体"/>
                <w:sz w:val="21"/>
              </w:rPr>
              <w:t>5,813.20</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z w:val="21"/>
              </w:rPr>
              <w:t>4,758.53</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宋体" w:hAnsi="宋体" w:cs="宋体" w:eastAsia="宋体" w:hint="default"/>
                <w:sz w:val="21"/>
                <w:szCs w:val="21"/>
              </w:rPr>
            </w:pPr>
            <w:r>
              <w:rPr>
                <w:rFonts w:ascii="宋体"/>
                <w:sz w:val="21"/>
              </w:rPr>
              <w:t>35,892.91</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2"/>
              <w:jc w:val="right"/>
              <w:rPr>
                <w:rFonts w:ascii="宋体" w:hAnsi="宋体" w:cs="宋体" w:eastAsia="宋体" w:hint="default"/>
                <w:sz w:val="21"/>
                <w:szCs w:val="21"/>
              </w:rPr>
            </w:pPr>
            <w:r>
              <w:rPr>
                <w:rFonts w:ascii="宋体"/>
                <w:sz w:val="21"/>
              </w:rPr>
              <w:t>22,166.22</w:t>
            </w:r>
          </w:p>
        </w:tc>
      </w:tr>
      <w:tr>
        <w:trPr>
          <w:trHeight w:val="454"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94"/>
              <w:jc w:val="right"/>
              <w:rPr>
                <w:rFonts w:ascii="宋体" w:hAnsi="宋体" w:cs="宋体" w:eastAsia="宋体" w:hint="default"/>
                <w:sz w:val="21"/>
                <w:szCs w:val="21"/>
              </w:rPr>
            </w:pPr>
            <w:r>
              <w:rPr>
                <w:rFonts w:ascii="宋体"/>
                <w:sz w:val="21"/>
              </w:rPr>
              <w:t>15,927.07</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z w:val="21"/>
              </w:rPr>
              <w:t>2,808.56</w:t>
            </w:r>
          </w:p>
        </w:tc>
      </w:tr>
      <w:tr>
        <w:trPr>
          <w:trHeight w:val="455"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325"/>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5"/>
              <w:jc w:val="right"/>
              <w:rPr>
                <w:rFonts w:ascii="宋体" w:hAnsi="宋体" w:cs="宋体" w:eastAsia="宋体" w:hint="default"/>
                <w:sz w:val="21"/>
                <w:szCs w:val="21"/>
              </w:rPr>
            </w:pPr>
            <w:r>
              <w:rPr>
                <w:rFonts w:ascii="宋体"/>
                <w:sz w:val="21"/>
              </w:rPr>
              <w:t>2,025,672.59</w:t>
            </w:r>
          </w:p>
        </w:tc>
        <w:tc>
          <w:tcPr>
            <w:tcW w:w="2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3"/>
              <w:jc w:val="right"/>
              <w:rPr>
                <w:rFonts w:ascii="宋体" w:hAnsi="宋体" w:cs="宋体" w:eastAsia="宋体" w:hint="default"/>
                <w:sz w:val="21"/>
                <w:szCs w:val="21"/>
              </w:rPr>
            </w:pPr>
            <w:r>
              <w:rPr>
                <w:rFonts w:ascii="宋体"/>
                <w:sz w:val="21"/>
              </w:rPr>
              <w:t>1,847,467.67</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882" w:footer="1194" w:top="1120" w:bottom="1380" w:left="1580" w:right="1040"/>
        </w:sectPr>
      </w:pPr>
    </w:p>
    <w:p>
      <w:pPr>
        <w:pStyle w:val="Heading3"/>
        <w:spacing w:line="240" w:lineRule="auto"/>
        <w:ind w:right="-19"/>
        <w:jc w:val="left"/>
        <w:rPr>
          <w:b w:val="0"/>
          <w:bCs w:val="0"/>
        </w:rPr>
      </w:pPr>
      <w:r>
        <w:rPr>
          <w:rFonts w:ascii="宋体" w:hAnsi="宋体" w:cs="宋体" w:eastAsia="宋体" w:hint="default"/>
        </w:rPr>
        <w:t>14</w:t>
      </w:r>
      <w:r>
        <w:rPr/>
        <w:t>、</w:t>
      </w:r>
      <w:r>
        <w:rPr>
          <w:spacing w:val="-28"/>
        </w:rPr>
        <w:t> </w:t>
      </w:r>
      <w:r>
        <w:rPr/>
        <w:t>其他应付款</w:t>
      </w:r>
      <w:r>
        <w:rPr>
          <w:b w:val="0"/>
          <w:bCs w:val="0"/>
        </w:rPr>
      </w:r>
    </w:p>
    <w:p>
      <w:pPr>
        <w:pStyle w:val="Heading3"/>
        <w:spacing w:line="240" w:lineRule="auto" w:before="117"/>
        <w:ind w:right="-19"/>
        <w:jc w:val="left"/>
        <w:rPr>
          <w:b w:val="0"/>
          <w:bCs w:val="0"/>
        </w:rPr>
      </w:pPr>
      <w:r>
        <w:rPr>
          <w:rFonts w:ascii="宋体" w:hAnsi="宋体" w:cs="宋体" w:eastAsia="宋体" w:hint="default"/>
        </w:rPr>
        <w:t>(1).</w:t>
      </w:r>
      <w:r>
        <w:rPr>
          <w:rFonts w:ascii="宋体" w:hAnsi="宋体" w:cs="宋体" w:eastAsia="宋体" w:hint="default"/>
          <w:spacing w:val="-4"/>
        </w:rPr>
        <w:t> </w:t>
      </w:r>
      <w:r>
        <w:rPr/>
        <w:t>按款项性质列示其他应付款</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3275" w:space="3249"/>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449"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50"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2,208,117.50</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1,726,475.99</w:t>
            </w:r>
          </w:p>
        </w:tc>
      </w:tr>
      <w:tr>
        <w:trPr>
          <w:trHeight w:val="450"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代收代付款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4,321,089.42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3,622,794.40</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3"/>
        <w:gridCol w:w="2999"/>
        <w:gridCol w:w="3128"/>
      </w:tblGrid>
      <w:tr>
        <w:trPr>
          <w:trHeight w:val="450"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34,286,792.28</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40,107,533.93</w:t>
            </w:r>
          </w:p>
        </w:tc>
      </w:tr>
      <w:tr>
        <w:trPr>
          <w:trHeight w:val="449"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2,521,188.72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1,924,188.72</w:t>
            </w:r>
          </w:p>
        </w:tc>
      </w:tr>
      <w:tr>
        <w:trPr>
          <w:trHeight w:val="450"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43,337,187.92</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47,380,993.04</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5"/>
        </w:rPr>
        <w:t> </w:t>
      </w:r>
      <w:r>
        <w:rPr>
          <w:rFonts w:ascii="Cambria" w:hAnsi="Cambria" w:cs="Cambria" w:eastAsia="Cambria" w:hint="default"/>
        </w:rPr>
        <w:t>1</w:t>
      </w:r>
      <w:r>
        <w:rPr>
          <w:rFonts w:ascii="Cambria" w:hAnsi="Cambria" w:cs="Cambria" w:eastAsia="Cambria" w:hint="default"/>
          <w:spacing w:val="4"/>
        </w:rPr>
        <w:t> </w:t>
      </w:r>
      <w:r>
        <w:rPr/>
        <w:t>年的重要其他应付款</w:t>
      </w:r>
      <w:r>
        <w:rPr>
          <w:b w:val="0"/>
          <w:bCs w:val="0"/>
        </w:rPr>
      </w:r>
    </w:p>
    <w:p>
      <w:pPr>
        <w:spacing w:line="240" w:lineRule="auto" w:before="10"/>
        <w:rPr>
          <w:rFonts w:ascii="宋体" w:hAnsi="宋体" w:cs="宋体" w:eastAsia="宋体" w:hint="default"/>
          <w:b/>
          <w:bCs/>
          <w:sz w:val="5"/>
          <w:szCs w:val="5"/>
        </w:rPr>
      </w:pPr>
    </w:p>
    <w:tbl>
      <w:tblPr>
        <w:tblW w:w="0" w:type="auto"/>
        <w:jc w:val="left"/>
        <w:tblInd w:w="105" w:type="dxa"/>
        <w:tblLayout w:type="fixed"/>
        <w:tblCellMar>
          <w:top w:w="0" w:type="dxa"/>
          <w:left w:w="0" w:type="dxa"/>
          <w:bottom w:w="0" w:type="dxa"/>
          <w:right w:w="0" w:type="dxa"/>
        </w:tblCellMar>
        <w:tblLook w:val="01E0"/>
      </w:tblPr>
      <w:tblGrid>
        <w:gridCol w:w="3652"/>
        <w:gridCol w:w="2694"/>
        <w:gridCol w:w="2704"/>
      </w:tblGrid>
      <w:tr>
        <w:trPr>
          <w:trHeight w:val="450"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401"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450"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长沙浏阳河产业带建设有限公司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794,901.62</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hAnsi="宋体" w:cs="宋体" w:eastAsia="宋体" w:hint="default"/>
                <w:sz w:val="21"/>
                <w:szCs w:val="21"/>
              </w:rPr>
              <w:t>项目保证金</w:t>
            </w:r>
          </w:p>
        </w:tc>
      </w:tr>
      <w:tr>
        <w:trPr>
          <w:trHeight w:val="449"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浙江郡原地产股份有限公司</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8,372,521.73</w:t>
            </w:r>
          </w:p>
        </w:tc>
        <w:tc>
          <w:tcPr>
            <w:tcW w:w="2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hAnsi="宋体" w:cs="宋体" w:eastAsia="宋体" w:hint="default"/>
                <w:sz w:val="21"/>
                <w:szCs w:val="21"/>
              </w:rPr>
              <w:t>资金紧张</w:t>
            </w:r>
          </w:p>
        </w:tc>
      </w:tr>
      <w:tr>
        <w:trPr>
          <w:trHeight w:val="450" w:hRule="exact"/>
        </w:trPr>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9,167,423.35</w:t>
            </w:r>
          </w:p>
        </w:tc>
        <w:tc>
          <w:tcPr>
            <w:tcW w:w="27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24"/>
          <w:szCs w:val="24"/>
        </w:rPr>
      </w:pPr>
    </w:p>
    <w:p>
      <w:pPr>
        <w:pStyle w:val="Heading3"/>
        <w:spacing w:line="240" w:lineRule="auto"/>
        <w:ind w:right="228"/>
        <w:jc w:val="left"/>
        <w:rPr>
          <w:b w:val="0"/>
          <w:bCs w:val="0"/>
        </w:rPr>
      </w:pPr>
      <w:r>
        <w:rPr>
          <w:rFonts w:ascii="宋体" w:hAnsi="宋体" w:cs="宋体" w:eastAsia="宋体" w:hint="default"/>
        </w:rPr>
        <w:t>15</w:t>
      </w:r>
      <w:r>
        <w:rPr/>
        <w:t>、</w:t>
      </w:r>
      <w:r>
        <w:rPr>
          <w:spacing w:val="-29"/>
        </w:rPr>
        <w:t> </w:t>
      </w:r>
      <w:r>
        <w:rPr/>
        <w:t>其他非流动负债</w:t>
      </w:r>
      <w:r>
        <w:rPr>
          <w:b w:val="0"/>
          <w:bCs w:val="0"/>
        </w:rPr>
      </w:r>
    </w:p>
    <w:p>
      <w:pPr>
        <w:pStyle w:val="BodyText"/>
        <w:tabs>
          <w:tab w:pos="1049" w:val="left" w:leader="none"/>
        </w:tabs>
        <w:spacing w:line="240" w:lineRule="auto" w:before="11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6"/>
        <w:gridCol w:w="2898"/>
        <w:gridCol w:w="2896"/>
      </w:tblGrid>
      <w:tr>
        <w:trPr>
          <w:trHeight w:val="45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5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物业管理商业用房维修基金</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4"/>
              <w:jc w:val="right"/>
              <w:rPr>
                <w:rFonts w:ascii="宋体" w:hAnsi="宋体" w:cs="宋体" w:eastAsia="宋体" w:hint="default"/>
                <w:sz w:val="21"/>
                <w:szCs w:val="21"/>
              </w:rPr>
            </w:pPr>
            <w:r>
              <w:rPr>
                <w:rFonts w:ascii="宋体"/>
                <w:sz w:val="21"/>
              </w:rPr>
              <w:t>2,336,937.63</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1,918,398.82</w:t>
            </w:r>
          </w:p>
        </w:tc>
      </w:tr>
      <w:tr>
        <w:trPr>
          <w:trHeight w:val="450" w:hRule="exact"/>
        </w:trPr>
        <w:tc>
          <w:tcPr>
            <w:tcW w:w="3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2,336,937.63</w:t>
            </w:r>
          </w:p>
        </w:tc>
        <w:tc>
          <w:tcPr>
            <w:tcW w:w="2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1,918,398.82</w:t>
            </w: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16</w:t>
      </w:r>
      <w:r>
        <w:rPr/>
        <w:t>、</w:t>
      </w:r>
      <w:r>
        <w:rPr>
          <w:spacing w:val="-27"/>
        </w:rPr>
        <w:t> </w:t>
      </w:r>
      <w:r>
        <w:rPr/>
        <w:t>股本</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276"/>
        <w:gridCol w:w="710"/>
        <w:gridCol w:w="566"/>
        <w:gridCol w:w="851"/>
        <w:gridCol w:w="1417"/>
        <w:gridCol w:w="1419"/>
        <w:gridCol w:w="1285"/>
      </w:tblGrid>
      <w:tr>
        <w:trPr>
          <w:trHeight w:val="397"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96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530"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、一）</w:t>
            </w:r>
          </w:p>
        </w:tc>
        <w:tc>
          <w:tcPr>
            <w:tcW w:w="1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84" w:hRule="exact"/>
        </w:trPr>
        <w:tc>
          <w:tcPr>
            <w:tcW w:w="152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1"/>
              <w:ind w:left="167" w:right="17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77"/>
              <w:ind w:left="187" w:right="187"/>
              <w:jc w:val="center"/>
              <w:rPr>
                <w:rFonts w:ascii="宋体" w:hAnsi="宋体" w:cs="宋体" w:eastAsia="宋体" w:hint="default"/>
                <w:sz w:val="18"/>
                <w:szCs w:val="18"/>
              </w:rPr>
            </w:pPr>
            <w:r>
              <w:rPr>
                <w:rFonts w:ascii="宋体" w:hAnsi="宋体" w:cs="宋体" w:eastAsia="宋体" w:hint="default"/>
                <w:sz w:val="18"/>
                <w:szCs w:val="18"/>
              </w:rPr>
              <w:t>送 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1"/>
              <w:ind w:left="238" w:right="150"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285" w:type="dxa"/>
            <w:vMerge/>
            <w:tcBorders>
              <w:left w:val="single" w:sz="4" w:space="0" w:color="000000"/>
              <w:bottom w:val="single" w:sz="4" w:space="0" w:color="000000"/>
              <w:right w:val="single" w:sz="4" w:space="0" w:color="000000"/>
            </w:tcBorders>
          </w:tcPr>
          <w:p>
            <w:pP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578" w:right="126" w:hanging="450"/>
              <w:jc w:val="left"/>
              <w:rPr>
                <w:rFonts w:ascii="宋体" w:hAnsi="宋体" w:cs="宋体" w:eastAsia="宋体" w:hint="default"/>
                <w:sz w:val="18"/>
                <w:szCs w:val="18"/>
              </w:rPr>
            </w:pPr>
            <w:r>
              <w:rPr>
                <w:rFonts w:ascii="宋体" w:hAnsi="宋体" w:cs="宋体" w:eastAsia="宋体" w:hint="default"/>
                <w:sz w:val="18"/>
                <w:szCs w:val="18"/>
              </w:rPr>
              <w:t>一、有限售条件 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0</w:t>
            </w:r>
          </w:p>
        </w:tc>
      </w:tr>
      <w:tr>
        <w:trPr>
          <w:trHeight w:val="3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、国有法人持股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、其他内资持股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80"/>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80"/>
              <w:ind w:right="102"/>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-135,357,000.</w:t>
            </w:r>
          </w:p>
          <w:p>
            <w:pPr>
              <w:pStyle w:val="TableParagraph"/>
              <w:spacing w:line="240" w:lineRule="auto" w:before="80"/>
              <w:ind w:right="102"/>
              <w:jc w:val="right"/>
              <w:rPr>
                <w:rFonts w:ascii="宋体" w:hAnsi="宋体" w:cs="宋体" w:eastAsia="宋体" w:hint="default"/>
                <w:sz w:val="18"/>
                <w:szCs w:val="18"/>
              </w:rPr>
            </w:pPr>
            <w:r>
              <w:rPr>
                <w:rFonts w:ascii="宋体"/>
                <w:sz w:val="18"/>
              </w:rPr>
              <w:t>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308" w:right="126" w:hanging="180"/>
              <w:jc w:val="left"/>
              <w:rPr>
                <w:rFonts w:ascii="宋体" w:hAnsi="宋体" w:cs="宋体" w:eastAsia="宋体" w:hint="default"/>
                <w:sz w:val="18"/>
                <w:szCs w:val="18"/>
              </w:rPr>
            </w:pPr>
            <w:r>
              <w:rPr>
                <w:rFonts w:ascii="宋体" w:hAnsi="宋体" w:cs="宋体" w:eastAsia="宋体" w:hint="default"/>
                <w:sz w:val="18"/>
                <w:szCs w:val="18"/>
              </w:rPr>
              <w:t>其中：境内非国 有法人持股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132,589,259</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-132,589,259.</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-132,589,259.</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0</w:t>
            </w:r>
          </w:p>
        </w:tc>
      </w:tr>
      <w:tr>
        <w:trPr>
          <w:trHeight w:val="71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2,767,741.0</w:t>
            </w:r>
          </w:p>
          <w:p>
            <w:pPr>
              <w:pStyle w:val="TableParagraph"/>
              <w:spacing w:line="240" w:lineRule="auto" w:before="80"/>
              <w:ind w:right="102"/>
              <w:jc w:val="right"/>
              <w:rPr>
                <w:rFonts w:ascii="宋体" w:hAnsi="宋体" w:cs="宋体" w:eastAsia="宋体" w:hint="default"/>
                <w:sz w:val="18"/>
                <w:szCs w:val="18"/>
              </w:rPr>
            </w:pPr>
            <w:r>
              <w:rPr>
                <w:rFonts w:ascii="宋体"/>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 w:right="0"/>
              <w:jc w:val="center"/>
              <w:rPr>
                <w:rFonts w:ascii="宋体" w:hAnsi="宋体" w:cs="宋体" w:eastAsia="宋体" w:hint="default"/>
                <w:sz w:val="18"/>
                <w:szCs w:val="18"/>
              </w:rPr>
            </w:pPr>
            <w:r>
              <w:rPr>
                <w:rFonts w:ascii="宋体"/>
                <w:sz w:val="18"/>
              </w:rPr>
              <w:t>-2,767,741.00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 w:right="0"/>
              <w:jc w:val="center"/>
              <w:rPr>
                <w:rFonts w:ascii="宋体" w:hAnsi="宋体" w:cs="宋体" w:eastAsia="宋体" w:hint="default"/>
                <w:sz w:val="18"/>
                <w:szCs w:val="18"/>
              </w:rPr>
            </w:pPr>
            <w:r>
              <w:rPr>
                <w:rFonts w:ascii="宋体"/>
                <w:sz w:val="18"/>
              </w:rPr>
              <w:t>-2,767,741.00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0</w:t>
            </w:r>
          </w:p>
        </w:tc>
      </w:tr>
      <w:tr>
        <w:trPr>
          <w:trHeight w:val="3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578" w:right="126" w:hanging="450"/>
              <w:jc w:val="left"/>
              <w:rPr>
                <w:rFonts w:ascii="宋体" w:hAnsi="宋体" w:cs="宋体" w:eastAsia="宋体" w:hint="default"/>
                <w:sz w:val="18"/>
                <w:szCs w:val="18"/>
              </w:rPr>
            </w:pPr>
            <w:r>
              <w:rPr>
                <w:rFonts w:ascii="宋体" w:hAnsi="宋体" w:cs="宋体" w:eastAsia="宋体" w:hint="default"/>
                <w:sz w:val="18"/>
                <w:szCs w:val="18"/>
              </w:rPr>
              <w:t>其中：境外法人 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28"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1276"/>
        <w:gridCol w:w="710"/>
        <w:gridCol w:w="566"/>
        <w:gridCol w:w="851"/>
        <w:gridCol w:w="1417"/>
        <w:gridCol w:w="1419"/>
        <w:gridCol w:w="1285"/>
      </w:tblGrid>
      <w:tr>
        <w:trPr>
          <w:trHeight w:val="71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398" w:right="126" w:hanging="270"/>
              <w:jc w:val="left"/>
              <w:rPr>
                <w:rFonts w:ascii="宋体" w:hAnsi="宋体" w:cs="宋体" w:eastAsia="宋体" w:hint="default"/>
                <w:sz w:val="18"/>
                <w:szCs w:val="18"/>
              </w:rPr>
            </w:pPr>
            <w:r>
              <w:rPr>
                <w:rFonts w:ascii="宋体" w:hAnsi="宋体" w:cs="宋体" w:eastAsia="宋体" w:hint="default"/>
                <w:sz w:val="18"/>
                <w:szCs w:val="18"/>
              </w:rPr>
              <w:t>二、无限售条件 流通股份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259,436,708</w:t>
            </w:r>
          </w:p>
          <w:p>
            <w:pPr>
              <w:pStyle w:val="TableParagraph"/>
              <w:spacing w:line="240" w:lineRule="auto" w:before="80"/>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135,357,000.0</w:t>
            </w:r>
          </w:p>
          <w:p>
            <w:pPr>
              <w:pStyle w:val="TableParagraph"/>
              <w:spacing w:line="240" w:lineRule="auto" w:before="80"/>
              <w:ind w:right="102"/>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135,357,000.0</w:t>
            </w:r>
          </w:p>
          <w:p>
            <w:pPr>
              <w:pStyle w:val="TableParagraph"/>
              <w:spacing w:line="240" w:lineRule="auto" w:before="80"/>
              <w:ind w:right="102"/>
              <w:jc w:val="right"/>
              <w:rPr>
                <w:rFonts w:ascii="宋体" w:hAnsi="宋体" w:cs="宋体" w:eastAsia="宋体" w:hint="default"/>
                <w:sz w:val="18"/>
                <w:szCs w:val="18"/>
              </w:rPr>
            </w:pPr>
            <w:r>
              <w:rPr>
                <w:rFonts w:ascii="宋体"/>
                <w:sz w:val="18"/>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394,793,708</w:t>
            </w:r>
          </w:p>
          <w:p>
            <w:pPr>
              <w:pStyle w:val="TableParagraph"/>
              <w:spacing w:line="240" w:lineRule="auto" w:before="80"/>
              <w:ind w:right="101"/>
              <w:jc w:val="right"/>
              <w:rPr>
                <w:rFonts w:ascii="宋体" w:hAnsi="宋体" w:cs="宋体" w:eastAsia="宋体" w:hint="default"/>
                <w:sz w:val="18"/>
                <w:szCs w:val="18"/>
              </w:rPr>
            </w:pPr>
            <w:r>
              <w:rPr>
                <w:rFonts w:ascii="宋体"/>
                <w:sz w:val="18"/>
              </w:rPr>
              <w:t>.00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、人民币普通股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259,436,708</w:t>
            </w:r>
          </w:p>
          <w:p>
            <w:pPr>
              <w:pStyle w:val="TableParagraph"/>
              <w:spacing w:line="240" w:lineRule="auto" w:before="79"/>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135,357,000.0</w:t>
            </w:r>
          </w:p>
          <w:p>
            <w:pPr>
              <w:pStyle w:val="TableParagraph"/>
              <w:spacing w:line="240" w:lineRule="auto" w:before="79"/>
              <w:ind w:right="102"/>
              <w:jc w:val="right"/>
              <w:rPr>
                <w:rFonts w:ascii="宋体" w:hAnsi="宋体" w:cs="宋体" w:eastAsia="宋体" w:hint="default"/>
                <w:sz w:val="18"/>
                <w:szCs w:val="18"/>
              </w:rPr>
            </w:pPr>
            <w:r>
              <w:rPr>
                <w:rFonts w:ascii="宋体"/>
                <w:sz w:val="18"/>
              </w:rPr>
              <w:t>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135,357,000.0</w:t>
            </w:r>
          </w:p>
          <w:p>
            <w:pPr>
              <w:pStyle w:val="TableParagraph"/>
              <w:spacing w:line="240" w:lineRule="auto" w:before="79"/>
              <w:ind w:right="102"/>
              <w:jc w:val="right"/>
              <w:rPr>
                <w:rFonts w:ascii="宋体" w:hAnsi="宋体" w:cs="宋体" w:eastAsia="宋体" w:hint="default"/>
                <w:sz w:val="18"/>
                <w:szCs w:val="18"/>
              </w:rPr>
            </w:pPr>
            <w:r>
              <w:rPr>
                <w:rFonts w:ascii="宋体"/>
                <w:sz w:val="18"/>
              </w:rPr>
              <w:t>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394,793,708</w:t>
            </w:r>
          </w:p>
          <w:p>
            <w:pPr>
              <w:pStyle w:val="TableParagraph"/>
              <w:spacing w:line="240" w:lineRule="auto" w:before="79"/>
              <w:ind w:right="101"/>
              <w:jc w:val="right"/>
              <w:rPr>
                <w:rFonts w:ascii="宋体" w:hAnsi="宋体" w:cs="宋体" w:eastAsia="宋体" w:hint="default"/>
                <w:sz w:val="18"/>
                <w:szCs w:val="18"/>
              </w:rPr>
            </w:pPr>
            <w:r>
              <w:rPr>
                <w:rFonts w:ascii="宋体"/>
                <w:sz w:val="18"/>
              </w:rPr>
              <w:t>.00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578" w:right="101" w:hanging="476"/>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、境内上市的外</w:t>
            </w:r>
            <w:r>
              <w:rPr>
                <w:rFonts w:ascii="宋体" w:hAnsi="宋体" w:cs="宋体" w:eastAsia="宋体" w:hint="default"/>
                <w:sz w:val="18"/>
                <w:szCs w:val="18"/>
              </w:rPr>
              <w:t> 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1"/>
              <w:ind w:left="578" w:right="101" w:hanging="476"/>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、境外上市的外</w:t>
            </w:r>
            <w:r>
              <w:rPr>
                <w:rFonts w:ascii="宋体" w:hAnsi="宋体" w:cs="宋体" w:eastAsia="宋体" w:hint="default"/>
                <w:sz w:val="18"/>
                <w:szCs w:val="18"/>
              </w:rPr>
              <w:t> 资股</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394,793,708</w:t>
            </w:r>
          </w:p>
          <w:p>
            <w:pPr>
              <w:pStyle w:val="TableParagraph"/>
              <w:spacing w:line="240" w:lineRule="auto" w:before="80"/>
              <w:ind w:right="102"/>
              <w:jc w:val="right"/>
              <w:rPr>
                <w:rFonts w:ascii="宋体" w:hAnsi="宋体" w:cs="宋体" w:eastAsia="宋体" w:hint="default"/>
                <w:sz w:val="18"/>
                <w:szCs w:val="18"/>
              </w:rPr>
            </w:pPr>
            <w:r>
              <w:rPr>
                <w:rFonts w:ascii="宋体"/>
                <w:sz w:val="18"/>
              </w:rPr>
              <w:t>.00</w:t>
            </w:r>
          </w:p>
        </w:tc>
        <w:tc>
          <w:tcPr>
            <w:tcW w:w="71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394,793,708</w:t>
            </w:r>
          </w:p>
          <w:p>
            <w:pPr>
              <w:pStyle w:val="TableParagraph"/>
              <w:spacing w:line="240" w:lineRule="auto" w:before="80"/>
              <w:ind w:right="101"/>
              <w:jc w:val="right"/>
              <w:rPr>
                <w:rFonts w:ascii="宋体" w:hAnsi="宋体" w:cs="宋体" w:eastAsia="宋体" w:hint="default"/>
                <w:sz w:val="18"/>
                <w:szCs w:val="18"/>
              </w:rPr>
            </w:pPr>
            <w:r>
              <w:rPr>
                <w:rFonts w:ascii="宋体"/>
                <w:sz w:val="18"/>
              </w:rPr>
              <w:t>.00</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17</w:t>
      </w:r>
      <w:r>
        <w:rPr/>
        <w:t>、</w:t>
      </w:r>
      <w:r>
        <w:rPr>
          <w:spacing w:val="-26"/>
        </w:rPr>
        <w:t> </w:t>
      </w:r>
      <w:r>
        <w:rPr/>
        <w:t>资本公积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156"/>
        <w:gridCol w:w="1844"/>
        <w:gridCol w:w="1560"/>
        <w:gridCol w:w="1530"/>
        <w:gridCol w:w="1804"/>
      </w:tblGrid>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9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472"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资本溢价</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344,618,224.96</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z w:val="21"/>
              </w:rPr>
              <w:t>344,618,224.96</w:t>
            </w: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17,565,507.18</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17,565,507.18</w:t>
            </w:r>
          </w:p>
        </w:tc>
      </w:tr>
      <w:tr>
        <w:trPr>
          <w:trHeight w:val="454"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原制度资本公积转入</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1"/>
              <w:jc w:val="right"/>
              <w:rPr>
                <w:rFonts w:ascii="宋体" w:hAnsi="宋体" w:cs="宋体" w:eastAsia="宋体" w:hint="default"/>
                <w:sz w:val="21"/>
                <w:szCs w:val="21"/>
              </w:rPr>
            </w:pPr>
            <w:r>
              <w:rPr>
                <w:rFonts w:ascii="宋体"/>
                <w:sz w:val="21"/>
              </w:rPr>
              <w:t>362,183,732.14</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0"/>
              <w:jc w:val="right"/>
              <w:rPr>
                <w:rFonts w:ascii="宋体" w:hAnsi="宋体" w:cs="宋体" w:eastAsia="宋体" w:hint="default"/>
                <w:sz w:val="21"/>
                <w:szCs w:val="21"/>
              </w:rPr>
            </w:pPr>
            <w:r>
              <w:rPr>
                <w:rFonts w:ascii="宋体"/>
                <w:sz w:val="21"/>
              </w:rPr>
              <w:t>362,183,732.14</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18</w:t>
      </w:r>
      <w:r>
        <w:rPr/>
        <w:t>、</w:t>
      </w:r>
      <w:r>
        <w:rPr>
          <w:spacing w:val="-26"/>
        </w:rPr>
        <w:t> </w:t>
      </w:r>
      <w:r>
        <w:rPr/>
        <w:t>盈余公积</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156"/>
        <w:gridCol w:w="1844"/>
        <w:gridCol w:w="1560"/>
        <w:gridCol w:w="1530"/>
        <w:gridCol w:w="1804"/>
      </w:tblGrid>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9"/>
              <w:jc w:val="right"/>
              <w:rPr>
                <w:rFonts w:ascii="宋体" w:hAnsi="宋体" w:cs="宋体" w:eastAsia="宋体" w:hint="default"/>
                <w:sz w:val="21"/>
                <w:szCs w:val="21"/>
              </w:rPr>
            </w:pPr>
            <w:r>
              <w:rPr>
                <w:rFonts w:ascii="宋体" w:hAnsi="宋体" w:cs="宋体" w:eastAsia="宋体" w:hint="default"/>
                <w:sz w:val="21"/>
                <w:szCs w:val="21"/>
              </w:rPr>
              <w:t>项目</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5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3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54"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6" w:right="0"/>
              <w:jc w:val="center"/>
              <w:rPr>
                <w:rFonts w:ascii="宋体" w:hAnsi="宋体" w:cs="宋体" w:eastAsia="宋体" w:hint="default"/>
                <w:sz w:val="21"/>
                <w:szCs w:val="21"/>
              </w:rPr>
            </w:pPr>
            <w:r>
              <w:rPr>
                <w:rFonts w:ascii="宋体"/>
                <w:sz w:val="21"/>
              </w:rPr>
              <w:t>38,483,861.71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7" w:right="0"/>
              <w:jc w:val="center"/>
              <w:rPr>
                <w:rFonts w:ascii="宋体" w:hAnsi="宋体" w:cs="宋体" w:eastAsia="宋体" w:hint="default"/>
                <w:sz w:val="21"/>
                <w:szCs w:val="21"/>
              </w:rPr>
            </w:pPr>
            <w:r>
              <w:rPr>
                <w:rFonts w:ascii="宋体"/>
                <w:sz w:val="21"/>
              </w:rPr>
              <w:t>38,483,861.71</w:t>
            </w: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利润归还投资</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
        </w:tc>
      </w:tr>
      <w:tr>
        <w:trPr>
          <w:trHeight w:val="454" w:hRule="exact"/>
        </w:trPr>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859"/>
              <w:jc w:val="righ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56" w:right="0"/>
              <w:jc w:val="center"/>
              <w:rPr>
                <w:rFonts w:ascii="宋体" w:hAnsi="宋体" w:cs="宋体" w:eastAsia="宋体" w:hint="default"/>
                <w:sz w:val="21"/>
                <w:szCs w:val="21"/>
              </w:rPr>
            </w:pPr>
            <w:r>
              <w:rPr>
                <w:rFonts w:ascii="宋体"/>
                <w:sz w:val="21"/>
              </w:rPr>
              <w:t>38,483,861.71</w:t>
            </w:r>
          </w:p>
        </w:tc>
        <w:tc>
          <w:tcPr>
            <w:tcW w:w="1560"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7" w:right="0"/>
              <w:jc w:val="center"/>
              <w:rPr>
                <w:rFonts w:ascii="宋体" w:hAnsi="宋体" w:cs="宋体" w:eastAsia="宋体" w:hint="default"/>
                <w:sz w:val="21"/>
                <w:szCs w:val="21"/>
              </w:rPr>
            </w:pPr>
            <w:r>
              <w:rPr>
                <w:rFonts w:ascii="宋体"/>
                <w:sz w:val="21"/>
              </w:rPr>
              <w:t>38,483,861.71</w:t>
            </w:r>
          </w:p>
        </w:tc>
      </w:tr>
    </w:tbl>
    <w:p>
      <w:pPr>
        <w:spacing w:line="240" w:lineRule="auto" w:before="9"/>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19</w:t>
      </w:r>
      <w:r>
        <w:rPr/>
        <w:t>、</w:t>
      </w:r>
      <w:r>
        <w:rPr>
          <w:spacing w:val="-28"/>
        </w:rPr>
        <w:t> </w:t>
      </w:r>
      <w:r>
        <w:rPr/>
        <w:t>未分配利润</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718"/>
        <w:gridCol w:w="2693"/>
        <w:gridCol w:w="2485"/>
      </w:tblGrid>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671"/>
              <w:jc w:val="right"/>
              <w:rPr>
                <w:rFonts w:ascii="宋体" w:hAnsi="宋体" w:cs="宋体" w:eastAsia="宋体" w:hint="default"/>
                <w:sz w:val="18"/>
                <w:szCs w:val="18"/>
              </w:rPr>
            </w:pPr>
            <w:r>
              <w:rPr>
                <w:rFonts w:ascii="宋体" w:hAnsi="宋体" w:cs="宋体" w:eastAsia="宋体" w:hint="default"/>
                <w:sz w:val="18"/>
                <w:szCs w:val="18"/>
              </w:rPr>
              <w:t>项目</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697"/>
              <w:jc w:val="righ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298" w:right="0"/>
              <w:jc w:val="left"/>
              <w:rPr>
                <w:rFonts w:ascii="宋体" w:hAnsi="宋体" w:cs="宋体" w:eastAsia="宋体" w:hint="default"/>
                <w:sz w:val="18"/>
                <w:szCs w:val="18"/>
              </w:rPr>
            </w:pPr>
            <w:r>
              <w:rPr>
                <w:rFonts w:ascii="宋体"/>
                <w:sz w:val="18"/>
              </w:rPr>
              <w:t>-794,086,109.50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95" w:right="0"/>
              <w:jc w:val="left"/>
              <w:rPr>
                <w:rFonts w:ascii="宋体" w:hAnsi="宋体" w:cs="宋体" w:eastAsia="宋体" w:hint="default"/>
                <w:sz w:val="18"/>
                <w:szCs w:val="18"/>
              </w:rPr>
            </w:pPr>
            <w:r>
              <w:rPr>
                <w:rFonts w:ascii="宋体"/>
                <w:sz w:val="18"/>
              </w:rPr>
              <w:t>-826,730,910.48</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718"/>
        <w:gridCol w:w="2693"/>
        <w:gridCol w:w="2485"/>
      </w:tblGrid>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11"/>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宋体" w:hAnsi="宋体" w:cs="宋体" w:eastAsia="宋体" w:hint="default"/>
                <w:sz w:val="18"/>
                <w:szCs w:val="18"/>
              </w:rPr>
              <w:t>+</w:t>
            </w:r>
            <w:r>
              <w:rPr>
                <w:rFonts w:ascii="宋体" w:hAnsi="宋体" w:cs="宋体" w:eastAsia="宋体" w:hint="default"/>
                <w:sz w:val="18"/>
                <w:szCs w:val="18"/>
              </w:rPr>
              <w:t>，调减－）</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8"/>
              <w:jc w:val="right"/>
              <w:rPr>
                <w:rFonts w:ascii="宋体" w:hAnsi="宋体" w:cs="宋体" w:eastAsia="宋体" w:hint="default"/>
                <w:sz w:val="18"/>
                <w:szCs w:val="18"/>
              </w:rPr>
            </w:pPr>
            <w:r>
              <w:rPr>
                <w:rFonts w:ascii="宋体"/>
                <w:sz w:val="18"/>
              </w:rPr>
              <w:t>-794,086,109.50</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9"/>
              <w:jc w:val="right"/>
              <w:rPr>
                <w:rFonts w:ascii="宋体" w:hAnsi="宋体" w:cs="宋体" w:eastAsia="宋体" w:hint="default"/>
                <w:sz w:val="18"/>
                <w:szCs w:val="18"/>
              </w:rPr>
            </w:pPr>
            <w:r>
              <w:rPr>
                <w:rFonts w:ascii="宋体"/>
                <w:sz w:val="18"/>
              </w:rPr>
              <w:t>-826,730,910.48</w:t>
            </w: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8"/>
              <w:jc w:val="right"/>
              <w:rPr>
                <w:rFonts w:ascii="宋体" w:hAnsi="宋体" w:cs="宋体" w:eastAsia="宋体" w:hint="default"/>
                <w:sz w:val="18"/>
                <w:szCs w:val="18"/>
              </w:rPr>
            </w:pPr>
            <w:r>
              <w:rPr>
                <w:rFonts w:ascii="宋体"/>
                <w:sz w:val="18"/>
              </w:rPr>
              <w:t>606,772.02</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9"/>
              <w:jc w:val="right"/>
              <w:rPr>
                <w:rFonts w:ascii="宋体" w:hAnsi="宋体" w:cs="宋体" w:eastAsia="宋体" w:hint="default"/>
                <w:sz w:val="18"/>
                <w:szCs w:val="18"/>
              </w:rPr>
            </w:pPr>
            <w:r>
              <w:rPr>
                <w:rFonts w:ascii="宋体"/>
                <w:sz w:val="18"/>
              </w:rPr>
              <w:t>32,644,800.98</w:t>
            </w: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4"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444"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4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444"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693" w:type="dxa"/>
            <w:tcBorders>
              <w:top w:val="single" w:sz="6" w:space="0" w:color="000000"/>
              <w:left w:val="single" w:sz="6" w:space="0" w:color="000000"/>
              <w:bottom w:val="single" w:sz="6" w:space="0" w:color="000000"/>
              <w:right w:val="single" w:sz="6" w:space="0" w:color="000000"/>
            </w:tcBorders>
          </w:tcPr>
          <w:p>
            <w:pPr/>
          </w:p>
        </w:tc>
        <w:tc>
          <w:tcPr>
            <w:tcW w:w="2485" w:type="dxa"/>
            <w:tcBorders>
              <w:top w:val="single" w:sz="6" w:space="0" w:color="000000"/>
              <w:left w:val="single" w:sz="6" w:space="0" w:color="000000"/>
              <w:bottom w:val="single" w:sz="6" w:space="0" w:color="000000"/>
              <w:right w:val="single" w:sz="6" w:space="0" w:color="000000"/>
            </w:tcBorders>
          </w:tcPr>
          <w:p>
            <w:pPr/>
          </w:p>
        </w:tc>
      </w:tr>
      <w:tr>
        <w:trPr>
          <w:trHeight w:val="401" w:hRule="exact"/>
        </w:trPr>
        <w:tc>
          <w:tcPr>
            <w:tcW w:w="3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-793,479,337.48</w:t>
            </w:r>
          </w:p>
        </w:tc>
        <w:tc>
          <w:tcPr>
            <w:tcW w:w="24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9"/>
              <w:jc w:val="right"/>
              <w:rPr>
                <w:rFonts w:ascii="宋体" w:hAnsi="宋体" w:cs="宋体" w:eastAsia="宋体" w:hint="default"/>
                <w:sz w:val="18"/>
                <w:szCs w:val="18"/>
              </w:rPr>
            </w:pPr>
            <w:r>
              <w:rPr>
                <w:rFonts w:ascii="宋体"/>
                <w:sz w:val="18"/>
              </w:rPr>
              <w:t>-794,086,109.50</w:t>
            </w:r>
          </w:p>
        </w:tc>
      </w:tr>
    </w:tbl>
    <w:p>
      <w:pPr>
        <w:spacing w:line="240" w:lineRule="auto" w:before="3"/>
        <w:rPr>
          <w:rFonts w:ascii="宋体" w:hAnsi="宋体" w:cs="宋体" w:eastAsia="宋体" w:hint="default"/>
          <w:sz w:val="22"/>
          <w:szCs w:val="22"/>
        </w:rPr>
      </w:pPr>
    </w:p>
    <w:p>
      <w:pPr>
        <w:pStyle w:val="Heading3"/>
        <w:spacing w:line="240" w:lineRule="auto"/>
        <w:ind w:right="228"/>
        <w:jc w:val="left"/>
        <w:rPr>
          <w:b w:val="0"/>
          <w:bCs w:val="0"/>
        </w:rPr>
      </w:pPr>
      <w:r>
        <w:rPr>
          <w:rFonts w:ascii="宋体" w:hAnsi="宋体" w:cs="宋体" w:eastAsia="宋体" w:hint="default"/>
        </w:rPr>
        <w:t>20</w:t>
      </w:r>
      <w:r>
        <w:rPr/>
        <w:t>、</w:t>
      </w:r>
      <w:r>
        <w:rPr>
          <w:spacing w:val="-28"/>
        </w:rPr>
        <w:t> </w:t>
      </w:r>
      <w:r>
        <w:rPr/>
        <w:t>营业收入和营业成本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680"/>
        <w:gridCol w:w="1559"/>
        <w:gridCol w:w="1559"/>
        <w:gridCol w:w="1560"/>
        <w:gridCol w:w="1571"/>
      </w:tblGrid>
      <w:tr>
        <w:trPr>
          <w:trHeight w:val="397" w:hRule="exact"/>
        </w:trPr>
        <w:tc>
          <w:tcPr>
            <w:tcW w:w="268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2680" w:type="dxa"/>
            <w:vMerge/>
            <w:tcBorders>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397"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一、主营业务小计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44,400,646.96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32,178,887.29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39,384,264.11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28,661,420.04</w:t>
            </w:r>
          </w:p>
        </w:tc>
      </w:tr>
      <w:tr>
        <w:trPr>
          <w:trHeight w:val="397"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物业管理服务收入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44,400,646.96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32,178,887.29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39,384,264.11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28,661,420.04</w:t>
            </w:r>
          </w:p>
        </w:tc>
      </w:tr>
      <w:tr>
        <w:trPr>
          <w:trHeight w:val="397"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二、其他业务小计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2,968,104.58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686,670.99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3,155,861.51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626,590.03</w:t>
            </w:r>
          </w:p>
        </w:tc>
      </w:tr>
      <w:tr>
        <w:trPr>
          <w:trHeight w:val="398"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物业居家生活服务收入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2,968,104.58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686,670.99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3,155,861.51</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626,590.03</w:t>
            </w:r>
          </w:p>
        </w:tc>
      </w:tr>
      <w:tr>
        <w:trPr>
          <w:trHeight w:val="397" w:hRule="exact"/>
        </w:trPr>
        <w:tc>
          <w:tcPr>
            <w:tcW w:w="2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47,368,751.54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32,865,558.28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42,540,125.62</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29,288,010.07</w:t>
            </w:r>
          </w:p>
        </w:tc>
      </w:tr>
    </w:tbl>
    <w:p>
      <w:pPr>
        <w:spacing w:line="240" w:lineRule="auto" w:before="8"/>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21</w:t>
      </w:r>
      <w:r>
        <w:rPr/>
        <w:t>、</w:t>
      </w:r>
      <w:r>
        <w:rPr>
          <w:spacing w:val="-29"/>
        </w:rPr>
        <w:t> </w:t>
      </w:r>
      <w:r>
        <w:rPr/>
        <w:t>营业税金及附加</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7"/>
        <w:gridCol w:w="3018"/>
        <w:gridCol w:w="3018"/>
      </w:tblGrid>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211"/>
              <w:jc w:val="right"/>
              <w:rPr>
                <w:rFonts w:ascii="宋体" w:hAnsi="宋体" w:cs="宋体" w:eastAsia="宋体" w:hint="default"/>
                <w:sz w:val="21"/>
                <w:szCs w:val="21"/>
              </w:rPr>
            </w:pPr>
            <w:r>
              <w:rPr>
                <w:rFonts w:ascii="宋体" w:hAnsi="宋体" w:cs="宋体" w:eastAsia="宋体" w:hint="default"/>
                <w:sz w:val="21"/>
                <w:szCs w:val="21"/>
              </w:rPr>
              <w:t>项目</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7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7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8" w:type="dxa"/>
            <w:tcBorders>
              <w:top w:val="single" w:sz="6" w:space="0" w:color="000000"/>
              <w:left w:val="single" w:sz="6" w:space="0" w:color="000000"/>
              <w:bottom w:val="single" w:sz="6" w:space="0" w:color="000000"/>
              <w:right w:val="single" w:sz="6" w:space="0" w:color="000000"/>
            </w:tcBorders>
          </w:tcPr>
          <w:p>
            <w:pPr/>
          </w:p>
        </w:tc>
        <w:tc>
          <w:tcPr>
            <w:tcW w:w="3018" w:type="dxa"/>
            <w:tcBorders>
              <w:top w:val="single" w:sz="6" w:space="0" w:color="000000"/>
              <w:left w:val="single" w:sz="6" w:space="0" w:color="000000"/>
              <w:bottom w:val="single" w:sz="6" w:space="0" w:color="000000"/>
              <w:right w:val="single" w:sz="6" w:space="0" w:color="000000"/>
            </w:tcBorders>
          </w:tcPr>
          <w:p>
            <w:pPr/>
          </w:p>
        </w:tc>
      </w:tr>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z w:val="21"/>
              </w:rPr>
              <w:t>2,261,076.65</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z w:val="21"/>
              </w:rPr>
              <w:t>2,039,225.72</w:t>
            </w:r>
          </w:p>
        </w:tc>
      </w:tr>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z w:val="21"/>
              </w:rPr>
              <w:t>154,931.14</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3"/>
              <w:jc w:val="right"/>
              <w:rPr>
                <w:rFonts w:ascii="宋体" w:hAnsi="宋体" w:cs="宋体" w:eastAsia="宋体" w:hint="default"/>
                <w:sz w:val="21"/>
                <w:szCs w:val="21"/>
              </w:rPr>
            </w:pPr>
            <w:r>
              <w:rPr>
                <w:rFonts w:ascii="宋体"/>
                <w:sz w:val="21"/>
              </w:rPr>
              <w:t>139,564.83</w:t>
            </w:r>
          </w:p>
        </w:tc>
      </w:tr>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67,857.58</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61,331.69</w:t>
            </w:r>
          </w:p>
        </w:tc>
      </w:tr>
      <w:tr>
        <w:trPr>
          <w:trHeight w:val="455"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45,238.40</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1"/>
              <w:jc w:val="right"/>
              <w:rPr>
                <w:rFonts w:ascii="宋体" w:hAnsi="宋体" w:cs="宋体" w:eastAsia="宋体" w:hint="default"/>
                <w:sz w:val="21"/>
                <w:szCs w:val="21"/>
              </w:rPr>
            </w:pPr>
            <w:r>
              <w:rPr>
                <w:rFonts w:ascii="宋体"/>
                <w:sz w:val="21"/>
              </w:rPr>
              <w:t>40,629.57</w:t>
            </w:r>
          </w:p>
        </w:tc>
      </w:tr>
      <w:tr>
        <w:trPr>
          <w:trHeight w:val="454" w:hRule="exact"/>
        </w:trPr>
        <w:tc>
          <w:tcPr>
            <w:tcW w:w="2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1211"/>
              <w:jc w:val="right"/>
              <w:rPr>
                <w:rFonts w:ascii="宋体" w:hAnsi="宋体" w:cs="宋体" w:eastAsia="宋体" w:hint="default"/>
                <w:sz w:val="21"/>
                <w:szCs w:val="21"/>
              </w:rPr>
            </w:pPr>
            <w:r>
              <w:rPr>
                <w:rFonts w:ascii="宋体" w:hAnsi="宋体" w:cs="宋体" w:eastAsia="宋体" w:hint="default"/>
                <w:sz w:val="21"/>
                <w:szCs w:val="21"/>
              </w:rPr>
              <w:t>合计</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z w:val="21"/>
              </w:rPr>
              <w:t>2,529,103.77</w:t>
            </w:r>
          </w:p>
        </w:tc>
        <w:tc>
          <w:tcPr>
            <w:tcW w:w="30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20"/>
              <w:jc w:val="right"/>
              <w:rPr>
                <w:rFonts w:ascii="宋体" w:hAnsi="宋体" w:cs="宋体" w:eastAsia="宋体" w:hint="default"/>
                <w:sz w:val="21"/>
                <w:szCs w:val="21"/>
              </w:rPr>
            </w:pPr>
            <w:r>
              <w:rPr>
                <w:rFonts w:ascii="宋体"/>
                <w:sz w:val="21"/>
              </w:rPr>
              <w:t>2,280,751.81</w:t>
            </w:r>
          </w:p>
        </w:tc>
      </w:tr>
    </w:tbl>
    <w:p>
      <w:pPr>
        <w:spacing w:line="240" w:lineRule="auto" w:before="9"/>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22</w:t>
      </w:r>
      <w:r>
        <w:rPr/>
        <w:t>、</w:t>
      </w:r>
      <w:r>
        <w:rPr>
          <w:spacing w:val="-26"/>
        </w:rPr>
        <w:t> </w:t>
      </w:r>
      <w:r>
        <w:rPr/>
        <w:t>管理费用</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44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工资</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31" w:right="0"/>
              <w:jc w:val="left"/>
              <w:rPr>
                <w:rFonts w:ascii="宋体" w:hAnsi="宋体" w:cs="宋体" w:eastAsia="宋体" w:hint="default"/>
                <w:sz w:val="21"/>
                <w:szCs w:val="21"/>
              </w:rPr>
            </w:pPr>
            <w:r>
              <w:rPr>
                <w:rFonts w:ascii="宋体"/>
                <w:sz w:val="21"/>
              </w:rPr>
              <w:t>3,288,997.81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66" w:right="0"/>
              <w:jc w:val="left"/>
              <w:rPr>
                <w:rFonts w:ascii="宋体" w:hAnsi="宋体" w:cs="宋体" w:eastAsia="宋体" w:hint="default"/>
                <w:sz w:val="21"/>
                <w:szCs w:val="21"/>
              </w:rPr>
            </w:pPr>
            <w:r>
              <w:rPr>
                <w:rFonts w:ascii="宋体"/>
                <w:sz w:val="21"/>
              </w:rPr>
              <w:t>3,103,841.30</w:t>
            </w:r>
          </w:p>
        </w:tc>
      </w:tr>
    </w:tbl>
    <w:p>
      <w:pPr>
        <w:spacing w:after="0" w:line="240" w:lineRule="auto"/>
        <w:jc w:val="left"/>
        <w:rPr>
          <w:rFonts w:ascii="宋体" w:hAnsi="宋体" w:cs="宋体" w:eastAsia="宋体" w:hint="default"/>
          <w:sz w:val="21"/>
          <w:szCs w:val="21"/>
        </w:rPr>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341,581.61</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253,312.72</w:t>
            </w:r>
          </w:p>
        </w:tc>
      </w:tr>
      <w:tr>
        <w:trPr>
          <w:trHeight w:val="44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468,453.89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490,502.68</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1,305,952.05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1,178,715.62</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611,086.55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710,279.40</w:t>
            </w:r>
          </w:p>
        </w:tc>
      </w:tr>
      <w:tr>
        <w:trPr>
          <w:trHeight w:val="44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劳动保险费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519,163.69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580,824.30</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董事会费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168,393.15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258,685.64</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1,019,226.00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862,714.20</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审计评估费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574,512.90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661,147.30</w:t>
            </w:r>
          </w:p>
        </w:tc>
      </w:tr>
      <w:tr>
        <w:trPr>
          <w:trHeight w:val="44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141,948.70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29,084.00</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65,294.74</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79,244.15</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200,976.79</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205,888.81</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231,270.90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169,726.00</w:t>
            </w:r>
          </w:p>
        </w:tc>
      </w:tr>
      <w:tr>
        <w:trPr>
          <w:trHeight w:val="449"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28,212.75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27,055.81</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329,782.47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2"/>
              <w:jc w:val="right"/>
              <w:rPr>
                <w:rFonts w:ascii="宋体" w:hAnsi="宋体" w:cs="宋体" w:eastAsia="宋体" w:hint="default"/>
                <w:sz w:val="21"/>
                <w:szCs w:val="21"/>
              </w:rPr>
            </w:pPr>
            <w:r>
              <w:rPr>
                <w:rFonts w:ascii="宋体"/>
                <w:sz w:val="21"/>
              </w:rPr>
              <w:t>366,489.10</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08" w:right="0"/>
              <w:jc w:val="left"/>
              <w:rPr>
                <w:rFonts w:ascii="宋体" w:hAnsi="宋体" w:cs="宋体" w:eastAsia="宋体" w:hint="default"/>
                <w:sz w:val="21"/>
                <w:szCs w:val="21"/>
              </w:rPr>
            </w:pPr>
            <w:r>
              <w:rPr>
                <w:rFonts w:ascii="宋体" w:hAnsi="宋体" w:cs="宋体" w:eastAsia="宋体" w:hint="default"/>
                <w:sz w:val="21"/>
                <w:szCs w:val="21"/>
              </w:rPr>
              <w:t>装修费分摊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4,686.00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173,674.80</w:t>
            </w:r>
          </w:p>
        </w:tc>
      </w:tr>
      <w:tr>
        <w:trPr>
          <w:trHeight w:val="450"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9,299,540.00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9,151,185.83</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23</w:t>
      </w:r>
      <w:r>
        <w:rPr/>
        <w:t>、</w:t>
      </w:r>
      <w:r>
        <w:rPr>
          <w:spacing w:val="-26"/>
        </w:rPr>
        <w:t> </w:t>
      </w:r>
      <w:r>
        <w:rPr/>
        <w:t>财务费用</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40"/>
      </w:tblGrid>
      <w:tr>
        <w:trPr>
          <w:trHeight w:val="3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87"/>
              <w:jc w:val="right"/>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68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-247,364.20</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-398,869.13</w:t>
            </w:r>
          </w:p>
        </w:tc>
      </w:tr>
      <w:tr>
        <w:trPr>
          <w:trHeight w:val="3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手续费支出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72,366.32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50,596.64</w:t>
            </w:r>
          </w:p>
        </w:tc>
      </w:tr>
      <w:tr>
        <w:trPr>
          <w:trHeight w:val="3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其他支出</w:t>
            </w:r>
          </w:p>
        </w:tc>
        <w:tc>
          <w:tcPr>
            <w:tcW w:w="260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87"/>
              <w:jc w:val="righ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-174,997.88</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宋体" w:hAnsi="宋体" w:cs="宋体" w:eastAsia="宋体" w:hint="default"/>
                <w:sz w:val="21"/>
                <w:szCs w:val="21"/>
              </w:rPr>
            </w:pPr>
            <w:r>
              <w:rPr>
                <w:rFonts w:ascii="宋体"/>
                <w:sz w:val="21"/>
              </w:rPr>
              <w:t>-348,272.49</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24</w:t>
      </w:r>
      <w:r>
        <w:rPr/>
        <w:t>、</w:t>
      </w:r>
      <w:r>
        <w:rPr>
          <w:spacing w:val="-29"/>
        </w:rPr>
        <w:t> </w:t>
      </w:r>
      <w:r>
        <w:rPr/>
        <w:t>资产减值损失</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38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482"/>
              <w:jc w:val="right"/>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8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313,959.26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-242,931.52</w:t>
            </w:r>
          </w:p>
        </w:tc>
      </w:tr>
      <w:tr>
        <w:trPr>
          <w:trHeight w:val="38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482"/>
              <w:jc w:val="right"/>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宋体" w:hAnsi="宋体" w:cs="宋体" w:eastAsia="宋体" w:hint="default"/>
                <w:sz w:val="21"/>
                <w:szCs w:val="21"/>
              </w:rPr>
            </w:pPr>
            <w:r>
              <w:rPr>
                <w:rFonts w:ascii="宋体"/>
                <w:sz w:val="21"/>
              </w:rPr>
              <w:t>313,959.26</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宋体" w:hAnsi="宋体" w:cs="宋体" w:eastAsia="宋体" w:hint="default"/>
                <w:sz w:val="21"/>
                <w:szCs w:val="21"/>
              </w:rPr>
            </w:pPr>
            <w:r>
              <w:rPr>
                <w:rFonts w:ascii="宋体"/>
                <w:sz w:val="21"/>
              </w:rPr>
              <w:t>-242,931.52</w:t>
            </w:r>
          </w:p>
        </w:tc>
      </w:tr>
    </w:tbl>
    <w:p>
      <w:pPr>
        <w:spacing w:after="0" w:line="240" w:lineRule="auto"/>
        <w:jc w:val="right"/>
        <w:rPr>
          <w:rFonts w:ascii="宋体" w:hAnsi="宋体" w:cs="宋体" w:eastAsia="宋体" w:hint="default"/>
          <w:sz w:val="21"/>
          <w:szCs w:val="21"/>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right="228"/>
        <w:jc w:val="left"/>
        <w:rPr>
          <w:b w:val="0"/>
          <w:bCs w:val="0"/>
        </w:rPr>
      </w:pPr>
      <w:r>
        <w:rPr>
          <w:rFonts w:ascii="宋体" w:hAnsi="宋体" w:cs="宋体" w:eastAsia="宋体" w:hint="default"/>
        </w:rPr>
        <w:t>25</w:t>
      </w:r>
      <w:r>
        <w:rPr/>
        <w:t>、</w:t>
      </w:r>
      <w:r>
        <w:rPr>
          <w:spacing w:val="-26"/>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4"/>
        <w:gridCol w:w="3077"/>
      </w:tblGrid>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82"/>
              <w:jc w:val="right"/>
              <w:rPr>
                <w:rFonts w:ascii="宋体" w:hAnsi="宋体" w:cs="宋体" w:eastAsia="宋体" w:hint="default"/>
                <w:sz w:val="21"/>
                <w:szCs w:val="21"/>
              </w:rPr>
            </w:pPr>
            <w:r>
              <w:rPr>
                <w:rFonts w:ascii="宋体" w:hAnsi="宋体" w:cs="宋体" w:eastAsia="宋体" w:hint="default"/>
                <w:sz w:val="21"/>
                <w:szCs w:val="21"/>
              </w:rPr>
              <w:t>项目</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2"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495,618.61</w:t>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82"/>
              <w:jc w:val="right"/>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495,618.61</w:t>
            </w: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7"/>
          <w:szCs w:val="27"/>
        </w:rPr>
      </w:pPr>
    </w:p>
    <w:p>
      <w:pPr>
        <w:pStyle w:val="BodyText"/>
        <w:spacing w:line="400" w:lineRule="auto" w:before="35"/>
        <w:ind w:left="218" w:right="4428"/>
        <w:jc w:val="left"/>
      </w:pPr>
      <w:r>
        <w:rPr/>
        <w:t>其他说明： 投资收益的“其他”项是银行保本理财产品收益。</w:t>
      </w:r>
    </w:p>
    <w:p>
      <w:pPr>
        <w:spacing w:line="240" w:lineRule="auto" w:before="1"/>
        <w:rPr>
          <w:rFonts w:ascii="宋体" w:hAnsi="宋体" w:cs="宋体" w:eastAsia="宋体" w:hint="default"/>
          <w:sz w:val="14"/>
          <w:szCs w:val="14"/>
        </w:rPr>
      </w:pPr>
    </w:p>
    <w:p>
      <w:pPr>
        <w:pStyle w:val="Heading3"/>
        <w:spacing w:line="240" w:lineRule="auto"/>
        <w:ind w:right="228"/>
        <w:jc w:val="left"/>
        <w:rPr>
          <w:b w:val="0"/>
          <w:bCs w:val="0"/>
        </w:rPr>
      </w:pPr>
      <w:r>
        <w:rPr>
          <w:rFonts w:ascii="宋体" w:hAnsi="宋体" w:cs="宋体" w:eastAsia="宋体" w:hint="default"/>
        </w:rPr>
        <w:t>26</w:t>
      </w:r>
      <w:r>
        <w:rPr/>
        <w:t>、</w:t>
      </w:r>
      <w:r>
        <w:rPr>
          <w:spacing w:val="-28"/>
        </w:rPr>
        <w:t> </w:t>
      </w:r>
      <w:r>
        <w:rPr/>
        <w:t>营业外收入</w:t>
      </w:r>
      <w:r>
        <w:rPr>
          <w:b w:val="0"/>
          <w:bCs w:val="0"/>
        </w:rPr>
      </w:r>
    </w:p>
    <w:p>
      <w:pPr>
        <w:pStyle w:val="BodyText"/>
        <w:tabs>
          <w:tab w:pos="1049" w:val="left" w:leader="none"/>
        </w:tabs>
        <w:spacing w:line="240" w:lineRule="auto" w:before="56"/>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2126"/>
        <w:gridCol w:w="2090"/>
        <w:gridCol w:w="2317"/>
      </w:tblGrid>
      <w:tr>
        <w:trPr>
          <w:trHeight w:val="71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881" w:right="253"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6,040.80</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347.84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6,040.80</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6,040.80</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347.84</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6,040.80</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42,000.00</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110,000.00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42,000.00</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32,000,000.00</w:t>
            </w: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50,726.02</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206,472.08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50,726.02</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98,766.82</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32,316,819.92</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98,766.82</w:t>
            </w:r>
          </w:p>
        </w:tc>
      </w:tr>
    </w:tbl>
    <w:p>
      <w:pPr>
        <w:spacing w:line="240" w:lineRule="auto" w:before="6"/>
        <w:rPr>
          <w:rFonts w:ascii="宋体" w:hAnsi="宋体" w:cs="宋体" w:eastAsia="宋体" w:hint="default"/>
          <w:sz w:val="15"/>
          <w:szCs w:val="15"/>
        </w:rPr>
      </w:pPr>
    </w:p>
    <w:p>
      <w:pPr>
        <w:pStyle w:val="BodyText"/>
        <w:spacing w:line="274" w:lineRule="exact" w:before="35"/>
        <w:ind w:left="218" w:right="228"/>
        <w:jc w:val="left"/>
      </w:pPr>
      <w:r>
        <w:rPr/>
        <w:t>计入当期损益的政府补助</w:t>
      </w:r>
    </w:p>
    <w:p>
      <w:pPr>
        <w:pStyle w:val="BodyText"/>
        <w:tabs>
          <w:tab w:pos="1048"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441"/>
        <w:gridCol w:w="2128"/>
        <w:gridCol w:w="2127"/>
        <w:gridCol w:w="2198"/>
      </w:tblGrid>
      <w:tr>
        <w:trPr>
          <w:trHeight w:val="565"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8"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17"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48"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与收益相关</w:t>
            </w:r>
          </w:p>
        </w:tc>
      </w:tr>
      <w:tr>
        <w:trPr>
          <w:trHeight w:val="71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25" w:right="154"/>
              <w:jc w:val="left"/>
              <w:rPr>
                <w:rFonts w:ascii="宋体" w:hAnsi="宋体" w:cs="宋体" w:eastAsia="宋体" w:hint="default"/>
                <w:sz w:val="18"/>
                <w:szCs w:val="18"/>
              </w:rPr>
            </w:pPr>
            <w:r>
              <w:rPr>
                <w:rFonts w:ascii="宋体" w:hAnsi="宋体" w:cs="宋体" w:eastAsia="宋体" w:hint="default"/>
                <w:sz w:val="18"/>
                <w:szCs w:val="18"/>
              </w:rPr>
              <w:t>杭州市</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pacing w:val="-46"/>
                <w:sz w:val="18"/>
                <w:szCs w:val="18"/>
              </w:rPr>
              <w:t> </w:t>
            </w:r>
            <w:r>
              <w:rPr>
                <w:rFonts w:ascii="宋体" w:hAnsi="宋体" w:cs="宋体" w:eastAsia="宋体" w:hint="default"/>
                <w:sz w:val="18"/>
                <w:szCs w:val="18"/>
              </w:rPr>
              <w:t>家商务楼宇三等奖 财政补贴</w:t>
            </w:r>
          </w:p>
        </w:tc>
        <w:tc>
          <w:tcPr>
            <w:tcW w:w="2128"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100,000.00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5" w:right="65"/>
              <w:jc w:val="left"/>
              <w:rPr>
                <w:rFonts w:ascii="宋体" w:hAnsi="宋体" w:cs="宋体" w:eastAsia="宋体" w:hint="default"/>
                <w:sz w:val="18"/>
                <w:szCs w:val="18"/>
              </w:rPr>
            </w:pPr>
            <w:r>
              <w:rPr>
                <w:rFonts w:ascii="宋体" w:hAnsi="宋体" w:cs="宋体" w:eastAsia="宋体" w:hint="default"/>
                <w:sz w:val="18"/>
                <w:szCs w:val="18"/>
              </w:rPr>
              <w:t>杭州市西湖区人民政府灵隐街 道办事处奖励</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22,000.00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10,000.00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2"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5" w:right="245"/>
              <w:jc w:val="left"/>
              <w:rPr>
                <w:rFonts w:ascii="宋体" w:hAnsi="宋体" w:cs="宋体" w:eastAsia="宋体" w:hint="default"/>
                <w:sz w:val="18"/>
                <w:szCs w:val="18"/>
              </w:rPr>
            </w:pPr>
            <w:r>
              <w:rPr>
                <w:rFonts w:ascii="宋体" w:hAnsi="宋体" w:cs="宋体" w:eastAsia="宋体" w:hint="default"/>
                <w:sz w:val="18"/>
                <w:szCs w:val="18"/>
              </w:rPr>
              <w:t>长沙县物业管理办公室居里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年物业服务奖金</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20,000.00</w:t>
            </w:r>
          </w:p>
        </w:tc>
        <w:tc>
          <w:tcPr>
            <w:tcW w:w="212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97" w:hRule="exact"/>
        </w:trPr>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42,000.00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110,000.00</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27</w:t>
      </w:r>
      <w:r>
        <w:rPr/>
        <w:t>、</w:t>
      </w:r>
      <w:r>
        <w:rPr>
          <w:spacing w:val="-28"/>
        </w:rPr>
        <w:t> </w:t>
      </w:r>
      <w:r>
        <w:rPr/>
        <w:t>营业外支出</w:t>
      </w:r>
      <w:r>
        <w:rPr>
          <w:b w:val="0"/>
          <w:bCs w:val="0"/>
        </w:rPr>
      </w:r>
    </w:p>
    <w:p>
      <w:pPr>
        <w:pStyle w:val="BodyText"/>
        <w:tabs>
          <w:tab w:pos="1049" w:val="left" w:leader="none"/>
        </w:tabs>
        <w:spacing w:line="240" w:lineRule="auto" w:before="58"/>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518"/>
        <w:gridCol w:w="2126"/>
        <w:gridCol w:w="2090"/>
        <w:gridCol w:w="2317"/>
      </w:tblGrid>
      <w:tr>
        <w:trPr>
          <w:trHeight w:val="713"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971" w:right="163"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518"/>
        <w:gridCol w:w="2126"/>
        <w:gridCol w:w="2090"/>
        <w:gridCol w:w="2317"/>
      </w:tblGrid>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43"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126" w:type="dxa"/>
            <w:tcBorders>
              <w:top w:val="single" w:sz="4" w:space="0" w:color="000000"/>
              <w:left w:val="single" w:sz="4" w:space="0" w:color="000000"/>
              <w:bottom w:val="single" w:sz="4" w:space="0" w:color="000000"/>
              <w:right w:val="single" w:sz="4" w:space="0" w:color="000000"/>
            </w:tcBorders>
          </w:tcPr>
          <w:p>
            <w:pPr/>
          </w:p>
        </w:tc>
        <w:tc>
          <w:tcPr>
            <w:tcW w:w="2090"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709,432.23</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137,092.25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709,432.23</w:t>
            </w:r>
          </w:p>
        </w:tc>
      </w:tr>
      <w:tr>
        <w:trPr>
          <w:trHeight w:val="397"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709,432.23</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137,092.25</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709,432.23</w:t>
            </w:r>
          </w:p>
        </w:tc>
      </w:tr>
    </w:tbl>
    <w:p>
      <w:pPr>
        <w:pStyle w:val="BodyText"/>
        <w:spacing w:line="240" w:lineRule="auto" w:before="24"/>
        <w:ind w:left="218" w:right="228"/>
        <w:jc w:val="left"/>
      </w:pPr>
      <w:r>
        <w:rPr/>
        <w:t>其他说明：</w:t>
      </w:r>
    </w:p>
    <w:p>
      <w:pPr>
        <w:spacing w:line="240" w:lineRule="auto" w:before="7"/>
        <w:rPr>
          <w:rFonts w:ascii="宋体" w:hAnsi="宋体" w:cs="宋体" w:eastAsia="宋体" w:hint="default"/>
          <w:sz w:val="16"/>
          <w:szCs w:val="16"/>
        </w:rPr>
      </w:pPr>
    </w:p>
    <w:p>
      <w:pPr>
        <w:pStyle w:val="BodyText"/>
        <w:spacing w:line="240" w:lineRule="auto"/>
        <w:ind w:left="638" w:right="228"/>
        <w:jc w:val="left"/>
      </w:pPr>
      <w:r>
        <w:rPr>
          <w:rFonts w:ascii="宋体" w:hAnsi="宋体" w:cs="宋体" w:eastAsia="宋体" w:hint="default"/>
        </w:rPr>
        <w:t>2007</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日，由于涉嫌证券违法违规，本公司被中国证券监督管理委员会立案调查，</w:t>
      </w:r>
    </w:p>
    <w:p>
      <w:pPr>
        <w:spacing w:line="240" w:lineRule="auto" w:before="2"/>
        <w:rPr>
          <w:rFonts w:ascii="宋体" w:hAnsi="宋体" w:cs="宋体" w:eastAsia="宋体" w:hint="default"/>
          <w:sz w:val="14"/>
          <w:szCs w:val="14"/>
        </w:rPr>
      </w:pPr>
    </w:p>
    <w:p>
      <w:pPr>
        <w:pStyle w:val="BodyText"/>
        <w:spacing w:line="240" w:lineRule="auto"/>
        <w:ind w:left="218" w:right="86"/>
        <w:jc w:val="left"/>
      </w:pP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spacing w:val="-4"/>
        </w:rPr>
        <w:t>月，本公司收到中国证券监督管理委员会对该案的处罚决定书。营业处支出的“其他”</w:t>
      </w:r>
    </w:p>
    <w:p>
      <w:pPr>
        <w:spacing w:line="240" w:lineRule="auto" w:before="2"/>
        <w:rPr>
          <w:rFonts w:ascii="宋体" w:hAnsi="宋体" w:cs="宋体" w:eastAsia="宋体" w:hint="default"/>
          <w:sz w:val="14"/>
          <w:szCs w:val="14"/>
        </w:rPr>
      </w:pPr>
    </w:p>
    <w:p>
      <w:pPr>
        <w:pStyle w:val="BodyText"/>
        <w:spacing w:line="240" w:lineRule="auto"/>
        <w:ind w:left="218" w:right="228"/>
        <w:jc w:val="left"/>
      </w:pPr>
      <w:r>
        <w:rPr/>
        <w:t>项主要是此案的罚款</w:t>
      </w:r>
      <w:r>
        <w:rPr>
          <w:spacing w:val="-54"/>
        </w:rPr>
        <w:t> </w:t>
      </w:r>
      <w:r>
        <w:rPr>
          <w:rFonts w:ascii="宋体" w:hAnsi="宋体" w:cs="宋体" w:eastAsia="宋体" w:hint="default"/>
        </w:rPr>
        <w:t>60</w:t>
      </w:r>
      <w:r>
        <w:rPr>
          <w:rFonts w:ascii="宋体" w:hAnsi="宋体" w:cs="宋体" w:eastAsia="宋体" w:hint="default"/>
          <w:spacing w:val="-54"/>
        </w:rPr>
        <w:t> </w:t>
      </w:r>
      <w:r>
        <w:rPr/>
        <w:t>万元。</w:t>
      </w: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882" w:footer="1194" w:top="1120" w:bottom="1380" w:left="1580" w:right="1040"/>
        </w:sectPr>
      </w:pPr>
    </w:p>
    <w:p>
      <w:pPr>
        <w:pStyle w:val="Heading3"/>
        <w:spacing w:line="343" w:lineRule="auto"/>
        <w:ind w:right="-19"/>
        <w:jc w:val="left"/>
        <w:rPr>
          <w:b w:val="0"/>
          <w:bCs w:val="0"/>
        </w:rPr>
      </w:pPr>
      <w:r>
        <w:rPr>
          <w:rFonts w:ascii="宋体" w:hAnsi="宋体" w:cs="宋体" w:eastAsia="宋体" w:hint="default"/>
        </w:rPr>
        <w:t>28</w:t>
      </w:r>
      <w:r>
        <w:rPr/>
        <w:t>、</w:t>
      </w:r>
      <w:r>
        <w:rPr>
          <w:spacing w:val="-26"/>
        </w:rPr>
        <w:t> </w:t>
      </w:r>
      <w:r>
        <w:rPr/>
        <w:t>所得税费用</w:t>
      </w:r>
      <w:r>
        <w:rPr>
          <w:w w:val="99"/>
        </w:rPr>
        <w:t> </w:t>
      </w:r>
      <w:r>
        <w:rPr>
          <w:rFonts w:ascii="宋体" w:hAnsi="宋体" w:cs="宋体" w:eastAsia="宋体" w:hint="default"/>
        </w:rPr>
        <w:t>(1)</w:t>
      </w:r>
      <w:r>
        <w:rPr>
          <w:rFonts w:ascii="宋体" w:hAnsi="宋体" w:cs="宋体" w:eastAsia="宋体" w:hint="default"/>
          <w:spacing w:val="-2"/>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1906" w:space="4618"/>
            <w:col w:w="2766"/>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27"/>
        <w:gridCol w:w="2910"/>
      </w:tblGrid>
      <w:tr>
        <w:trPr>
          <w:trHeight w:val="402"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7"/>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4"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1,861,658.39</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9"/>
              <w:jc w:val="right"/>
              <w:rPr>
                <w:rFonts w:ascii="宋体" w:hAnsi="宋体" w:cs="宋体" w:eastAsia="宋体" w:hint="default"/>
                <w:sz w:val="18"/>
                <w:szCs w:val="18"/>
              </w:rPr>
            </w:pPr>
            <w:r>
              <w:rPr>
                <w:rFonts w:ascii="宋体"/>
                <w:sz w:val="18"/>
              </w:rPr>
              <w:t>1,967,314.10</w:t>
            </w:r>
          </w:p>
        </w:tc>
      </w:tr>
      <w:tr>
        <w:trPr>
          <w:trHeight w:val="402"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-47,889.10</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9"/>
              <w:jc w:val="right"/>
              <w:rPr>
                <w:rFonts w:ascii="宋体" w:hAnsi="宋体" w:cs="宋体" w:eastAsia="宋体" w:hint="default"/>
                <w:sz w:val="18"/>
                <w:szCs w:val="18"/>
              </w:rPr>
            </w:pPr>
            <w:r>
              <w:rPr>
                <w:rFonts w:ascii="宋体"/>
                <w:sz w:val="18"/>
              </w:rPr>
              <w:t>-21,740.48</w:t>
            </w:r>
          </w:p>
        </w:tc>
      </w:tr>
      <w:tr>
        <w:trPr>
          <w:trHeight w:val="402"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9"/>
              <w:jc w:val="right"/>
              <w:rPr>
                <w:rFonts w:ascii="宋体" w:hAnsi="宋体" w:cs="宋体" w:eastAsia="宋体" w:hint="default"/>
                <w:sz w:val="18"/>
                <w:szCs w:val="18"/>
              </w:rPr>
            </w:pPr>
            <w:r>
              <w:rPr>
                <w:rFonts w:ascii="宋体"/>
                <w:sz w:val="18"/>
              </w:rPr>
              <w:t>1,813,769.29</w:t>
            </w:r>
          </w:p>
        </w:tc>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9"/>
              <w:jc w:val="right"/>
              <w:rPr>
                <w:rFonts w:ascii="宋体" w:hAnsi="宋体" w:cs="宋体" w:eastAsia="宋体" w:hint="default"/>
                <w:sz w:val="18"/>
                <w:szCs w:val="18"/>
              </w:rPr>
            </w:pPr>
            <w:r>
              <w:rPr>
                <w:rFonts w:ascii="宋体"/>
                <w:sz w:val="18"/>
              </w:rPr>
              <w:t>1,945,573.62</w:t>
            </w:r>
          </w:p>
        </w:tc>
      </w:tr>
    </w:tbl>
    <w:p>
      <w:pPr>
        <w:spacing w:line="240" w:lineRule="auto" w:before="9"/>
        <w:rPr>
          <w:rFonts w:ascii="宋体" w:hAnsi="宋体" w:cs="宋体" w:eastAsia="宋体" w:hint="default"/>
          <w:sz w:val="24"/>
          <w:szCs w:val="24"/>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会计利润与所得税费用调整过程：</w:t>
      </w:r>
      <w:r>
        <w:rPr>
          <w:b w:val="0"/>
          <w:bCs w:val="0"/>
        </w:rPr>
      </w:r>
    </w:p>
    <w:p>
      <w:pPr>
        <w:spacing w:line="240" w:lineRule="auto" w:before="8"/>
        <w:rPr>
          <w:rFonts w:ascii="宋体" w:hAnsi="宋体" w:cs="宋体" w:eastAsia="宋体" w:hint="default"/>
          <w:b/>
          <w:bCs/>
          <w:sz w:val="11"/>
          <w:szCs w:val="11"/>
        </w:rPr>
      </w:pPr>
    </w:p>
    <w:tbl>
      <w:tblPr>
        <w:tblW w:w="0" w:type="auto"/>
        <w:jc w:val="left"/>
        <w:tblInd w:w="182" w:type="dxa"/>
        <w:tblLayout w:type="fixed"/>
        <w:tblCellMar>
          <w:top w:w="0" w:type="dxa"/>
          <w:left w:w="0" w:type="dxa"/>
          <w:bottom w:w="0" w:type="dxa"/>
          <w:right w:w="0" w:type="dxa"/>
        </w:tblCellMar>
        <w:tblLook w:val="01E0"/>
      </w:tblPr>
      <w:tblGrid>
        <w:gridCol w:w="5986"/>
        <w:gridCol w:w="2906"/>
      </w:tblGrid>
      <w:tr>
        <w:trPr>
          <w:trHeight w:val="397"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97"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2906"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2,420,541.31</w:t>
            </w:r>
          </w:p>
        </w:tc>
      </w:tr>
      <w:tr>
        <w:trPr>
          <w:trHeight w:val="403"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29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23"/>
              <w:jc w:val="right"/>
              <w:rPr>
                <w:rFonts w:ascii="宋体" w:hAnsi="宋体" w:cs="宋体" w:eastAsia="宋体" w:hint="default"/>
                <w:sz w:val="18"/>
                <w:szCs w:val="18"/>
              </w:rPr>
            </w:pPr>
            <w:r>
              <w:rPr>
                <w:rFonts w:ascii="宋体"/>
                <w:sz w:val="18"/>
              </w:rPr>
              <w:t>1,842,495.55</w:t>
            </w: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2906" w:type="dxa"/>
            <w:tcBorders>
              <w:top w:val="single" w:sz="6" w:space="0" w:color="000000"/>
              <w:left w:val="single" w:sz="4" w:space="0" w:color="000000"/>
              <w:bottom w:val="single" w:sz="6" w:space="0" w:color="000000"/>
              <w:right w:val="single" w:sz="6" w:space="0" w:color="000000"/>
            </w:tcBorders>
          </w:tcPr>
          <w:p>
            <w:pP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2906" w:type="dxa"/>
            <w:tcBorders>
              <w:top w:val="single" w:sz="6" w:space="0" w:color="000000"/>
              <w:left w:val="single" w:sz="4" w:space="0" w:color="000000"/>
              <w:bottom w:val="single" w:sz="6" w:space="0" w:color="000000"/>
              <w:right w:val="single" w:sz="6" w:space="0" w:color="000000"/>
            </w:tcBorders>
          </w:tcPr>
          <w:p>
            <w:pP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2906" w:type="dxa"/>
            <w:tcBorders>
              <w:top w:val="single" w:sz="6" w:space="0" w:color="000000"/>
              <w:left w:val="single" w:sz="4" w:space="0" w:color="000000"/>
              <w:bottom w:val="single" w:sz="6" w:space="0" w:color="000000"/>
              <w:right w:val="single" w:sz="6" w:space="0" w:color="000000"/>
            </w:tcBorders>
          </w:tcPr>
          <w:p>
            <w:pP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29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53,734.91</w:t>
            </w: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6"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29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4"/>
              <w:ind w:right="23"/>
              <w:jc w:val="right"/>
              <w:rPr>
                <w:rFonts w:ascii="宋体" w:hAnsi="宋体" w:cs="宋体" w:eastAsia="宋体" w:hint="default"/>
                <w:sz w:val="18"/>
                <w:szCs w:val="18"/>
              </w:rPr>
            </w:pPr>
            <w:r>
              <w:rPr>
                <w:rFonts w:ascii="宋体"/>
                <w:sz w:val="18"/>
              </w:rPr>
              <w:t>-82,461.16</w:t>
            </w:r>
          </w:p>
        </w:tc>
      </w:tr>
      <w:tr>
        <w:trPr>
          <w:trHeight w:val="402"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2906" w:type="dxa"/>
            <w:tcBorders>
              <w:top w:val="single" w:sz="6" w:space="0" w:color="000000"/>
              <w:left w:val="single" w:sz="4" w:space="0" w:color="000000"/>
              <w:bottom w:val="single" w:sz="6" w:space="0" w:color="000000"/>
              <w:right w:val="single" w:sz="6" w:space="0" w:color="000000"/>
            </w:tcBorders>
          </w:tcPr>
          <w:p>
            <w:pPr/>
          </w:p>
        </w:tc>
      </w:tr>
      <w:tr>
        <w:trPr>
          <w:trHeight w:val="403" w:hRule="exact"/>
        </w:trPr>
        <w:tc>
          <w:tcPr>
            <w:tcW w:w="5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90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5"/>
              <w:ind w:right="23"/>
              <w:jc w:val="right"/>
              <w:rPr>
                <w:rFonts w:ascii="宋体" w:hAnsi="宋体" w:cs="宋体" w:eastAsia="宋体" w:hint="default"/>
                <w:sz w:val="18"/>
                <w:szCs w:val="18"/>
              </w:rPr>
            </w:pPr>
            <w:r>
              <w:rPr>
                <w:rFonts w:ascii="宋体"/>
                <w:sz w:val="18"/>
              </w:rPr>
              <w:t>1,813,769.29</w:t>
            </w:r>
          </w:p>
        </w:tc>
      </w:tr>
    </w:tbl>
    <w:p>
      <w:pPr>
        <w:spacing w:line="240" w:lineRule="auto" w:before="1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10" w:h="16840"/>
          <w:pgMar w:top="1120" w:bottom="1380" w:left="1580" w:right="1040"/>
        </w:sectPr>
      </w:pPr>
    </w:p>
    <w:p>
      <w:pPr>
        <w:pStyle w:val="Heading3"/>
        <w:spacing w:line="240" w:lineRule="auto"/>
        <w:ind w:right="0"/>
        <w:jc w:val="left"/>
        <w:rPr>
          <w:b w:val="0"/>
          <w:bCs w:val="0"/>
        </w:rPr>
      </w:pPr>
      <w:r>
        <w:rPr>
          <w:rFonts w:ascii="宋体" w:hAnsi="宋体" w:cs="宋体" w:eastAsia="宋体" w:hint="default"/>
        </w:rPr>
        <w:t>29</w:t>
      </w:r>
      <w:r>
        <w:rPr/>
        <w:t>、</w:t>
      </w:r>
      <w:r>
        <w:rPr>
          <w:spacing w:val="-29"/>
        </w:rPr>
        <w:t> </w:t>
      </w:r>
      <w:r>
        <w:rPr/>
        <w:t>现金流量表项目</w:t>
      </w:r>
      <w:r>
        <w:rPr>
          <w:b w:val="0"/>
          <w:bCs w:val="0"/>
        </w:rPr>
      </w:r>
    </w:p>
    <w:p>
      <w:pPr>
        <w:pStyle w:val="Heading3"/>
        <w:tabs>
          <w:tab w:pos="946" w:val="left" w:leader="none"/>
        </w:tabs>
        <w:spacing w:line="240" w:lineRule="auto" w:before="117"/>
        <w:ind w:right="0"/>
        <w:jc w:val="left"/>
        <w:rPr>
          <w:b w:val="0"/>
          <w:bCs w:val="0"/>
        </w:rPr>
      </w:pPr>
      <w:r>
        <w:rPr>
          <w:rFonts w:ascii="宋体" w:hAnsi="宋体" w:cs="宋体" w:eastAsia="宋体" w:hint="default"/>
          <w:w w:val="95"/>
        </w:rPr>
        <w:t>(1).</w:t>
        <w:tab/>
      </w:r>
      <w:r>
        <w:rPr>
          <w:w w:val="95"/>
        </w:rPr>
        <w:t>收到的其他与投资活动有关的现金</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BodyText"/>
        <w:tabs>
          <w:tab w:pos="1267" w:val="left" w:leader="none"/>
        </w:tabs>
        <w:spacing w:line="240" w:lineRule="auto"/>
        <w:ind w:left="217" w:right="0"/>
        <w:jc w:val="left"/>
      </w:pPr>
      <w:r>
        <w:rPr/>
        <w:t>单位：元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106" w:space="2523"/>
            <w:col w:w="2661"/>
          </w:cols>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3347"/>
        <w:gridCol w:w="2862"/>
        <w:gridCol w:w="2685"/>
      </w:tblGrid>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收回的银行理财产品本金</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79,000,000.00</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收到的银行理财产品收益</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458,306.83</w:t>
            </w:r>
          </w:p>
        </w:tc>
        <w:tc>
          <w:tcPr>
            <w:tcW w:w="2685"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79458306.83</w:t>
            </w:r>
          </w:p>
        </w:tc>
        <w:tc>
          <w:tcPr>
            <w:tcW w:w="26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9"/>
        <w:rPr>
          <w:rFonts w:ascii="宋体" w:hAnsi="宋体" w:cs="宋体" w:eastAsia="宋体" w:hint="default"/>
          <w:sz w:val="24"/>
          <w:szCs w:val="24"/>
        </w:rPr>
      </w:pPr>
    </w:p>
    <w:p>
      <w:pPr>
        <w:pStyle w:val="Heading3"/>
        <w:tabs>
          <w:tab w:pos="866" w:val="left" w:leader="none"/>
        </w:tabs>
        <w:spacing w:line="240" w:lineRule="auto"/>
        <w:ind w:left="138" w:right="148"/>
        <w:jc w:val="left"/>
        <w:rPr>
          <w:b w:val="0"/>
          <w:bCs w:val="0"/>
        </w:rPr>
      </w:pPr>
      <w:r>
        <w:rPr>
          <w:rFonts w:ascii="宋体" w:hAnsi="宋体" w:cs="宋体" w:eastAsia="宋体" w:hint="default"/>
          <w:w w:val="95"/>
        </w:rPr>
        <w:t>(2).</w:t>
        <w:tab/>
      </w:r>
      <w:r>
        <w:rPr/>
        <w:t>支付的其他与投资活动有关的现金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47"/>
        <w:gridCol w:w="2864"/>
        <w:gridCol w:w="2682"/>
      </w:tblGrid>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8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购买的银行理财产品本金</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79,000,000.00</w:t>
            </w:r>
          </w:p>
        </w:tc>
        <w:tc>
          <w:tcPr>
            <w:tcW w:w="268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33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79,000,000.00</w:t>
            </w:r>
          </w:p>
        </w:tc>
        <w:tc>
          <w:tcPr>
            <w:tcW w:w="268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29"/>
          <w:szCs w:val="29"/>
        </w:rPr>
      </w:pPr>
    </w:p>
    <w:p>
      <w:pPr>
        <w:pStyle w:val="Heading3"/>
        <w:tabs>
          <w:tab w:pos="837" w:val="left" w:leader="none"/>
        </w:tabs>
        <w:spacing w:line="240" w:lineRule="auto"/>
        <w:ind w:left="138" w:right="148"/>
        <w:jc w:val="left"/>
        <w:rPr>
          <w:b w:val="0"/>
          <w:bCs w:val="0"/>
        </w:rPr>
      </w:pPr>
      <w:r>
        <w:rPr>
          <w:rFonts w:ascii="宋体" w:hAnsi="宋体" w:cs="宋体" w:eastAsia="宋体" w:hint="default"/>
          <w:w w:val="95"/>
        </w:rPr>
        <w:t>(3).</w:t>
        <w:tab/>
      </w:r>
      <w:r>
        <w:rPr/>
        <w:t>收到的其他与经营活动有关的现金：</w:t>
      </w:r>
      <w:r>
        <w:rPr>
          <w:b w:val="0"/>
          <w:bCs w:val="0"/>
        </w:rPr>
      </w:r>
    </w:p>
    <w:p>
      <w:pPr>
        <w:pStyle w:val="BodyText"/>
        <w:tabs>
          <w:tab w:pos="1049" w:val="left" w:leader="none"/>
        </w:tabs>
        <w:spacing w:line="240" w:lineRule="auto" w:before="11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142"/>
        <w:gridCol w:w="2410"/>
        <w:gridCol w:w="2342"/>
      </w:tblGrid>
      <w:tr>
        <w:trPr>
          <w:trHeight w:val="403"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收到上海斐讯数据通信技术有限公司款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20,000,000.00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收到的代收代付水电费、押金等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8,873,392.92</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9,591,714.70</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收顾国平保证金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5,000,000.00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收到其他往来款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2,295,071.99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7,378.28</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代业委会收到的房租等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1,146,279.48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1,130,649.98</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247,364.20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398,869.13</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营业外收入－罚没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49,000.00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收到的政府奖励</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42,000.00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110,000.00</w:t>
            </w:r>
          </w:p>
        </w:tc>
      </w:tr>
      <w:tr>
        <w:trPr>
          <w:trHeight w:val="403"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收浙江郡原房地产投资有限公司托管收入款</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3,116,785.51</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收回成都郡原置业有限公司往来款项</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300,000.00</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收长沙浏阳河产业带建设有限公司往来款</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1,344,997.75</w:t>
            </w:r>
          </w:p>
        </w:tc>
      </w:tr>
      <w:tr>
        <w:trPr>
          <w:trHeight w:val="401"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37,653,108.59</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16,000,395.35</w:t>
            </w:r>
          </w:p>
        </w:tc>
      </w:tr>
    </w:tbl>
    <w:p>
      <w:pPr>
        <w:spacing w:line="240" w:lineRule="auto" w:before="9"/>
        <w:rPr>
          <w:rFonts w:ascii="宋体" w:hAnsi="宋体" w:cs="宋体" w:eastAsia="宋体" w:hint="default"/>
          <w:sz w:val="24"/>
          <w:szCs w:val="24"/>
        </w:rPr>
      </w:pPr>
    </w:p>
    <w:p>
      <w:pPr>
        <w:pStyle w:val="Heading3"/>
        <w:tabs>
          <w:tab w:pos="837" w:val="left" w:leader="none"/>
        </w:tabs>
        <w:spacing w:line="240" w:lineRule="auto"/>
        <w:ind w:left="138" w:right="148"/>
        <w:jc w:val="left"/>
        <w:rPr>
          <w:b w:val="0"/>
          <w:bCs w:val="0"/>
        </w:rPr>
      </w:pPr>
      <w:r>
        <w:rPr>
          <w:rFonts w:ascii="宋体" w:hAnsi="宋体" w:cs="宋体" w:eastAsia="宋体" w:hint="default"/>
          <w:w w:val="95"/>
        </w:rPr>
        <w:t>(4).</w:t>
        <w:tab/>
      </w:r>
      <w:r>
        <w:rPr/>
        <w:t>支付的其他与经营活动有关的现金：</w:t>
      </w:r>
      <w:r>
        <w:rPr>
          <w:b w:val="0"/>
          <w:bCs w:val="0"/>
        </w:rPr>
      </w:r>
    </w:p>
    <w:p>
      <w:pPr>
        <w:pStyle w:val="BodyText"/>
        <w:tabs>
          <w:tab w:pos="1049" w:val="left" w:leader="none"/>
        </w:tabs>
        <w:spacing w:line="240" w:lineRule="auto" w:before="57"/>
        <w:ind w:left="0" w:right="15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142"/>
        <w:gridCol w:w="2410"/>
        <w:gridCol w:w="2342"/>
      </w:tblGrid>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还浙江郡原地产股份有限公司款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30,000,000.00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支付代收代付水电费、押金等</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7,570,350.68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8,953,328.99</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22"/>
              <w:jc w:val="right"/>
              <w:rPr>
                <w:rFonts w:ascii="宋体" w:hAnsi="宋体" w:cs="宋体" w:eastAsia="宋体" w:hint="default"/>
                <w:sz w:val="18"/>
                <w:szCs w:val="18"/>
              </w:rPr>
            </w:pPr>
            <w:r>
              <w:rPr>
                <w:rFonts w:ascii="宋体"/>
                <w:sz w:val="18"/>
              </w:rPr>
              <w:t>300,000.00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付泗阳县招标投标服务中心保证金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100,000.00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支付其他往来款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2,360,081.28</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373,583.29</w:t>
            </w:r>
          </w:p>
        </w:tc>
      </w:tr>
    </w:tbl>
    <w:p>
      <w:pPr>
        <w:spacing w:after="0" w:line="240" w:lineRule="auto"/>
        <w:jc w:val="right"/>
        <w:rPr>
          <w:rFonts w:ascii="宋体" w:hAnsi="宋体" w:cs="宋体" w:eastAsia="宋体" w:hint="default"/>
          <w:sz w:val="18"/>
          <w:szCs w:val="18"/>
        </w:rPr>
        <w:sectPr>
          <w:footerReference w:type="default" r:id="rId47"/>
          <w:pgSz w:w="11910" w:h="16840"/>
          <w:pgMar w:footer="1194" w:header="882" w:top="112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0" w:type="dxa"/>
        <w:tblLayout w:type="fixed"/>
        <w:tblCellMar>
          <w:top w:w="0" w:type="dxa"/>
          <w:left w:w="0" w:type="dxa"/>
          <w:bottom w:w="0" w:type="dxa"/>
          <w:right w:w="0" w:type="dxa"/>
        </w:tblCellMar>
        <w:tblLook w:val="01E0"/>
      </w:tblPr>
      <w:tblGrid>
        <w:gridCol w:w="4142"/>
        <w:gridCol w:w="2410"/>
        <w:gridCol w:w="2342"/>
      </w:tblGrid>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支付中介机构费用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1,413,651.90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996,261.50</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支付差旅费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1,305,146.05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1,177,609.62</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支付业务招待费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611,086.55</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709,859.40</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支付办公费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587,425.64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515,265.36</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支付租赁费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185,826.90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0"/>
              <w:jc w:val="right"/>
              <w:rPr>
                <w:rFonts w:ascii="宋体" w:hAnsi="宋体" w:cs="宋体" w:eastAsia="宋体" w:hint="default"/>
                <w:sz w:val="18"/>
                <w:szCs w:val="18"/>
              </w:rPr>
            </w:pPr>
            <w:r>
              <w:rPr>
                <w:rFonts w:ascii="宋体"/>
                <w:sz w:val="18"/>
              </w:rPr>
              <w:t>164,976.00</w:t>
            </w:r>
          </w:p>
        </w:tc>
      </w:tr>
      <w:tr>
        <w:trPr>
          <w:trHeight w:val="403"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2" w:right="0"/>
              <w:jc w:val="left"/>
              <w:rPr>
                <w:rFonts w:ascii="宋体" w:hAnsi="宋体" w:cs="宋体" w:eastAsia="宋体" w:hint="default"/>
                <w:sz w:val="18"/>
                <w:szCs w:val="18"/>
              </w:rPr>
            </w:pPr>
            <w:r>
              <w:rPr>
                <w:rFonts w:ascii="宋体" w:hAnsi="宋体" w:cs="宋体" w:eastAsia="宋体" w:hint="default"/>
                <w:sz w:val="18"/>
                <w:szCs w:val="18"/>
              </w:rPr>
              <w:t>支付交易所上市公司年费、查询费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2"/>
              <w:jc w:val="right"/>
              <w:rPr>
                <w:rFonts w:ascii="宋体" w:hAnsi="宋体" w:cs="宋体" w:eastAsia="宋体" w:hint="default"/>
                <w:sz w:val="18"/>
                <w:szCs w:val="18"/>
              </w:rPr>
            </w:pPr>
            <w:r>
              <w:rPr>
                <w:rFonts w:ascii="宋体"/>
                <w:sz w:val="18"/>
              </w:rPr>
              <w:t>86,000.00</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支付修理费</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19,219.00</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237,780.51</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支付其它管理费用</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552,173.81</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581,453.16</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支付的银行手续费及营业外支出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152,034.13</w:t>
            </w:r>
          </w:p>
        </w:tc>
        <w:tc>
          <w:tcPr>
            <w:tcW w:w="234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2"/>
              <w:jc w:val="right"/>
              <w:rPr>
                <w:rFonts w:ascii="宋体" w:hAnsi="宋体" w:cs="宋体" w:eastAsia="宋体" w:hint="default"/>
                <w:sz w:val="18"/>
                <w:szCs w:val="18"/>
              </w:rPr>
            </w:pPr>
            <w:r>
              <w:rPr>
                <w:rFonts w:ascii="宋体"/>
                <w:sz w:val="18"/>
              </w:rPr>
              <w:t>45,242,995.94</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13,710,117.83</w:t>
            </w:r>
          </w:p>
        </w:tc>
      </w:tr>
    </w:tbl>
    <w:p>
      <w:pPr>
        <w:spacing w:line="240" w:lineRule="auto" w:before="8"/>
        <w:rPr>
          <w:rFonts w:ascii="宋体" w:hAnsi="宋体" w:cs="宋体" w:eastAsia="宋体" w:hint="default"/>
          <w:sz w:val="24"/>
          <w:szCs w:val="24"/>
        </w:rPr>
      </w:pPr>
    </w:p>
    <w:p>
      <w:pPr>
        <w:pStyle w:val="Heading3"/>
        <w:tabs>
          <w:tab w:pos="1057" w:val="left" w:leader="none"/>
        </w:tabs>
        <w:spacing w:line="240" w:lineRule="auto"/>
        <w:ind w:right="228"/>
        <w:jc w:val="left"/>
        <w:rPr>
          <w:b w:val="0"/>
          <w:bCs w:val="0"/>
        </w:rPr>
      </w:pPr>
      <w:r>
        <w:rPr>
          <w:rFonts w:ascii="宋体" w:hAnsi="宋体" w:cs="宋体" w:eastAsia="宋体" w:hint="default"/>
          <w:w w:val="95"/>
        </w:rPr>
        <w:t>(5).</w:t>
        <w:tab/>
      </w:r>
      <w:r>
        <w:rPr/>
        <w:t>支付的其他与筹资活动有关的现金</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142"/>
        <w:gridCol w:w="2410"/>
        <w:gridCol w:w="2342"/>
      </w:tblGrid>
      <w:tr>
        <w:trPr>
          <w:trHeight w:val="403"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882"/>
              <w:jc w:val="right"/>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7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支付股权分置中介费</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800,000.00</w:t>
            </w:r>
          </w:p>
        </w:tc>
      </w:tr>
      <w:tr>
        <w:trPr>
          <w:trHeight w:val="402"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2" w:right="0"/>
              <w:jc w:val="left"/>
              <w:rPr>
                <w:rFonts w:ascii="宋体" w:hAnsi="宋体" w:cs="宋体" w:eastAsia="宋体" w:hint="default"/>
                <w:sz w:val="18"/>
                <w:szCs w:val="18"/>
              </w:rPr>
            </w:pPr>
            <w:r>
              <w:rPr>
                <w:rFonts w:ascii="宋体" w:hAnsi="宋体" w:cs="宋体" w:eastAsia="宋体" w:hint="default"/>
                <w:sz w:val="18"/>
                <w:szCs w:val="18"/>
              </w:rPr>
              <w:t>退还少数股东权益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398,565.95</w:t>
            </w:r>
          </w:p>
        </w:tc>
      </w:tr>
      <w:tr>
        <w:trPr>
          <w:trHeight w:val="401" w:hRule="exact"/>
        </w:trPr>
        <w:tc>
          <w:tcPr>
            <w:tcW w:w="4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882"/>
              <w:jc w:val="righ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
        </w:tc>
        <w:tc>
          <w:tcPr>
            <w:tcW w:w="2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0"/>
              <w:jc w:val="right"/>
              <w:rPr>
                <w:rFonts w:ascii="宋体" w:hAnsi="宋体" w:cs="宋体" w:eastAsia="宋体" w:hint="default"/>
                <w:sz w:val="18"/>
                <w:szCs w:val="18"/>
              </w:rPr>
            </w:pPr>
            <w:r>
              <w:rPr>
                <w:rFonts w:ascii="宋体"/>
                <w:sz w:val="18"/>
              </w:rPr>
              <w:t>1,198,565.95</w:t>
            </w:r>
          </w:p>
        </w:tc>
      </w:tr>
    </w:tbl>
    <w:p>
      <w:pPr>
        <w:spacing w:line="240" w:lineRule="auto" w:before="9"/>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8"/>
          <w:pgSz w:w="11910" w:h="16840"/>
          <w:pgMar w:footer="1194" w:header="882" w:top="1120" w:bottom="1380" w:left="1580" w:right="1040"/>
          <w:pgNumType w:start="101"/>
        </w:sectPr>
      </w:pPr>
    </w:p>
    <w:p>
      <w:pPr>
        <w:pStyle w:val="Heading3"/>
        <w:spacing w:line="343" w:lineRule="auto"/>
        <w:ind w:right="-17"/>
        <w:jc w:val="left"/>
        <w:rPr>
          <w:b w:val="0"/>
          <w:bCs w:val="0"/>
        </w:rPr>
      </w:pPr>
      <w:r>
        <w:rPr>
          <w:rFonts w:ascii="宋体" w:hAnsi="宋体" w:cs="宋体" w:eastAsia="宋体" w:hint="default"/>
        </w:rPr>
        <w:t>30</w:t>
      </w:r>
      <w:r>
        <w:rPr/>
        <w:t>、</w:t>
      </w:r>
      <w:r>
        <w:rPr>
          <w:spacing w:val="-27"/>
        </w:rPr>
        <w:t> </w:t>
      </w:r>
      <w:r>
        <w:rPr/>
        <w:t>现金流量表补充资料</w:t>
      </w:r>
      <w:r>
        <w:rPr>
          <w:spacing w:val="1"/>
          <w:w w:val="99"/>
        </w:rPr>
        <w:t> </w:t>
      </w:r>
      <w:r>
        <w:rPr>
          <w:rFonts w:ascii="宋体" w:hAnsi="宋体" w:cs="宋体" w:eastAsia="宋体" w:hint="default"/>
        </w:rPr>
        <w:t>(1)</w:t>
      </w:r>
      <w:r>
        <w:rPr>
          <w:rFonts w:ascii="宋体" w:hAnsi="宋体" w:cs="宋体" w:eastAsia="宋体" w:hint="default"/>
          <w:spacing w:val="-1"/>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621" w:space="3903"/>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5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420"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．将净利润调节为经营活动现金流量：</w:t>
            </w:r>
            <w:r>
              <w:rPr>
                <w:rFonts w:ascii="宋体" w:hAnsi="宋体" w:cs="宋体" w:eastAsia="宋体" w:hint="default"/>
                <w:sz w:val="18"/>
                <w:szCs w:val="18"/>
              </w:rPr>
            </w:r>
          </w:p>
        </w:tc>
        <w:tc>
          <w:tcPr>
            <w:tcW w:w="2552" w:type="dxa"/>
            <w:tcBorders>
              <w:top w:val="single" w:sz="4" w:space="0" w:color="000000"/>
              <w:left w:val="single" w:sz="4" w:space="0" w:color="000000"/>
              <w:bottom w:val="single" w:sz="6" w:space="0" w:color="000000"/>
              <w:right w:val="single" w:sz="6" w:space="0" w:color="000000"/>
            </w:tcBorders>
          </w:tcPr>
          <w:p>
            <w:pPr/>
          </w:p>
        </w:tc>
        <w:tc>
          <w:tcPr>
            <w:tcW w:w="2420" w:type="dxa"/>
            <w:tcBorders>
              <w:top w:val="single" w:sz="4"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606,772.02</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32,645,535.97</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313,959.26</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-242,931.52</w:t>
            </w:r>
          </w:p>
        </w:tc>
      </w:tr>
      <w:tr>
        <w:trPr>
          <w:trHeight w:val="71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5"/>
              <w:ind w:left="103" w:right="18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 折旧</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167,036.87</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183,100.16</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20,000.00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30,366.22</w:t>
            </w:r>
          </w:p>
        </w:tc>
      </w:tr>
      <w:tr>
        <w:trPr>
          <w:trHeight w:val="718"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9"/>
              <w:ind w:left="103"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-6,040.80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227.71</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-495,618.61</w:t>
            </w:r>
          </w:p>
        </w:tc>
        <w:tc>
          <w:tcPr>
            <w:tcW w:w="242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-47,889.10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-21,740.48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-7,784.72</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60,751.86</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-1,948,485.56</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2,902,795.41</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-1,123,815.26</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-29,628,597.85</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-2,521,865.90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5,929,507.48</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．不涉及现金收支的重大投资和筹资活动：</w:t>
            </w:r>
            <w:r>
              <w:rPr>
                <w:rFonts w:ascii="宋体" w:hAnsi="宋体" w:cs="宋体" w:eastAsia="宋体" w:hint="default"/>
                <w:sz w:val="18"/>
                <w:szCs w:val="18"/>
              </w:rPr>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．现金及现金等价物净变动情况：</w:t>
            </w:r>
            <w:r>
              <w:rPr>
                <w:rFonts w:ascii="宋体" w:hAnsi="宋体" w:cs="宋体" w:eastAsia="宋体" w:hint="default"/>
                <w:sz w:val="18"/>
                <w:szCs w:val="18"/>
              </w:rPr>
            </w:r>
          </w:p>
        </w:tc>
        <w:tc>
          <w:tcPr>
            <w:tcW w:w="2552" w:type="dxa"/>
            <w:tcBorders>
              <w:top w:val="single" w:sz="6" w:space="0" w:color="000000"/>
              <w:left w:val="single" w:sz="4" w:space="0" w:color="000000"/>
              <w:bottom w:val="single" w:sz="6" w:space="0" w:color="000000"/>
              <w:right w:val="single" w:sz="6" w:space="0" w:color="000000"/>
            </w:tcBorders>
          </w:tcPr>
          <w:p>
            <w:pP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30,730,150.38</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25,971,254.45</w:t>
            </w:r>
          </w:p>
        </w:tc>
      </w:tr>
      <w:tr>
        <w:trPr>
          <w:trHeight w:val="40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25,971,254.45</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8"/>
              <w:jc w:val="right"/>
              <w:rPr>
                <w:rFonts w:ascii="宋体" w:hAnsi="宋体" w:cs="宋体" w:eastAsia="宋体" w:hint="default"/>
                <w:sz w:val="18"/>
                <w:szCs w:val="18"/>
              </w:rPr>
            </w:pPr>
            <w:r>
              <w:rPr>
                <w:rFonts w:ascii="宋体"/>
                <w:sz w:val="18"/>
              </w:rPr>
              <w:t>41,630,561.95</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15,000,000.00</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22,000,000.00</w:t>
            </w: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22,000,000.00</w:t>
            </w:r>
          </w:p>
        </w:tc>
        <w:tc>
          <w:tcPr>
            <w:tcW w:w="2420"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52"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-2,241,104.07</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8"/>
              <w:jc w:val="right"/>
              <w:rPr>
                <w:rFonts w:ascii="宋体" w:hAnsi="宋体" w:cs="宋体" w:eastAsia="宋体" w:hint="default"/>
                <w:sz w:val="18"/>
                <w:szCs w:val="18"/>
              </w:rPr>
            </w:pPr>
            <w:r>
              <w:rPr>
                <w:rFonts w:ascii="宋体"/>
                <w:sz w:val="18"/>
              </w:rPr>
              <w:t>6,340,692.50</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3"/>
        </w:rPr>
        <w:t> </w:t>
      </w:r>
      <w:r>
        <w:rPr/>
        <w:t>现金和现金等价物的构成</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78"/>
        <w:gridCol w:w="2552"/>
        <w:gridCol w:w="2420"/>
      </w:tblGrid>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6"/>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30,730,150.38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25,971,254.45</w:t>
            </w: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197,630.15</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146,944.98</w:t>
            </w: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30,532,520.23</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25,824,309.47</w:t>
            </w: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83"/>
              <w:jc w:val="righ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83"/>
              <w:jc w:val="righ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63"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15,000,000.00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22,000,000.00</w:t>
            </w: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45,730,150.38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47,971,254.45</w:t>
            </w:r>
          </w:p>
        </w:tc>
      </w:tr>
      <w:tr>
        <w:trPr>
          <w:trHeight w:val="713"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83"/>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 和现金等价物</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ind w:left="138" w:right="135"/>
        <w:jc w:val="left"/>
        <w:rPr>
          <w:b w:val="0"/>
          <w:bCs w:val="0"/>
        </w:rPr>
      </w:pPr>
      <w:r>
        <w:rPr/>
        <w:t>八、合并范围的变更</w:t>
      </w:r>
      <w:r>
        <w:rPr>
          <w:b w:val="0"/>
          <w:bCs w:val="0"/>
        </w:rPr>
      </w:r>
    </w:p>
    <w:p>
      <w:pPr>
        <w:pStyle w:val="Heading3"/>
        <w:spacing w:line="240" w:lineRule="auto" w:before="117"/>
        <w:ind w:left="138" w:right="135"/>
        <w:jc w:val="left"/>
        <w:rPr>
          <w:b w:val="0"/>
          <w:bCs w:val="0"/>
        </w:rPr>
      </w:pPr>
      <w:r>
        <w:rPr>
          <w:rFonts w:ascii="宋体" w:hAnsi="宋体" w:cs="宋体" w:eastAsia="宋体" w:hint="default"/>
        </w:rPr>
        <w:t>1</w:t>
      </w:r>
      <w:r>
        <w:rPr/>
        <w:t>、</w:t>
      </w:r>
      <w:r>
        <w:rPr>
          <w:spacing w:val="-6"/>
        </w:rPr>
        <w:t> </w:t>
      </w:r>
      <w:r>
        <w:rPr/>
        <w:t>非同一控制下企业合并</w:t>
      </w:r>
      <w:r>
        <w:rPr>
          <w:b w:val="0"/>
          <w:bCs w:val="0"/>
        </w:rPr>
      </w:r>
    </w:p>
    <w:p>
      <w:pPr>
        <w:pStyle w:val="Heading3"/>
        <w:tabs>
          <w:tab w:pos="795" w:val="left" w:leader="none"/>
        </w:tabs>
        <w:spacing w:line="376" w:lineRule="auto" w:before="117"/>
        <w:ind w:left="138" w:right="5149"/>
        <w:jc w:val="left"/>
        <w:rPr>
          <w:rFonts w:ascii="宋体" w:hAnsi="宋体" w:cs="宋体" w:eastAsia="宋体" w:hint="default"/>
          <w:b w:val="0"/>
          <w:bCs w:val="0"/>
        </w:rPr>
      </w:pPr>
      <w:r>
        <w:rPr>
          <w:rFonts w:ascii="宋体" w:hAnsi="宋体" w:cs="宋体" w:eastAsia="宋体" w:hint="default"/>
          <w:w w:val="95"/>
        </w:rPr>
        <w:t>(1).</w:t>
        <w:tab/>
      </w:r>
      <w:r>
        <w:rPr/>
        <w:t>本期发生的非同一控制下企业合并</w:t>
      </w:r>
      <w:r>
        <w:rPr>
          <w:w w:val="99"/>
        </w:rPr>
        <w:t> </w:t>
      </w:r>
      <w:r>
        <w:rPr>
          <w:rFonts w:ascii="宋体" w:hAnsi="宋体" w:cs="宋体" w:eastAsia="宋体" w:hint="default"/>
          <w:b w:val="0"/>
          <w:bCs w:val="0"/>
        </w:rPr>
        <w:t>无</w:t>
      </w:r>
    </w:p>
    <w:p>
      <w:pPr>
        <w:pStyle w:val="Heading3"/>
        <w:spacing w:line="240" w:lineRule="auto" w:before="26"/>
        <w:ind w:left="138" w:right="135"/>
        <w:jc w:val="left"/>
        <w:rPr>
          <w:b w:val="0"/>
          <w:bCs w:val="0"/>
        </w:rPr>
      </w:pPr>
      <w:r>
        <w:rPr>
          <w:rFonts w:ascii="宋体" w:hAnsi="宋体" w:cs="宋体" w:eastAsia="宋体" w:hint="default"/>
        </w:rPr>
        <w:t>2</w:t>
      </w:r>
      <w:r>
        <w:rPr/>
        <w:t>、</w:t>
      </w:r>
      <w:r>
        <w:rPr>
          <w:spacing w:val="-6"/>
        </w:rPr>
        <w:t> </w:t>
      </w:r>
      <w:r>
        <w:rPr/>
        <w:t>同一控制下企业合并</w:t>
      </w:r>
      <w:r>
        <w:rPr>
          <w:b w:val="0"/>
          <w:bCs w:val="0"/>
        </w:rPr>
      </w:r>
    </w:p>
    <w:p>
      <w:pPr>
        <w:pStyle w:val="Heading3"/>
        <w:tabs>
          <w:tab w:pos="767" w:val="left" w:leader="none"/>
        </w:tabs>
        <w:spacing w:line="376" w:lineRule="auto" w:before="117"/>
        <w:ind w:left="138" w:right="5386"/>
        <w:jc w:val="left"/>
        <w:rPr>
          <w:rFonts w:ascii="宋体" w:hAnsi="宋体" w:cs="宋体" w:eastAsia="宋体" w:hint="default"/>
          <w:b w:val="0"/>
          <w:bCs w:val="0"/>
        </w:rPr>
      </w:pPr>
      <w:r>
        <w:rPr>
          <w:rFonts w:ascii="宋体" w:hAnsi="宋体" w:cs="宋体" w:eastAsia="宋体" w:hint="default"/>
          <w:w w:val="95"/>
        </w:rPr>
        <w:t>(1).</w:t>
        <w:tab/>
      </w:r>
      <w:r>
        <w:rPr/>
        <w:t>本期发生的同一控制下企业合并</w:t>
      </w:r>
      <w:r>
        <w:rPr>
          <w:w w:val="99"/>
        </w:rPr>
        <w:t> </w:t>
      </w:r>
      <w:r>
        <w:rPr>
          <w:rFonts w:ascii="宋体" w:hAnsi="宋体" w:cs="宋体" w:eastAsia="宋体" w:hint="default"/>
          <w:b w:val="0"/>
          <w:bCs w:val="0"/>
        </w:rPr>
        <w:t>无</w:t>
      </w:r>
    </w:p>
    <w:p>
      <w:pPr>
        <w:pStyle w:val="Heading3"/>
        <w:spacing w:line="241" w:lineRule="exact" w:before="0"/>
        <w:ind w:left="138" w:right="135"/>
        <w:jc w:val="left"/>
        <w:rPr>
          <w:b w:val="0"/>
          <w:bCs w:val="0"/>
        </w:rPr>
      </w:pPr>
      <w:r>
        <w:rPr>
          <w:rFonts w:ascii="宋体" w:hAnsi="宋体" w:cs="宋体" w:eastAsia="宋体" w:hint="default"/>
        </w:rPr>
        <w:t>3</w:t>
      </w:r>
      <w:r>
        <w:rPr/>
        <w:t>、</w:t>
      </w:r>
      <w:r>
        <w:rPr>
          <w:spacing w:val="-3"/>
        </w:rPr>
        <w:t> </w:t>
      </w:r>
      <w:r>
        <w:rPr/>
        <w:t>反向购买</w:t>
      </w:r>
      <w:r>
        <w:rPr>
          <w:b w:val="0"/>
          <w:bCs w:val="0"/>
        </w:rPr>
      </w:r>
    </w:p>
    <w:p>
      <w:pPr>
        <w:pStyle w:val="BodyText"/>
        <w:spacing w:line="240" w:lineRule="auto" w:before="156"/>
        <w:ind w:right="135"/>
        <w:jc w:val="left"/>
      </w:pPr>
      <w:r>
        <w:rPr/>
        <w:t>无</w:t>
      </w:r>
    </w:p>
    <w:p>
      <w:pPr>
        <w:spacing w:after="0" w:line="240" w:lineRule="auto"/>
        <w:jc w:val="left"/>
        <w:sectPr>
          <w:pgSz w:w="11910" w:h="16840"/>
          <w:pgMar w:header="882" w:footer="1194" w:top="1120" w:bottom="1380" w:left="1660" w:right="1140"/>
        </w:sectPr>
      </w:pPr>
    </w:p>
    <w:p>
      <w:pPr>
        <w:spacing w:line="240" w:lineRule="auto" w:before="11"/>
        <w:rPr>
          <w:rFonts w:ascii="宋体" w:hAnsi="宋体" w:cs="宋体" w:eastAsia="宋体" w:hint="default"/>
          <w:sz w:val="29"/>
          <w:szCs w:val="29"/>
        </w:rPr>
      </w:pPr>
    </w:p>
    <w:p>
      <w:pPr>
        <w:spacing w:line="343" w:lineRule="auto" w:before="35"/>
        <w:ind w:left="138" w:right="4118"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p>
    <w:p>
      <w:pPr>
        <w:pStyle w:val="BodyText"/>
        <w:spacing w:line="240" w:lineRule="auto" w:before="27"/>
        <w:ind w:right="135"/>
        <w:jc w:val="left"/>
      </w:pPr>
      <w:r>
        <w:rPr/>
        <w:t>□适用√不适用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ind w:right="135"/>
        <w:jc w:val="left"/>
      </w:pPr>
      <w:r>
        <w:rPr/>
        <w:t>是否存在通过多次交易分步处置对子公司投资且在本期丧失控制权的情形</w:t>
      </w:r>
    </w:p>
    <w:p>
      <w:pPr>
        <w:pStyle w:val="BodyText"/>
        <w:spacing w:line="240" w:lineRule="auto" w:before="117"/>
        <w:ind w:right="135"/>
        <w:jc w:val="left"/>
      </w:pPr>
      <w:r>
        <w:rPr/>
        <w:t>□适用√不适用</w:t>
      </w:r>
    </w:p>
    <w:p>
      <w:pPr>
        <w:spacing w:line="240" w:lineRule="auto" w:before="0"/>
        <w:rPr>
          <w:rFonts w:ascii="宋体" w:hAnsi="宋体" w:cs="宋体" w:eastAsia="宋体" w:hint="default"/>
          <w:sz w:val="20"/>
          <w:szCs w:val="20"/>
        </w:rPr>
      </w:pPr>
    </w:p>
    <w:p>
      <w:pPr>
        <w:pStyle w:val="Heading3"/>
        <w:spacing w:line="240" w:lineRule="auto" w:before="171"/>
        <w:ind w:left="138" w:right="135"/>
        <w:jc w:val="left"/>
        <w:rPr>
          <w:b w:val="0"/>
          <w:bCs w:val="0"/>
        </w:rPr>
      </w:pPr>
      <w:r>
        <w:rPr>
          <w:rFonts w:ascii="宋体" w:hAnsi="宋体" w:cs="宋体" w:eastAsia="宋体" w:hint="default"/>
        </w:rPr>
        <w:t>5</w:t>
      </w:r>
      <w:r>
        <w:rPr/>
        <w:t>、</w:t>
      </w:r>
      <w:r>
        <w:rPr>
          <w:spacing w:val="-7"/>
        </w:rPr>
        <w:t> </w:t>
      </w:r>
      <w:r>
        <w:rPr/>
        <w:t>其他原因的合并范围变动</w:t>
      </w:r>
      <w:r>
        <w:rPr>
          <w:b w:val="0"/>
          <w:bCs w:val="0"/>
        </w:rPr>
      </w:r>
    </w:p>
    <w:p>
      <w:pPr>
        <w:spacing w:line="240" w:lineRule="auto" w:before="7"/>
        <w:rPr>
          <w:rFonts w:ascii="宋体" w:hAnsi="宋体" w:cs="宋体" w:eastAsia="宋体" w:hint="default"/>
          <w:b/>
          <w:bCs/>
          <w:sz w:val="16"/>
          <w:szCs w:val="16"/>
        </w:rPr>
      </w:pPr>
    </w:p>
    <w:p>
      <w:pPr>
        <w:pStyle w:val="BodyText"/>
        <w:spacing w:line="400" w:lineRule="auto"/>
        <w:ind w:right="119"/>
        <w:jc w:val="left"/>
      </w:pPr>
      <w:r>
        <w:rPr/>
        <w:t>本公司</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7</w:t>
      </w:r>
      <w:r>
        <w:rPr>
          <w:rFonts w:ascii="宋体" w:hAnsi="宋体" w:cs="宋体" w:eastAsia="宋体" w:hint="default"/>
          <w:spacing w:val="-55"/>
        </w:rPr>
        <w:t> </w:t>
      </w:r>
      <w:r>
        <w:rPr>
          <w:spacing w:val="-4"/>
        </w:rPr>
        <w:t>月投资新成立了一家全资子公司－南宁市智诚合讯信息技术有限公司，所以</w:t>
      </w:r>
      <w:r>
        <w:rPr>
          <w:spacing w:val="-55"/>
        </w:rPr>
        <w:t> </w:t>
      </w:r>
      <w:r>
        <w:rPr>
          <w:rFonts w:ascii="宋体" w:hAnsi="宋体" w:cs="宋体" w:eastAsia="宋体" w:hint="default"/>
        </w:rPr>
        <w:t>2014 </w:t>
      </w:r>
      <w:r>
        <w:rPr/>
        <w:t>年该公司新纳入了合并范围。</w:t>
      </w:r>
    </w:p>
    <w:p>
      <w:pPr>
        <w:spacing w:after="0" w:line="400" w:lineRule="auto"/>
        <w:jc w:val="left"/>
        <w:sectPr>
          <w:pgSz w:w="11910" w:h="16840"/>
          <w:pgMar w:header="882" w:footer="1194"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3"/>
        <w:tabs>
          <w:tab w:pos="851" w:val="left" w:leader="none"/>
        </w:tabs>
        <w:spacing w:line="343" w:lineRule="auto"/>
        <w:ind w:right="6744"/>
        <w:jc w:val="left"/>
        <w:rPr>
          <w:b w:val="0"/>
          <w:bCs w:val="0"/>
        </w:rPr>
      </w:pPr>
      <w:r>
        <w:rPr/>
        <w:t>九、在其他主体中的权益</w:t>
      </w:r>
      <w:r>
        <w:rPr>
          <w:w w:val="99"/>
        </w:rPr>
        <w:t> </w:t>
      </w:r>
      <w:r>
        <w:rPr>
          <w:rFonts w:ascii="宋体" w:hAnsi="宋体" w:cs="宋体" w:eastAsia="宋体" w:hint="default"/>
        </w:rPr>
        <w:t>1</w:t>
      </w:r>
      <w:r>
        <w:rPr/>
        <w:t>、</w:t>
      </w:r>
      <w:r>
        <w:rPr>
          <w:spacing w:val="-4"/>
        </w:rPr>
        <w:t> </w:t>
      </w:r>
      <w:r>
        <w:rPr/>
        <w:t>在子公司中的权益</w:t>
      </w:r>
      <w:r>
        <w:rPr>
          <w:w w:val="99"/>
        </w:rPr>
        <w:t> </w:t>
      </w:r>
      <w:r>
        <w:rPr>
          <w:rFonts w:ascii="宋体" w:hAnsi="宋体" w:cs="宋体" w:eastAsia="宋体" w:hint="default"/>
          <w:w w:val="95"/>
        </w:rPr>
        <w:t>(1).</w:t>
        <w:tab/>
      </w:r>
      <w:r>
        <w:rPr/>
        <w:t>企业集团的构成</w:t>
      </w:r>
      <w:r>
        <w:rPr>
          <w:b w:val="0"/>
          <w:bCs w:val="0"/>
        </w:rPr>
      </w:r>
    </w:p>
    <w:p>
      <w:pPr>
        <w:spacing w:line="240" w:lineRule="auto" w:before="10"/>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1950"/>
        <w:gridCol w:w="1278"/>
        <w:gridCol w:w="1135"/>
        <w:gridCol w:w="1276"/>
        <w:gridCol w:w="993"/>
        <w:gridCol w:w="992"/>
        <w:gridCol w:w="1426"/>
      </w:tblGrid>
      <w:tr>
        <w:trPr>
          <w:trHeight w:val="400" w:hRule="exact"/>
        </w:trPr>
        <w:tc>
          <w:tcPr>
            <w:tcW w:w="1950" w:type="dxa"/>
            <w:vMerge w:val="restart"/>
            <w:tcBorders>
              <w:top w:val="single" w:sz="4"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8"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5"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41"/>
              <w:ind w:left="48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宋体" w:hAnsi="宋体" w:cs="宋体" w:eastAsia="宋体" w:hint="default"/>
                <w:sz w:val="18"/>
                <w:szCs w:val="18"/>
              </w:rPr>
              <w:t>(%)</w:t>
            </w:r>
          </w:p>
        </w:tc>
        <w:tc>
          <w:tcPr>
            <w:tcW w:w="1426" w:type="dxa"/>
            <w:vMerge w:val="restart"/>
            <w:tcBorders>
              <w:top w:val="single" w:sz="4" w:space="0" w:color="000000"/>
              <w:left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950" w:type="dxa"/>
            <w:vMerge/>
            <w:tcBorders>
              <w:left w:val="single" w:sz="4" w:space="0" w:color="000000"/>
              <w:bottom w:val="single" w:sz="6" w:space="0" w:color="000000"/>
              <w:right w:val="single" w:sz="6" w:space="0" w:color="000000"/>
            </w:tcBorders>
          </w:tcPr>
          <w:p>
            <w:pPr/>
          </w:p>
        </w:tc>
        <w:tc>
          <w:tcPr>
            <w:tcW w:w="1278"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6" w:type="dxa"/>
            <w:vMerge/>
            <w:tcBorders>
              <w:left w:val="single" w:sz="6" w:space="0" w:color="000000"/>
              <w:bottom w:val="single" w:sz="6" w:space="0" w:color="000000"/>
              <w:right w:val="single" w:sz="6" w:space="0" w:color="000000"/>
            </w:tcBorders>
          </w:tcPr>
          <w:p>
            <w:pP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30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426" w:type="dxa"/>
            <w:vMerge/>
            <w:tcBorders>
              <w:left w:val="single" w:sz="6" w:space="0" w:color="000000"/>
              <w:bottom w:val="single" w:sz="6" w:space="0" w:color="000000"/>
              <w:right w:val="single" w:sz="4" w:space="0" w:color="000000"/>
            </w:tcBorders>
          </w:tcPr>
          <w:p>
            <w:pPr/>
          </w:p>
        </w:tc>
      </w:tr>
      <w:tr>
        <w:trPr>
          <w:trHeight w:val="716" w:hRule="exact"/>
        </w:trPr>
        <w:tc>
          <w:tcPr>
            <w:tcW w:w="1950" w:type="dxa"/>
            <w:tcBorders>
              <w:top w:val="single" w:sz="6" w:space="0" w:color="000000"/>
              <w:left w:val="single" w:sz="4" w:space="0" w:color="000000"/>
              <w:bottom w:val="single" w:sz="6" w:space="0" w:color="000000"/>
              <w:right w:val="single" w:sz="6" w:space="0" w:color="000000"/>
            </w:tcBorders>
          </w:tcPr>
          <w:p>
            <w:pPr>
              <w:pStyle w:val="TableParagraph"/>
              <w:spacing w:line="321" w:lineRule="auto" w:before="41"/>
              <w:ind w:left="103" w:right="212"/>
              <w:jc w:val="left"/>
              <w:rPr>
                <w:rFonts w:ascii="宋体" w:hAnsi="宋体" w:cs="宋体" w:eastAsia="宋体" w:hint="default"/>
                <w:sz w:val="18"/>
                <w:szCs w:val="18"/>
              </w:rPr>
            </w:pPr>
            <w:r>
              <w:rPr>
                <w:rFonts w:ascii="宋体" w:hAnsi="宋体" w:cs="宋体" w:eastAsia="宋体" w:hint="default"/>
                <w:sz w:val="18"/>
                <w:szCs w:val="18"/>
              </w:rPr>
              <w:t>南宁市智诚合讯信息 技术有限公司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1"/>
              <w:ind w:left="99" w:right="259"/>
              <w:jc w:val="left"/>
              <w:rPr>
                <w:rFonts w:ascii="宋体" w:hAnsi="宋体" w:cs="宋体" w:eastAsia="宋体" w:hint="default"/>
                <w:sz w:val="18"/>
                <w:szCs w:val="18"/>
              </w:rPr>
            </w:pPr>
            <w:r>
              <w:rPr>
                <w:rFonts w:ascii="宋体" w:hAnsi="宋体" w:cs="宋体" w:eastAsia="宋体" w:hint="default"/>
                <w:sz w:val="18"/>
                <w:szCs w:val="18"/>
              </w:rPr>
              <w:t>信息技术服 务业</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9"/>
              <w:jc w:val="right"/>
              <w:rPr>
                <w:rFonts w:ascii="宋体" w:hAnsi="宋体" w:cs="宋体" w:eastAsia="宋体" w:hint="default"/>
                <w:sz w:val="18"/>
                <w:szCs w:val="18"/>
              </w:rPr>
            </w:pPr>
            <w:r>
              <w:rPr>
                <w:rFonts w:ascii="宋体"/>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8" w:hRule="exact"/>
        </w:trPr>
        <w:tc>
          <w:tcPr>
            <w:tcW w:w="1950" w:type="dxa"/>
            <w:tcBorders>
              <w:top w:val="single" w:sz="6" w:space="0" w:color="000000"/>
              <w:left w:val="single" w:sz="4" w:space="0" w:color="000000"/>
              <w:bottom w:val="single" w:sz="6" w:space="0" w:color="000000"/>
              <w:right w:val="single" w:sz="6" w:space="0" w:color="000000"/>
            </w:tcBorders>
          </w:tcPr>
          <w:p>
            <w:pPr>
              <w:pStyle w:val="TableParagraph"/>
              <w:spacing w:line="321" w:lineRule="auto" w:before="43"/>
              <w:ind w:left="103" w:right="212"/>
              <w:jc w:val="left"/>
              <w:rPr>
                <w:rFonts w:ascii="宋体" w:hAnsi="宋体" w:cs="宋体" w:eastAsia="宋体" w:hint="default"/>
                <w:sz w:val="18"/>
                <w:szCs w:val="18"/>
              </w:rPr>
            </w:pPr>
            <w:r>
              <w:rPr>
                <w:rFonts w:ascii="宋体" w:hAnsi="宋体" w:cs="宋体" w:eastAsia="宋体" w:hint="default"/>
                <w:sz w:val="18"/>
                <w:szCs w:val="18"/>
              </w:rPr>
              <w:t>杭州郡原物业服务有 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9" w:right="0"/>
              <w:jc w:val="left"/>
              <w:rPr>
                <w:rFonts w:ascii="宋体" w:hAnsi="宋体" w:cs="宋体" w:eastAsia="宋体" w:hint="default"/>
                <w:sz w:val="18"/>
                <w:szCs w:val="18"/>
              </w:rPr>
            </w:pPr>
            <w:r>
              <w:rPr>
                <w:rFonts w:ascii="宋体" w:hAnsi="宋体" w:cs="宋体" w:eastAsia="宋体" w:hint="default"/>
                <w:sz w:val="18"/>
                <w:szCs w:val="18"/>
              </w:rPr>
              <w:t>物业服务业</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9"/>
              <w:jc w:val="right"/>
              <w:rPr>
                <w:rFonts w:ascii="宋体" w:hAnsi="宋体" w:cs="宋体" w:eastAsia="宋体" w:hint="default"/>
                <w:sz w:val="18"/>
                <w:szCs w:val="18"/>
              </w:rPr>
            </w:pPr>
            <w:r>
              <w:rPr>
                <w:rFonts w:ascii="宋体"/>
                <w:sz w:val="18"/>
              </w:rPr>
              <w:t>100</w:t>
            </w:r>
          </w:p>
        </w:tc>
        <w:tc>
          <w:tcPr>
            <w:tcW w:w="992" w:type="dxa"/>
            <w:tcBorders>
              <w:top w:val="single" w:sz="6" w:space="0" w:color="000000"/>
              <w:left w:val="single" w:sz="6" w:space="0" w:color="000000"/>
              <w:bottom w:val="single" w:sz="6" w:space="0" w:color="000000"/>
              <w:right w:val="single" w:sz="6" w:space="0" w:color="000000"/>
            </w:tcBorders>
          </w:tcPr>
          <w:p>
            <w:pP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321" w:lineRule="auto" w:before="43"/>
              <w:ind w:left="99" w:right="23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8" w:hRule="exact"/>
        </w:trPr>
        <w:tc>
          <w:tcPr>
            <w:tcW w:w="1950" w:type="dxa"/>
            <w:tcBorders>
              <w:top w:val="single" w:sz="6" w:space="0" w:color="000000"/>
              <w:left w:val="single" w:sz="4" w:space="0" w:color="000000"/>
              <w:bottom w:val="single" w:sz="6" w:space="0" w:color="000000"/>
              <w:right w:val="single" w:sz="6" w:space="0" w:color="000000"/>
            </w:tcBorders>
          </w:tcPr>
          <w:p>
            <w:pPr>
              <w:pStyle w:val="TableParagraph"/>
              <w:spacing w:line="319" w:lineRule="auto" w:before="43"/>
              <w:ind w:left="103" w:right="212"/>
              <w:jc w:val="left"/>
              <w:rPr>
                <w:rFonts w:ascii="宋体" w:hAnsi="宋体" w:cs="宋体" w:eastAsia="宋体" w:hint="default"/>
                <w:sz w:val="18"/>
                <w:szCs w:val="18"/>
              </w:rPr>
            </w:pPr>
            <w:r>
              <w:rPr>
                <w:rFonts w:ascii="宋体" w:hAnsi="宋体" w:cs="宋体" w:eastAsia="宋体" w:hint="default"/>
                <w:sz w:val="18"/>
                <w:szCs w:val="18"/>
              </w:rPr>
              <w:t>湖南郡原物业服务有 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99" w:right="0"/>
              <w:jc w:val="left"/>
              <w:rPr>
                <w:rFonts w:ascii="宋体" w:hAnsi="宋体" w:cs="宋体" w:eastAsia="宋体" w:hint="default"/>
                <w:sz w:val="18"/>
                <w:szCs w:val="18"/>
              </w:rPr>
            </w:pPr>
            <w:r>
              <w:rPr>
                <w:rFonts w:ascii="宋体" w:hAnsi="宋体" w:cs="宋体" w:eastAsia="宋体" w:hint="default"/>
                <w:sz w:val="18"/>
                <w:szCs w:val="18"/>
              </w:rPr>
              <w:t>物业服务业</w:t>
            </w:r>
          </w:p>
        </w:tc>
        <w:tc>
          <w:tcPr>
            <w:tcW w:w="993"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100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319" w:lineRule="auto" w:before="43"/>
              <w:ind w:left="99" w:right="23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8" w:hRule="exact"/>
        </w:trPr>
        <w:tc>
          <w:tcPr>
            <w:tcW w:w="1950" w:type="dxa"/>
            <w:tcBorders>
              <w:top w:val="single" w:sz="6" w:space="0" w:color="000000"/>
              <w:left w:val="single" w:sz="4" w:space="0" w:color="000000"/>
              <w:bottom w:val="single" w:sz="6" w:space="0" w:color="000000"/>
              <w:right w:val="single" w:sz="6" w:space="0" w:color="000000"/>
            </w:tcBorders>
          </w:tcPr>
          <w:p>
            <w:pPr>
              <w:pStyle w:val="TableParagraph"/>
              <w:spacing w:line="321" w:lineRule="auto" w:before="41"/>
              <w:ind w:left="103" w:right="212"/>
              <w:jc w:val="left"/>
              <w:rPr>
                <w:rFonts w:ascii="宋体" w:hAnsi="宋体" w:cs="宋体" w:eastAsia="宋体" w:hint="default"/>
                <w:sz w:val="18"/>
                <w:szCs w:val="18"/>
              </w:rPr>
            </w:pPr>
            <w:r>
              <w:rPr>
                <w:rFonts w:ascii="宋体" w:hAnsi="宋体" w:cs="宋体" w:eastAsia="宋体" w:hint="default"/>
                <w:sz w:val="18"/>
                <w:szCs w:val="18"/>
              </w:rPr>
              <w:t>沈阳辽原物业管理有 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宋体" w:hAnsi="宋体" w:cs="宋体" w:eastAsia="宋体" w:hint="default"/>
                <w:sz w:val="18"/>
                <w:szCs w:val="18"/>
              </w:rPr>
            </w:pPr>
            <w:r>
              <w:rPr>
                <w:rFonts w:ascii="宋体" w:hAnsi="宋体" w:cs="宋体" w:eastAsia="宋体" w:hint="default"/>
                <w:sz w:val="18"/>
                <w:szCs w:val="18"/>
              </w:rPr>
              <w:t>物业服务业</w:t>
            </w:r>
          </w:p>
        </w:tc>
        <w:tc>
          <w:tcPr>
            <w:tcW w:w="993"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321" w:lineRule="auto" w:before="41"/>
              <w:ind w:left="99" w:right="23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6" w:hRule="exact"/>
        </w:trPr>
        <w:tc>
          <w:tcPr>
            <w:tcW w:w="1950" w:type="dxa"/>
            <w:tcBorders>
              <w:top w:val="single" w:sz="6" w:space="0" w:color="000000"/>
              <w:left w:val="single" w:sz="4" w:space="0" w:color="000000"/>
              <w:bottom w:val="single" w:sz="6" w:space="0" w:color="000000"/>
              <w:right w:val="single" w:sz="6" w:space="0" w:color="000000"/>
            </w:tcBorders>
          </w:tcPr>
          <w:p>
            <w:pPr>
              <w:pStyle w:val="TableParagraph"/>
              <w:spacing w:line="321" w:lineRule="auto" w:before="41"/>
              <w:ind w:left="103" w:right="212"/>
              <w:jc w:val="left"/>
              <w:rPr>
                <w:rFonts w:ascii="宋体" w:hAnsi="宋体" w:cs="宋体" w:eastAsia="宋体" w:hint="default"/>
                <w:sz w:val="18"/>
                <w:szCs w:val="18"/>
              </w:rPr>
            </w:pPr>
            <w:r>
              <w:rPr>
                <w:rFonts w:ascii="宋体" w:hAnsi="宋体" w:cs="宋体" w:eastAsia="宋体" w:hint="default"/>
                <w:sz w:val="18"/>
                <w:szCs w:val="18"/>
              </w:rPr>
              <w:t>成都山外山物业管理 有限公司</w:t>
            </w:r>
          </w:p>
        </w:tc>
        <w:tc>
          <w:tcPr>
            <w:tcW w:w="1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9" w:right="0"/>
              <w:jc w:val="left"/>
              <w:rPr>
                <w:rFonts w:ascii="宋体" w:hAnsi="宋体" w:cs="宋体" w:eastAsia="宋体" w:hint="default"/>
                <w:sz w:val="18"/>
                <w:szCs w:val="18"/>
              </w:rPr>
            </w:pPr>
            <w:r>
              <w:rPr>
                <w:rFonts w:ascii="宋体" w:hAnsi="宋体" w:cs="宋体" w:eastAsia="宋体" w:hint="default"/>
                <w:sz w:val="18"/>
                <w:szCs w:val="18"/>
              </w:rPr>
              <w:t>物业服务业</w:t>
            </w:r>
          </w:p>
        </w:tc>
        <w:tc>
          <w:tcPr>
            <w:tcW w:w="993"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100</w:t>
            </w:r>
          </w:p>
        </w:tc>
        <w:tc>
          <w:tcPr>
            <w:tcW w:w="1426" w:type="dxa"/>
            <w:tcBorders>
              <w:top w:val="single" w:sz="6" w:space="0" w:color="000000"/>
              <w:left w:val="single" w:sz="6" w:space="0" w:color="000000"/>
              <w:bottom w:val="single" w:sz="6" w:space="0" w:color="000000"/>
              <w:right w:val="single" w:sz="4" w:space="0" w:color="000000"/>
            </w:tcBorders>
          </w:tcPr>
          <w:p>
            <w:pPr>
              <w:pStyle w:val="TableParagraph"/>
              <w:spacing w:line="321" w:lineRule="auto" w:before="41"/>
              <w:ind w:left="99" w:right="233"/>
              <w:jc w:val="left"/>
              <w:rPr>
                <w:rFonts w:ascii="宋体" w:hAnsi="宋体" w:cs="宋体" w:eastAsia="宋体" w:hint="default"/>
                <w:sz w:val="18"/>
                <w:szCs w:val="18"/>
              </w:rPr>
            </w:pPr>
            <w:r>
              <w:rPr>
                <w:rFonts w:ascii="宋体" w:hAnsi="宋体" w:cs="宋体" w:eastAsia="宋体" w:hint="default"/>
                <w:sz w:val="18"/>
                <w:szCs w:val="18"/>
              </w:rPr>
              <w:t>非同一控制下 的企业合并</w:t>
            </w:r>
          </w:p>
        </w:tc>
      </w:tr>
      <w:tr>
        <w:trPr>
          <w:trHeight w:val="715" w:hRule="exact"/>
        </w:trPr>
        <w:tc>
          <w:tcPr>
            <w:tcW w:w="1950" w:type="dxa"/>
            <w:tcBorders>
              <w:top w:val="single" w:sz="6" w:space="0" w:color="000000"/>
              <w:left w:val="single" w:sz="4" w:space="0" w:color="000000"/>
              <w:bottom w:val="single" w:sz="4" w:space="0" w:color="000000"/>
              <w:right w:val="single" w:sz="6" w:space="0" w:color="000000"/>
            </w:tcBorders>
          </w:tcPr>
          <w:p>
            <w:pPr>
              <w:pStyle w:val="TableParagraph"/>
              <w:spacing w:line="321" w:lineRule="auto" w:before="43"/>
              <w:ind w:left="103" w:right="212"/>
              <w:jc w:val="left"/>
              <w:rPr>
                <w:rFonts w:ascii="宋体" w:hAnsi="宋体" w:cs="宋体" w:eastAsia="宋体" w:hint="default"/>
                <w:sz w:val="18"/>
                <w:szCs w:val="18"/>
              </w:rPr>
            </w:pPr>
            <w:r>
              <w:rPr>
                <w:rFonts w:ascii="宋体" w:hAnsi="宋体" w:cs="宋体" w:eastAsia="宋体" w:hint="default"/>
                <w:sz w:val="18"/>
                <w:szCs w:val="18"/>
              </w:rPr>
              <w:t>建德郡原物业服务有 限公司</w:t>
            </w:r>
          </w:p>
        </w:tc>
        <w:tc>
          <w:tcPr>
            <w:tcW w:w="1278"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3"/>
              <w:ind w:left="10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6"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3"/>
              <w:ind w:left="99" w:right="0"/>
              <w:jc w:val="left"/>
              <w:rPr>
                <w:rFonts w:ascii="宋体" w:hAnsi="宋体" w:cs="宋体" w:eastAsia="宋体" w:hint="default"/>
                <w:sz w:val="18"/>
                <w:szCs w:val="18"/>
              </w:rPr>
            </w:pPr>
            <w:r>
              <w:rPr>
                <w:rFonts w:ascii="宋体" w:hAnsi="宋体" w:cs="宋体" w:eastAsia="宋体" w:hint="default"/>
                <w:sz w:val="18"/>
                <w:szCs w:val="18"/>
              </w:rPr>
              <w:t>物业服务业</w:t>
            </w:r>
          </w:p>
        </w:tc>
        <w:tc>
          <w:tcPr>
            <w:tcW w:w="993" w:type="dxa"/>
            <w:tcBorders>
              <w:top w:val="single" w:sz="6" w:space="0" w:color="000000"/>
              <w:left w:val="single" w:sz="6" w:space="0" w:color="000000"/>
              <w:bottom w:val="single" w:sz="4" w:space="0" w:color="000000"/>
              <w:right w:val="single" w:sz="6" w:space="0" w:color="000000"/>
            </w:tcBorders>
          </w:tcPr>
          <w:p>
            <w:pPr/>
          </w:p>
        </w:tc>
        <w:tc>
          <w:tcPr>
            <w:tcW w:w="992"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100</w:t>
            </w:r>
          </w:p>
        </w:tc>
        <w:tc>
          <w:tcPr>
            <w:tcW w:w="1426"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43"/>
              <w:ind w:left="99"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240" w:lineRule="auto" w:before="1"/>
        <w:rPr>
          <w:rFonts w:ascii="宋体" w:hAnsi="宋体" w:cs="宋体" w:eastAsia="宋体" w:hint="default"/>
          <w:b/>
          <w:bCs/>
          <w:sz w:val="20"/>
          <w:szCs w:val="20"/>
        </w:rPr>
      </w:pPr>
    </w:p>
    <w:p>
      <w:pPr>
        <w:pStyle w:val="Heading3"/>
        <w:tabs>
          <w:tab w:pos="851" w:val="left" w:leader="none"/>
        </w:tabs>
        <w:spacing w:line="376" w:lineRule="auto"/>
        <w:ind w:right="3675"/>
        <w:jc w:val="left"/>
        <w:rPr>
          <w:rFonts w:ascii="宋体" w:hAnsi="宋体" w:cs="宋体" w:eastAsia="宋体" w:hint="default"/>
          <w:b w:val="0"/>
          <w:bCs w:val="0"/>
        </w:rPr>
      </w:pPr>
      <w:r>
        <w:rPr>
          <w:rFonts w:ascii="宋体" w:hAnsi="宋体" w:cs="宋体" w:eastAsia="宋体" w:hint="default"/>
          <w:w w:val="95"/>
        </w:rPr>
        <w:t>(2).</w:t>
        <w:tab/>
      </w:r>
      <w:r>
        <w:rPr>
          <w:w w:val="95"/>
        </w:rPr>
        <w:t>使用企业集团资产和清偿企业集团债务的重大限制： </w:t>
      </w:r>
      <w:r>
        <w:rPr>
          <w:spacing w:val="35"/>
          <w:w w:val="95"/>
        </w:rPr>
        <w:t> </w:t>
      </w:r>
      <w:r>
        <w:rPr>
          <w:spacing w:val="35"/>
          <w:w w:val="95"/>
        </w:rPr>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pStyle w:val="Heading3"/>
        <w:spacing w:line="376" w:lineRule="auto" w:before="0"/>
        <w:ind w:right="568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在合营企业或联营企业中的权益</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3"/>
        <w:spacing w:line="376" w:lineRule="auto" w:before="0"/>
        <w:ind w:right="7156"/>
        <w:jc w:val="left"/>
        <w:rPr>
          <w:rFonts w:ascii="宋体" w:hAnsi="宋体" w:cs="宋体" w:eastAsia="宋体" w:hint="default"/>
          <w:b w:val="0"/>
          <w:bCs w:val="0"/>
        </w:rPr>
      </w:pPr>
      <w:r>
        <w:rPr>
          <w:rFonts w:ascii="宋体" w:hAnsi="宋体" w:cs="宋体" w:eastAsia="宋体" w:hint="default"/>
        </w:rPr>
        <w:t>3</w:t>
      </w:r>
      <w:r>
        <w:rPr/>
        <w:t>、</w:t>
      </w:r>
      <w:r>
        <w:rPr>
          <w:spacing w:val="-6"/>
        </w:rPr>
        <w:t> </w:t>
      </w:r>
      <w:r>
        <w:rPr/>
        <w:t>重要的共同经营</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3"/>
        <w:spacing w:line="376" w:lineRule="auto" w:before="0"/>
        <w:ind w:right="3996"/>
        <w:jc w:val="left"/>
        <w:rPr>
          <w:rFonts w:ascii="宋体" w:hAnsi="宋体" w:cs="宋体" w:eastAsia="宋体" w:hint="default"/>
          <w:b w:val="0"/>
          <w:bCs w:val="0"/>
        </w:rPr>
      </w:pPr>
      <w:r>
        <w:rPr>
          <w:rFonts w:ascii="宋体" w:hAnsi="宋体" w:cs="宋体" w:eastAsia="宋体" w:hint="default"/>
        </w:rPr>
        <w:t>4</w:t>
      </w:r>
      <w:r>
        <w:rPr/>
        <w:t>、</w:t>
      </w:r>
      <w:r>
        <w:rPr>
          <w:spacing w:val="-9"/>
        </w:rPr>
        <w:t> </w:t>
      </w:r>
      <w:r>
        <w:rPr/>
        <w:t>在未纳入合并财务报表范围的结构化主体中的权益</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3"/>
        <w:spacing w:line="376" w:lineRule="auto" w:before="0"/>
        <w:ind w:right="6518"/>
        <w:jc w:val="left"/>
        <w:rPr>
          <w:rFonts w:ascii="宋体" w:hAnsi="宋体" w:cs="宋体" w:eastAsia="宋体" w:hint="default"/>
          <w:b w:val="0"/>
          <w:bCs w:val="0"/>
        </w:rPr>
      </w:pPr>
      <w:r>
        <w:rPr/>
        <w:t>十、与金融工具相关的风险</w:t>
      </w:r>
      <w:r>
        <w:rPr>
          <w:w w:val="99"/>
        </w:rPr>
        <w:t> </w:t>
      </w:r>
      <w:r>
        <w:rPr>
          <w:rFonts w:ascii="宋体" w:hAnsi="宋体" w:cs="宋体" w:eastAsia="宋体" w:hint="default"/>
          <w:b w:val="0"/>
          <w:bCs w:val="0"/>
        </w:rPr>
        <w:t>无</w:t>
      </w:r>
    </w:p>
    <w:p>
      <w:pPr>
        <w:spacing w:line="240" w:lineRule="auto" w:before="9"/>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4" w:top="1120" w:bottom="1380" w:left="1580" w:right="1040"/>
        </w:sectPr>
      </w:pPr>
    </w:p>
    <w:p>
      <w:pPr>
        <w:pStyle w:val="Heading3"/>
        <w:tabs>
          <w:tab w:pos="1057" w:val="left" w:leader="none"/>
        </w:tabs>
        <w:spacing w:line="240" w:lineRule="auto"/>
        <w:ind w:right="-18"/>
        <w:jc w:val="left"/>
        <w:rPr>
          <w:b w:val="0"/>
          <w:bCs w:val="0"/>
        </w:rPr>
      </w:pPr>
      <w:r>
        <w:rPr>
          <w:w w:val="95"/>
        </w:rPr>
        <w:t>十一、</w:t>
        <w:tab/>
      </w:r>
      <w:r>
        <w:rPr/>
        <w:t>公允价值的披露</w:t>
      </w:r>
      <w:r>
        <w:rPr>
          <w:b w:val="0"/>
          <w:bCs w:val="0"/>
        </w:rPr>
      </w:r>
    </w:p>
    <w:p>
      <w:pPr>
        <w:pStyle w:val="Heading3"/>
        <w:spacing w:line="240" w:lineRule="auto" w:before="57"/>
        <w:ind w:right="-18"/>
        <w:jc w:val="left"/>
        <w:rPr>
          <w:b w:val="0"/>
          <w:bCs w:val="0"/>
        </w:rPr>
      </w:pPr>
      <w:r>
        <w:rPr>
          <w:rFonts w:ascii="宋体" w:hAnsi="宋体" w:cs="宋体" w:eastAsia="宋体" w:hint="default"/>
        </w:rPr>
        <w:t>1</w:t>
      </w:r>
      <w:r>
        <w:rPr/>
        <w:t>、</w:t>
      </w:r>
      <w:r>
        <w:rPr>
          <w:spacing w:val="-4"/>
        </w:rPr>
        <w:t> </w:t>
      </w:r>
      <w:r>
        <w:rPr/>
        <w:t>以公允价值计量的资产和负债的期末公允价值</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4856" w:space="1879"/>
            <w:col w:w="2555"/>
          </w:cols>
        </w:sectPr>
      </w:pPr>
    </w:p>
    <w:p>
      <w:pPr>
        <w:spacing w:line="240" w:lineRule="auto" w:before="5"/>
        <w:rPr>
          <w:rFonts w:ascii="宋体" w:hAnsi="宋体" w:cs="宋体" w:eastAsia="宋体" w:hint="default"/>
          <w:sz w:val="2"/>
          <w:szCs w:val="2"/>
        </w:rPr>
      </w:pPr>
    </w:p>
    <w:tbl>
      <w:tblPr>
        <w:tblW w:w="0" w:type="auto"/>
        <w:jc w:val="left"/>
        <w:tblInd w:w="185" w:type="dxa"/>
        <w:tblLayout w:type="fixed"/>
        <w:tblCellMar>
          <w:top w:w="0" w:type="dxa"/>
          <w:left w:w="0" w:type="dxa"/>
          <w:bottom w:w="0" w:type="dxa"/>
          <w:right w:w="0" w:type="dxa"/>
        </w:tblCellMar>
        <w:tblLook w:val="01E0"/>
      </w:tblPr>
      <w:tblGrid>
        <w:gridCol w:w="2863"/>
        <w:gridCol w:w="6026"/>
      </w:tblGrid>
      <w:tr>
        <w:trPr>
          <w:trHeight w:val="340"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bl>
    <w:p>
      <w:pPr>
        <w:spacing w:after="0" w:line="240" w:lineRule="auto"/>
        <w:jc w:val="center"/>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85" w:type="dxa"/>
        <w:tblLayout w:type="fixed"/>
        <w:tblCellMar>
          <w:top w:w="0" w:type="dxa"/>
          <w:left w:w="0" w:type="dxa"/>
          <w:bottom w:w="0" w:type="dxa"/>
          <w:right w:w="0" w:type="dxa"/>
        </w:tblCellMar>
        <w:tblLook w:val="01E0"/>
      </w:tblPr>
      <w:tblGrid>
        <w:gridCol w:w="2863"/>
        <w:gridCol w:w="1701"/>
        <w:gridCol w:w="1702"/>
        <w:gridCol w:w="1701"/>
        <w:gridCol w:w="923"/>
      </w:tblGrid>
      <w:tr>
        <w:trPr>
          <w:trHeight w:val="666" w:hRule="exact"/>
        </w:trPr>
        <w:tc>
          <w:tcPr>
            <w:tcW w:w="2863"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303" w:right="305" w:firstLine="180"/>
              <w:jc w:val="left"/>
              <w:rPr>
                <w:rFonts w:ascii="宋体" w:hAnsi="宋体" w:cs="宋体" w:eastAsia="宋体" w:hint="default"/>
                <w:sz w:val="18"/>
                <w:szCs w:val="18"/>
              </w:rPr>
            </w:pPr>
            <w:r>
              <w:rPr>
                <w:rFonts w:ascii="宋体" w:hAnsi="宋体" w:cs="宋体" w:eastAsia="宋体" w:hint="default"/>
                <w:sz w:val="18"/>
                <w:szCs w:val="18"/>
              </w:rPr>
              <w:t>第一层次 公允价值计量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304" w:right="305" w:firstLine="180"/>
              <w:jc w:val="left"/>
              <w:rPr>
                <w:rFonts w:ascii="宋体" w:hAnsi="宋体" w:cs="宋体" w:eastAsia="宋体" w:hint="default"/>
                <w:sz w:val="18"/>
                <w:szCs w:val="18"/>
              </w:rPr>
            </w:pPr>
            <w:r>
              <w:rPr>
                <w:rFonts w:ascii="宋体" w:hAnsi="宋体" w:cs="宋体" w:eastAsia="宋体" w:hint="default"/>
                <w:sz w:val="18"/>
                <w:szCs w:val="18"/>
              </w:rPr>
              <w:t>第二层次 公允价值计量</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17"/>
              <w:ind w:left="304" w:right="305" w:firstLine="180"/>
              <w:jc w:val="left"/>
              <w:rPr>
                <w:rFonts w:ascii="宋体" w:hAnsi="宋体" w:cs="宋体" w:eastAsia="宋体" w:hint="default"/>
                <w:sz w:val="18"/>
                <w:szCs w:val="18"/>
              </w:rPr>
            </w:pPr>
            <w:r>
              <w:rPr>
                <w:rFonts w:ascii="宋体" w:hAnsi="宋体" w:cs="宋体" w:eastAsia="宋体" w:hint="default"/>
                <w:sz w:val="18"/>
                <w:szCs w:val="18"/>
              </w:rPr>
              <w:t>第三层次 公允价值计量</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75"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38"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22" w:right="0"/>
              <w:jc w:val="left"/>
              <w:rPr>
                <w:rFonts w:ascii="宋体" w:hAnsi="宋体" w:cs="宋体" w:eastAsia="宋体" w:hint="default"/>
                <w:sz w:val="18"/>
                <w:szCs w:val="18"/>
              </w:rPr>
            </w:pPr>
            <w:r>
              <w:rPr>
                <w:rFonts w:ascii="宋体" w:hAnsi="宋体" w:cs="宋体" w:eastAsia="宋体" w:hint="default"/>
                <w:sz w:val="18"/>
                <w:szCs w:val="18"/>
              </w:rPr>
              <w:t>持续以公允价值计量的资产总额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持续以公允价值计量的负债总额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38"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非持续以公允价值计量的负债总额</w:t>
            </w:r>
          </w:p>
        </w:tc>
        <w:tc>
          <w:tcPr>
            <w:tcW w:w="170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24"/>
          <w:szCs w:val="24"/>
        </w:rPr>
      </w:pPr>
    </w:p>
    <w:p>
      <w:pPr>
        <w:tabs>
          <w:tab w:pos="1057" w:val="left" w:leader="none"/>
        </w:tabs>
        <w:spacing w:line="343" w:lineRule="auto" w:before="35"/>
        <w:ind w:left="218" w:right="6541" w:firstLine="0"/>
        <w:jc w:val="left"/>
        <w:rPr>
          <w:rFonts w:ascii="宋体" w:hAnsi="宋体" w:cs="宋体" w:eastAsia="宋体" w:hint="default"/>
          <w:sz w:val="21"/>
          <w:szCs w:val="21"/>
        </w:rPr>
      </w:pPr>
      <w:r>
        <w:rPr>
          <w:rFonts w:ascii="宋体" w:hAnsi="宋体" w:cs="宋体" w:eastAsia="宋体" w:hint="default"/>
          <w:b/>
          <w:bCs/>
          <w:w w:val="95"/>
          <w:sz w:val="21"/>
          <w:szCs w:val="21"/>
        </w:rPr>
        <w:t>十二、</w:t>
        <w:tab/>
      </w:r>
      <w:r>
        <w:rPr>
          <w:rFonts w:ascii="宋体" w:hAnsi="宋体" w:cs="宋体" w:eastAsia="宋体" w:hint="default"/>
          <w:b/>
          <w:bCs/>
          <w:sz w:val="21"/>
          <w:szCs w:val="21"/>
        </w:rPr>
        <w:t>关联方及关联交易</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本企业的母公司情况的说明</w:t>
      </w:r>
    </w:p>
    <w:p>
      <w:pPr>
        <w:pStyle w:val="BodyText"/>
        <w:spacing w:line="357" w:lineRule="auto" w:before="28"/>
        <w:ind w:left="218" w:right="232" w:firstLine="420"/>
        <w:jc w:val="both"/>
      </w:pPr>
      <w:r>
        <w:rPr/>
        <w:t>本公司母公司原为广西北生集团有限责任公司（以下简称“北生集团”）。</w:t>
      </w:r>
      <w:r>
        <w:rPr>
          <w:rFonts w:ascii="宋体" w:hAnsi="宋体" w:cs="宋体" w:eastAsia="宋体" w:hint="default"/>
        </w:rPr>
        <w:t>2014</w:t>
      </w:r>
      <w:r>
        <w:rPr>
          <w:rFonts w:ascii="宋体" w:hAnsi="宋体" w:cs="宋体" w:eastAsia="宋体" w:hint="default"/>
          <w:spacing w:val="-50"/>
        </w:rPr>
        <w:t> </w:t>
      </w:r>
      <w:r>
        <w:rPr/>
        <w:t>年</w:t>
      </w:r>
      <w:r>
        <w:rPr>
          <w:spacing w:val="-50"/>
        </w:rPr>
        <w:t> </w:t>
      </w:r>
      <w:r>
        <w:rPr>
          <w:rFonts w:ascii="宋体" w:hAnsi="宋体" w:cs="宋体" w:eastAsia="宋体" w:hint="default"/>
        </w:rPr>
        <w:t>08</w:t>
      </w:r>
      <w:r>
        <w:rPr>
          <w:rFonts w:ascii="宋体" w:hAnsi="宋体" w:cs="宋体" w:eastAsia="宋体" w:hint="default"/>
          <w:spacing w:val="-50"/>
        </w:rPr>
        <w:t> </w:t>
      </w:r>
      <w:r>
        <w:rPr/>
        <w:t>月</w:t>
      </w:r>
      <w:r>
        <w:rPr>
          <w:spacing w:val="-50"/>
        </w:rPr>
        <w:t> </w:t>
      </w:r>
      <w:r>
        <w:rPr>
          <w:rFonts w:ascii="宋体" w:hAnsi="宋体" w:cs="宋体" w:eastAsia="宋体" w:hint="default"/>
        </w:rPr>
        <w:t>18 </w:t>
      </w:r>
      <w:r>
        <w:rPr>
          <w:spacing w:val="-5"/>
        </w:rPr>
        <w:t>日，根据广西壮族自治区北海市中级人民法院（</w:t>
      </w:r>
      <w:r>
        <w:rPr>
          <w:rFonts w:ascii="宋体" w:hAnsi="宋体" w:cs="宋体" w:eastAsia="宋体" w:hint="default"/>
          <w:spacing w:val="-5"/>
        </w:rPr>
        <w:t>2010</w:t>
      </w:r>
      <w:r>
        <w:rPr>
          <w:spacing w:val="-5"/>
        </w:rPr>
        <w:t>）北执一查字第</w:t>
      </w:r>
      <w:r>
        <w:rPr>
          <w:spacing w:val="-50"/>
        </w:rPr>
        <w:t> </w:t>
      </w:r>
      <w:r>
        <w:rPr>
          <w:rFonts w:ascii="宋体" w:hAnsi="宋体" w:cs="宋体" w:eastAsia="宋体" w:hint="default"/>
        </w:rPr>
        <w:t>28-21</w:t>
      </w:r>
      <w:r>
        <w:rPr>
          <w:rFonts w:ascii="宋体" w:hAnsi="宋体" w:cs="宋体" w:eastAsia="宋体" w:hint="default"/>
          <w:spacing w:val="-50"/>
        </w:rPr>
        <w:t> </w:t>
      </w:r>
      <w:r>
        <w:rPr>
          <w:spacing w:val="-5"/>
        </w:rPr>
        <w:t>号《协助扣划通知书》</w:t>
      </w:r>
      <w:r>
        <w:rPr/>
        <w:t> </w:t>
      </w:r>
      <w:r>
        <w:rPr>
          <w:spacing w:val="-5"/>
        </w:rPr>
        <w:t>要求，中国证券登记结算有限责任公司上海分公司于</w:t>
      </w:r>
      <w:r>
        <w:rPr>
          <w:spacing w:val="-47"/>
        </w:rPr>
        <w:t> </w:t>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08</w:t>
      </w:r>
      <w:r>
        <w:rPr>
          <w:rFonts w:ascii="宋体" w:hAnsi="宋体" w:cs="宋体" w:eastAsia="宋体" w:hint="default"/>
          <w:spacing w:val="-48"/>
        </w:rPr>
        <w:t> </w:t>
      </w:r>
      <w:r>
        <w:rPr/>
        <w:t>月</w:t>
      </w:r>
      <w:r>
        <w:rPr>
          <w:spacing w:val="-48"/>
        </w:rPr>
        <w:t> </w:t>
      </w:r>
      <w:r>
        <w:rPr>
          <w:rFonts w:ascii="宋体" w:hAnsi="宋体" w:cs="宋体" w:eastAsia="宋体" w:hint="default"/>
          <w:spacing w:val="-1"/>
        </w:rPr>
        <w:t>18</w:t>
      </w:r>
      <w:r>
        <w:rPr>
          <w:rFonts w:ascii="宋体" w:hAnsi="宋体" w:cs="宋体" w:eastAsia="宋体" w:hint="default"/>
          <w:spacing w:val="-47"/>
        </w:rPr>
        <w:t> </w:t>
      </w:r>
      <w:r>
        <w:rPr>
          <w:spacing w:val="-1"/>
        </w:rPr>
        <w:t>日将公司股东北生集团所持</w:t>
      </w:r>
    </w:p>
    <w:p>
      <w:pPr>
        <w:pStyle w:val="BodyText"/>
        <w:spacing w:line="357" w:lineRule="auto" w:before="30"/>
        <w:ind w:left="218" w:right="219"/>
        <w:jc w:val="left"/>
      </w:pPr>
      <w:r>
        <w:rPr/>
        <w:t>有的公司</w:t>
      </w:r>
      <w:r>
        <w:rPr>
          <w:spacing w:val="-51"/>
        </w:rPr>
        <w:t> </w:t>
      </w:r>
      <w:r>
        <w:rPr>
          <w:rFonts w:ascii="宋体" w:hAnsi="宋体" w:cs="宋体" w:eastAsia="宋体" w:hint="default"/>
        </w:rPr>
        <w:t>28,011,200</w:t>
      </w:r>
      <w:r>
        <w:rPr>
          <w:rFonts w:ascii="宋体" w:hAnsi="宋体" w:cs="宋体" w:eastAsia="宋体" w:hint="default"/>
          <w:spacing w:val="-51"/>
        </w:rPr>
        <w:t> </w:t>
      </w:r>
      <w:r>
        <w:rPr>
          <w:spacing w:val="-3"/>
        </w:rPr>
        <w:t>股无限售流通股划转至北京瑞尔德嘉创业投资管理有限公司。因此北生集团</w:t>
      </w:r>
      <w:r>
        <w:rPr/>
        <w:t> 已不再持有公司的股份。</w:t>
      </w:r>
    </w:p>
    <w:p>
      <w:pPr>
        <w:pStyle w:val="BodyText"/>
        <w:spacing w:line="357" w:lineRule="auto" w:before="30"/>
        <w:ind w:left="218" w:right="235" w:firstLine="420"/>
        <w:jc w:val="both"/>
      </w:pPr>
      <w:r>
        <w:rPr>
          <w:color w:val="242424"/>
        </w:rPr>
        <w:t>本公司已公告</w:t>
      </w:r>
      <w:r>
        <w:rPr/>
        <w:t>北生集团</w:t>
      </w:r>
      <w:r>
        <w:rPr>
          <w:color w:val="242424"/>
        </w:rPr>
        <w:t>不具有实际控制力，同时其他前五大股东持股比例较为接近且均占比</w:t>
      </w:r>
      <w:r>
        <w:rPr>
          <w:color w:val="242424"/>
        </w:rPr>
        <w:t> 较小，均无法依其持有的股份对应之表决权而对北生药业经营决策产生重大影响，公司实际控制</w:t>
      </w:r>
      <w:r>
        <w:rPr>
          <w:color w:val="242424"/>
          <w:spacing w:val="-96"/>
        </w:rPr>
        <w:t> </w:t>
      </w:r>
      <w:r>
        <w:rPr>
          <w:color w:val="242424"/>
          <w:spacing w:val="-96"/>
        </w:rPr>
      </w:r>
      <w:r>
        <w:rPr>
          <w:color w:val="242424"/>
        </w:rPr>
        <w:t>人自股份扣划之日起由北生集团变更为无实际控制人。</w:t>
      </w:r>
      <w:r>
        <w:rPr/>
      </w:r>
    </w:p>
    <w:p>
      <w:pPr>
        <w:pStyle w:val="BodyText"/>
        <w:spacing w:line="240" w:lineRule="auto" w:before="149"/>
        <w:ind w:left="218" w:right="228"/>
        <w:jc w:val="left"/>
      </w:pPr>
      <w:r>
        <w:rPr/>
        <w:t>本企业最终控制方是：无</w:t>
      </w:r>
    </w:p>
    <w:p>
      <w:pPr>
        <w:spacing w:line="240" w:lineRule="auto" w:before="3"/>
        <w:rPr>
          <w:rFonts w:ascii="宋体" w:hAnsi="宋体" w:cs="宋体" w:eastAsia="宋体" w:hint="default"/>
          <w:sz w:val="25"/>
          <w:szCs w:val="25"/>
        </w:rPr>
      </w:pPr>
    </w:p>
    <w:p>
      <w:pPr>
        <w:spacing w:line="429" w:lineRule="auto" w:before="0"/>
        <w:ind w:left="218" w:right="3168"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本企业子公司的情况详见第十节、九“在其他主体中的权益”。</w:t>
      </w:r>
    </w:p>
    <w:p>
      <w:pPr>
        <w:spacing w:line="240" w:lineRule="auto" w:before="10"/>
        <w:rPr>
          <w:rFonts w:ascii="宋体" w:hAnsi="宋体" w:cs="宋体" w:eastAsia="宋体" w:hint="default"/>
          <w:sz w:val="14"/>
          <w:szCs w:val="14"/>
        </w:rPr>
      </w:pPr>
    </w:p>
    <w:p>
      <w:pPr>
        <w:pStyle w:val="Heading3"/>
        <w:spacing w:line="376" w:lineRule="auto" w:before="0"/>
        <w:ind w:right="6098"/>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本企业合营和联营企业情况</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pStyle w:val="Heading3"/>
        <w:spacing w:line="240" w:lineRule="auto" w:before="0"/>
        <w:ind w:right="228"/>
        <w:jc w:val="left"/>
        <w:rPr>
          <w:b w:val="0"/>
          <w:bCs w:val="0"/>
        </w:rPr>
      </w:pPr>
      <w:r>
        <w:rPr>
          <w:rFonts w:ascii="宋体" w:hAnsi="宋体" w:cs="宋体" w:eastAsia="宋体" w:hint="default"/>
        </w:rPr>
        <w:t>4</w:t>
      </w:r>
      <w:r>
        <w:rPr/>
        <w:t>、</w:t>
      </w:r>
      <w:r>
        <w:rPr>
          <w:spacing w:val="-1"/>
        </w:rPr>
        <w:t> </w:t>
      </w:r>
      <w:r>
        <w:rPr/>
        <w:t>其他关联方情况</w:t>
      </w:r>
      <w:r>
        <w:rPr>
          <w:b w:val="0"/>
          <w:bCs w:val="0"/>
        </w:rPr>
      </w:r>
    </w:p>
    <w:p>
      <w:pPr>
        <w:spacing w:line="240" w:lineRule="auto" w:before="9"/>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370"/>
        <w:gridCol w:w="1984"/>
        <w:gridCol w:w="3696"/>
      </w:tblGrid>
      <w:tr>
        <w:trPr>
          <w:trHeight w:val="78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96" w:lineRule="auto" w:before="41"/>
              <w:ind w:left="535" w:right="446" w:hanging="90"/>
              <w:jc w:val="left"/>
              <w:rPr>
                <w:rFonts w:ascii="宋体" w:hAnsi="宋体" w:cs="宋体" w:eastAsia="宋体" w:hint="default"/>
                <w:sz w:val="18"/>
                <w:szCs w:val="18"/>
              </w:rPr>
            </w:pPr>
            <w:r>
              <w:rPr>
                <w:rFonts w:ascii="宋体" w:hAnsi="宋体" w:cs="宋体" w:eastAsia="宋体" w:hint="default"/>
                <w:sz w:val="18"/>
                <w:szCs w:val="18"/>
              </w:rPr>
              <w:t>其他关联方与 本企业关系</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71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上海斐讯数据通信技术有限公司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3"/>
              <w:ind w:left="101" w:right="102"/>
              <w:jc w:val="left"/>
              <w:rPr>
                <w:rFonts w:ascii="宋体" w:hAnsi="宋体" w:cs="宋体" w:eastAsia="宋体" w:hint="default"/>
                <w:sz w:val="18"/>
                <w:szCs w:val="18"/>
              </w:rPr>
            </w:pPr>
            <w:r>
              <w:rPr>
                <w:rFonts w:ascii="宋体" w:hAnsi="宋体" w:cs="宋体" w:eastAsia="宋体" w:hint="default"/>
                <w:spacing w:val="-4"/>
                <w:sz w:val="18"/>
                <w:szCs w:val="18"/>
              </w:rPr>
              <w:t>关联人（与公司同一董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事长）</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关键管理人员兼职的公司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本公司关键管理人员</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浙江郡原地产股份有限公司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bl>
    <w:p>
      <w:pPr>
        <w:spacing w:after="0" w:line="240" w:lineRule="auto"/>
        <w:jc w:val="left"/>
        <w:rPr>
          <w:rFonts w:ascii="宋体" w:hAnsi="宋体" w:cs="宋体" w:eastAsia="宋体" w:hint="default"/>
          <w:sz w:val="18"/>
          <w:szCs w:val="18"/>
        </w:rPr>
        <w:sectPr>
          <w:pgSz w:w="11910" w:h="16840"/>
          <w:pgMar w:header="882" w:footer="1194" w:top="1120" w:bottom="1380" w:left="1580" w:right="104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1984"/>
        <w:gridCol w:w="3696"/>
      </w:tblGrid>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浙江郡原控股有限公司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杭州天名房地产有限公司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青山湖圣园（杭州）置业有限公司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浙江华浙青马房地产有限公司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杭州郡原居里房产开发有限公司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宁波隆越房地产开发有限公司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杭州西溪邻里商业街开发经营有限公司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6"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湖南中锴置业有限公司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沈阳华凌房地产有限公司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成都郡原置业有限公司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7"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湖南宏梦置业有限公司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长沙浏阳河产业带建设有限公司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2" w:right="0"/>
              <w:jc w:val="left"/>
              <w:rPr>
                <w:rFonts w:ascii="宋体" w:hAnsi="宋体" w:cs="宋体" w:eastAsia="宋体" w:hint="default"/>
                <w:sz w:val="18"/>
                <w:szCs w:val="18"/>
              </w:rPr>
            </w:pPr>
            <w:r>
              <w:rPr>
                <w:rFonts w:ascii="宋体" w:hAnsi="宋体" w:cs="宋体" w:eastAsia="宋体" w:hint="default"/>
                <w:sz w:val="18"/>
                <w:szCs w:val="18"/>
              </w:rPr>
              <w:t>原重大资产重组方实际控制人控制的公司</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5</w:t>
      </w:r>
      <w:r>
        <w:rPr/>
        <w:t>、</w:t>
      </w:r>
      <w:r>
        <w:rPr>
          <w:spacing w:val="-1"/>
        </w:rPr>
        <w:t> </w:t>
      </w:r>
      <w:r>
        <w:rPr/>
        <w:t>关联交易情况</w:t>
      </w:r>
      <w:r>
        <w:rPr>
          <w:b w:val="0"/>
          <w:bCs w:val="0"/>
        </w:rPr>
      </w:r>
    </w:p>
    <w:p>
      <w:pPr>
        <w:pStyle w:val="Heading3"/>
        <w:spacing w:line="240" w:lineRule="auto" w:before="57"/>
        <w:ind w:right="228"/>
        <w:jc w:val="left"/>
        <w:rPr>
          <w:b w:val="0"/>
          <w:bCs w:val="0"/>
        </w:rPr>
      </w:pPr>
      <w:r>
        <w:rPr>
          <w:rFonts w:ascii="宋体" w:hAnsi="宋体" w:cs="宋体" w:eastAsia="宋体" w:hint="default"/>
        </w:rPr>
        <w:t>(1).</w:t>
      </w:r>
      <w:r>
        <w:rPr>
          <w:rFonts w:ascii="宋体" w:hAnsi="宋体" w:cs="宋体" w:eastAsia="宋体" w:hint="default"/>
          <w:spacing w:val="81"/>
        </w:rPr>
        <w:t> </w:t>
      </w:r>
      <w:r>
        <w:rPr/>
        <w:t>购销商品、提供和接受劳务的关联交易</w:t>
      </w:r>
      <w:r>
        <w:rPr>
          <w:b w:val="0"/>
          <w:bCs w:val="0"/>
        </w:rPr>
      </w:r>
    </w:p>
    <w:p>
      <w:pPr>
        <w:spacing w:line="240" w:lineRule="auto" w:before="5"/>
        <w:rPr>
          <w:rFonts w:ascii="宋体" w:hAnsi="宋体" w:cs="宋体" w:eastAsia="宋体" w:hint="default"/>
          <w:b/>
          <w:bCs/>
          <w:sz w:val="15"/>
          <w:szCs w:val="15"/>
        </w:rPr>
      </w:pPr>
    </w:p>
    <w:p>
      <w:pPr>
        <w:pStyle w:val="BodyText"/>
        <w:spacing w:line="274" w:lineRule="exact" w:before="35"/>
        <w:ind w:left="218" w:right="228"/>
        <w:jc w:val="left"/>
      </w:pPr>
      <w:r>
        <w:rPr/>
        <w:t>出售商品</w:t>
      </w:r>
      <w:r>
        <w:rPr>
          <w:rFonts w:ascii="宋体" w:hAnsi="宋体" w:cs="宋体" w:eastAsia="宋体" w:hint="default"/>
        </w:rPr>
        <w:t>/</w:t>
      </w:r>
      <w:r>
        <w:rPr/>
        <w:t>提供劳务情况表</w:t>
      </w:r>
    </w:p>
    <w:p>
      <w:pPr>
        <w:pStyle w:val="BodyText"/>
        <w:tabs>
          <w:tab w:pos="1049" w:val="left" w:leader="none"/>
        </w:tabs>
        <w:spacing w:line="274" w:lineRule="exact"/>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3149"/>
        <w:gridCol w:w="2552"/>
        <w:gridCol w:w="1701"/>
        <w:gridCol w:w="1492"/>
      </w:tblGrid>
      <w:tr>
        <w:trPr>
          <w:trHeight w:val="398"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73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9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杭州天名房地产有限公司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172,738.81</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2,787,344.29</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青山湖圣园（杭州）置业有限公司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900,941.40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930,015.91</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浙江华浙青马房地产有限公司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724,071.40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594,934.23</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杭州郡原居里房产开发有限公司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物业前期服务、开荒保洁</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222,735.00</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宁波隆越房地产开发有限公司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物业咨询顾问服务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500,000.00</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杭州西溪邻里商业街开发经营有限公司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物业案场服务、咨询顾问服务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802,001.00</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湖南中锴置业有限公司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2,686,813.90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4,809,835.31</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沈阳华凌房地产有限公司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4,934,369.10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3,470,564.03</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成都郡原置业有限公司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物业案场服务、前期服务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1,200,000.00</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1,200,000.00</w:t>
            </w: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湖南宏梦置业有限公司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400,419.84</w:t>
            </w:r>
          </w:p>
        </w:tc>
        <w:tc>
          <w:tcPr>
            <w:tcW w:w="149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12,544,090.45</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13,792,693.77</w:t>
            </w:r>
          </w:p>
        </w:tc>
      </w:tr>
    </w:tbl>
    <w:p>
      <w:pPr>
        <w:spacing w:line="240" w:lineRule="auto" w:before="0"/>
        <w:rPr>
          <w:rFonts w:ascii="宋体" w:hAnsi="宋体" w:cs="宋体" w:eastAsia="宋体" w:hint="default"/>
          <w:sz w:val="20"/>
          <w:szCs w:val="20"/>
        </w:rPr>
      </w:pPr>
    </w:p>
    <w:p>
      <w:pPr>
        <w:pStyle w:val="Heading3"/>
        <w:spacing w:line="355" w:lineRule="auto"/>
        <w:ind w:right="4641"/>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82"/>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9"/>
          <w:szCs w:val="19"/>
        </w:rPr>
      </w:pPr>
    </w:p>
    <w:p>
      <w:pPr>
        <w:pStyle w:val="Heading3"/>
        <w:spacing w:line="376" w:lineRule="auto" w:before="0"/>
        <w:ind w:right="7171"/>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83"/>
        </w:rPr>
        <w:t> </w:t>
      </w:r>
      <w:r>
        <w:rPr/>
        <w:t>关联租赁情况</w:t>
      </w:r>
      <w:r>
        <w:rPr>
          <w:w w:val="99"/>
        </w:rPr>
        <w:t> </w:t>
      </w:r>
      <w:r>
        <w:rPr>
          <w:rFonts w:ascii="宋体" w:hAnsi="宋体" w:cs="宋体" w:eastAsia="宋体" w:hint="default"/>
          <w:b w:val="0"/>
          <w:bCs w:val="0"/>
        </w:rPr>
        <w:t>无</w:t>
      </w:r>
    </w:p>
    <w:p>
      <w:pPr>
        <w:spacing w:after="0" w:line="376" w:lineRule="auto"/>
        <w:jc w:val="left"/>
        <w:rPr>
          <w:rFonts w:ascii="宋体" w:hAnsi="宋体" w:cs="宋体" w:eastAsia="宋体" w:hint="default"/>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pStyle w:val="Heading3"/>
        <w:spacing w:line="376" w:lineRule="auto"/>
        <w:ind w:right="7171"/>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83"/>
        </w:rPr>
        <w:t> </w:t>
      </w:r>
      <w:r>
        <w:rPr/>
        <w:t>关联担保情况</w:t>
      </w:r>
      <w:r>
        <w:rPr>
          <w:w w:val="99"/>
        </w:rPr>
        <w:t> </w:t>
      </w:r>
      <w:r>
        <w:rPr>
          <w:rFonts w:ascii="宋体" w:hAnsi="宋体" w:cs="宋体" w:eastAsia="宋体" w:hint="default"/>
          <w:b w:val="0"/>
          <w:bCs w:val="0"/>
        </w:rPr>
        <w:t>无</w:t>
      </w:r>
    </w:p>
    <w:p>
      <w:pPr>
        <w:spacing w:line="240" w:lineRule="auto" w:before="6"/>
        <w:rPr>
          <w:rFonts w:ascii="宋体" w:hAnsi="宋体" w:cs="宋体" w:eastAsia="宋体" w:hint="default"/>
          <w:sz w:val="15"/>
          <w:szCs w:val="15"/>
        </w:rPr>
      </w:pPr>
    </w:p>
    <w:p>
      <w:pPr>
        <w:pStyle w:val="Heading3"/>
        <w:spacing w:line="374" w:lineRule="auto" w:before="0"/>
        <w:ind w:right="696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83"/>
        </w:rPr>
        <w:t> </w:t>
      </w:r>
      <w:r>
        <w:rPr/>
        <w:t>关联方资金拆借</w:t>
      </w:r>
      <w:r>
        <w:rPr>
          <w:w w:val="99"/>
        </w:rPr>
        <w:t> </w:t>
      </w:r>
      <w:r>
        <w:rPr>
          <w:rFonts w:ascii="宋体" w:hAnsi="宋体" w:cs="宋体" w:eastAsia="宋体" w:hint="default"/>
          <w:b w:val="0"/>
          <w:bCs w:val="0"/>
        </w:rPr>
        <w:t>无</w:t>
      </w:r>
    </w:p>
    <w:p>
      <w:pPr>
        <w:pStyle w:val="Heading3"/>
        <w:spacing w:line="400" w:lineRule="auto" w:before="128"/>
        <w:ind w:right="5484"/>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83"/>
        </w:rPr>
        <w:t> </w:t>
      </w:r>
      <w:r>
        <w:rPr/>
        <w:t>关联方资产转让、债务重组情况</w:t>
      </w:r>
      <w:r>
        <w:rPr>
          <w:w w:val="99"/>
        </w:rPr>
        <w:t> </w:t>
      </w:r>
      <w:r>
        <w:rPr>
          <w:rFonts w:ascii="宋体" w:hAnsi="宋体" w:cs="宋体" w:eastAsia="宋体" w:hint="default"/>
          <w:b w:val="0"/>
          <w:bCs w:val="0"/>
        </w:rPr>
        <w:t>无</w:t>
      </w:r>
    </w:p>
    <w:p>
      <w:pPr>
        <w:spacing w:line="240" w:lineRule="auto" w:before="13"/>
        <w:rPr>
          <w:rFonts w:ascii="宋体" w:hAnsi="宋体" w:cs="宋体" w:eastAsia="宋体" w:hint="default"/>
          <w:sz w:val="13"/>
          <w:szCs w:val="13"/>
        </w:rPr>
      </w:pPr>
    </w:p>
    <w:p>
      <w:pPr>
        <w:pStyle w:val="Heading3"/>
        <w:tabs>
          <w:tab w:pos="851" w:val="left" w:leader="none"/>
        </w:tabs>
        <w:spacing w:line="240" w:lineRule="auto"/>
        <w:ind w:right="228"/>
        <w:jc w:val="left"/>
        <w:rPr>
          <w:b w:val="0"/>
          <w:bCs w:val="0"/>
        </w:rPr>
      </w:pPr>
      <w:r>
        <w:rPr>
          <w:rFonts w:ascii="宋体" w:hAnsi="宋体" w:cs="宋体" w:eastAsia="宋体" w:hint="default"/>
          <w:w w:val="95"/>
        </w:rPr>
        <w:t>(7).</w:t>
        <w:tab/>
      </w:r>
      <w:r>
        <w:rPr/>
        <w:t>关键管理人员报酬</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5"/>
        <w:gridCol w:w="2501"/>
      </w:tblGrid>
      <w:tr>
        <w:trPr>
          <w:trHeight w:val="4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71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50"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p>
        </w:tc>
        <w:tc>
          <w:tcPr>
            <w:tcW w:w="3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110" w:right="0"/>
              <w:jc w:val="left"/>
              <w:rPr>
                <w:rFonts w:ascii="宋体" w:hAnsi="宋体" w:cs="宋体" w:eastAsia="宋体" w:hint="default"/>
                <w:sz w:val="21"/>
                <w:szCs w:val="21"/>
              </w:rPr>
            </w:pPr>
            <w:r>
              <w:rPr>
                <w:rFonts w:ascii="宋体"/>
                <w:sz w:val="21"/>
              </w:rPr>
              <w:t>329,010.00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336" w:right="0"/>
              <w:jc w:val="left"/>
              <w:rPr>
                <w:rFonts w:ascii="宋体" w:hAnsi="宋体" w:cs="宋体" w:eastAsia="宋体" w:hint="default"/>
                <w:sz w:val="21"/>
                <w:szCs w:val="21"/>
              </w:rPr>
            </w:pPr>
            <w:r>
              <w:rPr>
                <w:rFonts w:ascii="宋体"/>
                <w:sz w:val="21"/>
              </w:rPr>
              <w:t>341,160.00</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4" w:top="1120" w:bottom="1380" w:left="1580" w:right="1040"/>
        </w:sectPr>
      </w:pPr>
    </w:p>
    <w:p>
      <w:pPr>
        <w:pStyle w:val="Heading3"/>
        <w:spacing w:line="290" w:lineRule="auto"/>
        <w:ind w:right="-18"/>
        <w:jc w:val="left"/>
        <w:rPr>
          <w:b w:val="0"/>
          <w:bCs w:val="0"/>
        </w:rPr>
      </w:pPr>
      <w:r>
        <w:rPr>
          <w:rFonts w:ascii="宋体" w:hAnsi="宋体" w:cs="宋体" w:eastAsia="宋体" w:hint="default"/>
        </w:rPr>
        <w:t>6</w:t>
      </w:r>
      <w:r>
        <w:rPr/>
        <w:t>、</w:t>
      </w:r>
      <w:r>
        <w:rPr>
          <w:spacing w:val="-1"/>
        </w:rPr>
        <w:t> </w:t>
      </w:r>
      <w:r>
        <w:rPr/>
        <w:t>关联方应收应付款项</w:t>
      </w:r>
      <w:r>
        <w:rPr>
          <w:w w:val="99"/>
        </w:rPr>
        <w:t> </w:t>
      </w:r>
      <w:r>
        <w:rPr>
          <w:rFonts w:ascii="宋体" w:hAnsi="宋体" w:cs="宋体" w:eastAsia="宋体" w:hint="default"/>
        </w:rPr>
        <w:t>(1).</w:t>
      </w:r>
      <w:r>
        <w:rPr>
          <w:rFonts w:ascii="宋体" w:hAnsi="宋体" w:cs="宋体" w:eastAsia="宋体" w:hint="default"/>
          <w:spacing w:val="86"/>
        </w:rPr>
        <w:t> </w:t>
      </w:r>
      <w:r>
        <w:rPr/>
        <w:t>应收项目</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163" w:val="left" w:leader="none"/>
        </w:tabs>
        <w:spacing w:line="240" w:lineRule="auto" w:before="176"/>
        <w:ind w:left="218" w:right="0"/>
        <w:jc w:val="left"/>
      </w:pPr>
      <w:r>
        <w:rPr/>
        <w:t>单位</w:t>
      </w:r>
      <w:r>
        <w:rPr>
          <w:rFonts w:ascii="宋体" w:hAnsi="宋体" w:cs="宋体" w:eastAsia="宋体" w:hint="default"/>
        </w:rPr>
        <w:t>:</w:t>
      </w:r>
      <w:r>
        <w:rPr/>
        <w:t>元</w:t>
        <w:tab/>
        <w:t>币种</w:t>
      </w:r>
      <w:r>
        <w:rPr>
          <w:rFonts w:ascii="宋体" w:hAnsi="宋体" w:cs="宋体" w:eastAsia="宋体" w:hint="default"/>
        </w:rPr>
        <w:t>:</w:t>
      </w:r>
      <w:r>
        <w:rPr/>
        <w:t>人民币</w:t>
      </w:r>
    </w:p>
    <w:p>
      <w:pPr>
        <w:spacing w:after="0" w:line="240" w:lineRule="auto"/>
        <w:jc w:val="left"/>
        <w:sectPr>
          <w:type w:val="continuous"/>
          <w:pgSz w:w="11910" w:h="16840"/>
          <w:pgMar w:top="1120" w:bottom="1380" w:left="1580" w:right="1040"/>
          <w:cols w:num="2" w:equalWidth="0">
            <w:col w:w="2540" w:space="4196"/>
            <w:col w:w="2554"/>
          </w:cols>
        </w:sectPr>
      </w:pP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63"/>
        <w:gridCol w:w="2268"/>
        <w:gridCol w:w="1418"/>
        <w:gridCol w:w="1418"/>
        <w:gridCol w:w="1276"/>
        <w:gridCol w:w="1350"/>
      </w:tblGrid>
      <w:tr>
        <w:trPr>
          <w:trHeight w:val="397" w:hRule="exact"/>
        </w:trPr>
        <w:tc>
          <w:tcPr>
            <w:tcW w:w="116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268"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1163" w:type="dxa"/>
            <w:vMerge/>
            <w:tcBorders>
              <w:left w:val="single" w:sz="4" w:space="0" w:color="000000"/>
              <w:bottom w:val="single" w:sz="4" w:space="0" w:color="000000"/>
              <w:right w:val="single" w:sz="4" w:space="0" w:color="000000"/>
            </w:tcBorders>
          </w:tcPr>
          <w:p>
            <w:pPr/>
          </w:p>
        </w:tc>
        <w:tc>
          <w:tcPr>
            <w:tcW w:w="2268" w:type="dxa"/>
            <w:vMerge/>
            <w:tcBorders>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0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98"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5" w:right="0"/>
              <w:jc w:val="left"/>
              <w:rPr>
                <w:rFonts w:ascii="宋体" w:hAnsi="宋体" w:cs="宋体" w:eastAsia="宋体" w:hint="default"/>
                <w:sz w:val="18"/>
                <w:szCs w:val="18"/>
              </w:rPr>
            </w:pPr>
            <w:r>
              <w:rPr>
                <w:rFonts w:ascii="宋体" w:hAnsi="宋体" w:cs="宋体" w:eastAsia="宋体" w:hint="default"/>
                <w:sz w:val="18"/>
                <w:szCs w:val="18"/>
              </w:rPr>
              <w:t>杭州天名房地产有限公司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3"/>
              <w:jc w:val="right"/>
              <w:rPr>
                <w:rFonts w:ascii="宋体" w:hAnsi="宋体" w:cs="宋体" w:eastAsia="宋体" w:hint="default"/>
                <w:sz w:val="18"/>
                <w:szCs w:val="18"/>
              </w:rPr>
            </w:pPr>
            <w:r>
              <w:rPr>
                <w:rFonts w:ascii="宋体"/>
                <w:sz w:val="18"/>
              </w:rPr>
              <w:t>172,738.81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4"/>
              <w:jc w:val="right"/>
              <w:rPr>
                <w:rFonts w:ascii="宋体" w:hAnsi="宋体" w:cs="宋体" w:eastAsia="宋体" w:hint="default"/>
                <w:sz w:val="18"/>
                <w:szCs w:val="18"/>
              </w:rPr>
            </w:pPr>
            <w:r>
              <w:rPr>
                <w:rFonts w:ascii="宋体"/>
                <w:sz w:val="18"/>
              </w:rPr>
              <w:t>5,182.16</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成都郡原置业有限公司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203,327.50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6,099.83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湖南中锴置业有限公司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829,765.98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24,892.98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沈阳华凌房地产有限公司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444,182.38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13,325.47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1,650,014.67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49,500.44</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(2).</w:t>
      </w:r>
      <w:r>
        <w:rPr>
          <w:rFonts w:ascii="宋体" w:hAnsi="宋体" w:cs="宋体" w:eastAsia="宋体" w:hint="default"/>
          <w:spacing w:val="86"/>
        </w:rPr>
        <w:t> </w:t>
      </w:r>
      <w:r>
        <w:rPr/>
        <w:t>应付项目</w:t>
      </w:r>
      <w:r>
        <w:rPr>
          <w:b w:val="0"/>
          <w:bCs w:val="0"/>
        </w:rPr>
      </w:r>
    </w:p>
    <w:p>
      <w:pPr>
        <w:pStyle w:val="BodyText"/>
        <w:tabs>
          <w:tab w:pos="945" w:val="left" w:leader="none"/>
        </w:tabs>
        <w:spacing w:line="240" w:lineRule="auto" w:before="57"/>
        <w:ind w:left="0" w:right="231"/>
        <w:jc w:val="right"/>
      </w:pPr>
      <w:r>
        <w:rPr/>
        <w:t>单位</w:t>
      </w:r>
      <w:r>
        <w:rPr>
          <w:rFonts w:ascii="宋体" w:hAnsi="宋体" w:cs="宋体" w:eastAsia="宋体" w:hint="default"/>
        </w:rPr>
        <w:t>:</w:t>
      </w:r>
      <w:r>
        <w:rPr/>
        <w:t>元</w:t>
        <w:tab/>
      </w:r>
      <w:r>
        <w:rPr>
          <w:spacing w:val="-1"/>
        </w:rPr>
        <w:t>币种</w:t>
      </w:r>
      <w:r>
        <w:rPr>
          <w:rFonts w:ascii="宋体" w:hAnsi="宋体" w:cs="宋体" w:eastAsia="宋体" w:hint="default"/>
          <w:spacing w:val="-1"/>
        </w:rPr>
        <w:t>:</w:t>
      </w:r>
      <w:r>
        <w:rPr>
          <w:spacing w:val="-1"/>
        </w:rPr>
        <w:t>人民币</w:t>
      </w:r>
    </w:p>
    <w:p>
      <w:pPr>
        <w:spacing w:line="240" w:lineRule="auto" w:before="7"/>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2128"/>
        <w:gridCol w:w="2046"/>
        <w:gridCol w:w="2050"/>
        <w:gridCol w:w="2670"/>
      </w:tblGrid>
      <w:tr>
        <w:trPr>
          <w:trHeight w:val="39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9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4" w:right="30"/>
              <w:jc w:val="left"/>
              <w:rPr>
                <w:rFonts w:ascii="宋体" w:hAnsi="宋体" w:cs="宋体" w:eastAsia="宋体" w:hint="default"/>
                <w:sz w:val="18"/>
                <w:szCs w:val="18"/>
              </w:rPr>
            </w:pPr>
            <w:r>
              <w:rPr>
                <w:rFonts w:ascii="宋体" w:hAnsi="宋体" w:cs="宋体" w:eastAsia="宋体" w:hint="default"/>
                <w:sz w:val="18"/>
                <w:szCs w:val="18"/>
              </w:rPr>
              <w:t>浙江郡原地产股份有限公 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8,372,521.73</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38,372,521.73</w:t>
            </w:r>
          </w:p>
        </w:tc>
      </w:tr>
      <w:tr>
        <w:trPr>
          <w:trHeight w:val="713"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24" w:right="30"/>
              <w:jc w:val="left"/>
              <w:rPr>
                <w:rFonts w:ascii="宋体" w:hAnsi="宋体" w:cs="宋体" w:eastAsia="宋体" w:hint="default"/>
                <w:sz w:val="18"/>
                <w:szCs w:val="18"/>
              </w:rPr>
            </w:pPr>
            <w:r>
              <w:rPr>
                <w:rFonts w:ascii="宋体" w:hAnsi="宋体" w:cs="宋体" w:eastAsia="宋体" w:hint="default"/>
                <w:sz w:val="18"/>
                <w:szCs w:val="18"/>
              </w:rPr>
              <w:t>长沙浏阳河产业带建设有 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794,901.62</w:t>
            </w: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1,344,997.75</w:t>
            </w:r>
          </w:p>
        </w:tc>
      </w:tr>
      <w:tr>
        <w:trPr>
          <w:trHeight w:val="71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4" w:right="30"/>
              <w:jc w:val="left"/>
              <w:rPr>
                <w:rFonts w:ascii="宋体" w:hAnsi="宋体" w:cs="宋体" w:eastAsia="宋体" w:hint="default"/>
                <w:sz w:val="18"/>
                <w:szCs w:val="18"/>
              </w:rPr>
            </w:pPr>
            <w:r>
              <w:rPr>
                <w:rFonts w:ascii="宋体" w:hAnsi="宋体" w:cs="宋体" w:eastAsia="宋体" w:hint="default"/>
                <w:sz w:val="18"/>
                <w:szCs w:val="18"/>
              </w:rPr>
              <w:t>上海斐讯数据通信技术有 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20,000,000.00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顾国平</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5,000,000.00</w:t>
            </w:r>
          </w:p>
        </w:tc>
        <w:tc>
          <w:tcPr>
            <w:tcW w:w="2670"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湖南中锴置业有限公司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608,391.50</w:t>
            </w:r>
          </w:p>
        </w:tc>
      </w:tr>
      <w:tr>
        <w:trPr>
          <w:trHeight w:val="39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沈阳华凌房地产有限公司</w:t>
            </w:r>
          </w:p>
        </w:tc>
        <w:tc>
          <w:tcPr>
            <w:tcW w:w="2050" w:type="dxa"/>
            <w:tcBorders>
              <w:top w:val="single" w:sz="4" w:space="0" w:color="000000"/>
              <w:left w:val="single" w:sz="4" w:space="0" w:color="000000"/>
              <w:bottom w:val="single" w:sz="4" w:space="0" w:color="000000"/>
              <w:right w:val="single" w:sz="4" w:space="0" w:color="000000"/>
            </w:tcBorders>
          </w:tcPr>
          <w:p>
            <w:pPr/>
          </w:p>
        </w:tc>
        <w:tc>
          <w:tcPr>
            <w:tcW w:w="2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97,494.13</w:t>
            </w:r>
          </w:p>
        </w:tc>
      </w:tr>
      <w:tr>
        <w:trPr>
          <w:trHeight w:val="398"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湖南宏梦置业有限公司</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24"/>
              <w:jc w:val="right"/>
              <w:rPr>
                <w:rFonts w:ascii="宋体" w:hAnsi="宋体" w:cs="宋体" w:eastAsia="宋体" w:hint="default"/>
                <w:sz w:val="18"/>
                <w:szCs w:val="18"/>
              </w:rPr>
            </w:pPr>
            <w:r>
              <w:rPr>
                <w:rFonts w:ascii="宋体"/>
                <w:sz w:val="18"/>
              </w:rPr>
              <w:t>1,050,000.00</w:t>
            </w:r>
          </w:p>
        </w:tc>
        <w:tc>
          <w:tcPr>
            <w:tcW w:w="267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3" w:type="dxa"/>
        <w:tblLayout w:type="fixed"/>
        <w:tblCellMar>
          <w:top w:w="0" w:type="dxa"/>
          <w:left w:w="0" w:type="dxa"/>
          <w:bottom w:w="0" w:type="dxa"/>
          <w:right w:w="0" w:type="dxa"/>
        </w:tblCellMar>
        <w:tblLook w:val="01E0"/>
      </w:tblPr>
      <w:tblGrid>
        <w:gridCol w:w="2128"/>
        <w:gridCol w:w="2046"/>
        <w:gridCol w:w="2050"/>
        <w:gridCol w:w="2673"/>
      </w:tblGrid>
      <w:tr>
        <w:trPr>
          <w:trHeight w:val="397"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046"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43" w:right="0"/>
              <w:jc w:val="left"/>
              <w:rPr>
                <w:rFonts w:ascii="宋体" w:hAnsi="宋体" w:cs="宋体" w:eastAsia="宋体" w:hint="default"/>
                <w:sz w:val="18"/>
                <w:szCs w:val="18"/>
              </w:rPr>
            </w:pPr>
            <w:r>
              <w:rPr>
                <w:rFonts w:ascii="宋体"/>
                <w:sz w:val="18"/>
              </w:rPr>
              <w:t>35,217,423.35</w:t>
            </w:r>
          </w:p>
        </w:tc>
        <w:tc>
          <w:tcPr>
            <w:tcW w:w="2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464" w:right="0"/>
              <w:jc w:val="left"/>
              <w:rPr>
                <w:rFonts w:ascii="宋体" w:hAnsi="宋体" w:cs="宋体" w:eastAsia="宋体" w:hint="default"/>
                <w:sz w:val="18"/>
                <w:szCs w:val="18"/>
              </w:rPr>
            </w:pPr>
            <w:r>
              <w:rPr>
                <w:rFonts w:ascii="宋体"/>
                <w:sz w:val="18"/>
              </w:rPr>
              <w:t>40,423,405.11</w:t>
            </w:r>
          </w:p>
        </w:tc>
      </w:tr>
    </w:tbl>
    <w:p>
      <w:pPr>
        <w:spacing w:line="240" w:lineRule="auto" w:before="0"/>
        <w:rPr>
          <w:rFonts w:ascii="宋体" w:hAnsi="宋体" w:cs="宋体" w:eastAsia="宋体" w:hint="default"/>
          <w:sz w:val="20"/>
          <w:szCs w:val="20"/>
        </w:rPr>
      </w:pPr>
    </w:p>
    <w:p>
      <w:pPr>
        <w:pStyle w:val="Heading3"/>
        <w:spacing w:line="240" w:lineRule="auto"/>
        <w:ind w:left="138" w:right="0"/>
        <w:jc w:val="both"/>
        <w:rPr>
          <w:b w:val="0"/>
          <w:bCs w:val="0"/>
        </w:rPr>
      </w:pPr>
      <w:r>
        <w:rPr>
          <w:rFonts w:ascii="宋体" w:hAnsi="宋体" w:cs="宋体" w:eastAsia="宋体" w:hint="default"/>
        </w:rPr>
        <w:t>7</w:t>
      </w:r>
      <w:r>
        <w:rPr/>
        <w:t>、 关联方承诺</w:t>
      </w:r>
      <w:r>
        <w:rPr>
          <w:b w:val="0"/>
          <w:bCs w:val="0"/>
        </w:rPr>
      </w:r>
    </w:p>
    <w:p>
      <w:pPr>
        <w:pStyle w:val="BodyText"/>
        <w:spacing w:line="357" w:lineRule="auto" w:before="119"/>
        <w:ind w:right="153"/>
        <w:jc w:val="both"/>
      </w:pPr>
      <w:r>
        <w:rPr>
          <w:rFonts w:ascii="宋体" w:hAnsi="宋体" w:cs="宋体" w:eastAsia="宋体" w:hint="default"/>
          <w:color w:val="333333"/>
        </w:rPr>
        <w:t>2012</w:t>
      </w:r>
      <w:r>
        <w:rPr>
          <w:rFonts w:ascii="宋体" w:hAnsi="宋体" w:cs="宋体" w:eastAsia="宋体" w:hint="default"/>
          <w:color w:val="333333"/>
          <w:spacing w:val="-54"/>
        </w:rPr>
        <w:t> </w:t>
      </w:r>
      <w:r>
        <w:rPr>
          <w:color w:val="333333"/>
        </w:rPr>
        <w:t>年</w:t>
      </w:r>
      <w:r>
        <w:rPr>
          <w:color w:val="333333"/>
          <w:spacing w:val="-54"/>
        </w:rPr>
        <w:t> </w:t>
      </w:r>
      <w:r>
        <w:rPr>
          <w:rFonts w:ascii="宋体" w:hAnsi="宋体" w:cs="宋体" w:eastAsia="宋体" w:hint="default"/>
          <w:color w:val="333333"/>
        </w:rPr>
        <w:t>12</w:t>
      </w:r>
      <w:r>
        <w:rPr>
          <w:rFonts w:ascii="宋体" w:hAnsi="宋体" w:cs="宋体" w:eastAsia="宋体" w:hint="default"/>
          <w:color w:val="333333"/>
          <w:spacing w:val="-53"/>
        </w:rPr>
        <w:t> </w:t>
      </w:r>
      <w:r>
        <w:rPr>
          <w:color w:val="333333"/>
        </w:rPr>
        <w:t>月，浙江郡原地产股份有限公司（以下简称“郡原地产”）承诺，保证无偿赠予公司 的杭州郡原物业服务有限公司（以下简称“杭州物业”）</w:t>
      </w:r>
      <w:r>
        <w:rPr>
          <w:rFonts w:ascii="宋体" w:hAnsi="宋体" w:cs="宋体" w:eastAsia="宋体" w:hint="default"/>
          <w:color w:val="333333"/>
        </w:rPr>
        <w:t>2012</w:t>
      </w:r>
      <w:r>
        <w:rPr>
          <w:rFonts w:ascii="宋体" w:hAnsi="宋体" w:cs="宋体" w:eastAsia="宋体" w:hint="default"/>
          <w:color w:val="333333"/>
          <w:spacing w:val="-53"/>
        </w:rPr>
        <w:t> </w:t>
      </w:r>
      <w:r>
        <w:rPr>
          <w:color w:val="333333"/>
        </w:rPr>
        <w:t>年、</w:t>
      </w:r>
      <w:r>
        <w:rPr>
          <w:rFonts w:ascii="宋体" w:hAnsi="宋体" w:cs="宋体" w:eastAsia="宋体" w:hint="default"/>
          <w:color w:val="333333"/>
        </w:rPr>
        <w:t>2013</w:t>
      </w:r>
      <w:r>
        <w:rPr>
          <w:rFonts w:ascii="宋体" w:hAnsi="宋体" w:cs="宋体" w:eastAsia="宋体" w:hint="default"/>
          <w:color w:val="333333"/>
          <w:spacing w:val="-52"/>
        </w:rPr>
        <w:t> </w:t>
      </w:r>
      <w:r>
        <w:rPr>
          <w:color w:val="333333"/>
        </w:rPr>
        <w:t>年、</w:t>
      </w:r>
      <w:r>
        <w:rPr>
          <w:rFonts w:ascii="宋体" w:hAnsi="宋体" w:cs="宋体" w:eastAsia="宋体" w:hint="default"/>
          <w:color w:val="333333"/>
        </w:rPr>
        <w:t>2014</w:t>
      </w:r>
      <w:r>
        <w:rPr>
          <w:rFonts w:ascii="宋体" w:hAnsi="宋体" w:cs="宋体" w:eastAsia="宋体" w:hint="default"/>
          <w:color w:val="333333"/>
          <w:spacing w:val="-54"/>
        </w:rPr>
        <w:t> </w:t>
      </w:r>
      <w:r>
        <w:rPr>
          <w:color w:val="333333"/>
        </w:rPr>
        <w:t>年经审计后的 合并报表归属于母公司所有者的净利润分别不低于人民币</w:t>
      </w:r>
      <w:r>
        <w:rPr>
          <w:color w:val="333333"/>
          <w:spacing w:val="-50"/>
        </w:rPr>
        <w:t> </w:t>
      </w:r>
      <w:r>
        <w:rPr>
          <w:rFonts w:ascii="宋体" w:hAnsi="宋体" w:cs="宋体" w:eastAsia="宋体" w:hint="default"/>
          <w:color w:val="333333"/>
        </w:rPr>
        <w:t>440</w:t>
      </w:r>
      <w:r>
        <w:rPr>
          <w:rFonts w:ascii="宋体" w:hAnsi="宋体" w:cs="宋体" w:eastAsia="宋体" w:hint="default"/>
          <w:color w:val="333333"/>
          <w:spacing w:val="-50"/>
        </w:rPr>
        <w:t> </w:t>
      </w:r>
      <w:r>
        <w:rPr>
          <w:color w:val="333333"/>
          <w:spacing w:val="-6"/>
        </w:rPr>
        <w:t>万元、</w:t>
      </w:r>
      <w:r>
        <w:rPr>
          <w:rFonts w:ascii="宋体" w:hAnsi="宋体" w:cs="宋体" w:eastAsia="宋体" w:hint="default"/>
          <w:color w:val="333333"/>
          <w:spacing w:val="-6"/>
        </w:rPr>
        <w:t>460</w:t>
      </w:r>
      <w:r>
        <w:rPr>
          <w:rFonts w:ascii="宋体" w:hAnsi="宋体" w:cs="宋体" w:eastAsia="宋体" w:hint="default"/>
          <w:color w:val="333333"/>
          <w:spacing w:val="-50"/>
        </w:rPr>
        <w:t> </w:t>
      </w:r>
      <w:r>
        <w:rPr>
          <w:color w:val="333333"/>
          <w:spacing w:val="-6"/>
        </w:rPr>
        <w:t>万元、</w:t>
      </w:r>
      <w:r>
        <w:rPr>
          <w:rFonts w:ascii="宋体" w:hAnsi="宋体" w:cs="宋体" w:eastAsia="宋体" w:hint="default"/>
          <w:color w:val="333333"/>
          <w:spacing w:val="-6"/>
        </w:rPr>
        <w:t>530</w:t>
      </w:r>
      <w:r>
        <w:rPr>
          <w:rFonts w:ascii="宋体" w:hAnsi="宋体" w:cs="宋体" w:eastAsia="宋体" w:hint="default"/>
          <w:color w:val="333333"/>
          <w:spacing w:val="-51"/>
        </w:rPr>
        <w:t> </w:t>
      </w:r>
      <w:r>
        <w:rPr>
          <w:color w:val="333333"/>
          <w:spacing w:val="-6"/>
        </w:rPr>
        <w:t>万元；若杭州</w:t>
      </w:r>
      <w:r>
        <w:rPr>
          <w:color w:val="333333"/>
        </w:rPr>
        <w:t> 物业在</w:t>
      </w:r>
      <w:r>
        <w:rPr>
          <w:color w:val="333333"/>
          <w:spacing w:val="-54"/>
        </w:rPr>
        <w:t> </w:t>
      </w:r>
      <w:r>
        <w:rPr>
          <w:rFonts w:ascii="宋体" w:hAnsi="宋体" w:cs="宋体" w:eastAsia="宋体" w:hint="default"/>
          <w:color w:val="333333"/>
        </w:rPr>
        <w:t>2012</w:t>
      </w:r>
      <w:r>
        <w:rPr>
          <w:rFonts w:ascii="宋体" w:hAnsi="宋体" w:cs="宋体" w:eastAsia="宋体" w:hint="default"/>
          <w:color w:val="333333"/>
          <w:spacing w:val="-55"/>
        </w:rPr>
        <w:t> </w:t>
      </w:r>
      <w:r>
        <w:rPr>
          <w:color w:val="333333"/>
        </w:rPr>
        <w:t>年、</w:t>
      </w:r>
      <w:r>
        <w:rPr>
          <w:rFonts w:ascii="宋体" w:hAnsi="宋体" w:cs="宋体" w:eastAsia="宋体" w:hint="default"/>
          <w:color w:val="333333"/>
        </w:rPr>
        <w:t>2013</w:t>
      </w:r>
      <w:r>
        <w:rPr>
          <w:rFonts w:ascii="宋体" w:hAnsi="宋体" w:cs="宋体" w:eastAsia="宋体" w:hint="default"/>
          <w:color w:val="333333"/>
          <w:spacing w:val="-52"/>
        </w:rPr>
        <w:t> </w:t>
      </w:r>
      <w:r>
        <w:rPr>
          <w:color w:val="333333"/>
        </w:rPr>
        <w:t>年、</w:t>
      </w:r>
      <w:r>
        <w:rPr>
          <w:rFonts w:ascii="宋体" w:hAnsi="宋体" w:cs="宋体" w:eastAsia="宋体" w:hint="default"/>
          <w:color w:val="333333"/>
        </w:rPr>
        <w:t>2014</w:t>
      </w:r>
      <w:r>
        <w:rPr>
          <w:rFonts w:ascii="宋体" w:hAnsi="宋体" w:cs="宋体" w:eastAsia="宋体" w:hint="default"/>
          <w:color w:val="333333"/>
          <w:spacing w:val="-52"/>
        </w:rPr>
        <w:t> </w:t>
      </w:r>
      <w:r>
        <w:rPr>
          <w:color w:val="333333"/>
        </w:rPr>
        <w:t>年任一年度结束后的经审计后的合并报表归属于母公司所有者的 净利润低于前述的业绩，郡原地产将以现金方式向公司补足杭州物业当年度实际盈利数与前述承 诺业绩数之间的差额部分。同时，郡原地产承诺，郡原地产未来新开发的房地产项目如需第三方 提供物业管理服务，在同等条件下，杭州物业及其子公司可以优先获得前述物业管理服务等相关 业务。</w:t>
      </w:r>
      <w:r>
        <w:rPr/>
      </w:r>
    </w:p>
    <w:p>
      <w:pPr>
        <w:spacing w:line="240" w:lineRule="auto" w:before="8"/>
        <w:rPr>
          <w:rFonts w:ascii="宋体" w:hAnsi="宋体" w:cs="宋体" w:eastAsia="宋体" w:hint="default"/>
          <w:sz w:val="27"/>
          <w:szCs w:val="27"/>
        </w:rPr>
      </w:pPr>
    </w:p>
    <w:p>
      <w:pPr>
        <w:tabs>
          <w:tab w:pos="977" w:val="left" w:leader="none"/>
        </w:tabs>
        <w:spacing w:line="429" w:lineRule="auto" w:before="0"/>
        <w:ind w:left="138" w:right="2686" w:firstLine="0"/>
        <w:jc w:val="left"/>
        <w:rPr>
          <w:rFonts w:ascii="宋体" w:hAnsi="宋体" w:cs="宋体" w:eastAsia="宋体" w:hint="default"/>
          <w:sz w:val="21"/>
          <w:szCs w:val="21"/>
        </w:rPr>
      </w:pPr>
      <w:r>
        <w:rPr>
          <w:rFonts w:ascii="宋体" w:hAnsi="宋体" w:cs="宋体" w:eastAsia="宋体" w:hint="default"/>
          <w:b/>
          <w:bCs/>
          <w:w w:val="95"/>
          <w:sz w:val="21"/>
          <w:szCs w:val="21"/>
        </w:rPr>
        <w:t>十三、</w:t>
        <w:tab/>
      </w:r>
      <w:r>
        <w:rPr>
          <w:rFonts w:ascii="宋体" w:hAnsi="宋体" w:cs="宋体" w:eastAsia="宋体" w:hint="default"/>
          <w:b/>
          <w:bCs/>
          <w:sz w:val="21"/>
          <w:szCs w:val="21"/>
        </w:rPr>
        <w:t>承诺及或有事项</w:t>
      </w:r>
      <w:r>
        <w:rPr>
          <w:rFonts w:ascii="宋体" w:hAnsi="宋体" w:cs="宋体" w:eastAsia="宋体" w:hint="default"/>
          <w:b/>
          <w:bCs/>
          <w:w w:val="99"/>
          <w:sz w:val="21"/>
          <w:szCs w:val="21"/>
        </w:rPr>
        <w:t> </w:t>
      </w:r>
      <w:r>
        <w:rPr>
          <w:rFonts w:ascii="宋体" w:hAnsi="宋体" w:cs="宋体" w:eastAsia="宋体" w:hint="default"/>
          <w:sz w:val="21"/>
          <w:szCs w:val="21"/>
        </w:rPr>
        <w:t>截止财务报告批准报出日，公司无需要披露的重大承诺及或有事项。</w:t>
      </w:r>
    </w:p>
    <w:p>
      <w:pPr>
        <w:spacing w:line="240" w:lineRule="auto" w:before="11"/>
        <w:rPr>
          <w:rFonts w:ascii="宋体" w:hAnsi="宋体" w:cs="宋体" w:eastAsia="宋体" w:hint="default"/>
          <w:sz w:val="14"/>
          <w:szCs w:val="14"/>
        </w:rPr>
      </w:pPr>
    </w:p>
    <w:p>
      <w:pPr>
        <w:tabs>
          <w:tab w:pos="977" w:val="left" w:leader="none"/>
        </w:tabs>
        <w:spacing w:line="429" w:lineRule="auto" w:before="0"/>
        <w:ind w:left="138" w:right="2686" w:firstLine="0"/>
        <w:jc w:val="left"/>
        <w:rPr>
          <w:rFonts w:ascii="宋体" w:hAnsi="宋体" w:cs="宋体" w:eastAsia="宋体" w:hint="default"/>
          <w:sz w:val="21"/>
          <w:szCs w:val="21"/>
        </w:rPr>
      </w:pPr>
      <w:r>
        <w:rPr>
          <w:rFonts w:ascii="宋体" w:hAnsi="宋体" w:cs="宋体" w:eastAsia="宋体" w:hint="default"/>
          <w:b/>
          <w:bCs/>
          <w:w w:val="95"/>
          <w:sz w:val="21"/>
          <w:szCs w:val="21"/>
        </w:rPr>
        <w:t>十四、</w:t>
        <w:tab/>
      </w:r>
      <w:r>
        <w:rPr>
          <w:rFonts w:ascii="宋体" w:hAnsi="宋体" w:cs="宋体" w:eastAsia="宋体" w:hint="default"/>
          <w:b/>
          <w:bCs/>
          <w:sz w:val="21"/>
          <w:szCs w:val="21"/>
        </w:rPr>
        <w:t>资产负债表日后事项</w:t>
      </w:r>
      <w:r>
        <w:rPr>
          <w:rFonts w:ascii="宋体" w:hAnsi="宋体" w:cs="宋体" w:eastAsia="宋体" w:hint="default"/>
          <w:b/>
          <w:bCs/>
          <w:w w:val="99"/>
          <w:sz w:val="21"/>
          <w:szCs w:val="21"/>
        </w:rPr>
        <w:t> </w:t>
      </w:r>
      <w:r>
        <w:rPr>
          <w:rFonts w:ascii="宋体" w:hAnsi="宋体" w:cs="宋体" w:eastAsia="宋体" w:hint="default"/>
          <w:sz w:val="21"/>
          <w:szCs w:val="21"/>
        </w:rPr>
        <w:t>截止财务报告批准报出日，公司无需要披露的资产负债表日后事项。</w:t>
      </w:r>
    </w:p>
    <w:p>
      <w:pPr>
        <w:spacing w:line="240" w:lineRule="auto" w:before="5"/>
        <w:rPr>
          <w:rFonts w:ascii="宋体" w:hAnsi="宋体" w:cs="宋体" w:eastAsia="宋体" w:hint="default"/>
          <w:sz w:val="19"/>
          <w:szCs w:val="19"/>
        </w:rPr>
      </w:pPr>
    </w:p>
    <w:p>
      <w:pPr>
        <w:pStyle w:val="Heading3"/>
        <w:tabs>
          <w:tab w:pos="977" w:val="left" w:leader="none"/>
        </w:tabs>
        <w:spacing w:line="343" w:lineRule="auto" w:before="0"/>
        <w:ind w:left="138" w:right="6883"/>
        <w:jc w:val="left"/>
        <w:rPr>
          <w:b w:val="0"/>
          <w:bCs w:val="0"/>
        </w:rPr>
      </w:pPr>
      <w:r>
        <w:rPr>
          <w:w w:val="95"/>
        </w:rPr>
        <w:t>十五、</w:t>
        <w:tab/>
      </w:r>
      <w:r>
        <w:rPr/>
        <w:t>其他重要事项</w:t>
      </w:r>
      <w:r>
        <w:rPr>
          <w:w w:val="99"/>
        </w:rPr>
        <w:t> </w:t>
      </w:r>
      <w:r>
        <w:rPr>
          <w:rFonts w:ascii="宋体" w:hAnsi="宋体" w:cs="宋体" w:eastAsia="宋体" w:hint="default"/>
        </w:rPr>
        <w:t>1</w:t>
      </w:r>
      <w:r>
        <w:rPr/>
        <w:t>、</w:t>
      </w:r>
      <w:r>
        <w:rPr>
          <w:spacing w:val="2"/>
        </w:rPr>
        <w:t> </w:t>
      </w:r>
      <w:r>
        <w:rPr/>
        <w:t>债务重组</w:t>
      </w:r>
      <w:r>
        <w:rPr>
          <w:b w:val="0"/>
          <w:bCs w:val="0"/>
        </w:rPr>
      </w:r>
    </w:p>
    <w:p>
      <w:pPr>
        <w:pStyle w:val="BodyText"/>
        <w:spacing w:line="357" w:lineRule="auto" w:before="28"/>
        <w:ind w:right="158" w:firstLine="420"/>
        <w:jc w:val="both"/>
      </w:pPr>
      <w:r>
        <w:rPr>
          <w:rFonts w:ascii="宋体" w:hAnsi="宋体" w:cs="宋体" w:eastAsia="宋体" w:hint="default"/>
        </w:rPr>
        <w:t>2014</w:t>
      </w:r>
      <w:r>
        <w:rPr>
          <w:rFonts w:ascii="宋体" w:hAnsi="宋体" w:cs="宋体" w:eastAsia="宋体" w:hint="default"/>
          <w:spacing w:val="-63"/>
        </w:rPr>
        <w:t> </w:t>
      </w:r>
      <w:r>
        <w:rPr/>
        <w:t>年</w:t>
      </w:r>
      <w:r>
        <w:rPr>
          <w:spacing w:val="-63"/>
        </w:rPr>
        <w:t> </w:t>
      </w:r>
      <w:r>
        <w:rPr>
          <w:rFonts w:ascii="宋体" w:hAnsi="宋体" w:cs="宋体" w:eastAsia="宋体" w:hint="default"/>
        </w:rPr>
        <w:t>4</w:t>
      </w:r>
      <w:r>
        <w:rPr>
          <w:rFonts w:ascii="宋体" w:hAnsi="宋体" w:cs="宋体" w:eastAsia="宋体" w:hint="default"/>
          <w:spacing w:val="-63"/>
        </w:rPr>
        <w:t> </w:t>
      </w:r>
      <w:r>
        <w:rPr/>
        <w:t>月</w:t>
      </w:r>
      <w:r>
        <w:rPr>
          <w:spacing w:val="-63"/>
        </w:rPr>
        <w:t> </w:t>
      </w:r>
      <w:r>
        <w:rPr>
          <w:rFonts w:ascii="宋体" w:hAnsi="宋体" w:cs="宋体" w:eastAsia="宋体" w:hint="default"/>
        </w:rPr>
        <w:t>1</w:t>
      </w:r>
      <w:r>
        <w:rPr>
          <w:rFonts w:ascii="宋体" w:hAnsi="宋体" w:cs="宋体" w:eastAsia="宋体" w:hint="default"/>
          <w:spacing w:val="-62"/>
        </w:rPr>
        <w:t> </w:t>
      </w:r>
      <w:r>
        <w:rPr/>
        <w:t>日，公司在上海交易所停牌拟进行重大资产重组，原拟采取发行股份购买资产 并募集配套资金的方式购买上海斐讯数据通信技术有限公司</w:t>
      </w:r>
      <w:r>
        <w:rPr>
          <w:rFonts w:ascii="宋体" w:hAnsi="宋体" w:cs="宋体" w:eastAsia="宋体" w:hint="default"/>
        </w:rPr>
        <w:t>(</w:t>
      </w:r>
      <w:r>
        <w:rPr/>
        <w:t>以下简称“斐讯技术”)全体股东合 计持有的斐讯技术</w:t>
      </w:r>
      <w:r>
        <w:rPr>
          <w:spacing w:val="-53"/>
        </w:rPr>
        <w:t> </w:t>
      </w:r>
      <w:r>
        <w:rPr>
          <w:rFonts w:ascii="宋体" w:hAnsi="宋体" w:cs="宋体" w:eastAsia="宋体" w:hint="default"/>
          <w:spacing w:val="-3"/>
        </w:rPr>
        <w:t>100%</w:t>
      </w:r>
      <w:r>
        <w:rPr>
          <w:spacing w:val="-3"/>
        </w:rPr>
        <w:t>股权。</w:t>
      </w:r>
      <w:r>
        <w:rPr>
          <w:rFonts w:ascii="宋体" w:hAnsi="宋体" w:cs="宋体" w:eastAsia="宋体" w:hint="default"/>
          <w:spacing w:val="-3"/>
        </w:rPr>
        <w:t>2014</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2"/>
        </w:rPr>
        <w:t> </w:t>
      </w:r>
      <w:r>
        <w:rPr>
          <w:spacing w:val="-3"/>
        </w:rPr>
        <w:t>日，因未能在一些事项上达成一致意见，双方决定终</w:t>
      </w:r>
      <w:r>
        <w:rPr/>
        <w:t> 止此次重大资产重组。</w:t>
      </w:r>
    </w:p>
    <w:p>
      <w:pPr>
        <w:pStyle w:val="BodyText"/>
        <w:spacing w:line="240" w:lineRule="auto" w:before="31"/>
        <w:ind w:left="558" w:right="148"/>
        <w:jc w:val="left"/>
      </w:pP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7</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日，公司与顾国平及其他战略投资者分别签署了《附条件生效的非公开发行</w:t>
      </w:r>
    </w:p>
    <w:p>
      <w:pPr>
        <w:pStyle w:val="BodyText"/>
        <w:spacing w:line="357" w:lineRule="auto" w:before="133"/>
        <w:ind w:right="165"/>
        <w:jc w:val="both"/>
      </w:pPr>
      <w:r>
        <w:rPr/>
        <w:t>股票认购协议》，拟通过向顾国平及其他战略投资者非公开发行不超过</w:t>
      </w:r>
      <w:r>
        <w:rPr>
          <w:spacing w:val="-53"/>
        </w:rPr>
        <w:t> </w:t>
      </w:r>
      <w:r>
        <w:rPr>
          <w:rFonts w:ascii="宋体" w:hAnsi="宋体" w:cs="宋体" w:eastAsia="宋体" w:hint="default"/>
        </w:rPr>
        <w:t>643,835,616</w:t>
      </w:r>
      <w:r>
        <w:rPr>
          <w:rFonts w:ascii="宋体" w:hAnsi="宋体" w:cs="宋体" w:eastAsia="宋体" w:hint="default"/>
          <w:spacing w:val="-53"/>
        </w:rPr>
        <w:t> </w:t>
      </w:r>
      <w:r>
        <w:rPr/>
        <w:t>股人民币普 通股的方式募集资金，以发展智慧城市为主的经营业务。目前，该非公开发行募集资金方案正在 报证监会批准。</w:t>
      </w:r>
    </w:p>
    <w:p>
      <w:pPr>
        <w:spacing w:line="240" w:lineRule="auto" w:before="0"/>
        <w:rPr>
          <w:rFonts w:ascii="宋体" w:hAnsi="宋体" w:cs="宋体" w:eastAsia="宋体" w:hint="default"/>
          <w:sz w:val="20"/>
          <w:szCs w:val="20"/>
        </w:rPr>
      </w:pPr>
    </w:p>
    <w:p>
      <w:pPr>
        <w:pStyle w:val="Heading3"/>
        <w:spacing w:line="240" w:lineRule="auto" w:before="159"/>
        <w:ind w:left="138" w:right="0"/>
        <w:jc w:val="both"/>
        <w:rPr>
          <w:b w:val="0"/>
          <w:bCs w:val="0"/>
        </w:rPr>
      </w:pPr>
      <w:r>
        <w:rPr>
          <w:rFonts w:ascii="宋体" w:hAnsi="宋体" w:cs="宋体" w:eastAsia="宋体" w:hint="default"/>
        </w:rPr>
        <w:t>2</w:t>
      </w:r>
      <w:r>
        <w:rPr/>
        <w:t>、</w:t>
      </w:r>
      <w:r>
        <w:rPr>
          <w:spacing w:val="2"/>
        </w:rPr>
        <w:t> </w:t>
      </w:r>
      <w:r>
        <w:rPr/>
        <w:t>分部信息</w:t>
      </w:r>
      <w:r>
        <w:rPr>
          <w:b w:val="0"/>
          <w:bCs w:val="0"/>
        </w:rPr>
      </w:r>
    </w:p>
    <w:p>
      <w:pPr>
        <w:tabs>
          <w:tab w:pos="782" w:val="left" w:leader="none"/>
        </w:tabs>
        <w:spacing w:line="343" w:lineRule="auto" w:before="117"/>
        <w:ind w:left="558" w:right="155"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z w:val="21"/>
          <w:szCs w:val="21"/>
        </w:rPr>
        <w:t>本公司对经济特征不相似的经营分部，分别确定为不同的经营分部。具有相似经济特征的两</w:t>
      </w:r>
    </w:p>
    <w:p>
      <w:pPr>
        <w:pStyle w:val="BodyText"/>
        <w:spacing w:line="355" w:lineRule="auto" w:before="44"/>
        <w:ind w:right="152"/>
        <w:jc w:val="both"/>
      </w:pPr>
      <w:r>
        <w:rPr/>
        <w:t>个或多个经营分部同时满足符合条件的，合并为一个经营分部。目前，公司按物业管理服务和智</w:t>
      </w:r>
      <w:r>
        <w:rPr>
          <w:spacing w:val="-96"/>
        </w:rPr>
        <w:t> </w:t>
      </w:r>
      <w:r>
        <w:rPr>
          <w:spacing w:val="-96"/>
        </w:rPr>
      </w:r>
      <w:r>
        <w:rPr/>
        <w:t>慧城市业务分两个经营分部。</w:t>
      </w:r>
      <w:r>
        <w:rPr>
          <w:rFonts w:ascii="宋体" w:hAnsi="宋体" w:cs="宋体" w:eastAsia="宋体" w:hint="default"/>
        </w:rPr>
        <w:t>2014</w:t>
      </w:r>
      <w:r>
        <w:rPr>
          <w:rFonts w:ascii="宋体" w:hAnsi="宋体" w:cs="宋体" w:eastAsia="宋体" w:hint="default"/>
          <w:spacing w:val="-88"/>
        </w:rPr>
        <w:t> </w:t>
      </w:r>
      <w:r>
        <w:rPr/>
        <w:t>年度智慧城市业务尚未正式开展，现披露的分部报告是物业管 理经营分部信息。</w:t>
      </w:r>
    </w:p>
    <w:p>
      <w:pPr>
        <w:spacing w:after="0" w:line="355" w:lineRule="auto"/>
        <w:jc w:val="both"/>
        <w:sectPr>
          <w:pgSz w:w="11910" w:h="16840"/>
          <w:pgMar w:header="882" w:footer="1194" w:top="1120" w:bottom="1380" w:left="1660" w:right="1120"/>
        </w:sectPr>
      </w:pPr>
    </w:p>
    <w:p>
      <w:pPr>
        <w:spacing w:line="240" w:lineRule="auto" w:before="4"/>
        <w:rPr>
          <w:rFonts w:ascii="宋体" w:hAnsi="宋体" w:cs="宋体" w:eastAsia="宋体" w:hint="default"/>
          <w:sz w:val="25"/>
          <w:szCs w:val="25"/>
        </w:rPr>
      </w:pPr>
    </w:p>
    <w:p>
      <w:pPr>
        <w:pStyle w:val="BodyText"/>
        <w:spacing w:line="357" w:lineRule="auto" w:before="35"/>
        <w:ind w:left="218" w:right="91" w:firstLine="525"/>
        <w:jc w:val="left"/>
      </w:pPr>
      <w:r>
        <w:rPr>
          <w:spacing w:val="-3"/>
        </w:rPr>
        <w:t>报告分部是指符合经营分部定义，按规定应予披露的经营分部。经营分部满足下列条件之一</w:t>
      </w:r>
      <w:r>
        <w:rPr/>
        <w:t> 的，将其确定为报告分部：</w:t>
      </w:r>
      <w:r>
        <w:rPr>
          <w:rFonts w:ascii="宋体" w:hAnsi="宋体" w:cs="宋体" w:eastAsia="宋体" w:hint="default"/>
        </w:rPr>
        <w:t>1.</w:t>
      </w:r>
      <w:r>
        <w:rPr/>
        <w:t>该经营分部的分部收入占所有分部收入入合计的</w:t>
      </w:r>
      <w:r>
        <w:rPr>
          <w:spacing w:val="-53"/>
        </w:rPr>
        <w:t> </w:t>
      </w:r>
      <w:r>
        <w:rPr>
          <w:rFonts w:ascii="宋体" w:hAnsi="宋体" w:cs="宋体" w:eastAsia="宋体" w:hint="default"/>
        </w:rPr>
        <w:t>10%</w:t>
      </w:r>
      <w:r>
        <w:rPr/>
        <w:t>或者以上；</w:t>
      </w:r>
      <w:r>
        <w:rPr>
          <w:rFonts w:ascii="宋体" w:hAnsi="宋体" w:cs="宋体" w:eastAsia="宋体" w:hint="default"/>
        </w:rPr>
        <w:t>2.</w:t>
      </w:r>
      <w:r>
        <w:rPr>
          <w:rFonts w:ascii="宋体" w:hAnsi="宋体" w:cs="宋体" w:eastAsia="宋体" w:hint="default"/>
          <w:spacing w:val="-1"/>
        </w:rPr>
        <w:t> </w:t>
      </w:r>
      <w:r>
        <w:rPr/>
        <w:t>该分部的分部利润</w:t>
      </w:r>
      <w:r>
        <w:rPr>
          <w:rFonts w:ascii="宋体" w:hAnsi="宋体" w:cs="宋体" w:eastAsia="宋体" w:hint="default"/>
        </w:rPr>
        <w:t>(</w:t>
      </w:r>
      <w:r>
        <w:rPr/>
        <w:t>亏损</w:t>
      </w:r>
      <w:r>
        <w:rPr>
          <w:rFonts w:ascii="宋体" w:hAnsi="宋体" w:cs="宋体" w:eastAsia="宋体" w:hint="default"/>
        </w:rPr>
        <w:t>)</w:t>
      </w:r>
      <w:r>
        <w:rPr/>
        <w:t>的绝对额，占所有盈利分部利润合计额或者所有亏损分部亏损合计额的 绝对额两者中较大者的 </w:t>
      </w:r>
      <w:r>
        <w:rPr>
          <w:rFonts w:ascii="宋体" w:hAnsi="宋体" w:cs="宋体" w:eastAsia="宋体" w:hint="default"/>
          <w:spacing w:val="-4"/>
        </w:rPr>
        <w:t>10%</w:t>
      </w:r>
      <w:r>
        <w:rPr>
          <w:spacing w:val="-4"/>
        </w:rPr>
        <w:t>或者以上；</w:t>
      </w:r>
      <w:r>
        <w:rPr>
          <w:rFonts w:ascii="宋体" w:hAnsi="宋体" w:cs="宋体" w:eastAsia="宋体" w:hint="default"/>
          <w:spacing w:val="-4"/>
        </w:rPr>
        <w:t>3.</w:t>
      </w:r>
      <w:r>
        <w:rPr>
          <w:spacing w:val="-4"/>
        </w:rPr>
        <w:t>该分部的分部资产占所有分部资产合计额的</w:t>
      </w:r>
      <w:r>
        <w:rPr>
          <w:spacing w:val="-79"/>
        </w:rPr>
        <w:t> </w:t>
      </w:r>
      <w:r>
        <w:rPr>
          <w:rFonts w:ascii="宋体" w:hAnsi="宋体" w:cs="宋体" w:eastAsia="宋体" w:hint="default"/>
          <w:spacing w:val="-1"/>
        </w:rPr>
        <w:t>10%</w:t>
      </w:r>
      <w:r>
        <w:rPr>
          <w:spacing w:val="-1"/>
        </w:rPr>
        <w:t>或者以上。</w:t>
      </w:r>
    </w:p>
    <w:p>
      <w:pPr>
        <w:spacing w:line="240" w:lineRule="auto" w:before="0"/>
        <w:rPr>
          <w:rFonts w:ascii="宋体" w:hAnsi="宋体" w:cs="宋体" w:eastAsia="宋体" w:hint="default"/>
          <w:sz w:val="25"/>
          <w:szCs w:val="25"/>
        </w:rPr>
      </w:pPr>
    </w:p>
    <w:p>
      <w:pPr>
        <w:pStyle w:val="Heading3"/>
        <w:tabs>
          <w:tab w:pos="862" w:val="left" w:leader="none"/>
        </w:tabs>
        <w:spacing w:line="240" w:lineRule="auto"/>
        <w:ind w:right="89"/>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49" w:val="left" w:leader="none"/>
        </w:tabs>
        <w:spacing w:line="240" w:lineRule="auto" w:before="56"/>
        <w:ind w:left="0" w:right="31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2"/>
        <w:gridCol w:w="2268"/>
        <w:gridCol w:w="1706"/>
        <w:gridCol w:w="2134"/>
      </w:tblGrid>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88" w:right="0"/>
              <w:jc w:val="left"/>
              <w:rPr>
                <w:rFonts w:ascii="宋体" w:hAnsi="宋体" w:cs="宋体" w:eastAsia="宋体" w:hint="default"/>
                <w:sz w:val="18"/>
                <w:szCs w:val="18"/>
              </w:rPr>
            </w:pPr>
            <w:r>
              <w:rPr>
                <w:rFonts w:ascii="宋体" w:hAnsi="宋体" w:cs="宋体" w:eastAsia="宋体" w:hint="default"/>
                <w:sz w:val="18"/>
                <w:szCs w:val="18"/>
              </w:rPr>
              <w:t>物业管理服务</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一、主营业务收入</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44,400,646.96</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44,400,646.96</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二、主营业务成本</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32,178,887.29</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32,178,887.29</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三、对联营和合营企业的投资收益</w:t>
            </w:r>
          </w:p>
        </w:tc>
        <w:tc>
          <w:tcPr>
            <w:tcW w:w="226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四、资产减值损失</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239,137.08</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239,137.08</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五、折旧费和摊销费</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187,036.87</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187,036.87</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7,307,707.40</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7,307,707.40</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七、所得税费用</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1,813,769.29</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1,813,769.29</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5,493,938.11</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5,493,938.11</w:t>
            </w:r>
          </w:p>
        </w:tc>
      </w:tr>
      <w:tr>
        <w:trPr>
          <w:trHeight w:val="397"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36,994,249.33</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36,994,249.33</w:t>
            </w:r>
          </w:p>
        </w:tc>
      </w:tr>
      <w:tr>
        <w:trPr>
          <w:trHeight w:val="398" w:hRule="exact"/>
        </w:trPr>
        <w:tc>
          <w:tcPr>
            <w:tcW w:w="2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16,515,407.06</w:t>
            </w:r>
          </w:p>
        </w:tc>
        <w:tc>
          <w:tcPr>
            <w:tcW w:w="1706"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16,515,407.06</w:t>
            </w:r>
          </w:p>
        </w:tc>
      </w:tr>
    </w:tbl>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footerReference w:type="default" r:id="rId49"/>
          <w:pgSz w:w="11910" w:h="16840"/>
          <w:pgMar w:footer="1194" w:header="882" w:top="1120" w:bottom="1380" w:left="1580" w:right="960"/>
          <w:pgNumType w:start="110"/>
        </w:sectPr>
      </w:pPr>
    </w:p>
    <w:p>
      <w:pPr>
        <w:pStyle w:val="Heading3"/>
        <w:tabs>
          <w:tab w:pos="1057" w:val="left" w:leader="none"/>
        </w:tabs>
        <w:spacing w:line="343" w:lineRule="auto"/>
        <w:ind w:right="0"/>
        <w:jc w:val="left"/>
        <w:rPr>
          <w:b w:val="0"/>
          <w:bCs w:val="0"/>
        </w:rPr>
      </w:pPr>
      <w:r>
        <w:rPr>
          <w:w w:val="95"/>
        </w:rPr>
        <w:t>十六、</w:t>
        <w:tab/>
        <w:t>母公司财务报表主要项目注释</w:t>
      </w:r>
      <w:r>
        <w:rPr>
          <w:spacing w:val="33"/>
          <w:w w:val="95"/>
        </w:rPr>
        <w:t> </w:t>
      </w:r>
      <w:r>
        <w:rPr>
          <w:spacing w:val="33"/>
          <w:w w:val="95"/>
        </w:rPr>
      </w:r>
      <w:r>
        <w:rPr>
          <w:rFonts w:ascii="宋体" w:hAnsi="宋体" w:cs="宋体" w:eastAsia="宋体" w:hint="default"/>
        </w:rPr>
        <w:t>1</w:t>
      </w:r>
      <w:r>
        <w:rPr/>
        <w:t>、 其他应收款</w:t>
      </w:r>
      <w:r>
        <w:rPr>
          <w:b w:val="0"/>
          <w:bCs w:val="0"/>
        </w:rPr>
      </w:r>
    </w:p>
    <w:p>
      <w:pPr>
        <w:pStyle w:val="Heading3"/>
        <w:spacing w:line="240" w:lineRule="auto" w:before="27"/>
        <w:ind w:right="0"/>
        <w:jc w:val="left"/>
        <w:rPr>
          <w:b w:val="0"/>
          <w:bCs w:val="0"/>
        </w:rPr>
      </w:pPr>
      <w:r>
        <w:rPr>
          <w:rFonts w:ascii="宋体" w:hAnsi="宋体" w:cs="宋体" w:eastAsia="宋体" w:hint="default"/>
        </w:rPr>
        <w:t>(1).</w:t>
      </w:r>
      <w:r>
        <w:rPr>
          <w:rFonts w:ascii="宋体" w:hAnsi="宋体" w:cs="宋体" w:eastAsia="宋体" w:hint="default"/>
          <w:spacing w:val="-3"/>
        </w:rPr>
        <w:t> </w:t>
      </w:r>
      <w:r>
        <w:rPr/>
        <w:t>其他应收款分类披露：</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tabs>
          <w:tab w:pos="1267" w:val="left" w:leader="none"/>
        </w:tabs>
        <w:spacing w:line="240" w:lineRule="auto" w:before="165"/>
        <w:ind w:left="217" w:right="0"/>
        <w:jc w:val="left"/>
      </w:pPr>
      <w:r>
        <w:rPr/>
        <w:t>单位：元</w:t>
        <w:tab/>
        <w:t>币种：人民币</w:t>
      </w:r>
    </w:p>
    <w:p>
      <w:pPr>
        <w:spacing w:after="0" w:line="240" w:lineRule="auto"/>
        <w:jc w:val="left"/>
        <w:sectPr>
          <w:type w:val="continuous"/>
          <w:pgSz w:w="11910" w:h="16840"/>
          <w:pgMar w:top="1120" w:bottom="1380" w:left="1580" w:right="960"/>
          <w:cols w:num="2" w:equalWidth="0">
            <w:col w:w="3797" w:space="2727"/>
            <w:col w:w="2846"/>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159"/>
        <w:gridCol w:w="990"/>
        <w:gridCol w:w="710"/>
        <w:gridCol w:w="994"/>
        <w:gridCol w:w="710"/>
        <w:gridCol w:w="994"/>
        <w:gridCol w:w="688"/>
        <w:gridCol w:w="872"/>
        <w:gridCol w:w="779"/>
      </w:tblGrid>
      <w:tr>
        <w:trPr>
          <w:trHeight w:val="397" w:hRule="exact"/>
        </w:trPr>
        <w:tc>
          <w:tcPr>
            <w:tcW w:w="21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4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7" w:hRule="exact"/>
        </w:trPr>
        <w:tc>
          <w:tcPr>
            <w:tcW w:w="2159" w:type="dxa"/>
            <w:vMerge/>
            <w:tcBorders>
              <w:left w:val="single" w:sz="4" w:space="0" w:color="000000"/>
              <w:right w:val="single" w:sz="4" w:space="0" w:color="000000"/>
            </w:tcBorders>
          </w:tcPr>
          <w:p>
            <w:pPr/>
          </w:p>
        </w:tc>
        <w:tc>
          <w:tcPr>
            <w:tcW w:w="17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8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2" w:hRule="exact"/>
        </w:trPr>
        <w:tc>
          <w:tcPr>
            <w:tcW w:w="2159" w:type="dxa"/>
            <w:vMerge/>
            <w:tcBorders>
              <w:left w:val="single" w:sz="4" w:space="0" w:color="000000"/>
              <w:bottom w:val="single" w:sz="4" w:space="0" w:color="000000"/>
              <w:right w:val="single" w:sz="4" w:space="0" w:color="000000"/>
            </w:tcBorders>
          </w:tcPr>
          <w:p>
            <w:pP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24" w:right="78" w:hanging="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02" w:right="157" w:hanging="45"/>
              <w:jc w:val="left"/>
              <w:rPr>
                <w:rFonts w:ascii="宋体" w:hAnsi="宋体" w:cs="宋体" w:eastAsia="宋体" w:hint="default"/>
                <w:sz w:val="18"/>
                <w:szCs w:val="18"/>
              </w:rPr>
            </w:pPr>
            <w:r>
              <w:rPr>
                <w:rFonts w:ascii="宋体" w:hAnsi="宋体" w:cs="宋体" w:eastAsia="宋体" w:hint="default"/>
                <w:sz w:val="18"/>
                <w:szCs w:val="18"/>
              </w:rPr>
              <w:t>比例 </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58" w:right="113" w:hanging="45"/>
              <w:jc w:val="left"/>
              <w:rPr>
                <w:rFonts w:ascii="宋体" w:hAnsi="宋体" w:cs="宋体" w:eastAsia="宋体" w:hint="default"/>
                <w:sz w:val="18"/>
                <w:szCs w:val="18"/>
              </w:rPr>
            </w:pPr>
            <w:r>
              <w:rPr>
                <w:rFonts w:ascii="宋体" w:hAnsi="宋体" w:cs="宋体" w:eastAsia="宋体" w:hint="default"/>
                <w:sz w:val="18"/>
                <w:szCs w:val="18"/>
              </w:rPr>
              <w:t>计提比 例</w:t>
            </w:r>
            <w:r>
              <w:rPr>
                <w:rFonts w:ascii="宋体" w:hAnsi="宋体" w:cs="宋体" w:eastAsia="宋体" w:hint="default"/>
                <w:sz w:val="18"/>
                <w:szCs w:val="18"/>
              </w:rPr>
              <w:t>(%)</w:t>
            </w:r>
          </w:p>
        </w:tc>
      </w:tr>
      <w:tr>
        <w:trPr>
          <w:trHeight w:val="713"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26" w:right="140"/>
              <w:jc w:val="left"/>
              <w:rPr>
                <w:rFonts w:ascii="宋体" w:hAnsi="宋体" w:cs="宋体" w:eastAsia="宋体" w:hint="default"/>
                <w:sz w:val="18"/>
                <w:szCs w:val="18"/>
              </w:rPr>
            </w:pPr>
            <w:r>
              <w:rPr>
                <w:rFonts w:ascii="宋体" w:hAnsi="宋体" w:cs="宋体" w:eastAsia="宋体" w:hint="default"/>
                <w:sz w:val="18"/>
                <w:szCs w:val="18"/>
              </w:rPr>
              <w:t>单项金额重大并单独计提 坏账准备的其他应收款</w:t>
            </w:r>
          </w:p>
        </w:tc>
        <w:tc>
          <w:tcPr>
            <w:tcW w:w="99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6" w:right="140"/>
              <w:jc w:val="left"/>
              <w:rPr>
                <w:rFonts w:ascii="宋体" w:hAnsi="宋体" w:cs="宋体" w:eastAsia="宋体" w:hint="default"/>
                <w:sz w:val="18"/>
                <w:szCs w:val="18"/>
              </w:rPr>
            </w:pPr>
            <w:r>
              <w:rPr>
                <w:rFonts w:ascii="宋体" w:hAnsi="宋体" w:cs="宋体" w:eastAsia="宋体" w:hint="default"/>
                <w:sz w:val="18"/>
                <w:szCs w:val="18"/>
              </w:rPr>
              <w:t>按信用风险特征组合计提 坏账准备的其他应收款</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7" w:right="0"/>
              <w:jc w:val="center"/>
              <w:rPr>
                <w:rFonts w:ascii="宋体" w:hAnsi="宋体" w:cs="宋体" w:eastAsia="宋体" w:hint="default"/>
                <w:sz w:val="18"/>
                <w:szCs w:val="18"/>
              </w:rPr>
            </w:pPr>
            <w:r>
              <w:rPr>
                <w:rFonts w:ascii="宋体"/>
                <w:sz w:val="18"/>
              </w:rPr>
              <w:t>624,365.75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100.00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31" w:right="0"/>
              <w:jc w:val="center"/>
              <w:rPr>
                <w:rFonts w:ascii="宋体" w:hAnsi="宋体" w:cs="宋体" w:eastAsia="宋体" w:hint="default"/>
                <w:sz w:val="18"/>
                <w:szCs w:val="18"/>
              </w:rPr>
            </w:pPr>
            <w:r>
              <w:rPr>
                <w:rFonts w:ascii="宋体"/>
                <w:sz w:val="18"/>
              </w:rPr>
              <w:t>131,198.97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24" w:right="0"/>
              <w:jc w:val="left"/>
              <w:rPr>
                <w:rFonts w:ascii="宋体" w:hAnsi="宋体" w:cs="宋体" w:eastAsia="宋体" w:hint="default"/>
                <w:sz w:val="18"/>
                <w:szCs w:val="18"/>
              </w:rPr>
            </w:pPr>
            <w:r>
              <w:rPr>
                <w:rFonts w:ascii="宋体"/>
                <w:sz w:val="18"/>
              </w:rPr>
              <w:t>21.01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28" w:right="0"/>
              <w:jc w:val="center"/>
              <w:rPr>
                <w:rFonts w:ascii="宋体" w:hAnsi="宋体" w:cs="宋体" w:eastAsia="宋体" w:hint="default"/>
                <w:sz w:val="18"/>
                <w:szCs w:val="18"/>
              </w:rPr>
            </w:pPr>
            <w:r>
              <w:rPr>
                <w:rFonts w:ascii="宋体"/>
                <w:sz w:val="18"/>
              </w:rPr>
              <w:t>634,094.00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85" w:right="0"/>
              <w:jc w:val="center"/>
              <w:rPr>
                <w:rFonts w:ascii="宋体" w:hAnsi="宋体" w:cs="宋体" w:eastAsia="宋体" w:hint="default"/>
                <w:sz w:val="18"/>
                <w:szCs w:val="18"/>
              </w:rPr>
            </w:pPr>
            <w:r>
              <w:rPr>
                <w:rFonts w:ascii="宋体"/>
                <w:sz w:val="18"/>
              </w:rPr>
              <w:t>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58,222.82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4"/>
              <w:jc w:val="right"/>
              <w:rPr>
                <w:rFonts w:ascii="宋体" w:hAnsi="宋体" w:cs="宋体" w:eastAsia="宋体" w:hint="default"/>
                <w:sz w:val="18"/>
                <w:szCs w:val="18"/>
              </w:rPr>
            </w:pPr>
            <w:r>
              <w:rPr>
                <w:rFonts w:ascii="宋体"/>
                <w:sz w:val="18"/>
              </w:rPr>
              <w:t>9.18</w:t>
            </w:r>
          </w:p>
        </w:tc>
      </w:tr>
      <w:tr>
        <w:trPr>
          <w:trHeight w:val="712"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26" w:right="140"/>
              <w:jc w:val="left"/>
              <w:rPr>
                <w:rFonts w:ascii="宋体" w:hAnsi="宋体" w:cs="宋体" w:eastAsia="宋体" w:hint="default"/>
                <w:sz w:val="18"/>
                <w:szCs w:val="18"/>
              </w:rPr>
            </w:pPr>
            <w:r>
              <w:rPr>
                <w:rFonts w:ascii="宋体" w:hAnsi="宋体" w:cs="宋体" w:eastAsia="宋体" w:hint="default"/>
                <w:sz w:val="18"/>
                <w:szCs w:val="18"/>
              </w:rPr>
              <w:t>单项金额不重大但单独计 提坏账准备的其他应收款</w:t>
            </w:r>
          </w:p>
        </w:tc>
        <w:tc>
          <w:tcPr>
            <w:tcW w:w="99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88"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7" w:right="0"/>
              <w:jc w:val="center"/>
              <w:rPr>
                <w:rFonts w:ascii="宋体" w:hAnsi="宋体" w:cs="宋体" w:eastAsia="宋体" w:hint="default"/>
                <w:sz w:val="18"/>
                <w:szCs w:val="18"/>
              </w:rPr>
            </w:pPr>
            <w:r>
              <w:rPr>
                <w:rFonts w:ascii="宋体"/>
                <w:sz w:val="18"/>
              </w:rPr>
              <w:t>624,365.75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14" w:right="0"/>
              <w:jc w:val="left"/>
              <w:rPr>
                <w:rFonts w:ascii="宋体" w:hAnsi="宋体" w:cs="宋体" w:eastAsia="宋体" w:hint="default"/>
                <w:sz w:val="18"/>
                <w:szCs w:val="18"/>
              </w:rPr>
            </w:pPr>
            <w:r>
              <w:rPr>
                <w:rFonts w:ascii="宋体"/>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1" w:right="0"/>
              <w:jc w:val="center"/>
              <w:rPr>
                <w:rFonts w:ascii="宋体" w:hAnsi="宋体" w:cs="宋体" w:eastAsia="宋体" w:hint="default"/>
                <w:sz w:val="18"/>
                <w:szCs w:val="18"/>
              </w:rPr>
            </w:pPr>
            <w:r>
              <w:rPr>
                <w:rFonts w:ascii="宋体"/>
                <w:sz w:val="18"/>
              </w:rPr>
              <w:t>131,198.97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24" w:right="0"/>
              <w:jc w:val="left"/>
              <w:rPr>
                <w:rFonts w:ascii="宋体" w:hAnsi="宋体" w:cs="宋体" w:eastAsia="宋体" w:hint="default"/>
                <w:sz w:val="18"/>
                <w:szCs w:val="18"/>
              </w:rPr>
            </w:pPr>
            <w:r>
              <w:rPr>
                <w:rFonts w:ascii="宋体"/>
                <w:sz w:val="18"/>
              </w:rPr>
              <w:t>21.01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8" w:right="0"/>
              <w:jc w:val="center"/>
              <w:rPr>
                <w:rFonts w:ascii="宋体" w:hAnsi="宋体" w:cs="宋体" w:eastAsia="宋体" w:hint="default"/>
                <w:sz w:val="18"/>
                <w:szCs w:val="18"/>
              </w:rPr>
            </w:pPr>
            <w:r>
              <w:rPr>
                <w:rFonts w:ascii="宋体"/>
                <w:sz w:val="18"/>
              </w:rPr>
              <w:t>634,094.00</w:t>
            </w:r>
          </w:p>
        </w:tc>
        <w:tc>
          <w:tcPr>
            <w:tcW w:w="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58,222.82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68"/>
              <w:jc w:val="right"/>
              <w:rPr>
                <w:rFonts w:ascii="宋体" w:hAnsi="宋体" w:cs="宋体" w:eastAsia="宋体" w:hint="default"/>
                <w:sz w:val="18"/>
                <w:szCs w:val="18"/>
              </w:rPr>
            </w:pPr>
            <w:r>
              <w:rPr>
                <w:rFonts w:ascii="宋体"/>
                <w:sz w:val="18"/>
              </w:rPr>
              <w:t>9.18</w:t>
            </w:r>
          </w:p>
        </w:tc>
      </w:tr>
    </w:tbl>
    <w:p>
      <w:pPr>
        <w:spacing w:line="240" w:lineRule="auto" w:before="7"/>
        <w:rPr>
          <w:rFonts w:ascii="宋体" w:hAnsi="宋体" w:cs="宋体" w:eastAsia="宋体" w:hint="default"/>
          <w:sz w:val="15"/>
          <w:szCs w:val="15"/>
        </w:rPr>
      </w:pPr>
    </w:p>
    <w:p>
      <w:pPr>
        <w:pStyle w:val="BodyText"/>
        <w:spacing w:line="240" w:lineRule="auto" w:before="35"/>
        <w:ind w:left="218" w:right="89"/>
        <w:jc w:val="left"/>
      </w:pPr>
      <w:r>
        <w:rPr/>
        <w:t>期末单项金额重大并单项计提坏账准备的其他应收款：</w:t>
      </w:r>
    </w:p>
    <w:p>
      <w:pPr>
        <w:pStyle w:val="BodyText"/>
        <w:spacing w:line="240" w:lineRule="auto" w:before="134"/>
        <w:ind w:left="218" w:right="89"/>
        <w:jc w:val="left"/>
      </w:pPr>
      <w:r>
        <w:rPr/>
        <w:t>□适用√不适用</w:t>
      </w:r>
    </w:p>
    <w:p>
      <w:pPr>
        <w:spacing w:after="0" w:line="240" w:lineRule="auto"/>
        <w:jc w:val="left"/>
        <w:sectPr>
          <w:type w:val="continuous"/>
          <w:pgSz w:w="11910" w:h="16840"/>
          <w:pgMar w:top="1120" w:bottom="1380" w:left="1580" w:right="9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BodyText"/>
        <w:spacing w:line="240" w:lineRule="auto" w:before="35"/>
        <w:ind w:left="218" w:right="-20"/>
        <w:jc w:val="left"/>
      </w:pPr>
      <w:r>
        <w:rPr/>
        <w:t>组合中，按账龄分析法计提坏账准备的其他应收款：</w:t>
      </w:r>
    </w:p>
    <w:p>
      <w:pPr>
        <w:pStyle w:val="BodyText"/>
        <w:spacing w:line="240" w:lineRule="auto" w:before="57"/>
        <w:ind w:left="21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2"/>
        <w:rPr>
          <w:rFonts w:ascii="宋体" w:hAnsi="宋体" w:cs="宋体" w:eastAsia="宋体" w:hint="default"/>
          <w:sz w:val="28"/>
          <w:szCs w:val="28"/>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5049" w:space="1475"/>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74"/>
        <w:gridCol w:w="1822"/>
        <w:gridCol w:w="1822"/>
        <w:gridCol w:w="1832"/>
      </w:tblGrid>
      <w:tr>
        <w:trPr>
          <w:trHeight w:val="397"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4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7"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5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55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38,465.75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1,153.97</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3.00</w:t>
            </w:r>
          </w:p>
        </w:tc>
      </w:tr>
      <w:tr>
        <w:trPr>
          <w:trHeight w:val="39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5,900.00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295.00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5.00</w:t>
            </w:r>
          </w:p>
        </w:tc>
      </w:tr>
      <w:tr>
        <w:trPr>
          <w:trHeight w:val="396"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515,000.00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77,250.00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18"/>
                <w:szCs w:val="18"/>
              </w:rPr>
            </w:pPr>
            <w:r>
              <w:rPr>
                <w:rFonts w:ascii="宋体"/>
                <w:sz w:val="18"/>
              </w:rPr>
              <w:t>15.00</w:t>
            </w:r>
          </w:p>
        </w:tc>
      </w:tr>
      <w:tr>
        <w:trPr>
          <w:trHeight w:val="39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832"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25,000.00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12,500.00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50.00</w:t>
            </w:r>
          </w:p>
        </w:tc>
      </w:tr>
      <w:tr>
        <w:trPr>
          <w:trHeight w:val="397"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40,000.00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40,000.00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1"/>
              <w:jc w:val="right"/>
              <w:rPr>
                <w:rFonts w:ascii="宋体" w:hAnsi="宋体" w:cs="宋体" w:eastAsia="宋体" w:hint="default"/>
                <w:sz w:val="18"/>
                <w:szCs w:val="18"/>
              </w:rPr>
            </w:pPr>
            <w:r>
              <w:rPr>
                <w:rFonts w:ascii="宋体"/>
                <w:sz w:val="18"/>
              </w:rPr>
              <w:t>100.00</w:t>
            </w:r>
          </w:p>
        </w:tc>
      </w:tr>
      <w:tr>
        <w:trPr>
          <w:trHeight w:val="398"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624,365.75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131,198.97</w:t>
            </w:r>
          </w:p>
        </w:tc>
        <w:tc>
          <w:tcPr>
            <w:tcW w:w="183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429" w:lineRule="auto"/>
        <w:ind w:right="4939"/>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本期计提、收回或转回的坏账准备情况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4"/>
          <w:szCs w:val="14"/>
        </w:rPr>
      </w:pPr>
    </w:p>
    <w:p>
      <w:pPr>
        <w:pStyle w:val="Heading3"/>
        <w:spacing w:line="429" w:lineRule="auto" w:before="0"/>
        <w:ind w:right="557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14"/>
          <w:szCs w:val="14"/>
        </w:rPr>
      </w:pPr>
    </w:p>
    <w:p>
      <w:pPr>
        <w:pStyle w:val="Heading3"/>
        <w:spacing w:line="240" w:lineRule="auto" w:before="0"/>
        <w:ind w:right="22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spacing w:line="240" w:lineRule="auto" w:before="9"/>
        <w:rPr>
          <w:rFonts w:ascii="宋体" w:hAnsi="宋体" w:cs="宋体" w:eastAsia="宋体" w:hint="default"/>
          <w:b/>
          <w:bCs/>
          <w:sz w:val="11"/>
          <w:szCs w:val="11"/>
        </w:rPr>
      </w:pPr>
    </w:p>
    <w:tbl>
      <w:tblPr>
        <w:tblW w:w="0" w:type="auto"/>
        <w:jc w:val="left"/>
        <w:tblInd w:w="105" w:type="dxa"/>
        <w:tblLayout w:type="fixed"/>
        <w:tblCellMar>
          <w:top w:w="0" w:type="dxa"/>
          <w:left w:w="0" w:type="dxa"/>
          <w:bottom w:w="0" w:type="dxa"/>
          <w:right w:w="0" w:type="dxa"/>
        </w:tblCellMar>
        <w:tblLook w:val="01E0"/>
      </w:tblPr>
      <w:tblGrid>
        <w:gridCol w:w="3076"/>
        <w:gridCol w:w="2982"/>
        <w:gridCol w:w="2992"/>
      </w:tblGrid>
      <w:tr>
        <w:trPr>
          <w:trHeight w:val="45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5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49"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38,465.75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29,994.00</w:t>
            </w:r>
          </w:p>
        </w:tc>
      </w:tr>
      <w:tr>
        <w:trPr>
          <w:trHeight w:val="45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宋体" w:hAnsi="宋体" w:cs="宋体" w:eastAsia="宋体" w:hint="default"/>
                <w:sz w:val="21"/>
                <w:szCs w:val="21"/>
              </w:rPr>
            </w:pPr>
            <w:r>
              <w:rPr>
                <w:rFonts w:ascii="宋体" w:hAnsi="宋体" w:cs="宋体" w:eastAsia="宋体" w:hint="default"/>
                <w:sz w:val="21"/>
                <w:szCs w:val="21"/>
              </w:rPr>
              <w:t>投标保证金、押金及备用金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z w:val="21"/>
              </w:rPr>
              <w:t>85,900.00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宋体" w:hAnsi="宋体" w:cs="宋体" w:eastAsia="宋体" w:hint="default"/>
                <w:sz w:val="21"/>
                <w:szCs w:val="21"/>
              </w:rPr>
            </w:pPr>
            <w:r>
              <w:rPr>
                <w:rFonts w:ascii="宋体"/>
                <w:spacing w:val="-1"/>
                <w:sz w:val="21"/>
              </w:rPr>
              <w:t>104,100.00</w:t>
            </w:r>
          </w:p>
        </w:tc>
      </w:tr>
      <w:tr>
        <w:trPr>
          <w:trHeight w:val="45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资产转让款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500,000.00</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500,000.00</w:t>
            </w:r>
          </w:p>
        </w:tc>
      </w:tr>
      <w:tr>
        <w:trPr>
          <w:trHeight w:val="450" w:hRule="exact"/>
        </w:trPr>
        <w:tc>
          <w:tcPr>
            <w:tcW w:w="3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宋体" w:hAnsi="宋体" w:cs="宋体" w:eastAsia="宋体" w:hint="default"/>
                <w:sz w:val="21"/>
                <w:szCs w:val="21"/>
              </w:rPr>
            </w:pPr>
            <w:r>
              <w:rPr>
                <w:rFonts w:ascii="宋体"/>
                <w:sz w:val="21"/>
              </w:rPr>
              <w:t>624,365.75</w:t>
            </w:r>
          </w:p>
        </w:tc>
        <w:tc>
          <w:tcPr>
            <w:tcW w:w="2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1"/>
              <w:jc w:val="right"/>
              <w:rPr>
                <w:rFonts w:ascii="宋体" w:hAnsi="宋体" w:cs="宋体" w:eastAsia="宋体" w:hint="default"/>
                <w:sz w:val="21"/>
                <w:szCs w:val="21"/>
              </w:rPr>
            </w:pPr>
            <w:r>
              <w:rPr>
                <w:rFonts w:ascii="宋体"/>
                <w:sz w:val="21"/>
              </w:rPr>
              <w:t>634,094.00</w:t>
            </w:r>
          </w:p>
        </w:tc>
      </w:tr>
    </w:tbl>
    <w:p>
      <w:pPr>
        <w:spacing w:line="240" w:lineRule="auto" w:before="0"/>
        <w:rPr>
          <w:rFonts w:ascii="宋体" w:hAnsi="宋体" w:cs="宋体" w:eastAsia="宋体" w:hint="default"/>
          <w:b/>
          <w:bCs/>
          <w:sz w:val="20"/>
          <w:szCs w:val="20"/>
        </w:rPr>
      </w:pPr>
    </w:p>
    <w:p>
      <w:pPr>
        <w:pStyle w:val="Heading3"/>
        <w:spacing w:line="240" w:lineRule="auto"/>
        <w:ind w:right="228"/>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299"/>
        <w:gridCol w:w="1277"/>
        <w:gridCol w:w="1277"/>
        <w:gridCol w:w="1134"/>
        <w:gridCol w:w="1703"/>
        <w:gridCol w:w="1206"/>
      </w:tblGrid>
      <w:tr>
        <w:trPr>
          <w:trHeight w:val="790"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7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7"/>
              <w:ind w:left="77" w:right="33" w:hanging="45"/>
              <w:jc w:val="left"/>
              <w:rPr>
                <w:rFonts w:ascii="宋体" w:hAnsi="宋体" w:cs="宋体" w:eastAsia="宋体" w:hint="default"/>
                <w:sz w:val="18"/>
                <w:szCs w:val="18"/>
              </w:rPr>
            </w:pPr>
            <w:r>
              <w:rPr>
                <w:rFonts w:ascii="宋体" w:hAnsi="宋体" w:cs="宋体" w:eastAsia="宋体" w:hint="default"/>
                <w:sz w:val="18"/>
                <w:szCs w:val="18"/>
              </w:rPr>
              <w:t>占其他应收款期末余 额合计数的比例</w:t>
            </w:r>
            <w:r>
              <w:rPr>
                <w:rFonts w:ascii="宋体" w:hAnsi="宋体" w:cs="宋体" w:eastAsia="宋体" w:hint="default"/>
                <w:sz w:val="18"/>
                <w:szCs w:val="18"/>
              </w:rPr>
              <w:t>(%)</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396" w:lineRule="auto" w:before="41"/>
              <w:ind w:left="233" w:right="235"/>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716"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1"/>
              <w:ind w:left="24" w:right="278"/>
              <w:jc w:val="left"/>
              <w:rPr>
                <w:rFonts w:ascii="宋体" w:hAnsi="宋体" w:cs="宋体" w:eastAsia="宋体" w:hint="default"/>
                <w:sz w:val="18"/>
                <w:szCs w:val="18"/>
              </w:rPr>
            </w:pPr>
            <w:r>
              <w:rPr>
                <w:rFonts w:ascii="宋体" w:hAnsi="宋体" w:cs="宋体" w:eastAsia="宋体" w:hint="default"/>
                <w:sz w:val="18"/>
                <w:szCs w:val="18"/>
              </w:rPr>
              <w:t>北京生物医药产业基地发 展有限公司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资产转让尾款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sz w:val="18"/>
              </w:rPr>
              <w:t>500,000.00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80.08</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75,000.00</w:t>
            </w:r>
          </w:p>
        </w:tc>
      </w:tr>
      <w:tr>
        <w:trPr>
          <w:trHeight w:val="402"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邓敦良</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hAnsi="宋体" w:cs="宋体" w:eastAsia="宋体" w:hint="default"/>
                <w:sz w:val="18"/>
                <w:szCs w:val="18"/>
              </w:rPr>
              <w:t>借款</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sz w:val="18"/>
              </w:rPr>
              <w:t>40,000.00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6.41</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40,000.00</w:t>
            </w:r>
          </w:p>
        </w:tc>
      </w:tr>
      <w:tr>
        <w:trPr>
          <w:trHeight w:val="403"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骆阳辉</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sz w:val="18"/>
              </w:rPr>
              <w:t>10,000.00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95"/>
              <w:jc w:val="righ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1.60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23"/>
              <w:jc w:val="right"/>
              <w:rPr>
                <w:rFonts w:ascii="宋体" w:hAnsi="宋体" w:cs="宋体" w:eastAsia="宋体" w:hint="default"/>
                <w:sz w:val="18"/>
                <w:szCs w:val="18"/>
              </w:rPr>
            </w:pPr>
            <w:r>
              <w:rPr>
                <w:rFonts w:ascii="宋体"/>
                <w:sz w:val="18"/>
              </w:rPr>
              <w:t>5,000.00</w:t>
            </w:r>
          </w:p>
        </w:tc>
      </w:tr>
      <w:tr>
        <w:trPr>
          <w:trHeight w:val="716"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1"/>
              <w:ind w:left="24" w:right="278"/>
              <w:jc w:val="left"/>
              <w:rPr>
                <w:rFonts w:ascii="宋体" w:hAnsi="宋体" w:cs="宋体" w:eastAsia="宋体" w:hint="default"/>
                <w:sz w:val="18"/>
                <w:szCs w:val="18"/>
              </w:rPr>
            </w:pPr>
            <w:r>
              <w:rPr>
                <w:rFonts w:ascii="宋体" w:hAnsi="宋体" w:cs="宋体" w:eastAsia="宋体" w:hint="default"/>
                <w:sz w:val="18"/>
                <w:szCs w:val="18"/>
              </w:rPr>
              <w:t>北海香格里拉大酒店有限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sz w:val="18"/>
              </w:rPr>
              <w:t>10,000.00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5,000.00</w:t>
            </w:r>
          </w:p>
        </w:tc>
      </w:tr>
    </w:tbl>
    <w:p>
      <w:pPr>
        <w:spacing w:after="0" w:line="240" w:lineRule="auto"/>
        <w:jc w:val="right"/>
        <w:rPr>
          <w:rFonts w:ascii="宋体" w:hAnsi="宋体" w:cs="宋体" w:eastAsia="宋体" w:hint="default"/>
          <w:sz w:val="18"/>
          <w:szCs w:val="18"/>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299"/>
        <w:gridCol w:w="1277"/>
        <w:gridCol w:w="1277"/>
        <w:gridCol w:w="1134"/>
        <w:gridCol w:w="1703"/>
        <w:gridCol w:w="1206"/>
      </w:tblGrid>
      <w:tr>
        <w:trPr>
          <w:trHeight w:val="718"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1"/>
              <w:ind w:left="24" w:right="278"/>
              <w:jc w:val="left"/>
              <w:rPr>
                <w:rFonts w:ascii="宋体" w:hAnsi="宋体" w:cs="宋体" w:eastAsia="宋体" w:hint="default"/>
                <w:sz w:val="18"/>
                <w:szCs w:val="18"/>
              </w:rPr>
            </w:pPr>
            <w:r>
              <w:rPr>
                <w:rFonts w:ascii="宋体" w:hAnsi="宋体" w:cs="宋体" w:eastAsia="宋体" w:hint="default"/>
                <w:sz w:val="18"/>
                <w:szCs w:val="18"/>
              </w:rPr>
              <w:t>北海南洋国际大酒店有限 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805"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sz w:val="18"/>
              </w:rPr>
              <w:t>10,000.00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527"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1.60</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1,500.00</w:t>
            </w:r>
          </w:p>
        </w:tc>
      </w:tr>
      <w:tr>
        <w:trPr>
          <w:trHeight w:val="401" w:hRule="exact"/>
        </w:trPr>
        <w:tc>
          <w:tcPr>
            <w:tcW w:w="22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03"/>
              <w:jc w:val="center"/>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95"/>
              <w:jc w:val="right"/>
              <w:rPr>
                <w:rFonts w:ascii="宋体" w:hAnsi="宋体" w:cs="宋体" w:eastAsia="宋体" w:hint="default"/>
                <w:sz w:val="18"/>
                <w:szCs w:val="18"/>
              </w:rPr>
            </w:pPr>
            <w:r>
              <w:rPr>
                <w:rFonts w:ascii="宋体"/>
                <w:sz w:val="18"/>
              </w:rPr>
              <w:t>570,000.00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91.29</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23"/>
              <w:jc w:val="right"/>
              <w:rPr>
                <w:rFonts w:ascii="宋体" w:hAnsi="宋体" w:cs="宋体" w:eastAsia="宋体" w:hint="default"/>
                <w:sz w:val="18"/>
                <w:szCs w:val="18"/>
              </w:rPr>
            </w:pPr>
            <w:r>
              <w:rPr>
                <w:rFonts w:ascii="宋体"/>
                <w:sz w:val="18"/>
              </w:rPr>
              <w:t>126,500.00</w:t>
            </w:r>
          </w:p>
        </w:tc>
      </w:tr>
    </w:tbl>
    <w:p>
      <w:pPr>
        <w:spacing w:line="240" w:lineRule="auto" w:before="2"/>
        <w:rPr>
          <w:rFonts w:ascii="宋体" w:hAnsi="宋体" w:cs="宋体" w:eastAsia="宋体" w:hint="default"/>
          <w:sz w:val="20"/>
          <w:szCs w:val="20"/>
        </w:rPr>
      </w:pPr>
    </w:p>
    <w:p>
      <w:pPr>
        <w:pStyle w:val="Heading3"/>
        <w:spacing w:line="376" w:lineRule="auto"/>
        <w:ind w:right="6204"/>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
        </w:rPr>
        <w:t> </w:t>
      </w:r>
      <w:r>
        <w:rPr/>
        <w:t>涉及政府补助的应收款项</w:t>
      </w:r>
      <w:r>
        <w:rPr>
          <w:w w:val="99"/>
        </w:rPr>
        <w:t> </w:t>
      </w:r>
      <w:r>
        <w:rPr>
          <w:rFonts w:ascii="宋体" w:hAnsi="宋体" w:cs="宋体" w:eastAsia="宋体" w:hint="default"/>
          <w:b w:val="0"/>
          <w:bCs w:val="0"/>
        </w:rPr>
        <w:t>无</w:t>
      </w:r>
    </w:p>
    <w:p>
      <w:pPr>
        <w:spacing w:line="240" w:lineRule="auto" w:before="4"/>
        <w:rPr>
          <w:rFonts w:ascii="宋体" w:hAnsi="宋体" w:cs="宋体" w:eastAsia="宋体" w:hint="default"/>
          <w:sz w:val="18"/>
          <w:szCs w:val="18"/>
        </w:rPr>
      </w:pPr>
    </w:p>
    <w:p>
      <w:pPr>
        <w:pStyle w:val="Heading3"/>
        <w:spacing w:line="376" w:lineRule="auto" w:before="0"/>
        <w:ind w:right="4517"/>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
        </w:rPr>
        <w:t> </w:t>
      </w:r>
      <w:r>
        <w:rPr/>
        <w:t>因金融资产转移而终止确认的其他应收款：</w:t>
      </w:r>
      <w:r>
        <w:rPr>
          <w:w w:val="99"/>
        </w:rPr>
        <w:t> </w:t>
      </w:r>
      <w:r>
        <w:rPr>
          <w:rFonts w:ascii="宋体" w:hAnsi="宋体" w:cs="宋体" w:eastAsia="宋体" w:hint="default"/>
          <w:b w:val="0"/>
          <w:bCs w:val="0"/>
        </w:rPr>
        <w:t>无</w:t>
      </w:r>
    </w:p>
    <w:p>
      <w:pPr>
        <w:spacing w:line="240" w:lineRule="auto" w:before="5"/>
        <w:rPr>
          <w:rFonts w:ascii="宋体" w:hAnsi="宋体" w:cs="宋体" w:eastAsia="宋体" w:hint="default"/>
          <w:sz w:val="18"/>
          <w:szCs w:val="18"/>
        </w:rPr>
      </w:pPr>
    </w:p>
    <w:p>
      <w:pPr>
        <w:pStyle w:val="Heading3"/>
        <w:spacing w:line="376" w:lineRule="auto" w:before="0"/>
        <w:ind w:right="3675"/>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5"/>
        </w:rPr>
        <w:t> </w:t>
      </w:r>
      <w:r>
        <w:rPr/>
        <w:t>转移其他应收款且继续涉入形成的资产、负债金额：</w:t>
      </w:r>
      <w:r>
        <w:rPr>
          <w:w w:val="99"/>
        </w:rPr>
        <w:t> </w:t>
      </w:r>
      <w:r>
        <w:rPr>
          <w:rFonts w:ascii="宋体" w:hAnsi="宋体" w:cs="宋体" w:eastAsia="宋体" w:hint="default"/>
          <w:b w:val="0"/>
          <w:bCs w:val="0"/>
        </w:rPr>
        <w:t>无</w:t>
      </w:r>
    </w:p>
    <w:p>
      <w:pPr>
        <w:spacing w:line="240" w:lineRule="auto" w:before="8"/>
        <w:rPr>
          <w:rFonts w:ascii="宋体" w:hAnsi="宋体" w:cs="宋体" w:eastAsia="宋体" w:hint="default"/>
          <w:sz w:val="15"/>
          <w:szCs w:val="15"/>
        </w:rPr>
      </w:pPr>
    </w:p>
    <w:p>
      <w:pPr>
        <w:pStyle w:val="Heading3"/>
        <w:spacing w:line="240" w:lineRule="auto"/>
        <w:ind w:right="228"/>
        <w:jc w:val="left"/>
        <w:rPr>
          <w:b w:val="0"/>
          <w:bCs w:val="0"/>
        </w:rPr>
      </w:pPr>
      <w:r>
        <w:rPr>
          <w:rFonts w:ascii="宋体" w:hAnsi="宋体" w:cs="宋体" w:eastAsia="宋体" w:hint="default"/>
        </w:rPr>
        <w:t>2</w:t>
      </w:r>
      <w:r>
        <w:rPr/>
        <w:t>、</w:t>
      </w:r>
      <w:r>
        <w:rPr>
          <w:spacing w:val="-1"/>
        </w:rPr>
        <w:t> </w:t>
      </w:r>
      <w:r>
        <w:rPr/>
        <w:t>长期股权投资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106"/>
        <w:gridCol w:w="1233"/>
        <w:gridCol w:w="924"/>
        <w:gridCol w:w="1232"/>
        <w:gridCol w:w="1232"/>
        <w:gridCol w:w="937"/>
        <w:gridCol w:w="1232"/>
      </w:tblGrid>
      <w:tr>
        <w:trPr>
          <w:trHeight w:val="402" w:hRule="exact"/>
        </w:trPr>
        <w:tc>
          <w:tcPr>
            <w:tcW w:w="2106"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8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0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06" w:type="dxa"/>
            <w:vMerge/>
            <w:tcBorders>
              <w:left w:val="single" w:sz="6" w:space="0" w:color="000000"/>
              <w:bottom w:val="single" w:sz="6" w:space="0" w:color="000000"/>
              <w:right w:val="single" w:sz="6" w:space="0" w:color="000000"/>
            </w:tcBorders>
          </w:tcPr>
          <w:p>
            <w:pP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9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1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20,047,253.24</w:t>
            </w:r>
          </w:p>
        </w:tc>
        <w:tc>
          <w:tcPr>
            <w:tcW w:w="92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20,047,253.24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10,047,253.24</w:t>
            </w:r>
          </w:p>
        </w:tc>
        <w:tc>
          <w:tcPr>
            <w:tcW w:w="937"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10,047,253.24</w:t>
            </w:r>
          </w:p>
        </w:tc>
      </w:tr>
      <w:tr>
        <w:trPr>
          <w:trHeight w:val="402" w:hRule="exact"/>
        </w:trPr>
        <w:tc>
          <w:tcPr>
            <w:tcW w:w="2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233" w:type="dxa"/>
            <w:tcBorders>
              <w:top w:val="single" w:sz="6" w:space="0" w:color="000000"/>
              <w:left w:val="single" w:sz="6" w:space="0" w:color="000000"/>
              <w:bottom w:val="single" w:sz="6" w:space="0" w:color="000000"/>
              <w:right w:val="single" w:sz="6" w:space="0" w:color="000000"/>
            </w:tcBorders>
          </w:tcPr>
          <w:p>
            <w:pPr/>
          </w:p>
        </w:tc>
        <w:tc>
          <w:tcPr>
            <w:tcW w:w="92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c>
          <w:tcPr>
            <w:tcW w:w="937"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
        </w:tc>
      </w:tr>
      <w:tr>
        <w:trPr>
          <w:trHeight w:val="402" w:hRule="exact"/>
        </w:trPr>
        <w:tc>
          <w:tcPr>
            <w:tcW w:w="21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20,047,253.24</w:t>
            </w:r>
          </w:p>
        </w:tc>
        <w:tc>
          <w:tcPr>
            <w:tcW w:w="924"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20,047,253.24</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sz w:val="18"/>
              </w:rPr>
              <w:t>10,047,253.24</w:t>
            </w:r>
          </w:p>
        </w:tc>
        <w:tc>
          <w:tcPr>
            <w:tcW w:w="937" w:type="dxa"/>
            <w:tcBorders>
              <w:top w:val="single" w:sz="6" w:space="0" w:color="000000"/>
              <w:left w:val="single" w:sz="6" w:space="0" w:color="000000"/>
              <w:bottom w:val="single" w:sz="6" w:space="0" w:color="000000"/>
              <w:right w:val="single" w:sz="6" w:space="0" w:color="000000"/>
            </w:tcBorders>
          </w:tcPr>
          <w:p>
            <w:pP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10,047,253.24</w:t>
            </w:r>
          </w:p>
        </w:tc>
      </w:tr>
    </w:tbl>
    <w:p>
      <w:pPr>
        <w:spacing w:line="240" w:lineRule="auto" w:before="1"/>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(1)</w:t>
      </w:r>
      <w:r>
        <w:rPr>
          <w:rFonts w:ascii="宋体" w:hAnsi="宋体" w:cs="宋体" w:eastAsia="宋体" w:hint="default"/>
          <w:spacing w:val="-2"/>
        </w:rPr>
        <w:t> </w:t>
      </w:r>
      <w:r>
        <w:rPr/>
        <w:t>对子公司投资</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6"/>
        <w:gridCol w:w="1386"/>
        <w:gridCol w:w="1386"/>
        <w:gridCol w:w="1070"/>
        <w:gridCol w:w="1386"/>
        <w:gridCol w:w="1073"/>
        <w:gridCol w:w="1072"/>
      </w:tblGrid>
      <w:tr>
        <w:trPr>
          <w:trHeight w:val="71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70" w:right="170"/>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69" w:right="170"/>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3"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103" w:right="121"/>
              <w:jc w:val="left"/>
              <w:rPr>
                <w:rFonts w:ascii="宋体" w:hAnsi="宋体" w:cs="宋体" w:eastAsia="宋体" w:hint="default"/>
                <w:sz w:val="18"/>
                <w:szCs w:val="18"/>
              </w:rPr>
            </w:pPr>
            <w:r>
              <w:rPr>
                <w:rFonts w:ascii="宋体" w:hAnsi="宋体" w:cs="宋体" w:eastAsia="宋体" w:hint="default"/>
                <w:sz w:val="18"/>
                <w:szCs w:val="18"/>
              </w:rPr>
              <w:t>杭州郡原物业服务 有限公司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10,047,253.24</w:t>
            </w:r>
          </w:p>
        </w:tc>
        <w:tc>
          <w:tcPr>
            <w:tcW w:w="1386"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10,047,253.24</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21"/>
              <w:jc w:val="left"/>
              <w:rPr>
                <w:rFonts w:ascii="宋体" w:hAnsi="宋体" w:cs="宋体" w:eastAsia="宋体" w:hint="default"/>
                <w:sz w:val="18"/>
                <w:szCs w:val="18"/>
              </w:rPr>
            </w:pPr>
            <w:r>
              <w:rPr>
                <w:rFonts w:ascii="宋体" w:hAnsi="宋体" w:cs="宋体" w:eastAsia="宋体" w:hint="default"/>
                <w:sz w:val="18"/>
                <w:szCs w:val="18"/>
              </w:rPr>
              <w:t>南宁市智诚合讯信 息技术有限公司</w:t>
            </w:r>
          </w:p>
        </w:tc>
        <w:tc>
          <w:tcPr>
            <w:tcW w:w="1386"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10,000,000.00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sz w:val="18"/>
              </w:rPr>
              <w:t>10,000,000.00</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10,047,253.24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10,000,000.00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8"/>
                <w:szCs w:val="18"/>
              </w:rPr>
            </w:pPr>
            <w:r>
              <w:rPr>
                <w:rFonts w:ascii="宋体"/>
                <w:sz w:val="18"/>
              </w:rPr>
              <w:t>20,047,253.24</w:t>
            </w:r>
          </w:p>
        </w:tc>
        <w:tc>
          <w:tcPr>
            <w:tcW w:w="1073" w:type="dxa"/>
            <w:tcBorders>
              <w:top w:val="single" w:sz="4" w:space="0" w:color="000000"/>
              <w:left w:val="single" w:sz="4" w:space="0" w:color="000000"/>
              <w:bottom w:val="single" w:sz="4" w:space="0" w:color="000000"/>
              <w:right w:val="single" w:sz="4" w:space="0" w:color="000000"/>
            </w:tcBorders>
          </w:tcPr>
          <w:p>
            <w:pPr/>
          </w:p>
        </w:tc>
        <w:tc>
          <w:tcPr>
            <w:tcW w:w="10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Heading3"/>
        <w:spacing w:line="240" w:lineRule="auto"/>
        <w:ind w:right="228"/>
        <w:jc w:val="left"/>
        <w:rPr>
          <w:b w:val="0"/>
          <w:bCs w:val="0"/>
        </w:rPr>
      </w:pPr>
      <w:r>
        <w:rPr>
          <w:rFonts w:ascii="宋体" w:hAnsi="宋体" w:cs="宋体" w:eastAsia="宋体" w:hint="default"/>
        </w:rPr>
        <w:t>3</w:t>
      </w:r>
      <w:r>
        <w:rPr/>
        <w:t>、</w:t>
      </w:r>
      <w:r>
        <w:rPr>
          <w:spacing w:val="2"/>
        </w:rPr>
        <w:t> </w:t>
      </w:r>
      <w:r>
        <w:rPr/>
        <w:t>投资收益</w:t>
      </w:r>
      <w:r>
        <w:rPr>
          <w:b w:val="0"/>
          <w:bCs w:val="0"/>
        </w:rPr>
      </w:r>
    </w:p>
    <w:p>
      <w:pPr>
        <w:pStyle w:val="BodyText"/>
        <w:tabs>
          <w:tab w:pos="1049" w:val="left" w:leader="none"/>
        </w:tabs>
        <w:spacing w:line="240" w:lineRule="auto" w:before="57"/>
        <w:ind w:left="0" w:right="232"/>
        <w:jc w:val="right"/>
      </w:pPr>
      <w:r>
        <w:rPr/>
        <w:t>单位：元</w:t>
        <w:tab/>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3"/>
        <w:gridCol w:w="2496"/>
        <w:gridCol w:w="2501"/>
      </w:tblGrid>
      <w:tr>
        <w:trPr>
          <w:trHeight w:val="397"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9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9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6"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-5,736.22</w:t>
            </w:r>
          </w:p>
        </w:tc>
      </w:tr>
      <w:tr>
        <w:trPr>
          <w:trHeight w:val="397"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467,509.03</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467,509.03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-5,736.22</w:t>
            </w:r>
          </w:p>
        </w:tc>
      </w:tr>
    </w:tbl>
    <w:p>
      <w:pPr>
        <w:spacing w:after="0" w:line="240" w:lineRule="auto"/>
        <w:jc w:val="right"/>
        <w:rPr>
          <w:rFonts w:ascii="宋体" w:hAnsi="宋体" w:cs="宋体" w:eastAsia="宋体" w:hint="default"/>
          <w:sz w:val="18"/>
          <w:szCs w:val="18"/>
        </w:rPr>
        <w:sectPr>
          <w:pgSz w:w="11910" w:h="16840"/>
          <w:pgMar w:header="882" w:footer="1194"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4" w:top="1120" w:bottom="1380" w:left="1580" w:right="1040"/>
        </w:sectPr>
      </w:pPr>
    </w:p>
    <w:p>
      <w:pPr>
        <w:pStyle w:val="Heading3"/>
        <w:tabs>
          <w:tab w:pos="1057" w:val="left" w:leader="none"/>
        </w:tabs>
        <w:spacing w:line="240" w:lineRule="auto"/>
        <w:ind w:right="-18"/>
        <w:jc w:val="left"/>
        <w:rPr>
          <w:b w:val="0"/>
          <w:bCs w:val="0"/>
        </w:rPr>
      </w:pPr>
      <w:r>
        <w:rPr>
          <w:w w:val="95"/>
        </w:rPr>
        <w:t>十七、</w:t>
        <w:tab/>
      </w:r>
      <w:r>
        <w:rPr/>
        <w:t>补充资料</w:t>
      </w:r>
      <w:r>
        <w:rPr>
          <w:b w:val="0"/>
          <w:bCs w:val="0"/>
        </w:rPr>
      </w:r>
    </w:p>
    <w:p>
      <w:pPr>
        <w:pStyle w:val="Heading3"/>
        <w:spacing w:line="240" w:lineRule="auto" w:before="117"/>
        <w:ind w:right="-18"/>
        <w:jc w:val="left"/>
        <w:rPr>
          <w:b w:val="0"/>
          <w:bCs w:val="0"/>
        </w:rPr>
      </w:pPr>
      <w:r>
        <w:rPr>
          <w:rFonts w:ascii="宋体" w:hAnsi="宋体" w:cs="宋体" w:eastAsia="宋体" w:hint="default"/>
        </w:rPr>
        <w:t>1</w:t>
      </w:r>
      <w:r>
        <w:rPr/>
        <w:t>、</w:t>
      </w:r>
      <w:r>
        <w:rPr>
          <w:spacing w:val="-5"/>
        </w:rPr>
        <w:t> </w:t>
      </w:r>
      <w:r>
        <w:rPr/>
        <w:t>当期非经常性损益明细表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2"/>
          <w:szCs w:val="22"/>
        </w:rPr>
      </w:pPr>
    </w:p>
    <w:p>
      <w:pPr>
        <w:pStyle w:val="BodyText"/>
        <w:tabs>
          <w:tab w:pos="1267" w:val="left" w:leader="none"/>
        </w:tabs>
        <w:spacing w:line="240" w:lineRule="auto"/>
        <w:ind w:left="217" w:right="0"/>
        <w:jc w:val="left"/>
      </w:pPr>
      <w:r>
        <w:rPr/>
        <w:t>单位：元</w:t>
        <w:tab/>
        <w:t>币种：人民币</w:t>
      </w:r>
    </w:p>
    <w:p>
      <w:pPr>
        <w:spacing w:after="0" w:line="240" w:lineRule="auto"/>
        <w:jc w:val="left"/>
        <w:sectPr>
          <w:type w:val="continuous"/>
          <w:pgSz w:w="11910" w:h="16840"/>
          <w:pgMar w:top="1120" w:bottom="1380" w:left="1580" w:right="1040"/>
          <w:cols w:num="2" w:equalWidth="0">
            <w:col w:w="2957" w:space="3567"/>
            <w:col w:w="27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39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6,040.80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越权审批或无正式批准文件的税收返还、减免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1"/>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按照国家统一标准定额或定量享受的政府补助除 外）</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42,000.00</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65"/>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 本小于取得投资时应享有被投资单位可辨认净资 产公允价值产生的收益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65"/>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 资产减值准备</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103" w:right="165"/>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 分的损益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65"/>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 的当期净损益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65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3"/>
              <w:ind w:left="103" w:right="11"/>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外，持有交易性金融资产、交易性金融负债产生 </w:t>
            </w:r>
            <w:r>
              <w:rPr>
                <w:rFonts w:ascii="宋体" w:hAnsi="宋体" w:cs="宋体" w:eastAsia="宋体" w:hint="default"/>
                <w:spacing w:val="-2"/>
                <w:sz w:val="18"/>
                <w:szCs w:val="18"/>
              </w:rPr>
              <w:t>的公允价值变动损益，以及处置交易性金融资产、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交易性金融负债和可供出售金融资产取得的投资 收益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1"/>
              <w:ind w:left="103" w:right="165"/>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 公允价值变动产生的损益</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43"/>
              <w:ind w:left="103" w:right="165"/>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 进行一次性调整对当期损益的影响</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18"/>
                <w:szCs w:val="18"/>
              </w:rPr>
            </w:pPr>
            <w:r>
              <w:rPr>
                <w:rFonts w:ascii="宋体"/>
                <w:sz w:val="18"/>
              </w:rPr>
              <w:t>-658,706.21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90"/>
        <w:gridCol w:w="2501"/>
      </w:tblGrid>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490"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385" w:right="0"/>
              <w:jc w:val="left"/>
              <w:rPr>
                <w:rFonts w:ascii="宋体" w:hAnsi="宋体" w:cs="宋体" w:eastAsia="宋体" w:hint="default"/>
                <w:sz w:val="18"/>
                <w:szCs w:val="18"/>
              </w:rPr>
            </w:pPr>
            <w:r>
              <w:rPr>
                <w:rFonts w:ascii="宋体"/>
                <w:sz w:val="18"/>
              </w:rPr>
              <w:t>-610,665.41</w:t>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before="89"/>
        <w:ind w:left="218" w:right="228" w:firstLine="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除上述各项之外的其他营业外收入和支出主要是中国证券监督管理委员会对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年立案的公司违法事项处以罚</w:t>
      </w:r>
    </w:p>
    <w:p>
      <w:pPr>
        <w:spacing w:before="115"/>
        <w:ind w:left="218" w:right="228" w:firstLine="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宋体" w:hAnsi="宋体" w:cs="宋体" w:eastAsia="宋体" w:hint="default"/>
          <w:sz w:val="18"/>
          <w:szCs w:val="18"/>
        </w:rPr>
        <w:t>60</w:t>
      </w:r>
      <w:r>
        <w:rPr>
          <w:rFonts w:ascii="宋体" w:hAnsi="宋体" w:cs="宋体" w:eastAsia="宋体" w:hint="default"/>
          <w:spacing w:val="-46"/>
          <w:sz w:val="18"/>
          <w:szCs w:val="18"/>
        </w:rPr>
        <w:t> </w:t>
      </w:r>
      <w:r>
        <w:rPr>
          <w:rFonts w:ascii="宋体" w:hAnsi="宋体" w:cs="宋体" w:eastAsia="宋体" w:hint="default"/>
          <w:sz w:val="18"/>
          <w:szCs w:val="18"/>
        </w:rPr>
        <w:t>万元。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5"/>
          <w:szCs w:val="15"/>
        </w:rPr>
      </w:pPr>
    </w:p>
    <w:p>
      <w:pPr>
        <w:pStyle w:val="Heading3"/>
        <w:spacing w:line="240" w:lineRule="auto" w:before="0"/>
        <w:ind w:right="228"/>
        <w:jc w:val="left"/>
        <w:rPr>
          <w:b w:val="0"/>
          <w:bCs w:val="0"/>
        </w:rPr>
      </w:pPr>
      <w:r>
        <w:rPr>
          <w:rFonts w:ascii="宋体" w:hAnsi="宋体" w:cs="宋体" w:eastAsia="宋体" w:hint="default"/>
        </w:rPr>
        <w:t>2</w:t>
      </w:r>
      <w:r>
        <w:rPr/>
        <w:t>、</w:t>
      </w:r>
      <w:r>
        <w:rPr>
          <w:spacing w:val="-5"/>
        </w:rPr>
        <w:t> </w:t>
      </w:r>
      <w:r>
        <w:rPr/>
        <w:t>净资产收益率及每股收益</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914"/>
        <w:gridCol w:w="1842"/>
        <w:gridCol w:w="2146"/>
        <w:gridCol w:w="2148"/>
      </w:tblGrid>
      <w:tr>
        <w:trPr>
          <w:trHeight w:val="397"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42" w:type="dxa"/>
            <w:vMerge w:val="restart"/>
            <w:tcBorders>
              <w:top w:val="single" w:sz="4" w:space="0" w:color="000000"/>
              <w:left w:val="single" w:sz="4" w:space="0" w:color="000000"/>
              <w:right w:val="single" w:sz="4" w:space="0" w:color="000000"/>
            </w:tcBorders>
          </w:tcPr>
          <w:p>
            <w:pPr>
              <w:pStyle w:val="TableParagraph"/>
              <w:spacing w:line="396" w:lineRule="auto" w:before="47"/>
              <w:ind w:left="420" w:right="284" w:hanging="135"/>
              <w:jc w:val="left"/>
              <w:rPr>
                <w:rFonts w:ascii="宋体" w:hAnsi="宋体" w:cs="宋体" w:eastAsia="宋体" w:hint="default"/>
                <w:sz w:val="18"/>
                <w:szCs w:val="18"/>
              </w:rPr>
            </w:pPr>
            <w:r>
              <w:rPr>
                <w:rFonts w:ascii="宋体" w:hAnsi="宋体" w:cs="宋体" w:eastAsia="宋体" w:hint="default"/>
                <w:sz w:val="18"/>
                <w:szCs w:val="18"/>
              </w:rPr>
              <w:t>加权平均净资产 收益率（</w:t>
            </w:r>
            <w:r>
              <w:rPr>
                <w:rFonts w:ascii="宋体" w:hAnsi="宋体" w:cs="宋体" w:eastAsia="宋体" w:hint="default"/>
                <w:sz w:val="18"/>
                <w:szCs w:val="18"/>
              </w:rPr>
              <w:t>%</w:t>
            </w:r>
            <w:r>
              <w:rPr>
                <w:rFonts w:ascii="宋体" w:hAnsi="宋体" w:cs="宋体" w:eastAsia="宋体" w:hint="default"/>
                <w:sz w:val="18"/>
                <w:szCs w:val="18"/>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97" w:hRule="exact"/>
        </w:trPr>
        <w:tc>
          <w:tcPr>
            <w:tcW w:w="2914" w:type="dxa"/>
            <w:vMerge/>
            <w:tcBorders>
              <w:left w:val="single" w:sz="4" w:space="0" w:color="000000"/>
              <w:bottom w:val="single" w:sz="4" w:space="0" w:color="000000"/>
              <w:right w:val="single" w:sz="4" w:space="0" w:color="000000"/>
            </w:tcBorders>
          </w:tcPr>
          <w:p>
            <w:pPr/>
          </w:p>
        </w:tc>
        <w:tc>
          <w:tcPr>
            <w:tcW w:w="1842"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6"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27"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9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0.002</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0.002</w:t>
            </w:r>
          </w:p>
        </w:tc>
      </w:tr>
      <w:tr>
        <w:trPr>
          <w:trHeight w:val="713"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3"/>
              <w:ind w:left="103" w:right="27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1842" w:type="dxa"/>
            <w:tcBorders>
              <w:top w:val="single" w:sz="4" w:space="0" w:color="000000"/>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0.003</w:t>
            </w:r>
          </w:p>
        </w:tc>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02"/>
              <w:jc w:val="right"/>
              <w:rPr>
                <w:rFonts w:ascii="宋体" w:hAnsi="宋体" w:cs="宋体" w:eastAsia="宋体" w:hint="default"/>
                <w:sz w:val="18"/>
                <w:szCs w:val="18"/>
              </w:rPr>
            </w:pPr>
            <w:r>
              <w:rPr>
                <w:rFonts w:ascii="宋体"/>
                <w:sz w:val="18"/>
              </w:rPr>
              <w:t>0.003</w:t>
            </w:r>
          </w:p>
        </w:tc>
      </w:tr>
    </w:tbl>
    <w:p>
      <w:pPr>
        <w:spacing w:line="357" w:lineRule="auto" w:before="89"/>
        <w:ind w:left="218" w:right="218" w:firstLine="0"/>
        <w:jc w:val="left"/>
        <w:rPr>
          <w:rFonts w:ascii="宋体" w:hAnsi="宋体" w:cs="宋体" w:eastAsia="宋体" w:hint="default"/>
          <w:sz w:val="18"/>
          <w:szCs w:val="18"/>
        </w:rPr>
      </w:pPr>
      <w:r>
        <w:rPr>
          <w:rFonts w:ascii="宋体" w:hAnsi="宋体" w:cs="宋体" w:eastAsia="宋体" w:hint="default"/>
          <w:sz w:val="18"/>
          <w:szCs w:val="18"/>
        </w:rPr>
        <w:t>因本公司的净资产</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pacing w:val="-2"/>
          <w:sz w:val="18"/>
          <w:szCs w:val="18"/>
        </w:rPr>
        <w:t>年底才由负转正，净资产金额较小，计算出的加权平均净资产收益率无意义，因此未计算</w:t>
      </w:r>
      <w:r>
        <w:rPr>
          <w:rFonts w:ascii="宋体" w:hAnsi="宋体" w:cs="宋体" w:eastAsia="宋体" w:hint="default"/>
          <w:sz w:val="18"/>
          <w:szCs w:val="18"/>
        </w:rPr>
        <w:t> 加权平均净资产收益率。</w:t>
      </w:r>
    </w:p>
    <w:p>
      <w:pPr>
        <w:spacing w:line="240" w:lineRule="auto" w:before="8"/>
        <w:rPr>
          <w:rFonts w:ascii="宋体" w:hAnsi="宋体" w:cs="宋体" w:eastAsia="宋体" w:hint="default"/>
          <w:sz w:val="22"/>
          <w:szCs w:val="22"/>
        </w:rPr>
      </w:pPr>
    </w:p>
    <w:p>
      <w:pPr>
        <w:pStyle w:val="Heading3"/>
        <w:spacing w:line="240" w:lineRule="auto" w:before="0"/>
        <w:ind w:right="228"/>
        <w:jc w:val="left"/>
        <w:rPr>
          <w:b w:val="0"/>
          <w:bCs w:val="0"/>
        </w:rPr>
      </w:pPr>
      <w:r>
        <w:rPr>
          <w:rFonts w:ascii="宋体" w:hAnsi="宋体" w:cs="宋体" w:eastAsia="宋体" w:hint="default"/>
        </w:rPr>
        <w:t>3</w:t>
      </w:r>
      <w:r>
        <w:rPr/>
        <w:t>、</w:t>
      </w:r>
      <w:r>
        <w:rPr>
          <w:spacing w:val="-5"/>
        </w:rPr>
        <w:t> </w:t>
      </w:r>
      <w:r>
        <w:rPr/>
        <w:t>会计政策变更相关补充资料</w:t>
      </w:r>
      <w:r>
        <w:rPr>
          <w:b w:val="0"/>
          <w:bCs w:val="0"/>
        </w:rPr>
      </w:r>
    </w:p>
    <w:p>
      <w:pPr>
        <w:pStyle w:val="BodyText"/>
        <w:spacing w:line="240" w:lineRule="auto" w:before="133"/>
        <w:ind w:left="218" w:right="228"/>
        <w:jc w:val="left"/>
      </w:pPr>
      <w:r>
        <w:rPr/>
        <w:t>√适用</w:t>
      </w:r>
      <w:r>
        <w:rPr>
          <w:spacing w:val="-2"/>
        </w:rPr>
        <w:t> </w:t>
      </w:r>
      <w:r>
        <w:rPr/>
        <w:t>□不适用</w:t>
      </w:r>
    </w:p>
    <w:p>
      <w:pPr>
        <w:pStyle w:val="BodyText"/>
        <w:spacing w:line="355" w:lineRule="auto" w:before="134"/>
        <w:ind w:left="218" w:right="221" w:firstLine="420"/>
        <w:jc w:val="left"/>
      </w:pPr>
      <w:r>
        <w:rPr/>
        <w:t>公司根据财政部</w:t>
      </w:r>
      <w:r>
        <w:rPr>
          <w:spacing w:val="-52"/>
        </w:rPr>
        <w:t> </w:t>
      </w:r>
      <w:r>
        <w:rPr>
          <w:rFonts w:ascii="宋体" w:hAnsi="宋体" w:cs="宋体" w:eastAsia="宋体" w:hint="default"/>
        </w:rPr>
        <w:t>2014</w:t>
      </w:r>
      <w:r>
        <w:rPr>
          <w:rFonts w:ascii="宋体" w:hAnsi="宋体" w:cs="宋体" w:eastAsia="宋体" w:hint="default"/>
          <w:spacing w:val="-52"/>
        </w:rPr>
        <w:t> </w:t>
      </w:r>
      <w:r>
        <w:rPr>
          <w:spacing w:val="-4"/>
        </w:rPr>
        <w:t>年发布的《企业会计准则第</w:t>
      </w:r>
      <w:r>
        <w:rPr>
          <w:spacing w:val="-51"/>
        </w:rPr>
        <w:t> </w:t>
      </w:r>
      <w:r>
        <w:rPr>
          <w:rFonts w:ascii="宋体" w:hAnsi="宋体" w:cs="宋体" w:eastAsia="宋体" w:hint="default"/>
        </w:rPr>
        <w:t>2</w:t>
      </w:r>
      <w:r>
        <w:rPr>
          <w:rFonts w:ascii="宋体" w:hAnsi="宋体" w:cs="宋体" w:eastAsia="宋体" w:hint="default"/>
          <w:spacing w:val="-51"/>
        </w:rPr>
        <w:t> </w:t>
      </w:r>
      <w:r>
        <w:rPr>
          <w:spacing w:val="-3"/>
        </w:rPr>
        <w:t>号——长期股权投资》等八项会计准则变</w:t>
      </w:r>
      <w:r>
        <w:rPr/>
        <w:t> 更了相关会计政策，但对比较财务报表无影响。</w:t>
      </w:r>
    </w:p>
    <w:p>
      <w:pPr>
        <w:spacing w:after="0" w:line="355" w:lineRule="auto"/>
        <w:jc w:val="left"/>
        <w:sectPr>
          <w:pgSz w:w="11910" w:h="16840"/>
          <w:pgMar w:header="882" w:footer="1194" w:top="112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63"/>
        <w:ind w:right="16"/>
        <w:jc w:val="center"/>
        <w:rPr>
          <w:rFonts w:ascii="宋体" w:hAnsi="宋体" w:cs="宋体" w:eastAsia="宋体" w:hint="default"/>
          <w:b w:val="0"/>
          <w:bCs w:val="0"/>
        </w:rPr>
      </w:pPr>
      <w:bookmarkStart w:name="_TOC_250000" w:id="11"/>
      <w:r>
        <w:rPr>
          <w:rFonts w:ascii="宋体" w:hAnsi="宋体" w:cs="宋体" w:eastAsia="宋体" w:hint="default"/>
        </w:rPr>
        <w:t>第十一节</w:t>
      </w:r>
      <w:r>
        <w:rPr>
          <w:rFonts w:ascii="宋体" w:hAnsi="宋体" w:cs="宋体" w:eastAsia="宋体" w:hint="default"/>
          <w:spacing w:val="-11"/>
        </w:rPr>
        <w:t> </w:t>
      </w:r>
      <w:r>
        <w:rPr>
          <w:rFonts w:ascii="宋体" w:hAnsi="宋体" w:cs="宋体" w:eastAsia="宋体" w:hint="default"/>
        </w:rPr>
        <w:t>备查文件目录</w:t>
      </w:r>
      <w:bookmarkEnd w:id="11"/>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9"/>
          <w:szCs w:val="29"/>
        </w:rPr>
      </w:pPr>
    </w:p>
    <w:tbl>
      <w:tblPr>
        <w:tblW w:w="0" w:type="auto"/>
        <w:jc w:val="left"/>
        <w:tblInd w:w="103" w:type="dxa"/>
        <w:tblLayout w:type="fixed"/>
        <w:tblCellMar>
          <w:top w:w="0" w:type="dxa"/>
          <w:left w:w="0" w:type="dxa"/>
          <w:bottom w:w="0" w:type="dxa"/>
          <w:right w:w="0" w:type="dxa"/>
        </w:tblCellMar>
        <w:tblLook w:val="01E0"/>
      </w:tblPr>
      <w:tblGrid>
        <w:gridCol w:w="2294"/>
        <w:gridCol w:w="6600"/>
      </w:tblGrid>
      <w:tr>
        <w:trPr>
          <w:trHeight w:val="97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62"/>
              <w:ind w:left="23" w:right="55"/>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 会计报表</w:t>
            </w:r>
          </w:p>
        </w:tc>
      </w:tr>
      <w:tr>
        <w:trPr>
          <w:trHeight w:val="610"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2"/>
              <w:ind w:left="23"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r>
        <w:trPr>
          <w:trHeight w:val="971" w:hRule="exact"/>
        </w:trPr>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64"/>
              <w:ind w:left="23" w:right="55"/>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报告期内在中国证监会指定报纸上公开披露过的所有公司文件正本及公 告的原稿</w:t>
            </w:r>
          </w:p>
        </w:tc>
      </w:tr>
    </w:tbl>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pStyle w:val="BodyText"/>
        <w:spacing w:line="475" w:lineRule="auto" w:before="35"/>
        <w:ind w:left="5239" w:right="141" w:firstLine="2256"/>
        <w:jc w:val="left"/>
      </w:pPr>
      <w:r>
        <w:rPr/>
        <w:t>董事长：顾国平 董事会批准报送日期：</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before="26"/>
        <w:ind w:left="138" w:right="148"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2963"/>
        <w:gridCol w:w="2966"/>
        <w:gridCol w:w="2966"/>
      </w:tblGrid>
      <w:tr>
        <w:trPr>
          <w:trHeight w:val="384"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51"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323"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33"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385"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385" w:hRule="exact"/>
        </w:trPr>
        <w:tc>
          <w:tcPr>
            <w:tcW w:w="2963"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sectPr>
      <w:pgSz w:w="11910" w:h="16840"/>
      <w:pgMar w:header="882" w:footer="1194"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820007pt;margin-top:771.22998pt;width:28.8pt;height:11pt;mso-position-horizontal-relative:page;mso-position-vertical-relative:page;z-index:-5411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9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09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40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48</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07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0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11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40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40015pt;margin-top:524.630005pt;width:32.4pt;height:11pt;mso-position-horizontal-relative:page;mso-position-vertical-relative:page;z-index:-540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40015pt;margin-top:524.630005pt;width:33.4pt;height:11pt;mso-position-horizontal-relative:page;mso-position-vertical-relative:page;z-index:-540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75</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0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540009pt;margin-top:771.22998pt;width:32.4pt;height:11pt;mso-position-horizontal-relative:page;mso-position-vertical-relative:page;z-index:-540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115</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0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60010pt;margin-top:771.22998pt;width:36.950pt;height:11pt;mso-position-horizontal-relative:page;mso-position-vertical-relative:page;z-index:-5403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115</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1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40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60010pt;margin-top:771.22998pt;width:37.950pt;height:11pt;mso-position-horizontal-relative:page;mso-position-vertical-relative:page;z-index:-540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110</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10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1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540009pt;margin-top:771.22998pt;width:33.4pt;height:11pt;mso-position-horizontal-relative:page;mso-position-vertical-relative:page;z-index:-541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25</w:t>
                </w:r>
                <w:r>
                  <w:rPr/>
                  <w:fldChar w:fldCharType="end"/>
                </w:r>
                <w:r>
                  <w:rPr>
                    <w:rFonts w:ascii="Calibri"/>
                    <w:b/>
                    <w:sz w:val="18"/>
                  </w:rPr>
                  <w:t> </w:t>
                </w:r>
                <w:r>
                  <w:rPr>
                    <w:rFonts w:ascii="Calibri"/>
                    <w:sz w:val="18"/>
                  </w:rPr>
                  <w:t>/</w:t>
                </w:r>
                <w:r>
                  <w:rPr>
                    <w:rFonts w:ascii="Calibri"/>
                    <w:spacing w:val="-3"/>
                    <w:sz w:val="18"/>
                  </w:rPr>
                  <w:t> </w:t>
                </w:r>
                <w:r>
                  <w:rPr>
                    <w:rFonts w:ascii="Calibri"/>
                    <w:b/>
                    <w:sz w:val="18"/>
                  </w:rPr>
                  <w:t>115</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41216"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53.76001pt;margin-top:43.105606pt;width:177.7pt;height:12pt;mso-position-horizontal-relative:page;mso-position-vertical-relative:page;z-index:-5411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41072"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353.76001pt;margin-top:43.105606pt;width:177.7pt;height:12pt;mso-position-horizontal-relative:page;mso-position-vertical-relative:page;z-index:-5410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800007pt;width:695.65pt;height:.1pt;mso-position-horizontal-relative:page;mso-position-vertical-relative:page;z-index:-540880" coordorigin="1410,1116" coordsize="13913,2">
          <v:shape style="position:absolute;left:1410;top:1116;width:13913;height:2" coordorigin="1410,1116" coordsize="13913,0" path="m1410,1116l15323,1116e" filled="false" stroked="true" strokeweight=".72pt" strokecolor="#000000">
            <v:path arrowok="t"/>
          </v:shape>
          <w10:wrap type="none"/>
        </v:group>
      </w:pict>
    </w:r>
    <w:r>
      <w:rPr/>
      <w:pict>
        <v:shape style="position:absolute;margin-left:587.880005pt;margin-top:43.105633pt;width:177.7pt;height:12pt;mso-position-horizontal-relative:page;mso-position-vertical-relative:page;z-index:-5408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799984pt;width:443.65pt;height:.1pt;mso-position-horizontal-relative:page;mso-position-vertical-relative:page;z-index:-540808" coordorigin="1768,1116" coordsize="8873,2">
          <v:shape style="position:absolute;left:1768;top:1116;width:8873;height:2" coordorigin="1768,1116" coordsize="8873,0" path="m1768,1116l10640,1116e" filled="false" stroked="true" strokeweight=".72pt" strokecolor="#000000">
            <v:path arrowok="t"/>
          </v:shape>
          <w10:wrap type="none"/>
        </v:group>
      </w:pict>
    </w:r>
    <w:r>
      <w:rPr/>
      <w:pict>
        <v:shape style="position:absolute;margin-left:353.76001pt;margin-top:42.865608pt;width:177.7pt;height:12pt;mso-position-horizontal-relative:page;mso-position-vertical-relative:page;z-index:-54078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695.65pt;height:.1pt;mso-position-horizontal-relative:page;mso-position-vertical-relative:page;z-index:-540640" coordorigin="1410,1112" coordsize="13913,2">
          <v:shape style="position:absolute;left:1410;top:1112;width:13913;height:2" coordorigin="1410,1112" coordsize="13913,0" path="m1410,1112l15323,1112e" filled="false" stroked="true" strokeweight=".72pt" strokecolor="#000000">
            <v:path arrowok="t"/>
          </v:shape>
          <w10:wrap type="none"/>
        </v:group>
      </w:pict>
    </w:r>
    <w:r>
      <w:rPr/>
      <w:pict>
        <v:shape style="position:absolute;margin-left:587.880005pt;margin-top:42.865631pt;width:177.7pt;height:12pt;mso-position-horizontal-relative:page;mso-position-vertical-relative:page;z-index:-540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00002pt;margin-top:55.859982pt;width:443.65pt;height:.1pt;mso-position-horizontal-relative:page;mso-position-vertical-relative:page;z-index:-540520" coordorigin="1768,1117" coordsize="8873,2">
          <v:shape style="position:absolute;left:1768;top:1117;width:8873;height:2" coordorigin="1768,1117" coordsize="8873,0" path="m1768,1117l10640,1117e" filled="false" stroked="true" strokeweight=".72pt" strokecolor="#000000">
            <v:path arrowok="t"/>
          </v:shape>
          <w10:wrap type="none"/>
        </v:group>
      </w:pict>
    </w:r>
    <w:r>
      <w:rPr/>
      <w:pict>
        <v:shape style="position:absolute;margin-left:353.76001pt;margin-top:43.105606pt;width:177.7pt;height:12pt;mso-position-horizontal-relative:page;mso-position-vertical-relative:page;z-index:-540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广西慧球科技股份有限公司</w:t>
                </w:r>
                <w:r>
                  <w:rPr>
                    <w:rFonts w:ascii="宋体" w:hAnsi="宋体" w:cs="宋体" w:eastAsia="宋体" w:hint="default"/>
                    <w:spacing w:val="-48"/>
                    <w:sz w:val="18"/>
                    <w:szCs w:val="18"/>
                  </w:rPr>
                  <w:t> </w:t>
                </w:r>
                <w:r>
                  <w:rPr>
                    <w:rFonts w:ascii="Calibri" w:hAnsi="Calibri" w:cs="Calibri" w:eastAsia="Calibri" w:hint="default"/>
                    <w:sz w:val="18"/>
                    <w:szCs w:val="18"/>
                  </w:rPr>
                  <w:t>2014</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138"/>
    </w:pPr>
    <w:rPr>
      <w:rFonts w:ascii="宋体" w:hAnsi="宋体" w:eastAsia="宋体"/>
      <w:sz w:val="21"/>
      <w:szCs w:val="21"/>
    </w:rPr>
  </w:style>
  <w:style w:styleId="Heading1" w:type="paragraph">
    <w:name w:val="Heading 1"/>
    <w:basedOn w:val="Normal"/>
    <w:uiPriority w:val="1"/>
    <w:qFormat/>
    <w:pPr>
      <w:spacing w:before="13"/>
      <w:outlineLvl w:val="1"/>
    </w:pPr>
    <w:rPr>
      <w:rFonts w:ascii="黑体" w:hAnsi="黑体" w:eastAsia="黑体"/>
      <w:b/>
      <w:bCs/>
      <w:sz w:val="28"/>
      <w:szCs w:val="28"/>
    </w:rPr>
  </w:style>
  <w:style w:styleId="Heading2" w:type="paragraph">
    <w:name w:val="Heading 2"/>
    <w:basedOn w:val="Normal"/>
    <w:uiPriority w:val="1"/>
    <w:qFormat/>
    <w:pPr>
      <w:ind w:left="618"/>
      <w:outlineLvl w:val="2"/>
    </w:pPr>
    <w:rPr>
      <w:rFonts w:ascii="黑体" w:hAnsi="黑体" w:eastAsia="黑体"/>
      <w:sz w:val="24"/>
      <w:szCs w:val="24"/>
    </w:rPr>
  </w:style>
  <w:style w:styleId="Heading3" w:type="paragraph">
    <w:name w:val="Heading 3"/>
    <w:basedOn w:val="Normal"/>
    <w:uiPriority w:val="1"/>
    <w:qFormat/>
    <w:pPr>
      <w:spacing w:before="35"/>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syy_bh@163.net" TargetMode="External"/><Relationship Id="rId8" Type="http://schemas.openxmlformats.org/officeDocument/2006/relationships/hyperlink" Target="http://www.bsyy.com.cn/"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header" Target="header3.xml"/><Relationship Id="rId16" Type="http://schemas.openxmlformats.org/officeDocument/2006/relationships/footer" Target="footer6.xml"/><Relationship Id="rId17" Type="http://schemas.openxmlformats.org/officeDocument/2006/relationships/header" Target="header4.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image" Target="media/image1.png"/><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header" Target="header5.xml"/><Relationship Id="rId27" Type="http://schemas.openxmlformats.org/officeDocument/2006/relationships/footer" Target="footer14.xml"/><Relationship Id="rId28" Type="http://schemas.openxmlformats.org/officeDocument/2006/relationships/header" Target="header6.xml"/><Relationship Id="rId29" Type="http://schemas.openxmlformats.org/officeDocument/2006/relationships/footer" Target="footer15.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header" Target="header7.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header" Target="header8.xml"/><Relationship Id="rId41" Type="http://schemas.openxmlformats.org/officeDocument/2006/relationships/footer" Target="footer23.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footer" Target="footer27.xml"/><Relationship Id="rId46" Type="http://schemas.openxmlformats.org/officeDocument/2006/relationships/footer" Target="footer28.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2020-05-06T22:16:48Z</dcterms:created>
  <dcterms:modified xsi:type="dcterms:W3CDTF">2020-05-06T22:16:48Z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2015-04-27T00:00:00Z</vt:filetime>
  </property>
  <property fmtid="{D5CDD505-2E9C-101B-9397-08002B2CF9AE}" pid="3" name="Creator">
    <vt:lpwstr>Microsoft® Office Word 2007</vt:lpwstr>
  </property>
  <property fmtid="{D5CDD505-2E9C-101B-9397-08002B2CF9AE}" pid="4" name="LastSaved">
    <vt:filetime>2020-05-06T00:00:00Z</vt:filetime>
  </property>
</Properties>
</file>