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Default Extension="png" ContentType="image/png"/>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9.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right="123"/>
        <w:jc w:val="left"/>
      </w:pPr>
      <w:r>
        <w:rPr>
          <w:spacing w:val="-1"/>
        </w:rPr>
        <w:t>公司代码：</w:t>
      </w:r>
      <w:r>
        <w:rPr>
          <w:rFonts w:ascii="宋体" w:hAnsi="宋体" w:cs="宋体" w:eastAsia="宋体" w:hint="default"/>
          <w:spacing w:val="-1"/>
        </w:rPr>
        <w:t>600556</w:t>
        <w:tab/>
      </w:r>
      <w:r>
        <w:rPr>
          <w:spacing w:val="-2"/>
        </w:rPr>
        <w:t>公司简称：慧球科技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2" w:lineRule="exact" w:before="158"/>
        <w:ind w:left="2005" w:right="2001"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广西慧球科技股份有限公司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5"/>
        <w:ind w:left="2001" w:right="200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7" w:lineRule="auto"/>
        <w:ind w:left="505" w:right="123"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left="138" w:right="123"/>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45"/>
        <w:ind w:left="138" w:right="123"/>
        <w:jc w:val="left"/>
        <w:rPr>
          <w:b w:val="0"/>
          <w:bCs w:val="0"/>
        </w:rPr>
      </w:pPr>
      <w:r>
        <w:rPr/>
        <w:t>三、</w:t>
      </w:r>
      <w:r>
        <w:rPr>
          <w:spacing w:val="-14"/>
        </w:rPr>
        <w:t> </w:t>
      </w:r>
      <w:r>
        <w:rPr/>
        <w:t>大华会计师事务所（特殊普通合伙）为本公司出具了标准无保留意见的审计报告。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3"/>
        <w:spacing w:line="357" w:lineRule="auto" w:before="142"/>
        <w:ind w:left="505" w:right="123" w:hanging="368"/>
        <w:jc w:val="left"/>
        <w:rPr>
          <w:b w:val="0"/>
          <w:bCs w:val="0"/>
        </w:rPr>
      </w:pPr>
      <w:r>
        <w:rPr>
          <w:spacing w:val="-1"/>
        </w:rPr>
        <w:t>四、公司负责人顾国平、主管会计工作负责人顾国平及会计机构负责人（会计主管人员）朱军声</w:t>
      </w:r>
      <w:r>
        <w:rPr>
          <w:spacing w:val="-88"/>
        </w:rPr>
        <w:t> </w:t>
      </w:r>
      <w:r>
        <w:rPr>
          <w:spacing w:val="-88"/>
        </w:rPr>
      </w:r>
      <w:r>
        <w:rPr/>
        <w:t>明：保证年度报告中财务报告的真实、准确、完整。</w:t>
      </w:r>
      <w:r>
        <w:rPr>
          <w:b w:val="0"/>
          <w:bCs w:val="0"/>
        </w:rPr>
      </w:r>
    </w:p>
    <w:p>
      <w:pPr>
        <w:spacing w:line="564" w:lineRule="exact" w:before="96"/>
        <w:ind w:left="558" w:right="123"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5"/>
          <w:sz w:val="21"/>
          <w:szCs w:val="21"/>
        </w:rPr>
        <w:t>大华会计师事务所（特殊普通合伙）对公司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3"/>
          <w:sz w:val="21"/>
          <w:szCs w:val="21"/>
        </w:rPr>
        <w:t> </w:t>
      </w:r>
      <w:r>
        <w:rPr>
          <w:rFonts w:ascii="宋体" w:hAnsi="宋体" w:cs="宋体" w:eastAsia="宋体" w:hint="default"/>
          <w:spacing w:val="-4"/>
          <w:sz w:val="21"/>
          <w:szCs w:val="21"/>
        </w:rPr>
        <w:t>年度财务报表进行了审计，并出具了标准无</w:t>
      </w:r>
    </w:p>
    <w:p>
      <w:pPr>
        <w:pStyle w:val="BodyText"/>
        <w:spacing w:line="292" w:lineRule="auto"/>
        <w:ind w:right="129"/>
        <w:jc w:val="both"/>
      </w:pPr>
      <w:r>
        <w:rPr/>
        <w:t>保留意见审计报告（大华审字</w:t>
      </w:r>
      <w:r>
        <w:rPr>
          <w:rFonts w:ascii="Times New Roman" w:hAnsi="Times New Roman" w:cs="Times New Roman" w:eastAsia="Times New Roman" w:hint="default"/>
        </w:rPr>
        <w:t>[2016] 004996 </w:t>
      </w:r>
      <w:r>
        <w:rPr/>
        <w:t>号）。</w:t>
      </w:r>
      <w:r>
        <w:rPr>
          <w:rFonts w:ascii="Times New Roman" w:hAnsi="Times New Roman" w:cs="Times New Roman" w:eastAsia="Times New Roman" w:hint="default"/>
        </w:rPr>
        <w:t>2015</w:t>
      </w:r>
      <w:r>
        <w:rPr>
          <w:rFonts w:ascii="Times New Roman" w:hAnsi="Times New Roman" w:cs="Times New Roman" w:eastAsia="Times New Roman" w:hint="default"/>
          <w:spacing w:val="23"/>
        </w:rPr>
        <w:t> </w:t>
      </w:r>
      <w:r>
        <w:rPr/>
        <w:t>年实现归属于母公司所有者的净利润为</w:t>
      </w:r>
      <w:r>
        <w:rPr>
          <w:w w:val="100"/>
        </w:rPr>
        <w:t> </w:t>
      </w:r>
      <w:r>
        <w:rPr>
          <w:rFonts w:ascii="Times New Roman" w:hAnsi="Times New Roman" w:cs="Times New Roman" w:eastAsia="Times New Roman" w:hint="default"/>
        </w:rPr>
        <w:t>5,131,893.00 </w:t>
      </w:r>
      <w:r>
        <w:rPr/>
        <w:t>元，</w:t>
      </w:r>
      <w:r>
        <w:rPr>
          <w:rFonts w:ascii="Times New Roman" w:hAnsi="Times New Roman" w:cs="Times New Roman" w:eastAsia="Times New Roman" w:hint="default"/>
        </w:rPr>
        <w:t>2015 </w:t>
      </w:r>
      <w:r>
        <w:rPr/>
        <w:t>年末合并报表未分配利润为</w:t>
      </w:r>
      <w:r>
        <w:rPr>
          <w:rFonts w:ascii="Times New Roman" w:hAnsi="Times New Roman" w:cs="Times New Roman" w:eastAsia="Times New Roman" w:hint="default"/>
        </w:rPr>
        <w:t>-788,347,444.48 </w:t>
      </w:r>
      <w:r>
        <w:rPr/>
        <w:t>元；</w:t>
      </w:r>
      <w:r>
        <w:rPr>
          <w:rFonts w:ascii="Times New Roman" w:hAnsi="Times New Roman" w:cs="Times New Roman" w:eastAsia="Times New Roman" w:hint="default"/>
        </w:rPr>
        <w:t>2015</w:t>
      </w:r>
      <w:r>
        <w:rPr>
          <w:rFonts w:ascii="Times New Roman" w:hAnsi="Times New Roman" w:cs="Times New Roman" w:eastAsia="Times New Roman" w:hint="default"/>
          <w:spacing w:val="38"/>
        </w:rPr>
        <w:t> </w:t>
      </w:r>
      <w:r>
        <w:rPr/>
        <w:t>年母公司实现净利润</w:t>
      </w:r>
      <w:r>
        <w:rPr>
          <w:w w:val="100"/>
        </w:rPr>
        <w:t> </w:t>
      </w:r>
      <w:r>
        <w:rPr/>
        <w:t>为</w:t>
      </w:r>
      <w:r>
        <w:rPr>
          <w:spacing w:val="-45"/>
        </w:rPr>
        <w:t> </w:t>
      </w:r>
      <w:r>
        <w:rPr>
          <w:rFonts w:ascii="Times New Roman" w:hAnsi="Times New Roman" w:cs="Times New Roman" w:eastAsia="Times New Roman" w:hint="default"/>
        </w:rPr>
        <w:t>3,345,241.8</w:t>
      </w:r>
      <w:r>
        <w:rPr>
          <w:rFonts w:ascii="Times New Roman" w:hAnsi="Times New Roman" w:cs="Times New Roman" w:eastAsia="Times New Roman" w:hint="default"/>
          <w:spacing w:val="5"/>
        </w:rPr>
        <w:t> </w:t>
      </w:r>
      <w:r>
        <w:rPr>
          <w:spacing w:val="-3"/>
        </w:rPr>
        <w:t>元，</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6"/>
        </w:rPr>
        <w:t> </w:t>
      </w:r>
      <w:r>
        <w:rPr/>
        <w:t>年末母公司未分配利润为</w:t>
      </w:r>
      <w:r>
        <w:rPr>
          <w:rFonts w:ascii="Times New Roman" w:hAnsi="Times New Roman" w:cs="Times New Roman" w:eastAsia="Times New Roman" w:hint="default"/>
        </w:rPr>
        <w:t>-800,559,913.61</w:t>
      </w:r>
      <w:r>
        <w:rPr>
          <w:rFonts w:ascii="Times New Roman" w:hAnsi="Times New Roman" w:cs="Times New Roman" w:eastAsia="Times New Roman" w:hint="default"/>
          <w:spacing w:val="8"/>
        </w:rPr>
        <w:t> </w:t>
      </w:r>
      <w:r>
        <w:rPr>
          <w:spacing w:val="-6"/>
        </w:rPr>
        <w:t>元，根据《公司法》、《公司章</w:t>
      </w:r>
      <w:r>
        <w:rPr>
          <w:spacing w:val="-102"/>
        </w:rPr>
        <w:t> </w:t>
      </w:r>
      <w:r>
        <w:rPr>
          <w:spacing w:val="-102"/>
        </w:rPr>
      </w:r>
      <w:r>
        <w:rPr>
          <w:spacing w:val="-5"/>
        </w:rPr>
        <w:t>程》有关利润分配的规定，拟定公司 </w:t>
      </w:r>
      <w:r>
        <w:rPr>
          <w:rFonts w:ascii="Times New Roman" w:hAnsi="Times New Roman" w:cs="Times New Roman" w:eastAsia="Times New Roman" w:hint="default"/>
        </w:rPr>
        <w:t>2015</w:t>
      </w:r>
      <w:r>
        <w:rPr>
          <w:rFonts w:ascii="Times New Roman" w:hAnsi="Times New Roman" w:cs="Times New Roman" w:eastAsia="Times New Roman" w:hint="default"/>
          <w:spacing w:val="26"/>
        </w:rPr>
        <w:t> </w:t>
      </w:r>
      <w:r>
        <w:rPr>
          <w:spacing w:val="-4"/>
        </w:rPr>
        <w:t>年不进行利润分配，也不进行资本公积金转增股本。此</w:t>
      </w:r>
    </w:p>
    <w:p>
      <w:pPr>
        <w:pStyle w:val="BodyText"/>
        <w:spacing w:line="240" w:lineRule="auto" w:before="13"/>
        <w:ind w:right="123"/>
        <w:jc w:val="left"/>
      </w:pPr>
      <w:r>
        <w:rPr/>
        <w:t>预案经公司董事会审议后尚需提交</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年年度股东大会审议。</w:t>
      </w:r>
    </w:p>
    <w:p>
      <w:pPr>
        <w:spacing w:line="240" w:lineRule="auto" w:before="11"/>
        <w:rPr>
          <w:rFonts w:ascii="宋体" w:hAnsi="宋体" w:cs="宋体" w:eastAsia="宋体" w:hint="default"/>
          <w:sz w:val="16"/>
          <w:szCs w:val="16"/>
        </w:rPr>
      </w:pPr>
    </w:p>
    <w:p>
      <w:pPr>
        <w:spacing w:line="480" w:lineRule="atLeast" w:before="0"/>
        <w:ind w:left="558" w:right="123"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本报告中涉及的未来计划、发展战略等前瞻性描述不构成公司对投资者的实质承诺，敬请投</w:t>
      </w:r>
    </w:p>
    <w:p>
      <w:pPr>
        <w:pStyle w:val="BodyText"/>
        <w:spacing w:line="240" w:lineRule="auto" w:before="85"/>
        <w:ind w:right="123"/>
        <w:jc w:val="left"/>
      </w:pPr>
      <w:r>
        <w:rPr/>
        <w:t>资者注意投资风险。</w:t>
      </w:r>
    </w:p>
    <w:p>
      <w:pPr>
        <w:spacing w:line="240" w:lineRule="auto" w:before="2"/>
        <w:rPr>
          <w:rFonts w:ascii="宋体" w:hAnsi="宋体" w:cs="宋体" w:eastAsia="宋体" w:hint="default"/>
          <w:sz w:val="28"/>
          <w:szCs w:val="28"/>
        </w:rPr>
      </w:pPr>
    </w:p>
    <w:p>
      <w:pPr>
        <w:pStyle w:val="Heading3"/>
        <w:spacing w:line="422" w:lineRule="auto"/>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3"/>
        <w:tabs>
          <w:tab w:pos="781" w:val="left" w:leader="none"/>
        </w:tabs>
        <w:spacing w:line="355" w:lineRule="auto"/>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spacing w:after="0" w:line="355" w:lineRule="auto"/>
        <w:jc w:val="left"/>
        <w:rPr>
          <w:rFonts w:ascii="宋体" w:hAnsi="宋体" w:cs="宋体" w:eastAsia="宋体" w:hint="default"/>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4"/>
        <w:rPr>
          <w:rFonts w:ascii="宋体" w:hAnsi="宋体" w:cs="宋体" w:eastAsia="宋体" w:hint="default"/>
          <w:sz w:val="25"/>
          <w:szCs w:val="25"/>
        </w:rPr>
      </w:pPr>
    </w:p>
    <w:p>
      <w:pPr>
        <w:pStyle w:val="Heading3"/>
        <w:tabs>
          <w:tab w:pos="781" w:val="left" w:leader="none"/>
        </w:tabs>
        <w:spacing w:line="240" w:lineRule="auto" w:before="36"/>
        <w:ind w:left="138" w:right="123"/>
        <w:jc w:val="left"/>
        <w:rPr>
          <w:b w:val="0"/>
          <w:bCs w:val="0"/>
        </w:rPr>
      </w:pPr>
      <w:r>
        <w:rPr/>
        <w:t>九、</w:t>
        <w:tab/>
        <w:t>重大风险提示</w:t>
      </w:r>
      <w:r>
        <w:rPr>
          <w:b w:val="0"/>
          <w:bCs w:val="0"/>
        </w:rPr>
      </w:r>
    </w:p>
    <w:p>
      <w:pPr>
        <w:pStyle w:val="BodyText"/>
        <w:spacing w:line="272" w:lineRule="exact" w:before="163"/>
        <w:ind w:right="123" w:firstLine="419"/>
        <w:jc w:val="left"/>
      </w:pPr>
      <w:r>
        <w:rPr>
          <w:spacing w:val="-2"/>
        </w:rPr>
        <w:t>本公司已在本报告中详细描述可能存在的相关风险，敬请查阅第四节“管理层讨论与分析”</w:t>
      </w:r>
      <w:r>
        <w:rPr>
          <w:w w:val="100"/>
        </w:rPr>
        <w:t> </w:t>
      </w:r>
      <w:r>
        <w:rPr/>
        <w:t>中“可能面对的风险”部分的内容。</w:t>
      </w:r>
    </w:p>
    <w:p>
      <w:pPr>
        <w:spacing w:after="0" w:line="272" w:lineRule="exact"/>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003" w:right="2001"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81" w:lineRule="exact" w:before="37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10">
            <w:r>
              <w:rPr/>
              <w:t>第二节</w:t>
              <w:tab/>
              <w:t>公司简介和主要财务指标</w:t>
            </w:r>
            <w:r>
              <w:rPr>
                <w:rFonts w:ascii="Times New Roman" w:hAnsi="Times New Roman" w:cs="Times New Roman" w:eastAsia="Times New Roman" w:hint="default"/>
              </w:rPr>
              <w:tab/>
              <w:t>4</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9">
            <w:r>
              <w:rPr/>
              <w:t>第三节</w:t>
              <w:tab/>
              <w:t>公司业务概要</w:t>
            </w:r>
            <w:r>
              <w:rPr>
                <w:rFonts w:ascii="Times New Roman" w:hAnsi="Times New Roman" w:cs="Times New Roman" w:eastAsia="Times New Roman" w:hint="default"/>
              </w:rPr>
              <w:tab/>
              <w:t>8</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8">
            <w:r>
              <w:rPr/>
              <w:t>第四节</w:t>
              <w:tab/>
              <w:t>管理层讨论与分析</w:t>
            </w:r>
            <w:r>
              <w:rPr>
                <w:rFonts w:ascii="Times New Roman" w:hAnsi="Times New Roman" w:cs="Times New Roman" w:eastAsia="Times New Roman" w:hint="default"/>
              </w:rPr>
              <w:tab/>
              <w:t>13</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7">
            <w:r>
              <w:rPr/>
              <w:t>第五节</w:t>
              <w:tab/>
              <w:t>重要事项</w:t>
            </w:r>
            <w:r>
              <w:rPr>
                <w:rFonts w:ascii="Times New Roman" w:hAnsi="Times New Roman" w:cs="Times New Roman" w:eastAsia="Times New Roman" w:hint="default"/>
              </w:rPr>
              <w:tab/>
              <w:t>31</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6">
            <w:r>
              <w:rPr/>
              <w:t>第六节</w:t>
              <w:tab/>
              <w:t>普通股股份变动及股东情况</w:t>
            </w:r>
            <w:r>
              <w:rPr>
                <w:rFonts w:ascii="Times New Roman" w:hAnsi="Times New Roman" w:cs="Times New Roman" w:eastAsia="Times New Roman" w:hint="default"/>
              </w:rPr>
              <w:tab/>
              <w:t>40</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5">
            <w:r>
              <w:rPr/>
              <w:t>第七节</w:t>
              <w:tab/>
              <w:t>优先股相关情况</w:t>
            </w:r>
            <w:r>
              <w:rPr>
                <w:rFonts w:ascii="Times New Roman" w:hAnsi="Times New Roman" w:cs="Times New Roman" w:eastAsia="Times New Roman" w:hint="default"/>
              </w:rPr>
              <w:tab/>
              <w:t>44</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45</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50</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02">
            <w:r>
              <w:rPr/>
              <w:t>第十节</w:t>
              <w:tab/>
              <w:t>公司债券相关情况</w:t>
            </w:r>
            <w:r>
              <w:rPr>
                <w:rFonts w:ascii="Times New Roman" w:hAnsi="Times New Roman" w:cs="Times New Roman" w:eastAsia="Times New Roman" w:hint="default"/>
              </w:rPr>
              <w:tab/>
              <w:t>52</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1">
            <w:r>
              <w:rPr>
                <w:spacing w:val="-1"/>
              </w:rPr>
              <w:t>第十一节</w:t>
              <w:tab/>
              <w:t>财务报告</w:t>
            </w:r>
            <w:r>
              <w:rPr>
                <w:rFonts w:ascii="Times New Roman" w:hAnsi="Times New Roman" w:cs="Times New Roman" w:eastAsia="Times New Roman" w:hint="default"/>
                <w:spacing w:val="-1"/>
              </w:rPr>
              <w:tab/>
            </w:r>
            <w:r>
              <w:rPr>
                <w:rFonts w:ascii="Times New Roman" w:hAnsi="Times New Roman" w:cs="Times New Roman" w:eastAsia="Times New Roman" w:hint="default"/>
              </w:rPr>
              <w:t>53</w:t>
            </w:r>
          </w:hyperlink>
        </w:p>
        <w:p>
          <w:pPr>
            <w:pStyle w:val="TOC1"/>
            <w:tabs>
              <w:tab w:pos="1397" w:val="left" w:leader="none"/>
              <w:tab w:pos="8964" w:val="right" w:leader="dot"/>
            </w:tabs>
            <w:spacing w:line="281" w:lineRule="exact"/>
            <w:ind w:right="0"/>
            <w:jc w:val="left"/>
            <w:rPr>
              <w:rFonts w:ascii="Times New Roman" w:hAnsi="Times New Roman" w:cs="Times New Roman" w:eastAsia="Times New Roman" w:hint="default"/>
            </w:rPr>
          </w:pPr>
          <w:hyperlink w:history="true" w:anchor="_TOC_250000">
            <w:r>
              <w:rPr>
                <w:spacing w:val="-1"/>
              </w:rPr>
              <w:t>第十二节</w:t>
              <w:tab/>
              <w:t>备查文件目录</w:t>
            </w:r>
            <w:r>
              <w:rPr>
                <w:rFonts w:ascii="Times New Roman" w:hAnsi="Times New Roman" w:cs="Times New Roman" w:eastAsia="Times New Roman" w:hint="default"/>
                <w:spacing w:val="-1"/>
              </w:rPr>
              <w:tab/>
            </w:r>
            <w:r>
              <w:rPr>
                <w:rFonts w:ascii="Times New Roman" w:hAnsi="Times New Roman" w:cs="Times New Roman" w:eastAsia="Times New Roman" w:hint="default"/>
              </w:rPr>
              <w:t>130</w:t>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2621"/>
        <w:gridCol w:w="3411"/>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慧球科技、公司、本公司</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广西慧球科技股份有限公司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北生集团</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斐讯通信</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上海斐讯数据通信技术有限公司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智诚合讯</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南宁市智诚合讯信息技术有限公司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杭州郡原</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杭州郡原物业服务有限公司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郡原地产</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浙江郡原地产股份有限公司</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日至</w:t>
            </w:r>
            <w:r>
              <w:rPr>
                <w:rFonts w:ascii="宋体" w:hAnsi="宋体" w:cs="宋体" w:eastAsia="宋体" w:hint="default"/>
                <w:spacing w:val="-59"/>
                <w:sz w:val="21"/>
                <w:szCs w:val="21"/>
              </w:rPr>
              <w:t> </w:t>
            </w:r>
            <w:r>
              <w:rPr>
                <w:rFonts w:ascii="宋体" w:hAnsi="宋体" w:cs="宋体" w:eastAsia="宋体" w:hint="default"/>
                <w:sz w:val="21"/>
                <w:szCs w:val="21"/>
              </w:rPr>
              <w:t>2015</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上交所、交易所</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137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both"/>
              <w:rPr>
                <w:rFonts w:ascii="宋体" w:hAnsi="宋体" w:cs="宋体" w:eastAsia="宋体" w:hint="default"/>
                <w:sz w:val="21"/>
                <w:szCs w:val="21"/>
              </w:rPr>
            </w:pPr>
            <w:r>
              <w:rPr>
                <w:rFonts w:ascii="宋体" w:hAnsi="宋体" w:cs="宋体" w:eastAsia="宋体" w:hint="default"/>
                <w:sz w:val="21"/>
                <w:szCs w:val="21"/>
              </w:rPr>
              <w:t>借助新一代信息化技术，将人、商</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业、运输、通信、水和能源等城市</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运行的各个核心系统整合起来，从</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而更好地理解和控制城市运营，并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优化有限资源使用情况的城市</w:t>
            </w:r>
          </w:p>
        </w:tc>
      </w:tr>
      <w:tr>
        <w:trPr>
          <w:trHeight w:val="164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ICT</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ICT </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是信息、通信和技术三个英文</w:t>
            </w:r>
          </w:p>
          <w:p>
            <w:pPr>
              <w:pStyle w:val="TableParagraph"/>
              <w:spacing w:line="225" w:lineRule="auto" w:before="6"/>
              <w:ind w:left="100" w:right="17"/>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43"/>
                <w:sz w:val="21"/>
                <w:szCs w:val="21"/>
              </w:rPr>
              <w:t> </w:t>
            </w:r>
            <w:r>
              <w:rPr>
                <w:rFonts w:ascii="宋体" w:hAnsi="宋体" w:cs="宋体" w:eastAsia="宋体" w:hint="default"/>
                <w:sz w:val="21"/>
                <w:szCs w:val="21"/>
              </w:rPr>
              <w:t>词</w:t>
            </w:r>
            <w:r>
              <w:rPr>
                <w:rFonts w:ascii="宋体" w:hAnsi="宋体" w:cs="宋体" w:eastAsia="宋体" w:hint="default"/>
                <w:spacing w:val="-41"/>
                <w:sz w:val="21"/>
                <w:szCs w:val="21"/>
              </w:rPr>
              <w:t> </w:t>
            </w:r>
            <w:r>
              <w:rPr>
                <w:rFonts w:ascii="宋体" w:hAnsi="宋体" w:cs="宋体" w:eastAsia="宋体" w:hint="default"/>
                <w:sz w:val="21"/>
                <w:szCs w:val="21"/>
              </w:rPr>
              <w:t>的</w:t>
            </w:r>
            <w:r>
              <w:rPr>
                <w:rFonts w:ascii="宋体" w:hAnsi="宋体" w:cs="宋体" w:eastAsia="宋体" w:hint="default"/>
                <w:spacing w:val="-43"/>
                <w:sz w:val="21"/>
                <w:szCs w:val="21"/>
              </w:rPr>
              <w:t> </w:t>
            </w:r>
            <w:r>
              <w:rPr>
                <w:rFonts w:ascii="宋体" w:hAnsi="宋体" w:cs="宋体" w:eastAsia="宋体" w:hint="default"/>
                <w:sz w:val="21"/>
                <w:szCs w:val="21"/>
              </w:rPr>
              <w:t>词</w:t>
            </w:r>
            <w:r>
              <w:rPr>
                <w:rFonts w:ascii="宋体" w:hAnsi="宋体" w:cs="宋体" w:eastAsia="宋体" w:hint="default"/>
                <w:spacing w:val="-43"/>
                <w:sz w:val="21"/>
                <w:szCs w:val="21"/>
              </w:rPr>
              <w:t> </w:t>
            </w:r>
            <w:r>
              <w:rPr>
                <w:rFonts w:ascii="宋体" w:hAnsi="宋体" w:cs="宋体" w:eastAsia="宋体" w:hint="default"/>
                <w:sz w:val="21"/>
                <w:szCs w:val="21"/>
              </w:rPr>
              <w:t>头</w:t>
            </w:r>
            <w:r>
              <w:rPr>
                <w:rFonts w:ascii="宋体" w:hAnsi="宋体" w:cs="宋体" w:eastAsia="宋体" w:hint="default"/>
                <w:spacing w:val="-43"/>
                <w:sz w:val="21"/>
                <w:szCs w:val="21"/>
              </w:rPr>
              <w:t> </w:t>
            </w:r>
            <w:r>
              <w:rPr>
                <w:rFonts w:ascii="宋体" w:hAnsi="宋体" w:cs="宋体" w:eastAsia="宋体" w:hint="default"/>
                <w:sz w:val="21"/>
                <w:szCs w:val="21"/>
              </w:rPr>
              <w:t>组</w:t>
            </w:r>
            <w:r>
              <w:rPr>
                <w:rFonts w:ascii="宋体" w:hAnsi="宋体" w:cs="宋体" w:eastAsia="宋体" w:hint="default"/>
                <w:spacing w:val="-43"/>
                <w:sz w:val="21"/>
                <w:szCs w:val="21"/>
              </w:rPr>
              <w:t> </w:t>
            </w:r>
            <w:r>
              <w:rPr>
                <w:rFonts w:ascii="宋体" w:hAnsi="宋体" w:cs="宋体" w:eastAsia="宋体" w:hint="default"/>
                <w:sz w:val="21"/>
                <w:szCs w:val="21"/>
              </w:rPr>
              <w:t>合</w:t>
            </w:r>
            <w:r>
              <w:rPr>
                <w:rFonts w:ascii="宋体" w:hAnsi="宋体" w:cs="宋体" w:eastAsia="宋体" w:hint="default"/>
                <w:spacing w:val="-43"/>
                <w:sz w:val="21"/>
                <w:szCs w:val="21"/>
              </w:rPr>
              <w:t> </w:t>
            </w:r>
            <w:r>
              <w:rPr>
                <w:rFonts w:ascii="宋体" w:hAnsi="宋体" w:cs="宋体" w:eastAsia="宋体" w:hint="default"/>
                <w:sz w:val="21"/>
                <w:szCs w:val="21"/>
              </w:rPr>
              <w:t>（</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Information</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2"/>
                <w:w w:val="100"/>
                <w:sz w:val="21"/>
                <w:szCs w:val="21"/>
              </w:rPr>
              <w:t>Communication</w:t>
            </w:r>
            <w:r>
              <w:rPr>
                <w:rFonts w:ascii="Times New Roman" w:hAnsi="Times New Roman" w:cs="Times New Roman" w:eastAsia="Times New Roman" w:hint="default"/>
                <w:spacing w:val="41"/>
                <w:w w:val="100"/>
                <w:sz w:val="21"/>
                <w:szCs w:val="21"/>
              </w:rPr>
              <w:t> </w:t>
            </w:r>
            <w:r>
              <w:rPr>
                <w:rFonts w:ascii="Times New Roman" w:hAnsi="Times New Roman" w:cs="Times New Roman" w:eastAsia="Times New Roman" w:hint="default"/>
                <w:spacing w:val="-1"/>
                <w:w w:val="100"/>
                <w:sz w:val="21"/>
                <w:szCs w:val="21"/>
              </w:rPr>
              <w:t>Technology,</w:t>
            </w:r>
            <w:r>
              <w:rPr>
                <w:rFonts w:ascii="Times New Roman" w:hAnsi="Times New Roman" w:cs="Times New Roman" w:eastAsia="Times New Roman" w:hint="default"/>
                <w:spacing w:val="38"/>
                <w:w w:val="100"/>
                <w:sz w:val="21"/>
                <w:szCs w:val="21"/>
              </w:rPr>
              <w:t> </w:t>
            </w:r>
            <w:r>
              <w:rPr>
                <w:rFonts w:ascii="宋体" w:hAnsi="宋体" w:cs="宋体" w:eastAsia="宋体" w:hint="default"/>
                <w:spacing w:val="42"/>
                <w:w w:val="100"/>
                <w:sz w:val="21"/>
                <w:szCs w:val="21"/>
              </w:rPr>
              <w:t>简称</w:t>
            </w:r>
            <w:r>
              <w:rPr>
                <w:rFonts w:ascii="宋体" w:hAnsi="宋体" w:cs="宋体" w:eastAsia="宋体" w:hint="default"/>
                <w:spacing w:val="-101"/>
                <w:w w:val="100"/>
                <w:sz w:val="21"/>
                <w:szCs w:val="21"/>
              </w:rPr>
              <w:t> </w:t>
            </w:r>
            <w:r>
              <w:rPr>
                <w:rFonts w:ascii="Times New Roman" w:hAnsi="Times New Roman" w:cs="Times New Roman" w:eastAsia="Times New Roman" w:hint="default"/>
                <w:spacing w:val="-7"/>
                <w:sz w:val="21"/>
                <w:szCs w:val="21"/>
              </w:rPr>
              <w:t>ICT</w:t>
            </w:r>
            <w:r>
              <w:rPr>
                <w:rFonts w:ascii="宋体" w:hAnsi="宋体" w:cs="宋体" w:eastAsia="宋体" w:hint="default"/>
                <w:spacing w:val="-7"/>
                <w:sz w:val="21"/>
                <w:szCs w:val="21"/>
              </w:rPr>
              <w:t>）。它是信息技术与通信技术相</w:t>
            </w:r>
          </w:p>
          <w:p>
            <w:pPr>
              <w:pStyle w:val="TableParagraph"/>
              <w:spacing w:line="274" w:lineRule="exact" w:before="9"/>
              <w:ind w:left="100" w:right="99"/>
              <w:jc w:val="left"/>
              <w:rPr>
                <w:rFonts w:ascii="宋体" w:hAnsi="宋体" w:cs="宋体" w:eastAsia="宋体" w:hint="default"/>
                <w:sz w:val="21"/>
                <w:szCs w:val="21"/>
              </w:rPr>
            </w:pPr>
            <w:r>
              <w:rPr>
                <w:rFonts w:ascii="宋体" w:hAnsi="宋体" w:cs="宋体" w:eastAsia="宋体" w:hint="default"/>
                <w:sz w:val="21"/>
                <w:szCs w:val="21"/>
              </w:rPr>
              <w:t>融合而形成的一个新的概念和新的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技术领域</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元</w:t>
            </w:r>
          </w:p>
        </w:tc>
      </w:tr>
    </w:tbl>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
        <w:rPr>
          <w:rFonts w:ascii="宋体" w:hAnsi="宋体" w:cs="宋体" w:eastAsia="宋体" w:hint="default"/>
          <w:sz w:val="27"/>
          <w:szCs w:val="27"/>
        </w:rPr>
      </w:pPr>
    </w:p>
    <w:p>
      <w:pPr>
        <w:pStyle w:val="Heading1"/>
        <w:tabs>
          <w:tab w:pos="3717" w:val="left" w:leader="none"/>
        </w:tabs>
        <w:spacing w:line="240" w:lineRule="auto"/>
        <w:ind w:left="2457" w:right="96"/>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8"/>
        <w:rPr>
          <w:rFonts w:ascii="黑体" w:hAnsi="黑体" w:cs="黑体" w:eastAsia="黑体" w:hint="default"/>
          <w:b/>
          <w:bCs/>
          <w:sz w:val="16"/>
          <w:szCs w:val="16"/>
        </w:rPr>
      </w:pPr>
    </w:p>
    <w:p>
      <w:pPr>
        <w:pStyle w:val="Heading3"/>
        <w:spacing w:line="240" w:lineRule="auto" w:before="36"/>
        <w:ind w:right="2465"/>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广西慧球科技股份有限公司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慧球科技</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GUANGXI FUTURE TECHNOLOGY</w:t>
            </w:r>
            <w:r>
              <w:rPr>
                <w:rFonts w:ascii="Times New Roman"/>
                <w:spacing w:val="-16"/>
                <w:sz w:val="21"/>
              </w:rPr>
              <w:t> </w:t>
            </w:r>
            <w:r>
              <w:rPr>
                <w:rFonts w:ascii="Times New Roman"/>
                <w:sz w:val="21"/>
              </w:rPr>
              <w:t>CO.LTD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FUTURE</w:t>
            </w:r>
            <w:r>
              <w:rPr>
                <w:rFonts w:ascii="Times New Roman"/>
                <w:spacing w:val="-9"/>
                <w:sz w:val="21"/>
              </w:rPr>
              <w:t> </w:t>
            </w:r>
            <w:r>
              <w:rPr>
                <w:rFonts w:ascii="Times New Roman"/>
                <w:sz w:val="21"/>
              </w:rPr>
              <w:t>TECHNOLOGY</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顾国平</w:t>
            </w:r>
          </w:p>
        </w:tc>
      </w:tr>
    </w:tbl>
    <w:p>
      <w:pPr>
        <w:spacing w:line="240" w:lineRule="auto" w:before="2"/>
        <w:rPr>
          <w:rFonts w:ascii="宋体" w:hAnsi="宋体" w:cs="宋体" w:eastAsia="宋体" w:hint="default"/>
          <w:b/>
          <w:bCs/>
          <w:sz w:val="20"/>
          <w:szCs w:val="20"/>
        </w:rPr>
      </w:pPr>
    </w:p>
    <w:p>
      <w:pPr>
        <w:pStyle w:val="Heading3"/>
        <w:spacing w:line="240" w:lineRule="auto" w:before="36"/>
        <w:ind w:right="2465"/>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王忠华（代行职责）</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sz w:val="21"/>
                <w:szCs w:val="21"/>
              </w:rPr>
              <w:t>广西北海市北海大道西</w:t>
            </w:r>
            <w:r>
              <w:rPr>
                <w:rFonts w:ascii="Times New Roman" w:hAnsi="Times New Roman" w:cs="Times New Roman" w:eastAsia="Times New Roman" w:hint="default"/>
                <w:sz w:val="21"/>
                <w:szCs w:val="21"/>
              </w:rPr>
              <w:t>16</w:t>
            </w:r>
            <w:r>
              <w:rPr>
                <w:rFonts w:ascii="宋体" w:hAnsi="宋体" w:cs="宋体" w:eastAsia="宋体" w:hint="default"/>
                <w:sz w:val="21"/>
                <w:szCs w:val="21"/>
              </w:rPr>
              <w:t>号海</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富大厦</w:t>
            </w:r>
            <w:r>
              <w:rPr>
                <w:rFonts w:ascii="Times New Roman" w:hAnsi="Times New Roman" w:cs="Times New Roman" w:eastAsia="Times New Roman" w:hint="default"/>
                <w:sz w:val="21"/>
                <w:szCs w:val="21"/>
              </w:rPr>
              <w:t>17</w:t>
            </w:r>
            <w:r>
              <w:rPr>
                <w:rFonts w:ascii="宋体" w:hAnsi="宋体" w:cs="宋体" w:eastAsia="宋体" w:hint="default"/>
                <w:sz w:val="21"/>
                <w:szCs w:val="21"/>
              </w:rPr>
              <w:t>层</w:t>
            </w:r>
            <w:r>
              <w:rPr>
                <w:rFonts w:ascii="Times New Roman" w:hAnsi="Times New Roman" w:cs="Times New Roman" w:eastAsia="Times New Roman" w:hint="default"/>
                <w:sz w:val="21"/>
                <w:szCs w:val="21"/>
              </w:rPr>
              <w:t>D</w:t>
            </w:r>
            <w:r>
              <w:rPr>
                <w:rFonts w:ascii="宋体" w:hAnsi="宋体" w:cs="宋体" w:eastAsia="宋体" w:hint="default"/>
                <w:sz w:val="21"/>
                <w:szCs w:val="21"/>
              </w:rPr>
              <w:t>座</w:t>
            </w: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Times New Roman" w:hAnsi="Times New Roman" w:cs="Times New Roman" w:eastAsia="Times New Roman" w:hint="default"/>
                <w:sz w:val="21"/>
                <w:szCs w:val="21"/>
              </w:rPr>
            </w:pPr>
            <w:r>
              <w:rPr>
                <w:rFonts w:ascii="Times New Roman"/>
                <w:sz w:val="21"/>
              </w:rPr>
              <w:t>0779-2228937</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0779-2228936</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7">
              <w:r>
                <w:rPr>
                  <w:rFonts w:ascii="Times New Roman"/>
                  <w:sz w:val="21"/>
                </w:rPr>
                <w:t>bsyy</w:t>
              </w:r>
            </w:hyperlink>
            <w:hyperlink r:id="rId8">
              <w:r>
                <w:rPr>
                  <w:rFonts w:ascii="Times New Roman"/>
                  <w:sz w:val="21"/>
                </w:rPr>
                <w:t>_bh@163.net</w:t>
              </w:r>
            </w:hyperlink>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19"/>
          <w:szCs w:val="19"/>
        </w:rPr>
      </w:pPr>
    </w:p>
    <w:p>
      <w:pPr>
        <w:pStyle w:val="Heading3"/>
        <w:spacing w:line="240" w:lineRule="auto" w:before="36"/>
        <w:ind w:right="2465"/>
        <w:jc w:val="left"/>
        <w:rPr>
          <w:b w:val="0"/>
          <w:bCs w:val="0"/>
        </w:rPr>
      </w:pPr>
      <w:r>
        <w:rPr/>
        <w:t>三、</w:t>
      </w:r>
      <w:r>
        <w:rPr>
          <w:spacing w:val="-29"/>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广西北海市北海大道</w:t>
            </w:r>
            <w:r>
              <w:rPr>
                <w:rFonts w:ascii="Times New Roman" w:hAnsi="Times New Roman" w:cs="Times New Roman" w:eastAsia="Times New Roman" w:hint="default"/>
                <w:sz w:val="21"/>
                <w:szCs w:val="21"/>
              </w:rPr>
              <w:t>168</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536000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广西北海市北海大道西</w:t>
            </w:r>
            <w:r>
              <w:rPr>
                <w:rFonts w:ascii="Times New Roman" w:hAnsi="Times New Roman" w:cs="Times New Roman" w:eastAsia="Times New Roman" w:hint="default"/>
                <w:sz w:val="21"/>
                <w:szCs w:val="21"/>
              </w:rPr>
              <w:t>16</w:t>
            </w:r>
            <w:r>
              <w:rPr>
                <w:rFonts w:ascii="宋体" w:hAnsi="宋体" w:cs="宋体" w:eastAsia="宋体" w:hint="default"/>
                <w:sz w:val="21"/>
                <w:szCs w:val="21"/>
              </w:rPr>
              <w:t>号海富大厦</w:t>
            </w:r>
            <w:r>
              <w:rPr>
                <w:rFonts w:ascii="Times New Roman" w:hAnsi="Times New Roman" w:cs="Times New Roman" w:eastAsia="Times New Roman" w:hint="default"/>
                <w:sz w:val="21"/>
                <w:szCs w:val="21"/>
              </w:rPr>
              <w:t>17</w:t>
            </w:r>
            <w:r>
              <w:rPr>
                <w:rFonts w:ascii="宋体" w:hAnsi="宋体" w:cs="宋体" w:eastAsia="宋体" w:hint="default"/>
                <w:sz w:val="21"/>
                <w:szCs w:val="21"/>
              </w:rPr>
              <w:t>层</w:t>
            </w:r>
            <w:r>
              <w:rPr>
                <w:rFonts w:ascii="Times New Roman" w:hAnsi="Times New Roman" w:cs="Times New Roman" w:eastAsia="Times New Roman" w:hint="default"/>
                <w:sz w:val="21"/>
                <w:szCs w:val="21"/>
              </w:rPr>
              <w:t>D</w:t>
            </w:r>
            <w:r>
              <w:rPr>
                <w:rFonts w:ascii="宋体" w:hAnsi="宋体" w:cs="宋体" w:eastAsia="宋体" w:hint="default"/>
                <w:sz w:val="21"/>
                <w:szCs w:val="21"/>
              </w:rPr>
              <w:t>座</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536000</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hyperlink r:id="rId9">
              <w:r>
                <w:rPr>
                  <w:rFonts w:ascii="Times New Roman"/>
                  <w:sz w:val="21"/>
                </w:rPr>
                <w:t>http://www.bsyy.com.cn</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7">
              <w:r>
                <w:rPr>
                  <w:rFonts w:ascii="Times New Roman"/>
                  <w:sz w:val="21"/>
                </w:rPr>
                <w:t>bsyy</w:t>
              </w:r>
            </w:hyperlink>
            <w:hyperlink r:id="rId8">
              <w:r>
                <w:rPr>
                  <w:rFonts w:ascii="Times New Roman"/>
                  <w:sz w:val="21"/>
                </w:rPr>
                <w:t>_bh@163.net</w:t>
              </w:r>
            </w:hyperlink>
          </w:p>
        </w:tc>
      </w:tr>
    </w:tbl>
    <w:p>
      <w:pPr>
        <w:spacing w:line="240" w:lineRule="auto" w:before="2"/>
        <w:rPr>
          <w:rFonts w:ascii="宋体" w:hAnsi="宋体" w:cs="宋体" w:eastAsia="宋体" w:hint="default"/>
          <w:b/>
          <w:bCs/>
          <w:sz w:val="20"/>
          <w:szCs w:val="20"/>
        </w:rPr>
      </w:pPr>
    </w:p>
    <w:p>
      <w:pPr>
        <w:pStyle w:val="Heading3"/>
        <w:spacing w:line="240" w:lineRule="auto" w:before="36"/>
        <w:ind w:right="2465"/>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12"/>
        <w:rPr>
          <w:rFonts w:ascii="宋体" w:hAnsi="宋体" w:cs="宋体" w:eastAsia="宋体" w:hint="default"/>
          <w:b/>
          <w:bCs/>
          <w:sz w:val="19"/>
          <w:szCs w:val="19"/>
        </w:rPr>
      </w:pPr>
    </w:p>
    <w:p>
      <w:pPr>
        <w:pStyle w:val="Heading3"/>
        <w:spacing w:line="240" w:lineRule="auto" w:before="36"/>
        <w:ind w:right="2465"/>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48"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慧球科技</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600556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北生药业</w:t>
            </w:r>
          </w:p>
        </w:tc>
      </w:tr>
    </w:tbl>
    <w:p>
      <w:pPr>
        <w:spacing w:line="240" w:lineRule="auto" w:before="12"/>
        <w:rPr>
          <w:rFonts w:ascii="宋体" w:hAnsi="宋体" w:cs="宋体" w:eastAsia="宋体" w:hint="default"/>
          <w:b/>
          <w:bCs/>
          <w:sz w:val="19"/>
          <w:szCs w:val="19"/>
        </w:rPr>
      </w:pPr>
    </w:p>
    <w:p>
      <w:pPr>
        <w:pStyle w:val="Heading3"/>
        <w:spacing w:line="240" w:lineRule="auto" w:before="36"/>
        <w:ind w:right="2465"/>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深圳市福田区滨河大道</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5022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号联合广场</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座</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楼</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杨劼、张洪富</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3"/>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3"/>
        <w:spacing w:line="240" w:lineRule="auto" w:before="56"/>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1702"/>
        <w:gridCol w:w="1702"/>
        <w:gridCol w:w="1400"/>
        <w:gridCol w:w="1728"/>
      </w:tblGrid>
      <w:tr>
        <w:trPr>
          <w:trHeight w:val="60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23"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15" w:right="116"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Times New Roman" w:hAnsi="Times New Roman" w:cs="Times New Roman" w:eastAsia="Times New Roman" w:hint="default"/>
                <w:sz w:val="21"/>
                <w:szCs w:val="21"/>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92,909,443.18</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47,368,751.54</w:t>
            </w:r>
            <w:r>
              <w:rPr>
                <w:rFonts w:ascii="Times New Roman"/>
                <w:sz w:val="20"/>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96.14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42,540,125.62</w:t>
            </w:r>
            <w:r>
              <w:rPr>
                <w:rFonts w:ascii="Times New Roman"/>
                <w:sz w:val="20"/>
              </w:rPr>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5,131,893.00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606,772.02</w:t>
            </w:r>
            <w:r>
              <w:rPr>
                <w:rFonts w:ascii="Times New Roman"/>
                <w:sz w:val="20"/>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745.77</w:t>
            </w:r>
            <w:r>
              <w:rPr>
                <w:rFonts w:ascii="Times New Roman"/>
                <w:sz w:val="20"/>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32,644,800.98</w:t>
            </w:r>
            <w:r>
              <w:rPr>
                <w:rFonts w:ascii="Times New Roman"/>
                <w:sz w:val="20"/>
              </w:rPr>
            </w:r>
          </w:p>
        </w:tc>
      </w:tr>
      <w:tr>
        <w:trPr>
          <w:trHeight w:val="82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扣除非经常性损益的净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1,987,924.10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1,217,437.43</w:t>
            </w:r>
            <w:r>
              <w:rPr>
                <w:rFonts w:ascii="Times New Roman"/>
                <w:sz w:val="20"/>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63.29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1,083,073.31</w:t>
            </w:r>
            <w:r>
              <w:rPr>
                <w:rFonts w:ascii="Times New Roman"/>
                <w:sz w:val="20"/>
              </w:rPr>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-92,438,722.02</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-2,521,865.90</w:t>
            </w:r>
            <w:r>
              <w:rPr>
                <w:rFonts w:ascii="Times New Roman"/>
                <w:sz w:val="20"/>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-3,565.49</w:t>
            </w:r>
            <w:r>
              <w:rPr>
                <w:rFonts w:ascii="Times New Roman"/>
                <w:sz w:val="20"/>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5,929,507.48</w:t>
            </w:r>
            <w:r>
              <w:rPr>
                <w:rFonts w:ascii="Times New Roman"/>
                <w:sz w:val="20"/>
              </w:rPr>
            </w:r>
          </w:p>
        </w:tc>
      </w:tr>
      <w:tr>
        <w:trPr>
          <w:trHeight w:val="828" w:hRule="exact"/>
        </w:trPr>
        <w:tc>
          <w:tcPr>
            <w:tcW w:w="25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年末</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7"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6"/>
              <w:ind w:left="290" w:right="166" w:hanging="123"/>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年末</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32,953,228.6</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1,981,964.37</w:t>
            </w:r>
            <w:r>
              <w:rPr>
                <w:rFonts w:ascii="Times New Roman"/>
                <w:sz w:val="20"/>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1,562.65</w:t>
            </w:r>
            <w:r>
              <w:rPr>
                <w:rFonts w:ascii="Times New Roman"/>
                <w:sz w:val="20"/>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1,375,192.35</w:t>
            </w:r>
            <w:r>
              <w:rPr>
                <w:rFonts w:ascii="Times New Roman"/>
                <w:sz w:val="20"/>
              </w:rPr>
            </w:r>
          </w:p>
        </w:tc>
      </w:tr>
    </w:tbl>
    <w:p>
      <w:pPr>
        <w:spacing w:after="0" w:line="223" w:lineRule="exact"/>
        <w:jc w:val="right"/>
        <w:rPr>
          <w:rFonts w:ascii="Times New Roman" w:hAnsi="Times New Roman" w:cs="Times New Roman" w:eastAsia="Times New Roman" w:hint="default"/>
          <w:sz w:val="20"/>
          <w:szCs w:val="20"/>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18"/>
        <w:gridCol w:w="1702"/>
        <w:gridCol w:w="1702"/>
        <w:gridCol w:w="1400"/>
        <w:gridCol w:w="1728"/>
      </w:tblGrid>
      <w:tr>
        <w:trPr>
          <w:trHeight w:val="29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124,606,172.83</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54,472,584.15</w:t>
            </w:r>
            <w:r>
              <w:rPr>
                <w:rFonts w:ascii="Times New Roman"/>
                <w:sz w:val="20"/>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128.75</w:t>
            </w:r>
            <w:r>
              <w:rPr>
                <w:rFonts w:ascii="Times New Roman"/>
                <w:sz w:val="20"/>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54,989,627.39</w:t>
            </w:r>
            <w:r>
              <w:rPr>
                <w:rFonts w:ascii="Times New Roman"/>
                <w:sz w:val="20"/>
              </w:rPr>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394,793,708.00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394,793,708.00</w:t>
            </w:r>
            <w:r>
              <w:rPr>
                <w:rFonts w:ascii="Times New Roman"/>
                <w:sz w:val="20"/>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394,793,708.00</w:t>
            </w:r>
            <w:r>
              <w:rPr>
                <w:rFonts w:ascii="Times New Roman"/>
                <w:sz w:val="20"/>
              </w:rPr>
            </w:r>
          </w:p>
        </w:tc>
      </w:tr>
    </w:tbl>
    <w:p>
      <w:pPr>
        <w:spacing w:line="240" w:lineRule="auto" w:before="2"/>
        <w:rPr>
          <w:rFonts w:ascii="宋体" w:hAnsi="宋体" w:cs="宋体" w:eastAsia="宋体" w:hint="default"/>
          <w:sz w:val="20"/>
          <w:szCs w:val="20"/>
        </w:rPr>
      </w:pPr>
    </w:p>
    <w:p>
      <w:pPr>
        <w:pStyle w:val="Heading3"/>
        <w:tabs>
          <w:tab w:pos="1057" w:val="left" w:leader="none"/>
        </w:tabs>
        <w:spacing w:line="240" w:lineRule="auto" w:before="36"/>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90"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Times New Roman" w:hAnsi="Times New Roman" w:cs="Times New Roman" w:eastAsia="Times New Roman" w:hint="default"/>
                <w:sz w:val="20"/>
                <w:szCs w:val="20"/>
              </w:rPr>
            </w:pPr>
            <w:r>
              <w:rPr>
                <w:rFonts w:ascii="Times New Roman"/>
                <w:sz w:val="20"/>
              </w:rPr>
              <w:t>0.013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Times New Roman" w:hAnsi="Times New Roman" w:cs="Times New Roman" w:eastAsia="Times New Roman" w:hint="default"/>
                <w:sz w:val="20"/>
                <w:szCs w:val="20"/>
              </w:rPr>
            </w:pPr>
            <w:r>
              <w:rPr>
                <w:rFonts w:ascii="Times New Roman"/>
                <w:sz w:val="20"/>
              </w:rPr>
              <w:t>0.002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550.00</w:t>
            </w:r>
            <w:r>
              <w:rPr>
                <w:rFonts w:ascii="Times New Roman"/>
                <w:sz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sz w:val="20"/>
              </w:rPr>
              <w:t>0.083</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0.013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0.002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550.00</w:t>
            </w:r>
            <w:r>
              <w:rPr>
                <w:rFonts w:ascii="Times New Roman"/>
                <w:sz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0.083</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0.005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0.003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66.67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0.003</w:t>
            </w:r>
          </w:p>
        </w:tc>
      </w:tr>
      <w:tr>
        <w:trPr>
          <w:trHeight w:val="529"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3"/>
              <w:jc w:val="right"/>
              <w:rPr>
                <w:rFonts w:ascii="Times New Roman" w:hAnsi="Times New Roman" w:cs="Times New Roman" w:eastAsia="Times New Roman" w:hint="default"/>
                <w:sz w:val="20"/>
                <w:szCs w:val="20"/>
              </w:rPr>
            </w:pPr>
            <w:r>
              <w:rPr>
                <w:rFonts w:ascii="Times New Roman"/>
                <w:w w:val="95"/>
                <w:sz w:val="20"/>
              </w:rPr>
              <w:t>112.84</w:t>
            </w:r>
            <w:r>
              <w:rPr>
                <w:rFonts w:ascii="Times New Roman"/>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3"/>
              <w:jc w:val="right"/>
              <w:rPr>
                <w:rFonts w:ascii="Times New Roman" w:hAnsi="Times New Roman" w:cs="Times New Roman" w:eastAsia="Times New Roman" w:hint="default"/>
                <w:sz w:val="20"/>
                <w:szCs w:val="20"/>
              </w:rPr>
            </w:pPr>
            <w:r>
              <w:rPr>
                <w:rFonts w:ascii="Times New Roman"/>
                <w:sz w:val="20"/>
              </w:rPr>
              <w:t>36.15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hAnsi="宋体" w:cs="宋体" w:eastAsia="宋体" w:hint="default"/>
                <w:w w:val="95"/>
                <w:sz w:val="20"/>
                <w:szCs w:val="20"/>
              </w:rPr>
              <w:t>增加</w:t>
            </w:r>
            <w:r>
              <w:rPr>
                <w:rFonts w:ascii="Times New Roman" w:hAnsi="Times New Roman" w:cs="Times New Roman" w:eastAsia="Times New Roman" w:hint="default"/>
                <w:w w:val="95"/>
                <w:sz w:val="20"/>
                <w:szCs w:val="20"/>
              </w:rPr>
              <w:t>76.69</w:t>
            </w:r>
            <w:r>
              <w:rPr>
                <w:rFonts w:ascii="宋体" w:hAnsi="宋体" w:cs="宋体" w:eastAsia="宋体" w:hint="default"/>
                <w:w w:val="95"/>
                <w:sz w:val="20"/>
                <w:szCs w:val="20"/>
              </w:rPr>
              <w:t>个百</w:t>
            </w:r>
            <w:r>
              <w:rPr>
                <w:rFonts w:ascii="宋体" w:hAnsi="宋体" w:cs="宋体" w:eastAsia="宋体" w:hint="default"/>
                <w:sz w:val="20"/>
                <w:szCs w:val="20"/>
              </w:rPr>
            </w:r>
          </w:p>
          <w:p>
            <w:pPr>
              <w:pStyle w:val="TableParagraph"/>
              <w:spacing w:line="253" w:lineRule="exact"/>
              <w:ind w:right="104"/>
              <w:jc w:val="right"/>
              <w:rPr>
                <w:rFonts w:ascii="宋体" w:hAnsi="宋体" w:cs="宋体" w:eastAsia="宋体" w:hint="default"/>
                <w:sz w:val="20"/>
                <w:szCs w:val="20"/>
              </w:rPr>
            </w:pPr>
            <w:r>
              <w:rPr>
                <w:rFonts w:ascii="宋体" w:hAnsi="宋体" w:cs="宋体" w:eastAsia="宋体" w:hint="default"/>
                <w:w w:val="95"/>
                <w:sz w:val="20"/>
                <w:szCs w:val="20"/>
              </w:rPr>
              <w:t>分点</w:t>
            </w:r>
            <w:r>
              <w:rPr>
                <w:rFonts w:ascii="宋体" w:hAnsi="宋体" w:cs="宋体" w:eastAsia="宋体" w:hint="default"/>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43.71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72.53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0"/>
                <w:szCs w:val="20"/>
              </w:rPr>
            </w:pPr>
            <w:r>
              <w:rPr>
                <w:rFonts w:ascii="宋体" w:hAnsi="宋体" w:cs="宋体" w:eastAsia="宋体" w:hint="default"/>
                <w:w w:val="95"/>
                <w:sz w:val="20"/>
                <w:szCs w:val="20"/>
              </w:rPr>
              <w:t>减少</w:t>
            </w:r>
            <w:r>
              <w:rPr>
                <w:rFonts w:ascii="Times New Roman" w:hAnsi="Times New Roman" w:cs="Times New Roman" w:eastAsia="Times New Roman" w:hint="default"/>
                <w:w w:val="95"/>
                <w:sz w:val="20"/>
                <w:szCs w:val="20"/>
              </w:rPr>
              <w:t>28.82</w:t>
            </w:r>
            <w:r>
              <w:rPr>
                <w:rFonts w:ascii="宋体" w:hAnsi="宋体" w:cs="宋体" w:eastAsia="宋体" w:hint="default"/>
                <w:w w:val="95"/>
                <w:sz w:val="20"/>
                <w:szCs w:val="20"/>
              </w:rPr>
              <w:t>个百</w:t>
            </w:r>
            <w:r>
              <w:rPr>
                <w:rFonts w:ascii="宋体" w:hAnsi="宋体" w:cs="宋体" w:eastAsia="宋体" w:hint="default"/>
                <w:sz w:val="20"/>
                <w:szCs w:val="20"/>
              </w:rPr>
            </w:r>
          </w:p>
          <w:p>
            <w:pPr>
              <w:pStyle w:val="TableParagraph"/>
              <w:spacing w:line="253" w:lineRule="exact"/>
              <w:ind w:right="104"/>
              <w:jc w:val="right"/>
              <w:rPr>
                <w:rFonts w:ascii="宋体" w:hAnsi="宋体" w:cs="宋体" w:eastAsia="宋体" w:hint="default"/>
                <w:sz w:val="20"/>
                <w:szCs w:val="20"/>
              </w:rPr>
            </w:pPr>
            <w:r>
              <w:rPr>
                <w:rFonts w:ascii="宋体" w:hAnsi="宋体" w:cs="宋体" w:eastAsia="宋体" w:hint="default"/>
                <w:w w:val="95"/>
                <w:sz w:val="20"/>
                <w:szCs w:val="20"/>
              </w:rPr>
              <w:t>分点</w:t>
            </w:r>
            <w:r>
              <w:rPr>
                <w:rFonts w:ascii="宋体" w:hAnsi="宋体" w:cs="宋体" w:eastAsia="宋体" w:hint="default"/>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5"/>
          <w:szCs w:val="15"/>
        </w:rPr>
      </w:pPr>
    </w:p>
    <w:p>
      <w:pPr>
        <w:pStyle w:val="BodyText"/>
        <w:spacing w:line="269" w:lineRule="exact" w:before="36"/>
        <w:ind w:left="218" w:right="0"/>
        <w:jc w:val="left"/>
      </w:pPr>
      <w:r>
        <w:rPr/>
        <w:t>报告期末公司前三年主要会计数据和财务指标的说明</w:t>
      </w:r>
    </w:p>
    <w:p>
      <w:pPr>
        <w:tabs>
          <w:tab w:pos="577" w:val="left" w:leader="none"/>
        </w:tabs>
        <w:spacing w:line="253" w:lineRule="exact" w:before="0"/>
        <w:ind w:left="218"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sz w:val="20"/>
          <w:szCs w:val="20"/>
        </w:rPr>
        <w:t>营业收入较上年同期增加</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96.14%</w:t>
      </w:r>
      <w:r>
        <w:rPr>
          <w:rFonts w:ascii="宋体" w:hAnsi="宋体" w:cs="宋体" w:eastAsia="宋体" w:hint="default"/>
          <w:sz w:val="20"/>
          <w:szCs w:val="20"/>
        </w:rPr>
        <w:t>，主要原因是本期增加了智慧城市项目。</w:t>
      </w:r>
    </w:p>
    <w:p>
      <w:pPr>
        <w:tabs>
          <w:tab w:pos="577" w:val="left" w:leader="none"/>
        </w:tabs>
        <w:spacing w:line="240" w:lineRule="exact" w:before="0"/>
        <w:ind w:left="218" w:right="0" w:firstLine="0"/>
        <w:jc w:val="left"/>
        <w:rPr>
          <w:rFonts w:ascii="宋体" w:hAnsi="宋体" w:cs="宋体" w:eastAsia="宋体" w:hint="default"/>
          <w:sz w:val="20"/>
          <w:szCs w:val="20"/>
        </w:rPr>
      </w:pPr>
      <w:r>
        <w:rPr>
          <w:rFonts w:ascii="Times New Roman" w:hAnsi="Times New Roman" w:cs="Times New Roman" w:eastAsia="Times New Roman" w:hint="default"/>
          <w:spacing w:val="1"/>
          <w:w w:val="99"/>
          <w:sz w:val="20"/>
          <w:szCs w:val="20"/>
        </w:rPr>
        <w:t>2</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tab/>
      </w:r>
      <w:r>
        <w:rPr>
          <w:rFonts w:ascii="宋体" w:hAnsi="宋体" w:cs="宋体" w:eastAsia="宋体" w:hint="default"/>
          <w:w w:val="99"/>
          <w:sz w:val="20"/>
          <w:szCs w:val="20"/>
        </w:rPr>
        <w:t>归属于</w:t>
      </w:r>
      <w:r>
        <w:rPr>
          <w:rFonts w:ascii="宋体" w:hAnsi="宋体" w:cs="宋体" w:eastAsia="宋体" w:hint="default"/>
          <w:spacing w:val="2"/>
          <w:w w:val="99"/>
          <w:sz w:val="20"/>
          <w:szCs w:val="20"/>
        </w:rPr>
        <w:t>上</w:t>
      </w:r>
      <w:r>
        <w:rPr>
          <w:rFonts w:ascii="宋体" w:hAnsi="宋体" w:cs="宋体" w:eastAsia="宋体" w:hint="default"/>
          <w:w w:val="99"/>
          <w:sz w:val="20"/>
          <w:szCs w:val="20"/>
        </w:rPr>
        <w:t>市公</w:t>
      </w:r>
      <w:r>
        <w:rPr>
          <w:rFonts w:ascii="宋体" w:hAnsi="宋体" w:cs="宋体" w:eastAsia="宋体" w:hint="default"/>
          <w:spacing w:val="2"/>
          <w:w w:val="99"/>
          <w:sz w:val="20"/>
          <w:szCs w:val="20"/>
        </w:rPr>
        <w:t>司</w:t>
      </w:r>
      <w:r>
        <w:rPr>
          <w:rFonts w:ascii="宋体" w:hAnsi="宋体" w:cs="宋体" w:eastAsia="宋体" w:hint="default"/>
          <w:w w:val="99"/>
          <w:sz w:val="20"/>
          <w:szCs w:val="20"/>
        </w:rPr>
        <w:t>股东</w:t>
      </w:r>
      <w:r>
        <w:rPr>
          <w:rFonts w:ascii="宋体" w:hAnsi="宋体" w:cs="宋体" w:eastAsia="宋体" w:hint="default"/>
          <w:spacing w:val="2"/>
          <w:w w:val="99"/>
          <w:sz w:val="20"/>
          <w:szCs w:val="20"/>
        </w:rPr>
        <w:t>的</w:t>
      </w:r>
      <w:r>
        <w:rPr>
          <w:rFonts w:ascii="宋体" w:hAnsi="宋体" w:cs="宋体" w:eastAsia="宋体" w:hint="default"/>
          <w:w w:val="99"/>
          <w:sz w:val="20"/>
          <w:szCs w:val="20"/>
        </w:rPr>
        <w:t>净</w:t>
      </w:r>
      <w:r>
        <w:rPr>
          <w:rFonts w:ascii="宋体" w:hAnsi="宋体" w:cs="宋体" w:eastAsia="宋体" w:hint="default"/>
          <w:spacing w:val="2"/>
          <w:w w:val="99"/>
          <w:sz w:val="20"/>
          <w:szCs w:val="20"/>
        </w:rPr>
        <w:t>利</w:t>
      </w:r>
      <w:r>
        <w:rPr>
          <w:rFonts w:ascii="宋体" w:hAnsi="宋体" w:cs="宋体" w:eastAsia="宋体" w:hint="default"/>
          <w:spacing w:val="1"/>
          <w:w w:val="99"/>
          <w:sz w:val="20"/>
          <w:szCs w:val="20"/>
        </w:rPr>
        <w:t>润</w:t>
      </w:r>
      <w:r>
        <w:rPr>
          <w:rFonts w:ascii="宋体" w:hAnsi="宋体" w:cs="宋体" w:eastAsia="宋体" w:hint="default"/>
          <w:w w:val="99"/>
          <w:sz w:val="20"/>
          <w:szCs w:val="20"/>
        </w:rPr>
        <w:t>较上</w:t>
      </w:r>
      <w:r>
        <w:rPr>
          <w:rFonts w:ascii="宋体" w:hAnsi="宋体" w:cs="宋体" w:eastAsia="宋体" w:hint="default"/>
          <w:spacing w:val="2"/>
          <w:w w:val="99"/>
          <w:sz w:val="20"/>
          <w:szCs w:val="20"/>
        </w:rPr>
        <w:t>年</w:t>
      </w:r>
      <w:r>
        <w:rPr>
          <w:rFonts w:ascii="宋体" w:hAnsi="宋体" w:cs="宋体" w:eastAsia="宋体" w:hint="default"/>
          <w:w w:val="99"/>
          <w:sz w:val="20"/>
          <w:szCs w:val="20"/>
        </w:rPr>
        <w:t>同期</w:t>
      </w:r>
      <w:r>
        <w:rPr>
          <w:rFonts w:ascii="宋体" w:hAnsi="宋体" w:cs="宋体" w:eastAsia="宋体" w:hint="default"/>
          <w:spacing w:val="2"/>
          <w:w w:val="99"/>
          <w:sz w:val="20"/>
          <w:szCs w:val="20"/>
        </w:rPr>
        <w:t>增</w:t>
      </w:r>
      <w:r>
        <w:rPr>
          <w:rFonts w:ascii="宋体" w:hAnsi="宋体" w:cs="宋体" w:eastAsia="宋体" w:hint="default"/>
          <w:w w:val="99"/>
          <w:sz w:val="20"/>
          <w:szCs w:val="20"/>
        </w:rPr>
        <w:t>加</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745</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77</w:t>
      </w:r>
      <w:r>
        <w:rPr>
          <w:rFonts w:ascii="Times New Roman" w:hAnsi="Times New Roman" w:cs="Times New Roman" w:eastAsia="Times New Roman" w:hint="default"/>
          <w:spacing w:val="-2"/>
          <w:w w:val="99"/>
          <w:sz w:val="20"/>
          <w:szCs w:val="20"/>
        </w:rPr>
        <w:t>%</w:t>
      </w:r>
      <w:r>
        <w:rPr>
          <w:rFonts w:ascii="宋体" w:hAnsi="宋体" w:cs="宋体" w:eastAsia="宋体" w:hint="default"/>
          <w:spacing w:val="-94"/>
          <w:w w:val="99"/>
          <w:sz w:val="20"/>
          <w:szCs w:val="20"/>
        </w:rPr>
        <w:t>，</w:t>
      </w:r>
      <w:r>
        <w:rPr>
          <w:rFonts w:ascii="宋体" w:hAnsi="宋体" w:cs="宋体" w:eastAsia="宋体" w:hint="default"/>
          <w:w w:val="99"/>
          <w:sz w:val="20"/>
          <w:szCs w:val="20"/>
        </w:rPr>
        <w:t>主要</w:t>
      </w:r>
      <w:r>
        <w:rPr>
          <w:rFonts w:ascii="宋体" w:hAnsi="宋体" w:cs="宋体" w:eastAsia="宋体" w:hint="default"/>
          <w:spacing w:val="2"/>
          <w:w w:val="99"/>
          <w:sz w:val="20"/>
          <w:szCs w:val="20"/>
        </w:rPr>
        <w:t>原</w:t>
      </w:r>
      <w:r>
        <w:rPr>
          <w:rFonts w:ascii="宋体" w:hAnsi="宋体" w:cs="宋体" w:eastAsia="宋体" w:hint="default"/>
          <w:w w:val="99"/>
          <w:sz w:val="20"/>
          <w:szCs w:val="20"/>
        </w:rPr>
        <w:t>因是</w:t>
      </w:r>
      <w:r>
        <w:rPr>
          <w:rFonts w:ascii="宋体" w:hAnsi="宋体" w:cs="宋体" w:eastAsia="宋体" w:hint="default"/>
          <w:spacing w:val="2"/>
          <w:w w:val="99"/>
          <w:sz w:val="20"/>
          <w:szCs w:val="20"/>
        </w:rPr>
        <w:t>本</w:t>
      </w:r>
      <w:r>
        <w:rPr>
          <w:rFonts w:ascii="宋体" w:hAnsi="宋体" w:cs="宋体" w:eastAsia="宋体" w:hint="default"/>
          <w:w w:val="99"/>
          <w:sz w:val="20"/>
          <w:szCs w:val="20"/>
        </w:rPr>
        <w:t>期增</w:t>
      </w:r>
      <w:r>
        <w:rPr>
          <w:rFonts w:ascii="宋体" w:hAnsi="宋体" w:cs="宋体" w:eastAsia="宋体" w:hint="default"/>
          <w:spacing w:val="2"/>
          <w:w w:val="99"/>
          <w:sz w:val="20"/>
          <w:szCs w:val="20"/>
        </w:rPr>
        <w:t>加</w:t>
      </w:r>
      <w:r>
        <w:rPr>
          <w:rFonts w:ascii="宋体" w:hAnsi="宋体" w:cs="宋体" w:eastAsia="宋体" w:hint="default"/>
          <w:w w:val="99"/>
          <w:sz w:val="20"/>
          <w:szCs w:val="20"/>
        </w:rPr>
        <w:t>了</w:t>
      </w:r>
      <w:r>
        <w:rPr>
          <w:rFonts w:ascii="宋体" w:hAnsi="宋体" w:cs="宋体" w:eastAsia="宋体" w:hint="default"/>
          <w:spacing w:val="2"/>
          <w:w w:val="99"/>
          <w:sz w:val="20"/>
          <w:szCs w:val="20"/>
        </w:rPr>
        <w:t>智</w:t>
      </w:r>
      <w:r>
        <w:rPr>
          <w:rFonts w:ascii="宋体" w:hAnsi="宋体" w:cs="宋体" w:eastAsia="宋体" w:hint="default"/>
          <w:w w:val="99"/>
          <w:sz w:val="20"/>
          <w:szCs w:val="20"/>
        </w:rPr>
        <w:t>慧城市</w:t>
      </w:r>
      <w:r>
        <w:rPr>
          <w:rFonts w:ascii="宋体" w:hAnsi="宋体" w:cs="宋体" w:eastAsia="宋体" w:hint="default"/>
          <w:spacing w:val="2"/>
          <w:w w:val="99"/>
          <w:sz w:val="20"/>
          <w:szCs w:val="20"/>
        </w:rPr>
        <w:t>项</w:t>
      </w:r>
      <w:r>
        <w:rPr>
          <w:rFonts w:ascii="宋体" w:hAnsi="宋体" w:cs="宋体" w:eastAsia="宋体" w:hint="default"/>
          <w:w w:val="99"/>
          <w:sz w:val="20"/>
          <w:szCs w:val="20"/>
        </w:rPr>
        <w:t>目收</w:t>
      </w:r>
      <w:r>
        <w:rPr>
          <w:rFonts w:ascii="宋体" w:hAnsi="宋体" w:cs="宋体" w:eastAsia="宋体" w:hint="default"/>
          <w:spacing w:val="2"/>
          <w:w w:val="99"/>
          <w:sz w:val="20"/>
          <w:szCs w:val="20"/>
        </w:rPr>
        <w:t>入</w:t>
      </w:r>
      <w:r>
        <w:rPr>
          <w:rFonts w:ascii="宋体" w:hAnsi="宋体" w:cs="宋体" w:eastAsia="宋体" w:hint="default"/>
          <w:w w:val="99"/>
          <w:sz w:val="20"/>
          <w:szCs w:val="20"/>
        </w:rPr>
        <w:t>。</w:t>
      </w:r>
      <w:r>
        <w:rPr>
          <w:rFonts w:ascii="宋体" w:hAnsi="宋体" w:cs="宋体" w:eastAsia="宋体" w:hint="default"/>
          <w:sz w:val="20"/>
          <w:szCs w:val="20"/>
        </w:rPr>
      </w:r>
    </w:p>
    <w:p>
      <w:pPr>
        <w:tabs>
          <w:tab w:pos="577" w:val="left" w:leader="none"/>
        </w:tabs>
        <w:spacing w:line="240" w:lineRule="exact" w:before="23"/>
        <w:ind w:left="578" w:right="316" w:hanging="36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tab/>
      </w:r>
      <w:r>
        <w:rPr>
          <w:rFonts w:ascii="宋体" w:hAnsi="宋体" w:cs="宋体" w:eastAsia="宋体" w:hint="default"/>
          <w:sz w:val="20"/>
          <w:szCs w:val="20"/>
        </w:rPr>
        <w:t>经营活动产生的现金流量净额较上年同期下降</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3565.49%</w:t>
      </w:r>
      <w:r>
        <w:rPr>
          <w:rFonts w:ascii="宋体" w:hAnsi="宋体" w:cs="宋体" w:eastAsia="宋体" w:hint="default"/>
          <w:sz w:val="20"/>
          <w:szCs w:val="20"/>
        </w:rPr>
        <w:t>，主要原因是：智慧城市项目投入及归还</w:t>
      </w:r>
      <w:r>
        <w:rPr>
          <w:rFonts w:ascii="宋体" w:hAnsi="宋体" w:cs="宋体" w:eastAsia="宋体" w:hint="default"/>
          <w:w w:val="99"/>
          <w:sz w:val="20"/>
          <w:szCs w:val="20"/>
        </w:rPr>
        <w:t> </w:t>
      </w:r>
      <w:r>
        <w:rPr>
          <w:rFonts w:ascii="宋体" w:hAnsi="宋体" w:cs="宋体" w:eastAsia="宋体" w:hint="default"/>
          <w:sz w:val="20"/>
          <w:szCs w:val="20"/>
        </w:rPr>
        <w:t>郡原地产债务。</w:t>
      </w:r>
    </w:p>
    <w:p>
      <w:pPr>
        <w:tabs>
          <w:tab w:pos="577" w:val="left" w:leader="none"/>
        </w:tabs>
        <w:spacing w:line="217" w:lineRule="exact" w:before="0"/>
        <w:ind w:left="218"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tab/>
      </w:r>
      <w:r>
        <w:rPr>
          <w:rFonts w:ascii="宋体" w:hAnsi="宋体" w:cs="宋体" w:eastAsia="宋体" w:hint="default"/>
          <w:w w:val="95"/>
          <w:sz w:val="20"/>
          <w:szCs w:val="20"/>
        </w:rPr>
        <w:t>归属于上市公司股东的净资产较上年同期末增加   </w:t>
      </w:r>
      <w:r>
        <w:rPr>
          <w:rFonts w:ascii="宋体" w:hAnsi="宋体" w:cs="宋体" w:eastAsia="宋体" w:hint="default"/>
          <w:spacing w:val="42"/>
          <w:w w:val="95"/>
          <w:sz w:val="20"/>
          <w:szCs w:val="20"/>
        </w:rPr>
        <w:t> </w:t>
      </w:r>
      <w:r>
        <w:rPr>
          <w:rFonts w:ascii="Times New Roman" w:hAnsi="Times New Roman" w:cs="Times New Roman" w:eastAsia="Times New Roman" w:hint="default"/>
          <w:w w:val="95"/>
          <w:sz w:val="20"/>
          <w:szCs w:val="20"/>
        </w:rPr>
        <w:t>1,562.65%</w:t>
      </w:r>
      <w:r>
        <w:rPr>
          <w:rFonts w:ascii="宋体" w:hAnsi="宋体" w:cs="宋体" w:eastAsia="宋体" w:hint="default"/>
          <w:w w:val="95"/>
          <w:sz w:val="20"/>
          <w:szCs w:val="20"/>
        </w:rPr>
        <w:t>，主要原因是本期公司董事长顾国平先</w:t>
      </w:r>
      <w:r>
        <w:rPr>
          <w:rFonts w:ascii="宋体" w:hAnsi="宋体" w:cs="宋体" w:eastAsia="宋体" w:hint="default"/>
          <w:sz w:val="20"/>
          <w:szCs w:val="20"/>
        </w:rPr>
      </w:r>
    </w:p>
    <w:p>
      <w:pPr>
        <w:spacing w:line="240" w:lineRule="exact" w:before="0"/>
        <w:ind w:left="578" w:right="0" w:firstLine="0"/>
        <w:jc w:val="left"/>
        <w:rPr>
          <w:rFonts w:ascii="宋体" w:hAnsi="宋体" w:cs="宋体" w:eastAsia="宋体" w:hint="default"/>
          <w:sz w:val="20"/>
          <w:szCs w:val="20"/>
        </w:rPr>
      </w:pPr>
      <w:r>
        <w:rPr>
          <w:rFonts w:ascii="宋体" w:hAnsi="宋体" w:cs="宋体" w:eastAsia="宋体" w:hint="default"/>
          <w:sz w:val="20"/>
          <w:szCs w:val="20"/>
        </w:rPr>
        <w:t>生豁免公司对其负有</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25,000,000.00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元债务所致。</w:t>
      </w:r>
    </w:p>
    <w:p>
      <w:pPr>
        <w:tabs>
          <w:tab w:pos="577" w:val="left" w:leader="none"/>
        </w:tabs>
        <w:spacing w:line="240" w:lineRule="exact" w:before="0"/>
        <w:ind w:left="218"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tab/>
      </w:r>
      <w:r>
        <w:rPr>
          <w:rFonts w:ascii="宋体" w:hAnsi="宋体" w:cs="宋体" w:eastAsia="宋体" w:hint="default"/>
          <w:sz w:val="20"/>
          <w:szCs w:val="20"/>
        </w:rPr>
        <w:t>总资产较上年同期末增加了</w:t>
      </w:r>
      <w:r>
        <w:rPr>
          <w:rFonts w:ascii="宋体" w:hAnsi="宋体" w:cs="宋体" w:eastAsia="宋体" w:hint="default"/>
          <w:spacing w:val="-49"/>
          <w:sz w:val="20"/>
          <w:szCs w:val="20"/>
        </w:rPr>
        <w:t> </w:t>
      </w:r>
      <w:r>
        <w:rPr>
          <w:rFonts w:ascii="Times New Roman" w:hAnsi="Times New Roman" w:cs="Times New Roman" w:eastAsia="Times New Roman" w:hint="default"/>
          <w:spacing w:val="-3"/>
          <w:sz w:val="20"/>
          <w:szCs w:val="20"/>
        </w:rPr>
        <w:t>128.75%</w:t>
      </w:r>
      <w:r>
        <w:rPr>
          <w:rFonts w:ascii="宋体" w:hAnsi="宋体" w:cs="宋体" w:eastAsia="宋体" w:hint="default"/>
          <w:spacing w:val="-3"/>
          <w:sz w:val="20"/>
          <w:szCs w:val="20"/>
        </w:rPr>
        <w:t>，主要原因是本期增加了智慧城市项目，公司董事长顾国平先</w:t>
      </w:r>
    </w:p>
    <w:p>
      <w:pPr>
        <w:spacing w:line="240" w:lineRule="exact" w:before="23"/>
        <w:ind w:left="578" w:right="300" w:firstLine="0"/>
        <w:jc w:val="left"/>
        <w:rPr>
          <w:rFonts w:ascii="宋体" w:hAnsi="宋体" w:cs="宋体" w:eastAsia="宋体" w:hint="default"/>
          <w:sz w:val="20"/>
          <w:szCs w:val="20"/>
        </w:rPr>
      </w:pPr>
      <w:r>
        <w:rPr>
          <w:rFonts w:ascii="宋体" w:hAnsi="宋体" w:cs="宋体" w:eastAsia="宋体" w:hint="default"/>
          <w:sz w:val="20"/>
          <w:szCs w:val="20"/>
        </w:rPr>
        <w:t>生豁免公司对其负有</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25,000,000.00</w:t>
      </w:r>
      <w:r>
        <w:rPr>
          <w:rFonts w:ascii="Times New Roman" w:hAnsi="Times New Roman" w:cs="Times New Roman" w:eastAsia="Times New Roman" w:hint="default"/>
          <w:spacing w:val="-24"/>
          <w:sz w:val="20"/>
          <w:szCs w:val="20"/>
        </w:rPr>
        <w:t> </w:t>
      </w:r>
      <w:r>
        <w:rPr>
          <w:rFonts w:ascii="宋体" w:hAnsi="宋体" w:cs="宋体" w:eastAsia="宋体" w:hint="default"/>
          <w:sz w:val="20"/>
          <w:szCs w:val="20"/>
        </w:rPr>
        <w:t>元债务及增加了子公司</w:t>
      </w:r>
      <w:r>
        <w:rPr>
          <w:rFonts w:ascii="Times New Roman" w:hAnsi="Times New Roman" w:cs="Times New Roman" w:eastAsia="Times New Roman" w:hint="default"/>
          <w:sz w:val="20"/>
          <w:szCs w:val="20"/>
        </w:rPr>
        <w:t>-</w:t>
      </w:r>
      <w:r>
        <w:rPr>
          <w:rFonts w:ascii="宋体" w:hAnsi="宋体" w:cs="宋体" w:eastAsia="宋体" w:hint="default"/>
          <w:sz w:val="20"/>
          <w:szCs w:val="20"/>
        </w:rPr>
        <w:t>南宁智诚合讯信息技术有限公司、上海</w:t>
      </w:r>
      <w:r>
        <w:rPr>
          <w:rFonts w:ascii="宋体" w:hAnsi="宋体" w:cs="宋体" w:eastAsia="宋体" w:hint="default"/>
          <w:w w:val="99"/>
          <w:sz w:val="20"/>
          <w:szCs w:val="20"/>
        </w:rPr>
        <w:t> </w:t>
      </w:r>
      <w:r>
        <w:rPr>
          <w:rFonts w:ascii="宋体" w:hAnsi="宋体" w:cs="宋体" w:eastAsia="宋体" w:hint="default"/>
          <w:sz w:val="20"/>
          <w:szCs w:val="20"/>
        </w:rPr>
        <w:t>慧球通信科技有限公司、慧球科技（重庆）有限公司。</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八、</w:t>
      </w:r>
      <w:r>
        <w:rPr>
          <w:spacing w:val="-32"/>
        </w:rPr>
        <w:t> </w:t>
      </w:r>
      <w:r>
        <w:rPr/>
        <w:t>境内外会计准则下会计数据差异</w:t>
      </w:r>
      <w:r>
        <w:rPr>
          <w:b w:val="0"/>
          <w:bCs w:val="0"/>
        </w:rPr>
      </w:r>
    </w:p>
    <w:p>
      <w:pPr>
        <w:pStyle w:val="Heading3"/>
        <w:spacing w:line="272" w:lineRule="exact" w:before="86"/>
        <w:ind w:left="638" w:right="0"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218" w:right="0"/>
        <w:jc w:val="left"/>
      </w:pPr>
      <w:r>
        <w:rPr/>
        <w:t>□适用</w:t>
      </w:r>
      <w:r>
        <w:rPr>
          <w:spacing w:val="-1"/>
        </w:rPr>
        <w:t> </w:t>
      </w:r>
      <w:r>
        <w:rPr/>
        <w:t>√不适用</w:t>
      </w:r>
    </w:p>
    <w:p>
      <w:pPr>
        <w:pStyle w:val="Heading3"/>
        <w:spacing w:line="274" w:lineRule="exact" w:before="82"/>
        <w:ind w:left="585" w:right="30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1"/>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3"/>
        <w:spacing w:line="240" w:lineRule="auto" w:before="36"/>
        <w:ind w:right="0"/>
        <w:jc w:val="left"/>
        <w:rPr>
          <w:b w:val="0"/>
          <w:bCs w:val="0"/>
        </w:rPr>
      </w:pPr>
      <w:r>
        <w:rPr/>
        <w:t>九、 </w:t>
      </w:r>
      <w:r>
        <w:rPr>
          <w:rFonts w:ascii="Arial" w:hAnsi="Arial" w:cs="Arial" w:eastAsia="Arial" w:hint="default"/>
        </w:rPr>
        <w:t>2015</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3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08"/>
        <w:gridCol w:w="1433"/>
        <w:gridCol w:w="1433"/>
        <w:gridCol w:w="1513"/>
        <w:gridCol w:w="1663"/>
      </w:tblGrid>
      <w:tr>
        <w:trPr>
          <w:trHeight w:val="554" w:hRule="exact"/>
        </w:trPr>
        <w:tc>
          <w:tcPr>
            <w:tcW w:w="300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22,247,202.69</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12,816,867.02</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14,390,773.85</w:t>
            </w:r>
            <w:r>
              <w:rPr>
                <w:rFonts w:ascii="Times New Roman"/>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43,454,599.62</w:t>
            </w:r>
            <w:r>
              <w:rPr>
                <w:rFonts w:ascii="Times New Roman"/>
                <w:sz w:val="20"/>
              </w:rPr>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1,233,700.30</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661,079.28</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-833,286.49</w:t>
            </w:r>
            <w:r>
              <w:rPr>
                <w:rFonts w:ascii="Times New Roman"/>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4,070,399.91</w:t>
            </w:r>
            <w:r>
              <w:rPr>
                <w:rFonts w:ascii="Times New Roman"/>
                <w:sz w:val="20"/>
              </w:rPr>
            </w:r>
          </w:p>
        </w:tc>
      </w:tr>
      <w:tr>
        <w:trPr>
          <w:trHeight w:val="55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经常性损益后的净利润</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0"/>
                <w:szCs w:val="20"/>
              </w:rPr>
            </w:pPr>
            <w:r>
              <w:rPr>
                <w:rFonts w:ascii="Times New Roman"/>
                <w:w w:val="95"/>
                <w:sz w:val="20"/>
              </w:rPr>
              <w:t>1,213,266.16</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0"/>
                <w:szCs w:val="20"/>
              </w:rPr>
            </w:pPr>
            <w:r>
              <w:rPr>
                <w:rFonts w:ascii="Times New Roman"/>
                <w:w w:val="95"/>
                <w:sz w:val="20"/>
              </w:rPr>
              <w:t>692,946.16</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w w:val="95"/>
                <w:sz w:val="20"/>
              </w:rPr>
              <w:t>-838,863.95</w:t>
            </w:r>
            <w:r>
              <w:rPr>
                <w:rFonts w:ascii="Times New Roman"/>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0"/>
                <w:szCs w:val="20"/>
              </w:rPr>
            </w:pPr>
            <w:r>
              <w:rPr>
                <w:rFonts w:ascii="Times New Roman"/>
                <w:w w:val="95"/>
                <w:sz w:val="20"/>
              </w:rPr>
              <w:t>920,575.73</w:t>
            </w:r>
            <w:r>
              <w:rPr>
                <w:rFonts w:ascii="Times New Roman"/>
                <w:sz w:val="20"/>
              </w:rPr>
            </w:r>
          </w:p>
        </w:tc>
      </w:tr>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-18,412,353.46</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-46,022,485.07</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-5,697,964.09</w:t>
            </w:r>
            <w:r>
              <w:rPr>
                <w:rFonts w:ascii="Times New Roman"/>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-22,305,919.40</w:t>
            </w:r>
            <w:r>
              <w:rPr>
                <w:rFonts w:ascii="Times New Roman"/>
                <w:sz w:val="20"/>
              </w:rPr>
            </w:r>
          </w:p>
        </w:tc>
      </w:tr>
    </w:tbl>
    <w:p>
      <w:pPr>
        <w:spacing w:line="240" w:lineRule="auto" w:before="7"/>
        <w:rPr>
          <w:rFonts w:ascii="宋体" w:hAnsi="宋体" w:cs="宋体" w:eastAsia="宋体" w:hint="default"/>
          <w:sz w:val="15"/>
          <w:szCs w:val="15"/>
        </w:rPr>
      </w:pPr>
    </w:p>
    <w:p>
      <w:pPr>
        <w:pStyle w:val="BodyText"/>
        <w:spacing w:line="273" w:lineRule="exact" w:before="36"/>
        <w:ind w:left="218" w:right="0"/>
        <w:jc w:val="left"/>
      </w:pPr>
      <w:r>
        <w:rPr/>
        <w:t>季度数据与已披露定期报告数据差异说明</w:t>
      </w:r>
    </w:p>
    <w:p>
      <w:pPr>
        <w:pStyle w:val="BodyText"/>
        <w:spacing w:line="273" w:lineRule="exact"/>
        <w:ind w:left="218" w:right="0"/>
        <w:jc w:val="left"/>
      </w:pPr>
      <w:r>
        <w:rPr/>
        <w:t>□适用</w:t>
      </w:r>
      <w:r>
        <w:rPr>
          <w:spacing w:val="-1"/>
        </w:rPr>
        <w:t> </w:t>
      </w:r>
      <w:r>
        <w:rPr/>
        <w:t>√不适用</w:t>
      </w:r>
    </w:p>
    <w:p>
      <w:pPr>
        <w:spacing w:after="0" w:line="273" w:lineRule="exact"/>
        <w:jc w:val="left"/>
        <w:sectPr>
          <w:pgSz w:w="11910" w:h="16840"/>
          <w:pgMar w:header="880" w:footer="1195" w:top="1120" w:bottom="1380" w:left="1580" w:right="96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3"/>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1606"/>
        <w:gridCol w:w="1693"/>
        <w:gridCol w:w="1673"/>
      </w:tblGrid>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年金额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年金额</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-53,980.27</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的税收返还、减免</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6,040.80</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109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计入当期损益的政府补助，但与公司正常</w:t>
            </w:r>
          </w:p>
          <w:p>
            <w:pPr>
              <w:pStyle w:val="TableParagraph"/>
              <w:spacing w:line="237" w:lineRule="auto" w:before="2"/>
              <w:ind w:left="103" w:right="179"/>
              <w:jc w:val="both"/>
              <w:rPr>
                <w:rFonts w:ascii="宋体" w:hAnsi="宋体" w:cs="宋体" w:eastAsia="宋体" w:hint="default"/>
                <w:sz w:val="21"/>
                <w:szCs w:val="21"/>
              </w:rPr>
            </w:pPr>
            <w:r>
              <w:rPr>
                <w:rFonts w:ascii="宋体" w:hAnsi="宋体" w:cs="宋体" w:eastAsia="宋体" w:hint="default"/>
                <w:spacing w:val="-2"/>
                <w:sz w:val="21"/>
                <w:szCs w:val="21"/>
              </w:rPr>
              <w:t>经营业务密切相关，符合国家政策规定、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按照一定标准定额或定量持续享受的政府</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补助除外</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113,300.00</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42,000.00</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4,141,667.00</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82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79"/>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32,000,000.00</w:t>
            </w:r>
            <w:r>
              <w:rPr>
                <w:rFonts w:ascii="Times New Roman"/>
                <w:sz w:val="20"/>
              </w:rPr>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137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79"/>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14,469.04</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-23,497.23</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-658,706.21</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179,727.67</w:t>
            </w:r>
            <w:r>
              <w:rPr>
                <w:rFonts w:ascii="Times New Roman"/>
                <w:sz w:val="20"/>
              </w:rPr>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-618,000.00</w:t>
            </w:r>
            <w:r>
              <w:rPr>
                <w:rFonts w:ascii="Times New Roman"/>
                <w:sz w:val="20"/>
              </w:rPr>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-1,047,989.64</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3,143,968.90</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-610,665.41</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31,561,727.67</w:t>
            </w:r>
            <w:r>
              <w:rPr>
                <w:rFonts w:ascii="Times New Roman"/>
                <w:sz w:val="20"/>
              </w:rPr>
            </w:r>
          </w:p>
        </w:tc>
      </w:tr>
    </w:tbl>
    <w:p>
      <w:pPr>
        <w:spacing w:after="0" w:line="226" w:lineRule="exact"/>
        <w:jc w:val="right"/>
        <w:rPr>
          <w:rFonts w:ascii="Times New Roman" w:hAnsi="Times New Roman" w:cs="Times New Roman" w:eastAsia="Times New Roman" w:hint="default"/>
          <w:sz w:val="20"/>
          <w:szCs w:val="20"/>
        </w:rPr>
        <w:sectPr>
          <w:type w:val="continuous"/>
          <w:pgSz w:w="11910" w:h="16840"/>
          <w:pgMar w:top="1120" w:bottom="1380" w:left="1580" w:right="10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before="14"/>
        <w:ind w:right="7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3"/>
        <w:spacing w:line="240" w:lineRule="auto"/>
        <w:ind w:left="138" w:right="0"/>
        <w:jc w:val="both"/>
        <w:rPr>
          <w:b w:val="0"/>
          <w:bCs w:val="0"/>
        </w:rPr>
      </w:pPr>
      <w:r>
        <w:rPr/>
        <w:t>一、报告期内公司所从事的主要业务、经营模式及行业情况说明</w:t>
      </w:r>
      <w:r>
        <w:rPr>
          <w:b w:val="0"/>
          <w:bCs w:val="0"/>
        </w:rPr>
      </w:r>
    </w:p>
    <w:p>
      <w:pPr>
        <w:spacing w:line="272" w:lineRule="exact" w:before="86"/>
        <w:ind w:left="558"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公司所从事的主要业务</w:t>
      </w:r>
      <w:r>
        <w:rPr>
          <w:rFonts w:ascii="宋体" w:hAnsi="宋体" w:cs="宋体" w:eastAsia="宋体" w:hint="default"/>
          <w:b/>
          <w:bCs/>
          <w:w w:val="100"/>
          <w:sz w:val="21"/>
          <w:szCs w:val="21"/>
        </w:rPr>
        <w:t> </w:t>
      </w:r>
      <w:r>
        <w:rPr>
          <w:rFonts w:ascii="宋体" w:hAnsi="宋体" w:cs="宋体" w:eastAsia="宋体" w:hint="default"/>
          <w:spacing w:val="-1"/>
          <w:sz w:val="21"/>
          <w:szCs w:val="21"/>
        </w:rPr>
        <w:t>公司的主要业务为智慧城市业务和物业管理业务。公司的智慧城市业务涉及智慧城市级顶层</w:t>
      </w:r>
    </w:p>
    <w:p>
      <w:pPr>
        <w:pStyle w:val="BodyText"/>
        <w:spacing w:line="272" w:lineRule="exact" w:before="1"/>
        <w:ind w:right="208"/>
        <w:jc w:val="both"/>
      </w:pPr>
      <w:r>
        <w:rPr>
          <w:spacing w:val="-1"/>
        </w:rPr>
        <w:t>设计和咨询及智慧城市平台和生态圈体系建设。公司的物业管理服务业务集中于全资子公司杭州</w:t>
      </w:r>
      <w:r>
        <w:rPr>
          <w:spacing w:val="-55"/>
        </w:rPr>
        <w:t> </w:t>
      </w:r>
      <w:r>
        <w:rPr>
          <w:spacing w:val="-55"/>
        </w:rPr>
      </w:r>
      <w:r>
        <w:rPr/>
        <w:t>郡原物业服务有限公司。</w:t>
      </w:r>
    </w:p>
    <w:p>
      <w:pPr>
        <w:spacing w:line="240" w:lineRule="auto" w:before="4"/>
        <w:rPr>
          <w:rFonts w:ascii="宋体" w:hAnsi="宋体" w:cs="宋体" w:eastAsia="宋体" w:hint="default"/>
          <w:sz w:val="18"/>
          <w:szCs w:val="18"/>
        </w:rPr>
      </w:pPr>
    </w:p>
    <w:p>
      <w:pPr>
        <w:pStyle w:val="Heading3"/>
        <w:spacing w:line="274" w:lineRule="exact"/>
        <w:ind w:left="618" w:right="6450" w:hanging="58"/>
        <w:jc w:val="left"/>
        <w:rPr>
          <w:b w:val="0"/>
          <w:bCs w:val="0"/>
        </w:rPr>
      </w:pPr>
      <w:r>
        <w:rPr>
          <w:rFonts w:ascii="Times New Roman" w:hAnsi="Times New Roman" w:cs="Times New Roman" w:eastAsia="Times New Roman" w:hint="default"/>
        </w:rPr>
        <w:t>2</w:t>
      </w:r>
      <w:r>
        <w:rPr/>
        <w:t>、经营模式</w:t>
      </w:r>
      <w:r>
        <w:rPr>
          <w:spacing w:val="-104"/>
        </w:rPr>
        <w:t> </w:t>
      </w:r>
      <w:r>
        <w:rPr>
          <w:spacing w:val="-1"/>
        </w:rPr>
        <w:t>一、智慧城市相关业务</w:t>
      </w:r>
      <w:r>
        <w:rPr>
          <w:b w:val="0"/>
          <w:bCs w:val="0"/>
        </w:rPr>
      </w:r>
    </w:p>
    <w:p>
      <w:pPr>
        <w:pStyle w:val="BodyText"/>
        <w:spacing w:line="253" w:lineRule="exact"/>
        <w:ind w:left="618" w:right="9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智慧城市级顶层设计和咨询</w:t>
      </w:r>
    </w:p>
    <w:p>
      <w:pPr>
        <w:pStyle w:val="BodyText"/>
        <w:spacing w:line="237" w:lineRule="auto"/>
        <w:ind w:left="198" w:right="97" w:firstLine="419"/>
        <w:jc w:val="left"/>
      </w:pPr>
      <w:r>
        <w:rPr>
          <w:spacing w:val="-6"/>
        </w:rPr>
        <w:t>具体内容：为政府客户提供智慧化城市发展和战略规划咨询的服务，从城市全局的视角出发，</w:t>
      </w:r>
      <w:r>
        <w:rPr>
          <w:w w:val="100"/>
        </w:rPr>
        <w:t> </w:t>
      </w:r>
      <w:r>
        <w:rPr>
          <w:spacing w:val="-3"/>
        </w:rPr>
        <w:t>调查分析对象城市在经济现状、社会管理、民生文化等方面的发展需求，综合智慧城市发展的信</w:t>
      </w:r>
      <w:r>
        <w:rPr>
          <w:spacing w:val="-34"/>
        </w:rPr>
        <w:t> </w:t>
      </w:r>
      <w:r>
        <w:rPr>
          <w:spacing w:val="-34"/>
        </w:rPr>
      </w:r>
      <w:r>
        <w:rPr>
          <w:spacing w:val="-3"/>
        </w:rPr>
        <w:t>息化基础条件、整理城市各方面因素与制约关系进行统筹考虑，进而确定适合对象城市的智慧城</w:t>
      </w:r>
      <w:r>
        <w:rPr>
          <w:spacing w:val="-35"/>
        </w:rPr>
        <w:t> </w:t>
      </w:r>
      <w:r>
        <w:rPr>
          <w:spacing w:val="-35"/>
        </w:rPr>
      </w:r>
      <w:r>
        <w:rPr/>
        <w:t>市建设总路径。包括总体规划、建设目标、技术路线、体系架构、重点项目等设计内容。</w:t>
      </w:r>
    </w:p>
    <w:p>
      <w:pPr>
        <w:pStyle w:val="BodyText"/>
        <w:spacing w:line="237" w:lineRule="auto" w:before="1"/>
        <w:ind w:left="558" w:right="97"/>
        <w:jc w:val="left"/>
      </w:pPr>
      <w:r>
        <w:rPr>
          <w:spacing w:val="-2"/>
        </w:rPr>
        <w:t>服务种类：整体顶层设计和单项目设计咨询（如信息安全咨询、智慧教育设计咨询等等）。</w:t>
      </w:r>
      <w:r>
        <w:rPr>
          <w:spacing w:val="-28"/>
        </w:rPr>
        <w:t> </w:t>
      </w:r>
      <w:r>
        <w:rPr>
          <w:spacing w:val="-28"/>
        </w:rPr>
      </w:r>
      <w:r>
        <w:rPr/>
        <w:t>订单获取的主要方式：通过直接参与政府客户相关项目的招投标获得。</w:t>
      </w:r>
      <w:r>
        <w:rPr>
          <w:w w:val="100"/>
        </w:rPr>
        <w:t> </w:t>
      </w:r>
      <w:r>
        <w:rPr>
          <w:spacing w:val="-2"/>
        </w:rPr>
        <w:t>业务模式：公司通过顶层设计和咨询规划业务，与政府客户深入合作，将顶层设计和咨询规</w:t>
      </w:r>
    </w:p>
    <w:p>
      <w:pPr>
        <w:pStyle w:val="BodyText"/>
        <w:spacing w:line="274" w:lineRule="exact" w:before="22"/>
        <w:ind w:left="558" w:right="97" w:hanging="420"/>
        <w:jc w:val="left"/>
      </w:pPr>
      <w:r>
        <w:rPr/>
        <w:t>划与城市的发展战略相结合，迎合城市发展战略。</w:t>
      </w:r>
      <w:r>
        <w:rPr>
          <w:w w:val="100"/>
        </w:rPr>
        <w:t> </w:t>
      </w:r>
      <w:r>
        <w:rPr>
          <w:spacing w:val="-2"/>
        </w:rPr>
        <w:t>盈利途径：公司主要通过获得智慧城市整体顶层设计和单项目设计咨询服务的收入盈利。公</w:t>
      </w:r>
    </w:p>
    <w:p>
      <w:pPr>
        <w:pStyle w:val="BodyText"/>
        <w:spacing w:line="245" w:lineRule="exact"/>
        <w:ind w:right="0"/>
        <w:jc w:val="both"/>
      </w:pPr>
      <w:r>
        <w:rPr/>
        <w:t>司在获得顶层设计规划咨询服务的收入同时，也与各地政府建立起良好的合作关系，通过对城市</w:t>
      </w:r>
    </w:p>
    <w:p>
      <w:pPr>
        <w:pStyle w:val="BodyText"/>
        <w:spacing w:line="237" w:lineRule="auto" w:before="2"/>
        <w:ind w:right="208"/>
        <w:jc w:val="both"/>
      </w:pPr>
      <w:r>
        <w:rPr>
          <w:spacing w:val="-1"/>
        </w:rPr>
        <w:t>智慧城市细分市场进行专业化和延伸化的规划设计，加强了公司在智慧城市平台和生态圈体系建</w:t>
      </w:r>
      <w:r>
        <w:rPr>
          <w:spacing w:val="-55"/>
        </w:rPr>
        <w:t> </w:t>
      </w:r>
      <w:r>
        <w:rPr>
          <w:spacing w:val="-55"/>
        </w:rPr>
      </w:r>
      <w:r>
        <w:rPr>
          <w:spacing w:val="-1"/>
        </w:rPr>
        <w:t>设领域获取延伸服务项目和建设运营业务的能力，进而拓宽了公司盈利的渠道，延长了公司的盈</w:t>
      </w:r>
      <w:r>
        <w:rPr>
          <w:spacing w:val="-55"/>
        </w:rPr>
        <w:t> </w:t>
      </w:r>
      <w:r>
        <w:rPr>
          <w:spacing w:val="-55"/>
        </w:rPr>
      </w:r>
      <w:r>
        <w:rPr/>
        <w:t>利期限。</w:t>
      </w:r>
    </w:p>
    <w:p>
      <w:pPr>
        <w:spacing w:line="240" w:lineRule="auto" w:before="5"/>
        <w:rPr>
          <w:rFonts w:ascii="宋体" w:hAnsi="宋体" w:cs="宋体" w:eastAsia="宋体" w:hint="default"/>
          <w:sz w:val="20"/>
          <w:szCs w:val="20"/>
        </w:rPr>
      </w:pPr>
    </w:p>
    <w:p>
      <w:pPr>
        <w:pStyle w:val="BodyText"/>
        <w:spacing w:line="272" w:lineRule="exact"/>
        <w:ind w:left="558" w:right="9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智慧城市平台和生态圈体系建设</w:t>
      </w:r>
      <w:r>
        <w:rPr>
          <w:w w:val="100"/>
        </w:rPr>
        <w:t> </w:t>
      </w:r>
      <w:r>
        <w:rPr>
          <w:spacing w:val="-1"/>
        </w:rPr>
        <w:t>公司的智慧城市业务采取“平台</w:t>
      </w:r>
      <w:r>
        <w:rPr>
          <w:rFonts w:ascii="Times New Roman" w:hAnsi="Times New Roman" w:cs="Times New Roman" w:eastAsia="Times New Roman" w:hint="default"/>
          <w:spacing w:val="-1"/>
        </w:rPr>
        <w:t>+</w:t>
      </w:r>
      <w:r>
        <w:rPr>
          <w:spacing w:val="-1"/>
        </w:rPr>
        <w:t>生态圈</w:t>
      </w:r>
      <w:r>
        <w:rPr>
          <w:rFonts w:ascii="Times New Roman" w:hAnsi="Times New Roman" w:cs="Times New Roman" w:eastAsia="Times New Roman" w:hint="default"/>
          <w:spacing w:val="-1"/>
        </w:rPr>
        <w:t>”</w:t>
      </w:r>
      <w:r>
        <w:rPr>
          <w:spacing w:val="-1"/>
        </w:rPr>
        <w:t>的经营模式。</w:t>
      </w:r>
      <w:r>
        <w:rPr>
          <w:rFonts w:ascii="Times New Roman" w:hAnsi="Times New Roman" w:cs="Times New Roman" w:eastAsia="Times New Roman" w:hint="default"/>
          <w:spacing w:val="-1"/>
        </w:rPr>
        <w:t>“</w:t>
      </w:r>
      <w:r>
        <w:rPr>
          <w:spacing w:val="-1"/>
        </w:rPr>
        <w:t>双平台驱动</w:t>
      </w:r>
      <w:r>
        <w:rPr>
          <w:rFonts w:ascii="Times New Roman" w:hAnsi="Times New Roman" w:cs="Times New Roman" w:eastAsia="Times New Roman" w:hint="default"/>
          <w:spacing w:val="-1"/>
        </w:rPr>
        <w:t>”</w:t>
      </w:r>
      <w:r>
        <w:rPr>
          <w:spacing w:val="-1"/>
        </w:rPr>
        <w:t>：两个核心平台，一是</w:t>
      </w:r>
    </w:p>
    <w:p>
      <w:pPr>
        <w:pStyle w:val="BodyText"/>
        <w:spacing w:line="272" w:lineRule="exact" w:before="1"/>
        <w:ind w:right="208"/>
        <w:jc w:val="both"/>
      </w:pPr>
      <w:r>
        <w:rPr>
          <w:spacing w:val="-6"/>
        </w:rPr>
        <w:t>投融资平台，以融资能力为核心、以投资总包为基础的智慧城市投融资平台，分担政府财政压力、</w:t>
      </w:r>
      <w:r>
        <w:rPr>
          <w:spacing w:val="-54"/>
        </w:rPr>
        <w:t> </w:t>
      </w:r>
      <w:r>
        <w:rPr>
          <w:spacing w:val="-54"/>
        </w:rPr>
      </w:r>
      <w:r>
        <w:rPr>
          <w:spacing w:val="-1"/>
        </w:rPr>
        <w:t>促进智慧城市建设、助力城市升级，获取客户资源；二是核心业务平台，以应用整合与数据整合</w:t>
      </w:r>
    </w:p>
    <w:p>
      <w:pPr>
        <w:pStyle w:val="BodyText"/>
        <w:spacing w:line="272" w:lineRule="exact" w:before="1"/>
        <w:ind w:right="208"/>
        <w:jc w:val="both"/>
      </w:pPr>
      <w:r>
        <w:rPr>
          <w:spacing w:val="-1"/>
        </w:rPr>
        <w:t>为核心、以大数据运营服务为长期定位的核心业务平台，整合合作伙伴，提升应用价值，建立长</w:t>
      </w:r>
      <w:r>
        <w:rPr>
          <w:spacing w:val="-55"/>
        </w:rPr>
        <w:t> </w:t>
      </w:r>
      <w:r>
        <w:rPr>
          <w:spacing w:val="-55"/>
        </w:rPr>
      </w:r>
      <w:r>
        <w:rPr>
          <w:spacing w:val="-1"/>
        </w:rPr>
        <w:t>期技术优势。</w:t>
      </w:r>
      <w:r>
        <w:rPr>
          <w:rFonts w:ascii="Times New Roman" w:hAnsi="Times New Roman" w:cs="Times New Roman" w:eastAsia="Times New Roman" w:hint="default"/>
          <w:spacing w:val="-1"/>
        </w:rPr>
        <w:t>“</w:t>
      </w:r>
      <w:r>
        <w:rPr>
          <w:spacing w:val="-1"/>
        </w:rPr>
        <w:t>构建生态圈</w:t>
      </w:r>
      <w:r>
        <w:rPr>
          <w:rFonts w:ascii="Times New Roman" w:hAnsi="Times New Roman" w:cs="Times New Roman" w:eastAsia="Times New Roman" w:hint="default"/>
          <w:spacing w:val="-1"/>
        </w:rPr>
        <w:t>”</w:t>
      </w:r>
      <w:r>
        <w:rPr>
          <w:spacing w:val="-1"/>
        </w:rPr>
        <w:t>：以项目合作、投资合作为基本手段，沿着智慧城市建设的相关产业</w:t>
      </w:r>
      <w:r>
        <w:rPr>
          <w:spacing w:val="-26"/>
        </w:rPr>
        <w:t> </w:t>
      </w:r>
      <w:r>
        <w:rPr>
          <w:spacing w:val="-26"/>
        </w:rPr>
      </w:r>
      <w:r>
        <w:rPr>
          <w:spacing w:val="-1"/>
        </w:rPr>
        <w:t>链发展合作伙伴生态圈，搭建集产业协作、高潜企业孵化及大数据经营三位一体的开放共享、互</w:t>
      </w:r>
    </w:p>
    <w:p>
      <w:pPr>
        <w:pStyle w:val="BodyText"/>
        <w:spacing w:line="247" w:lineRule="exact"/>
        <w:ind w:right="0"/>
        <w:jc w:val="both"/>
      </w:pPr>
      <w:r>
        <w:rPr/>
        <w:t>融共生、良性协同的生态圈。</w:t>
      </w:r>
    </w:p>
    <w:p>
      <w:pPr>
        <w:pStyle w:val="BodyText"/>
        <w:spacing w:line="274" w:lineRule="exact" w:before="24"/>
        <w:ind w:left="558" w:right="97"/>
        <w:jc w:val="left"/>
      </w:pPr>
      <w:r>
        <w:rPr>
          <w:rFonts w:ascii="Times New Roman" w:hAnsi="Times New Roman" w:cs="Times New Roman" w:eastAsia="Times New Roman" w:hint="default"/>
        </w:rPr>
        <w:t>2.1 </w:t>
      </w:r>
      <w:r>
        <w:rPr/>
        <w:t>投融资平台</w:t>
      </w:r>
      <w:r>
        <w:rPr>
          <w:w w:val="100"/>
        </w:rPr>
        <w:t> </w:t>
      </w:r>
      <w:r>
        <w:rPr>
          <w:spacing w:val="-2"/>
        </w:rPr>
        <w:t>公司投融资平台负责公司对外融资以满足实际经营需要，评估、管理及优化公司融资模式与</w:t>
      </w:r>
    </w:p>
    <w:p>
      <w:pPr>
        <w:pStyle w:val="BodyText"/>
        <w:spacing w:line="246" w:lineRule="exact"/>
        <w:ind w:right="0"/>
        <w:jc w:val="both"/>
      </w:pPr>
      <w:r>
        <w:rPr/>
        <w:t>渠道，降低融资成本。同时负责公司对外投资，以匹配、加强及延展公司智慧城市相关业务。融</w:t>
      </w:r>
    </w:p>
    <w:p>
      <w:pPr>
        <w:pStyle w:val="BodyText"/>
        <w:spacing w:line="281" w:lineRule="exact"/>
        <w:ind w:right="0"/>
        <w:jc w:val="both"/>
      </w:pPr>
      <w:r>
        <w:rPr>
          <w:spacing w:val="-11"/>
        </w:rPr>
        <w:t>资方面，受 </w:t>
      </w:r>
      <w:r>
        <w:rPr>
          <w:rFonts w:ascii="Times New Roman" w:hAnsi="Times New Roman" w:cs="Times New Roman" w:eastAsia="Times New Roman" w:hint="default"/>
        </w:rPr>
        <w:t>2015</w:t>
      </w:r>
      <w:r>
        <w:rPr>
          <w:rFonts w:ascii="Times New Roman" w:hAnsi="Times New Roman" w:cs="Times New Roman" w:eastAsia="Times New Roman" w:hint="default"/>
          <w:spacing w:val="18"/>
        </w:rPr>
        <w:t> </w:t>
      </w:r>
      <w:r>
        <w:rPr>
          <w:spacing w:val="-3"/>
        </w:rPr>
        <w:t>年非公开发行股票的申请未获得审核通过影响，公司于报告期内主要通过股东借</w:t>
      </w:r>
    </w:p>
    <w:p>
      <w:pPr>
        <w:pStyle w:val="BodyText"/>
        <w:spacing w:line="274" w:lineRule="exact" w:before="16"/>
        <w:ind w:right="207"/>
        <w:jc w:val="both"/>
      </w:pPr>
      <w:r>
        <w:rPr/>
        <w:t>款的方式取得融资金额</w:t>
      </w:r>
      <w:r>
        <w:rPr>
          <w:spacing w:val="-36"/>
        </w:rPr>
        <w:t> </w:t>
      </w:r>
      <w:r>
        <w:rPr>
          <w:rFonts w:ascii="Times New Roman" w:hAnsi="Times New Roman" w:cs="Times New Roman" w:eastAsia="Times New Roman" w:hint="default"/>
        </w:rPr>
        <w:t>1.32</w:t>
      </w:r>
      <w:r>
        <w:rPr>
          <w:rFonts w:ascii="Times New Roman" w:hAnsi="Times New Roman" w:cs="Times New Roman" w:eastAsia="Times New Roman" w:hint="default"/>
          <w:spacing w:val="16"/>
        </w:rPr>
        <w:t> </w:t>
      </w:r>
      <w:r>
        <w:rPr>
          <w:spacing w:val="-3"/>
        </w:rPr>
        <w:t>亿元。该等资金均用于智慧城市相关业务日常经营。投资方面，于报</w:t>
      </w:r>
      <w:r>
        <w:rPr>
          <w:spacing w:val="-99"/>
        </w:rPr>
        <w:t> </w:t>
      </w:r>
      <w:r>
        <w:rPr>
          <w:spacing w:val="-99"/>
        </w:rPr>
      </w:r>
      <w:r>
        <w:rPr/>
        <w:t>告期内公司投融资平台并未开展实际对外投资业务活动。</w:t>
      </w:r>
    </w:p>
    <w:p>
      <w:pPr>
        <w:pStyle w:val="BodyText"/>
        <w:spacing w:line="253" w:lineRule="exact"/>
        <w:ind w:left="558" w:right="97"/>
        <w:jc w:val="left"/>
      </w:pPr>
      <w:r>
        <w:rPr>
          <w:rFonts w:ascii="Times New Roman" w:hAnsi="Times New Roman" w:cs="Times New Roman" w:eastAsia="Times New Roman" w:hint="default"/>
        </w:rPr>
        <w:t>2.2</w:t>
      </w:r>
      <w:r>
        <w:rPr>
          <w:rFonts w:ascii="Times New Roman" w:hAnsi="Times New Roman" w:cs="Times New Roman" w:eastAsia="Times New Roman" w:hint="default"/>
          <w:spacing w:val="52"/>
        </w:rPr>
        <w:t> </w:t>
      </w:r>
      <w:r>
        <w:rPr/>
        <w:t>核心业务平台</w:t>
      </w:r>
    </w:p>
    <w:p>
      <w:pPr>
        <w:pStyle w:val="BodyText"/>
        <w:spacing w:line="237" w:lineRule="auto"/>
        <w:ind w:right="217" w:firstLine="419"/>
        <w:jc w:val="both"/>
      </w:pPr>
      <w:r>
        <w:rPr>
          <w:spacing w:val="-2"/>
        </w:rPr>
        <w:t>具体内容：指智慧城市项目基础设施建设及管理软件和应用类产品及解决方案。其中管理软</w:t>
      </w:r>
      <w:r>
        <w:rPr>
          <w:w w:val="100"/>
        </w:rPr>
        <w:t> </w:t>
      </w:r>
      <w:r>
        <w:rPr>
          <w:spacing w:val="-2"/>
        </w:rPr>
        <w:t>件和应用类产品及解决方案包括智慧城市运营管理、城市绩效指标评价系统、城市大数据管理、</w:t>
      </w:r>
      <w:r>
        <w:rPr>
          <w:spacing w:val="-25"/>
        </w:rPr>
        <w:t> </w:t>
      </w:r>
      <w:r>
        <w:rPr>
          <w:spacing w:val="-25"/>
        </w:rPr>
      </w:r>
      <w:r>
        <w:rPr>
          <w:spacing w:val="-2"/>
        </w:rPr>
        <w:t>物联网集中管控四个领域。相关软件类产品及解决方案具有开放性强、灵活性高、可扩展性大及</w:t>
      </w:r>
      <w:r>
        <w:rPr>
          <w:spacing w:val="-25"/>
        </w:rPr>
        <w:t> </w:t>
      </w:r>
      <w:r>
        <w:rPr>
          <w:spacing w:val="-25"/>
        </w:rPr>
      </w:r>
      <w:r>
        <w:rPr/>
        <w:t>可嵌入性的特点及优势。</w:t>
      </w:r>
    </w:p>
    <w:p>
      <w:pPr>
        <w:pStyle w:val="BodyText"/>
        <w:spacing w:line="272" w:lineRule="exact" w:before="26"/>
        <w:ind w:left="558" w:right="97"/>
        <w:jc w:val="left"/>
      </w:pPr>
      <w:r>
        <w:rPr/>
        <w:t>应用方式：</w:t>
      </w:r>
      <w:r>
        <w:rPr>
          <w:spacing w:val="-103"/>
        </w:rPr>
        <w:t> </w:t>
      </w:r>
      <w:r>
        <w:rPr>
          <w:spacing w:val="-103"/>
        </w:rPr>
      </w:r>
      <w:r>
        <w:rPr>
          <w:spacing w:val="-7"/>
          <w:w w:val="100"/>
        </w:rPr>
        <w:t>城市运营管理平台主要应用于帮助城市建设者规划城市建设，解决信息孤岛，统一实时监控，</w:t>
      </w:r>
    </w:p>
    <w:p>
      <w:pPr>
        <w:pStyle w:val="BodyText"/>
        <w:spacing w:line="272" w:lineRule="exact" w:before="1"/>
        <w:ind w:left="558" w:right="97" w:hanging="420"/>
        <w:jc w:val="left"/>
      </w:pPr>
      <w:r>
        <w:rPr/>
        <w:t>建立信息化标准，协调部门协作，提高应急指挥效率，加速城市信息化建设。</w:t>
      </w:r>
      <w:r>
        <w:rPr>
          <w:w w:val="100"/>
        </w:rPr>
        <w:t> </w:t>
      </w:r>
      <w:r>
        <w:rPr>
          <w:spacing w:val="-2"/>
        </w:rPr>
        <w:t>城市绩效指标系统平台主要应用于用于构建、监控、评价城市运营绩效指标。依据相关的基</w:t>
      </w:r>
    </w:p>
    <w:p>
      <w:pPr>
        <w:pStyle w:val="BodyText"/>
        <w:spacing w:line="272" w:lineRule="exact" w:before="2"/>
        <w:ind w:left="558" w:right="97" w:hanging="420"/>
        <w:jc w:val="left"/>
      </w:pPr>
      <w:r>
        <w:rPr/>
        <w:t>本原则进行指标设置，从而构建出符合城市个性特点的城市运营绩效指标评价体系。</w:t>
      </w:r>
      <w:r>
        <w:rPr>
          <w:w w:val="100"/>
        </w:rPr>
        <w:t> </w:t>
      </w:r>
      <w:r>
        <w:rPr>
          <w:spacing w:val="-2"/>
        </w:rPr>
        <w:t>城市大数据管理平台应用于智慧城市的数据采集、存储、分析、展现及应用提供全栈式解决</w:t>
      </w:r>
    </w:p>
    <w:p>
      <w:pPr>
        <w:spacing w:after="0" w:line="272" w:lineRule="exact"/>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40" w:lineRule="auto" w:before="36"/>
        <w:ind w:right="96"/>
        <w:jc w:val="left"/>
      </w:pPr>
      <w:r>
        <w:rPr>
          <w:spacing w:val="-2"/>
        </w:rPr>
        <w:t>方案。包括大数据运维管理工具；数据采集工具；大数据集成框架；数据展现产品；数据治理平</w:t>
      </w:r>
      <w:r>
        <w:rPr>
          <w:spacing w:val="-25"/>
        </w:rPr>
        <w:t> </w:t>
      </w:r>
      <w:r>
        <w:rPr>
          <w:spacing w:val="-25"/>
        </w:rPr>
      </w:r>
      <w:r>
        <w:rPr/>
        <w:t>台。</w:t>
      </w:r>
    </w:p>
    <w:p>
      <w:pPr>
        <w:pStyle w:val="BodyText"/>
        <w:spacing w:line="237" w:lineRule="auto"/>
        <w:ind w:right="317" w:firstLine="419"/>
        <w:jc w:val="both"/>
      </w:pPr>
      <w:r>
        <w:rPr>
          <w:spacing w:val="-2"/>
        </w:rPr>
        <w:t>物联网集中管控平台主要应用于连接第三方设备、产品和应用程序，使物联网设备的接入、</w:t>
      </w:r>
      <w:r>
        <w:rPr>
          <w:w w:val="100"/>
        </w:rPr>
        <w:t> </w:t>
      </w:r>
      <w:r>
        <w:rPr>
          <w:spacing w:val="-2"/>
        </w:rPr>
        <w:t>数据的存储和展现变得简单快速。主要由物联网管理云平台、站点服务器和设备接入客户端等三</w:t>
      </w:r>
      <w:r>
        <w:rPr>
          <w:spacing w:val="-25"/>
        </w:rPr>
        <w:t> </w:t>
      </w:r>
      <w:r>
        <w:rPr>
          <w:spacing w:val="-25"/>
        </w:rPr>
      </w:r>
      <w:r>
        <w:rPr/>
        <w:t>部分组成。</w:t>
      </w:r>
    </w:p>
    <w:p>
      <w:pPr>
        <w:pStyle w:val="BodyText"/>
        <w:spacing w:line="272" w:lineRule="exact" w:before="26"/>
        <w:ind w:right="317" w:firstLine="419"/>
        <w:jc w:val="both"/>
      </w:pPr>
      <w:r>
        <w:rPr>
          <w:spacing w:val="-2"/>
        </w:rPr>
        <w:t>服务种类：涉及基建项目总包；软件应用平台建设、运营及维护服务；大数据采集、分析及</w:t>
      </w:r>
      <w:r>
        <w:rPr>
          <w:w w:val="100"/>
        </w:rPr>
        <w:t> </w:t>
      </w:r>
      <w:r>
        <w:rPr/>
        <w:t>经营。</w:t>
      </w:r>
    </w:p>
    <w:p>
      <w:pPr>
        <w:pStyle w:val="BodyText"/>
        <w:spacing w:line="272" w:lineRule="exact" w:before="1"/>
        <w:ind w:left="558" w:right="96"/>
        <w:jc w:val="left"/>
      </w:pPr>
      <w:r>
        <w:rPr/>
        <w:t>订单获取的主要方式：通过战略合作、投资建设、参与项目招投标等。</w:t>
      </w:r>
      <w:r>
        <w:rPr>
          <w:w w:val="100"/>
        </w:rPr>
        <w:t> </w:t>
      </w:r>
      <w:r>
        <w:rPr>
          <w:spacing w:val="-8"/>
          <w:w w:val="100"/>
        </w:rPr>
        <w:t>业务模式：考虑到智慧城市平台和生态圈体系建设属于技术、资金密集型业务，公司通过</w:t>
      </w:r>
      <w:r>
        <w:rPr>
          <w:spacing w:val="-48"/>
          <w:w w:val="100"/>
        </w:rPr>
        <w:t> </w:t>
      </w:r>
      <w:r>
        <w:rPr>
          <w:rFonts w:ascii="Times New Roman" w:hAnsi="Times New Roman" w:cs="Times New Roman" w:eastAsia="Times New Roman" w:hint="default"/>
          <w:spacing w:val="-1"/>
          <w:w w:val="100"/>
        </w:rPr>
        <w:t>BOT</w:t>
      </w:r>
      <w:r>
        <w:rPr>
          <w:spacing w:val="-1"/>
          <w:w w:val="100"/>
        </w:rPr>
        <w:t>、</w:t>
      </w:r>
    </w:p>
    <w:p>
      <w:pPr>
        <w:pStyle w:val="BodyText"/>
        <w:spacing w:line="272" w:lineRule="exact" w:before="1"/>
        <w:ind w:left="558" w:right="96" w:hanging="420"/>
        <w:jc w:val="left"/>
      </w:pPr>
      <w:r>
        <w:rPr>
          <w:rFonts w:ascii="Times New Roman" w:hAnsi="Times New Roman" w:cs="Times New Roman" w:eastAsia="Times New Roman" w:hint="default"/>
        </w:rPr>
        <w:t>PPP</w:t>
      </w:r>
      <w:r>
        <w:rPr>
          <w:rFonts w:ascii="Times New Roman" w:hAnsi="Times New Roman" w:cs="Times New Roman" w:eastAsia="Times New Roman" w:hint="default"/>
          <w:spacing w:val="-1"/>
        </w:rPr>
        <w:t> </w:t>
      </w:r>
      <w:r>
        <w:rPr/>
        <w:t>及相关衍生模式为主，引入各种社会资源进行联营合作。</w:t>
      </w:r>
      <w:r>
        <w:rPr>
          <w:w w:val="100"/>
        </w:rPr>
        <w:t> </w:t>
      </w:r>
      <w:r>
        <w:rPr>
          <w:spacing w:val="-2"/>
        </w:rPr>
        <w:t>盈利途径：公司主要通过获得智慧城市平台和生态圈体系建设服务的收入盈利。同时，通过</w:t>
      </w:r>
    </w:p>
    <w:p>
      <w:pPr>
        <w:pStyle w:val="BodyText"/>
        <w:spacing w:line="272" w:lineRule="exact" w:before="1"/>
        <w:ind w:right="96"/>
        <w:jc w:val="left"/>
      </w:pPr>
      <w:r>
        <w:rPr>
          <w:spacing w:val="-2"/>
        </w:rPr>
        <w:t>智慧城市生态圈，引入各种社会资源进行联营合作，累积运营大数据，指导公司为用户提供更精</w:t>
      </w:r>
      <w:r>
        <w:rPr>
          <w:spacing w:val="-25"/>
        </w:rPr>
        <w:t> </w:t>
      </w:r>
      <w:r>
        <w:rPr>
          <w:spacing w:val="-25"/>
        </w:rPr>
      </w:r>
      <w:r>
        <w:rPr/>
        <w:t>准的服务，提高公司竞争力。</w:t>
      </w:r>
    </w:p>
    <w:p>
      <w:pPr>
        <w:spacing w:line="240" w:lineRule="auto" w:before="9"/>
        <w:rPr>
          <w:rFonts w:ascii="宋体" w:hAnsi="宋体" w:cs="宋体" w:eastAsia="宋体" w:hint="default"/>
          <w:sz w:val="21"/>
          <w:szCs w:val="21"/>
        </w:rPr>
      </w:pPr>
    </w:p>
    <w:p>
      <w:pPr>
        <w:pStyle w:val="BodyText"/>
        <w:spacing w:line="240" w:lineRule="auto"/>
        <w:ind w:left="558" w:right="246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t>智慧城市业务子版块业务收入、成本及毛利率如下：</w:t>
      </w:r>
    </w:p>
    <w:p>
      <w:pPr>
        <w:spacing w:line="240" w:lineRule="auto" w:before="3"/>
        <w:rPr>
          <w:rFonts w:ascii="宋体" w:hAnsi="宋体" w:cs="宋体" w:eastAsia="宋体" w:hint="default"/>
          <w:sz w:val="13"/>
          <w:szCs w:val="13"/>
        </w:rPr>
      </w:pPr>
    </w:p>
    <w:tbl>
      <w:tblPr>
        <w:tblW w:w="0" w:type="auto"/>
        <w:jc w:val="left"/>
        <w:tblInd w:w="274" w:type="dxa"/>
        <w:tblLayout w:type="fixed"/>
        <w:tblCellMar>
          <w:top w:w="0" w:type="dxa"/>
          <w:left w:w="0" w:type="dxa"/>
          <w:bottom w:w="0" w:type="dxa"/>
          <w:right w:w="0" w:type="dxa"/>
        </w:tblCellMar>
        <w:tblLook w:val="01E0"/>
      </w:tblPr>
      <w:tblGrid>
        <w:gridCol w:w="3404"/>
        <w:gridCol w:w="1700"/>
        <w:gridCol w:w="1702"/>
        <w:gridCol w:w="1561"/>
      </w:tblGrid>
      <w:tr>
        <w:trPr>
          <w:trHeight w:val="650"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827" w:right="0"/>
              <w:jc w:val="left"/>
              <w:rPr>
                <w:rFonts w:ascii="宋体" w:hAnsi="宋体" w:cs="宋体" w:eastAsia="宋体" w:hint="default"/>
                <w:sz w:val="21"/>
                <w:szCs w:val="21"/>
              </w:rPr>
            </w:pPr>
            <w:r>
              <w:rPr>
                <w:rFonts w:ascii="宋体" w:hAnsi="宋体" w:cs="宋体" w:eastAsia="宋体" w:hint="default"/>
                <w:sz w:val="21"/>
                <w:szCs w:val="21"/>
              </w:rPr>
              <w:t>行业类别</w:t>
            </w:r>
            <w:r>
              <w:rPr>
                <w:rFonts w:ascii="Times New Roman" w:hAnsi="Times New Roman" w:cs="Times New Roman" w:eastAsia="Times New Roman" w:hint="default"/>
                <w:sz w:val="21"/>
                <w:szCs w:val="21"/>
              </w:rPr>
              <w:t>/</w:t>
            </w:r>
            <w:r>
              <w:rPr>
                <w:rFonts w:ascii="宋体" w:hAnsi="宋体" w:cs="宋体" w:eastAsia="宋体" w:hint="default"/>
                <w:sz w:val="21"/>
                <w:szCs w:val="21"/>
              </w:rPr>
              <w:t>所属平台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1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1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58" w:right="0"/>
              <w:jc w:val="left"/>
              <w:rPr>
                <w:rFonts w:ascii="宋体" w:hAnsi="宋体" w:cs="宋体" w:eastAsia="宋体" w:hint="default"/>
                <w:sz w:val="21"/>
                <w:szCs w:val="21"/>
              </w:rPr>
            </w:pPr>
            <w:r>
              <w:rPr>
                <w:rFonts w:ascii="宋体" w:hAnsi="宋体" w:cs="宋体" w:eastAsia="宋体" w:hint="default"/>
                <w:sz w:val="21"/>
                <w:szCs w:val="21"/>
              </w:rPr>
              <w:t>毛利率</w:t>
            </w:r>
          </w:p>
        </w:tc>
      </w:tr>
      <w:tr>
        <w:trPr>
          <w:trHeight w:val="574" w:hRule="exact"/>
        </w:trPr>
        <w:tc>
          <w:tcPr>
            <w:tcW w:w="3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智慧城市级顶层设计和咨询</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8,679,245.27</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3,655,988.52</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58%</w:t>
            </w:r>
          </w:p>
        </w:tc>
      </w:tr>
      <w:tr>
        <w:trPr>
          <w:trHeight w:val="696" w:hRule="exact"/>
        </w:trPr>
        <w:tc>
          <w:tcPr>
            <w:tcW w:w="3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智慧城市平台和生态圈体系建设</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32,800,089.55</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25,144,115.17</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23%</w:t>
            </w:r>
          </w:p>
        </w:tc>
      </w:tr>
      <w:tr>
        <w:trPr>
          <w:trHeight w:val="696"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99"/>
              <w:jc w:val="right"/>
              <w:rPr>
                <w:rFonts w:ascii="宋体" w:hAnsi="宋体" w:cs="宋体" w:eastAsia="宋体" w:hint="default"/>
                <w:sz w:val="21"/>
                <w:szCs w:val="21"/>
              </w:rPr>
            </w:pPr>
            <w:r>
              <w:rPr>
                <w:rFonts w:ascii="宋体" w:hAnsi="宋体" w:cs="宋体" w:eastAsia="宋体" w:hint="default"/>
                <w:spacing w:val="-2"/>
                <w:sz w:val="21"/>
                <w:szCs w:val="21"/>
              </w:rPr>
              <w:t>城市运营管理平台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10,007,567.53</w:t>
            </w:r>
          </w:p>
        </w:tc>
        <w:tc>
          <w:tcPr>
            <w:tcW w:w="1702" w:type="dxa"/>
            <w:vMerge w:val="restart"/>
            <w:tcBorders>
              <w:top w:val="single" w:sz="4" w:space="0" w:color="000000"/>
              <w:left w:val="single" w:sz="4" w:space="0" w:color="000000"/>
              <w:right w:val="single" w:sz="4" w:space="0" w:color="000000"/>
            </w:tcBorders>
          </w:tcPr>
          <w:p>
            <w:pPr/>
          </w:p>
        </w:tc>
        <w:tc>
          <w:tcPr>
            <w:tcW w:w="1561" w:type="dxa"/>
            <w:vMerge w:val="restart"/>
            <w:tcBorders>
              <w:top w:val="single" w:sz="4" w:space="0" w:color="000000"/>
              <w:left w:val="single" w:sz="4" w:space="0" w:color="000000"/>
              <w:right w:val="single" w:sz="4" w:space="0" w:color="000000"/>
            </w:tcBorders>
          </w:tcPr>
          <w:p>
            <w:pPr/>
          </w:p>
        </w:tc>
      </w:tr>
      <w:tr>
        <w:trPr>
          <w:trHeight w:val="696"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99"/>
              <w:jc w:val="right"/>
              <w:rPr>
                <w:rFonts w:ascii="宋体" w:hAnsi="宋体" w:cs="宋体" w:eastAsia="宋体" w:hint="default"/>
                <w:sz w:val="21"/>
                <w:szCs w:val="21"/>
              </w:rPr>
            </w:pPr>
            <w:r>
              <w:rPr>
                <w:rFonts w:ascii="宋体" w:hAnsi="宋体" w:cs="宋体" w:eastAsia="宋体" w:hint="default"/>
                <w:spacing w:val="-2"/>
                <w:sz w:val="21"/>
                <w:szCs w:val="21"/>
              </w:rPr>
              <w:t>城市绩效指标系统平台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8,258,732.43</w:t>
            </w:r>
          </w:p>
        </w:tc>
        <w:tc>
          <w:tcPr>
            <w:tcW w:w="1702"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r>
      <w:tr>
        <w:trPr>
          <w:trHeight w:val="696"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99"/>
              <w:jc w:val="right"/>
              <w:rPr>
                <w:rFonts w:ascii="宋体" w:hAnsi="宋体" w:cs="宋体" w:eastAsia="宋体" w:hint="default"/>
                <w:sz w:val="21"/>
                <w:szCs w:val="21"/>
              </w:rPr>
            </w:pPr>
            <w:r>
              <w:rPr>
                <w:rFonts w:ascii="宋体" w:hAnsi="宋体" w:cs="宋体" w:eastAsia="宋体" w:hint="default"/>
                <w:spacing w:val="-1"/>
                <w:sz w:val="21"/>
                <w:szCs w:val="21"/>
              </w:rPr>
              <w:t>城市大数据管理平台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6,927,080.41</w:t>
            </w:r>
          </w:p>
        </w:tc>
        <w:tc>
          <w:tcPr>
            <w:tcW w:w="1702"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r>
      <w:tr>
        <w:trPr>
          <w:trHeight w:val="696"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99"/>
              <w:jc w:val="right"/>
              <w:rPr>
                <w:rFonts w:ascii="宋体" w:hAnsi="宋体" w:cs="宋体" w:eastAsia="宋体" w:hint="default"/>
                <w:sz w:val="21"/>
                <w:szCs w:val="21"/>
              </w:rPr>
            </w:pPr>
            <w:r>
              <w:rPr>
                <w:rFonts w:ascii="宋体" w:hAnsi="宋体" w:cs="宋体" w:eastAsia="宋体" w:hint="default"/>
                <w:spacing w:val="-1"/>
                <w:sz w:val="21"/>
                <w:szCs w:val="21"/>
              </w:rPr>
              <w:t>物联网集中管控平台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7,477,398.88</w:t>
            </w:r>
          </w:p>
        </w:tc>
        <w:tc>
          <w:tcPr>
            <w:tcW w:w="1702"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r>
      <w:tr>
        <w:trPr>
          <w:trHeight w:val="696"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129,310.30</w:t>
            </w:r>
          </w:p>
        </w:tc>
        <w:tc>
          <w:tcPr>
            <w:tcW w:w="1702"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r>
      <w:tr>
        <w:trPr>
          <w:trHeight w:val="530" w:hRule="exact"/>
        </w:trPr>
        <w:tc>
          <w:tcPr>
            <w:tcW w:w="3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41,479,334.82</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28,800,103.69</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31%</w:t>
            </w:r>
          </w:p>
        </w:tc>
      </w:tr>
    </w:tbl>
    <w:p>
      <w:pPr>
        <w:pStyle w:val="BodyText"/>
        <w:spacing w:line="248" w:lineRule="exact"/>
        <w:ind w:right="96" w:firstLine="419"/>
        <w:jc w:val="left"/>
      </w:pPr>
      <w:r>
        <w:rPr>
          <w:rFonts w:ascii="Times New Roman" w:hAnsi="Times New Roman" w:cs="Times New Roman" w:eastAsia="Times New Roman" w:hint="default"/>
        </w:rPr>
        <w:t>2015</w:t>
      </w:r>
      <w:r>
        <w:rPr/>
        <w:t>年是公司主营业务向智慧城市相关业务转型的第一年。报告期内，虽受宏观经济影响、</w:t>
      </w:r>
    </w:p>
    <w:p>
      <w:pPr>
        <w:pStyle w:val="BodyText"/>
        <w:spacing w:line="230" w:lineRule="auto"/>
        <w:ind w:right="308"/>
        <w:jc w:val="both"/>
      </w:pPr>
      <w:r>
        <w:rPr>
          <w:spacing w:val="-2"/>
        </w:rPr>
        <w:t>非公开发行受阻及行业经验尚浅等因素的影响，该板块主营业务收入及利润均对公司整体业绩的</w:t>
      </w:r>
      <w:r>
        <w:rPr>
          <w:spacing w:val="-25"/>
        </w:rPr>
        <w:t> </w:t>
      </w:r>
      <w:r>
        <w:rPr>
          <w:spacing w:val="-25"/>
        </w:rPr>
      </w:r>
      <w:r>
        <w:rPr>
          <w:spacing w:val="-2"/>
        </w:rPr>
        <w:t>大幅增长发挥了积极促进作用，使公司营业收入较上年同期增长</w:t>
      </w:r>
      <w:r>
        <w:rPr>
          <w:rFonts w:ascii="Times New Roman" w:hAnsi="Times New Roman" w:cs="Times New Roman" w:eastAsia="Times New Roman" w:hint="default"/>
          <w:spacing w:val="-2"/>
        </w:rPr>
        <w:t>96.14%</w:t>
      </w:r>
      <w:r>
        <w:rPr>
          <w:spacing w:val="-2"/>
        </w:rPr>
        <w:t>；实现利润较上年同期增</w:t>
      </w:r>
      <w:r>
        <w:rPr>
          <w:spacing w:val="-28"/>
        </w:rPr>
        <w:t> </w:t>
      </w:r>
      <w:r>
        <w:rPr>
          <w:spacing w:val="-28"/>
        </w:rPr>
      </w:r>
      <w:r>
        <w:rPr/>
        <w:t>长</w:t>
      </w:r>
      <w:r>
        <w:rPr>
          <w:rFonts w:ascii="Times New Roman" w:hAnsi="Times New Roman" w:cs="Times New Roman" w:eastAsia="Times New Roman" w:hint="default"/>
        </w:rPr>
        <w:t>159.62%</w:t>
      </w:r>
      <w:r>
        <w:rPr/>
        <w:t>。</w:t>
      </w:r>
    </w:p>
    <w:p>
      <w:pPr>
        <w:spacing w:line="240" w:lineRule="auto" w:before="2"/>
        <w:rPr>
          <w:rFonts w:ascii="宋体" w:hAnsi="宋体" w:cs="宋体" w:eastAsia="宋体" w:hint="default"/>
          <w:sz w:val="19"/>
          <w:szCs w:val="19"/>
        </w:rPr>
      </w:pPr>
    </w:p>
    <w:p>
      <w:pPr>
        <w:pStyle w:val="BodyText"/>
        <w:spacing w:line="274" w:lineRule="exact"/>
        <w:ind w:left="558" w:right="9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风险提示</w:t>
      </w:r>
      <w:r>
        <w:rPr>
          <w:w w:val="100"/>
        </w:rPr>
        <w:t> </w:t>
      </w:r>
      <w:r>
        <w:rPr>
          <w:spacing w:val="-2"/>
        </w:rPr>
        <w:t>虽然</w:t>
      </w:r>
      <w:r>
        <w:rPr>
          <w:rFonts w:ascii="Times New Roman" w:hAnsi="Times New Roman" w:cs="Times New Roman" w:eastAsia="Times New Roman" w:hint="default"/>
          <w:spacing w:val="-2"/>
        </w:rPr>
        <w:t>2015</w:t>
      </w:r>
      <w:r>
        <w:rPr>
          <w:spacing w:val="-2"/>
        </w:rPr>
        <w:t>年公司智慧城市相关业务板块对公司整体业绩贡献较大，但该业务板块尚处于转型</w:t>
      </w:r>
    </w:p>
    <w:p>
      <w:pPr>
        <w:pStyle w:val="BodyText"/>
        <w:spacing w:line="244" w:lineRule="exact"/>
        <w:ind w:right="0"/>
        <w:jc w:val="both"/>
      </w:pPr>
      <w:r>
        <w:rPr/>
        <w:t>初级阶段，易受诸多不稳定因素及风险影响。具体如下：</w:t>
      </w:r>
    </w:p>
    <w:p>
      <w:pPr>
        <w:pStyle w:val="BodyText"/>
        <w:spacing w:line="274" w:lineRule="exact" w:before="24"/>
        <w:ind w:left="558" w:right="96"/>
        <w:jc w:val="left"/>
      </w:pPr>
      <w:r>
        <w:rPr>
          <w:rFonts w:ascii="Times New Roman" w:hAnsi="Times New Roman" w:cs="Times New Roman" w:eastAsia="Times New Roman" w:hint="default"/>
        </w:rPr>
        <w:t>4.1</w:t>
      </w:r>
      <w:r>
        <w:rPr>
          <w:rFonts w:ascii="Times New Roman" w:hAnsi="Times New Roman" w:cs="Times New Roman" w:eastAsia="Times New Roman" w:hint="default"/>
          <w:spacing w:val="43"/>
        </w:rPr>
        <w:t> </w:t>
      </w:r>
      <w:r>
        <w:rPr/>
        <w:t>行业政策风险</w:t>
      </w:r>
      <w:r>
        <w:rPr>
          <w:spacing w:val="-103"/>
        </w:rPr>
        <w:t> </w:t>
      </w:r>
      <w:r>
        <w:rPr>
          <w:spacing w:val="-103"/>
        </w:rPr>
      </w:r>
      <w:r>
        <w:rPr>
          <w:spacing w:val="-2"/>
        </w:rPr>
        <w:t>近年来，国家大力推动城镇化，加大智慧城市建设，相关政府部门先后出台多项配套政策，</w:t>
      </w:r>
    </w:p>
    <w:p>
      <w:pPr>
        <w:pStyle w:val="BodyText"/>
        <w:spacing w:line="246" w:lineRule="exact"/>
        <w:ind w:right="0"/>
        <w:jc w:val="both"/>
      </w:pPr>
      <w:r>
        <w:rPr/>
        <w:t>提供强有力的政策支持。但随着行业的发展，国家政策存在发生变化的风险。</w:t>
      </w:r>
    </w:p>
    <w:p>
      <w:pPr>
        <w:pStyle w:val="BodyText"/>
        <w:spacing w:line="290" w:lineRule="exact"/>
        <w:ind w:left="558" w:right="2465"/>
        <w:jc w:val="left"/>
      </w:pPr>
      <w:r>
        <w:rPr>
          <w:rFonts w:ascii="Times New Roman" w:hAnsi="Times New Roman" w:cs="Times New Roman" w:eastAsia="Times New Roman" w:hint="default"/>
        </w:rPr>
        <w:t>4.2</w:t>
      </w:r>
      <w:r>
        <w:rPr>
          <w:rFonts w:ascii="Times New Roman" w:hAnsi="Times New Roman" w:cs="Times New Roman" w:eastAsia="Times New Roman" w:hint="default"/>
          <w:spacing w:val="46"/>
        </w:rPr>
        <w:t> </w:t>
      </w:r>
      <w:r>
        <w:rPr/>
        <w:t>市场竞争风险</w:t>
      </w:r>
    </w:p>
    <w:p>
      <w:pPr>
        <w:spacing w:after="0" w:line="290" w:lineRule="exact"/>
        <w:jc w:val="left"/>
        <w:sectPr>
          <w:pgSz w:w="11910" w:h="16840"/>
          <w:pgMar w:header="880" w:footer="1195" w:top="1120" w:bottom="1380" w:left="1660" w:right="960"/>
        </w:sectPr>
      </w:pPr>
    </w:p>
    <w:p>
      <w:pPr>
        <w:spacing w:line="240" w:lineRule="auto" w:before="4"/>
        <w:rPr>
          <w:rFonts w:ascii="宋体" w:hAnsi="宋体" w:cs="宋体" w:eastAsia="宋体" w:hint="default"/>
          <w:sz w:val="25"/>
          <w:szCs w:val="25"/>
        </w:rPr>
      </w:pPr>
    </w:p>
    <w:p>
      <w:pPr>
        <w:pStyle w:val="BodyText"/>
        <w:spacing w:line="240" w:lineRule="auto" w:before="36"/>
        <w:ind w:right="96" w:firstLine="419"/>
        <w:jc w:val="left"/>
      </w:pPr>
      <w:r>
        <w:rPr>
          <w:spacing w:val="-2"/>
        </w:rPr>
        <w:t>信息技术的快速发展促使智慧城市建设需求持续旺盛，相关市场规模不断扩大。在市场前景</w:t>
      </w:r>
      <w:r>
        <w:rPr>
          <w:w w:val="100"/>
        </w:rPr>
        <w:t> </w:t>
      </w:r>
      <w:r>
        <w:rPr/>
        <w:t>看好的情况下，市场参与者也不断增多，市场竞争日趋激烈。</w:t>
      </w:r>
    </w:p>
    <w:p>
      <w:pPr>
        <w:pStyle w:val="BodyText"/>
        <w:spacing w:line="274" w:lineRule="exact" w:before="22"/>
        <w:ind w:left="558" w:right="96"/>
        <w:jc w:val="left"/>
      </w:pPr>
      <w:r>
        <w:rPr>
          <w:rFonts w:ascii="Times New Roman" w:hAnsi="Times New Roman" w:cs="Times New Roman" w:eastAsia="Times New Roman" w:hint="default"/>
        </w:rPr>
        <w:t>4.3</w:t>
      </w:r>
      <w:r>
        <w:rPr>
          <w:rFonts w:ascii="Times New Roman" w:hAnsi="Times New Roman" w:cs="Times New Roman" w:eastAsia="Times New Roman" w:hint="default"/>
          <w:spacing w:val="43"/>
        </w:rPr>
        <w:t> </w:t>
      </w:r>
      <w:r>
        <w:rPr/>
        <w:t>技术风险</w:t>
      </w:r>
      <w:r>
        <w:rPr>
          <w:spacing w:val="-102"/>
        </w:rPr>
        <w:t> </w:t>
      </w:r>
      <w:r>
        <w:rPr>
          <w:spacing w:val="-102"/>
        </w:rPr>
      </w:r>
      <w:r>
        <w:rPr>
          <w:spacing w:val="-2"/>
        </w:rPr>
        <w:t>随着移动互联网进入行业应用为主的高速发展期，相关技术更新和换代速度快，智慧城市建</w:t>
      </w:r>
    </w:p>
    <w:p>
      <w:pPr>
        <w:pStyle w:val="BodyText"/>
        <w:spacing w:line="245" w:lineRule="exact"/>
        <w:ind w:right="0"/>
        <w:jc w:val="both"/>
      </w:pPr>
      <w:r>
        <w:rPr/>
        <w:t>设对技术的要求也越来越高。</w:t>
      </w:r>
    </w:p>
    <w:p>
      <w:pPr>
        <w:pStyle w:val="BodyText"/>
        <w:spacing w:line="280" w:lineRule="exact"/>
        <w:ind w:left="558" w:right="2465"/>
        <w:jc w:val="left"/>
      </w:pPr>
      <w:r>
        <w:rPr>
          <w:rFonts w:ascii="Times New Roman" w:hAnsi="Times New Roman" w:cs="Times New Roman" w:eastAsia="Times New Roman" w:hint="default"/>
        </w:rPr>
        <w:t>4.4</w:t>
      </w:r>
      <w:r>
        <w:rPr>
          <w:rFonts w:ascii="Times New Roman" w:hAnsi="Times New Roman" w:cs="Times New Roman" w:eastAsia="Times New Roman" w:hint="default"/>
          <w:spacing w:val="46"/>
        </w:rPr>
        <w:t> </w:t>
      </w:r>
      <w:r>
        <w:rPr/>
        <w:t>管理风险</w:t>
      </w:r>
    </w:p>
    <w:p>
      <w:pPr>
        <w:pStyle w:val="BodyText"/>
        <w:spacing w:line="237" w:lineRule="auto"/>
        <w:ind w:right="96" w:firstLine="419"/>
        <w:jc w:val="left"/>
      </w:pPr>
      <w:r>
        <w:rPr>
          <w:rFonts w:ascii="宋体" w:hAnsi="宋体" w:cs="宋体" w:eastAsia="宋体" w:hint="default"/>
        </w:rPr>
        <w:t>2015</w:t>
      </w:r>
      <w:r>
        <w:rPr>
          <w:rFonts w:ascii="宋体" w:hAnsi="宋体" w:cs="宋体" w:eastAsia="宋体" w:hint="default"/>
          <w:spacing w:val="-7"/>
        </w:rPr>
        <w:t> </w:t>
      </w:r>
      <w:r>
        <w:rPr>
          <w:spacing w:val="-3"/>
        </w:rPr>
        <w:t>年作为公司主营业务向智慧城市相关业务转型的第一年，尚未建成健全的公司治理机制。</w:t>
      </w:r>
      <w:r>
        <w:rPr>
          <w:w w:val="100"/>
        </w:rPr>
        <w:t> </w:t>
      </w:r>
      <w:r>
        <w:rPr/>
        <w:t>随着业务规模的持续扩大，公司组织结构和管理体系日趋复杂化，对管理团队的管理水平及驾驭</w:t>
      </w:r>
      <w:r>
        <w:rPr>
          <w:w w:val="100"/>
        </w:rPr>
        <w:t> </w:t>
      </w:r>
      <w:r>
        <w:rPr/>
        <w:t>经营风险的能力带来一定程度的挑战。</w:t>
      </w:r>
    </w:p>
    <w:p>
      <w:pPr>
        <w:pStyle w:val="BodyText"/>
        <w:spacing w:line="272" w:lineRule="exact" w:before="26"/>
        <w:ind w:left="510" w:right="96" w:firstLine="48"/>
        <w:jc w:val="left"/>
      </w:pPr>
      <w:r>
        <w:rPr>
          <w:rFonts w:ascii="Times New Roman" w:hAnsi="Times New Roman" w:cs="Times New Roman" w:eastAsia="Times New Roman" w:hint="default"/>
        </w:rPr>
        <w:t>4.5</w:t>
      </w:r>
      <w:r>
        <w:rPr>
          <w:rFonts w:ascii="Times New Roman" w:hAnsi="Times New Roman" w:cs="Times New Roman" w:eastAsia="Times New Roman" w:hint="default"/>
          <w:spacing w:val="43"/>
        </w:rPr>
        <w:t> </w:t>
      </w:r>
      <w:r>
        <w:rPr/>
        <w:t>公司经营风险</w:t>
      </w:r>
      <w:r>
        <w:rPr>
          <w:w w:val="100"/>
        </w:rPr>
        <w:t> </w:t>
      </w:r>
      <w:r>
        <w:rPr>
          <w:spacing w:val="-2"/>
        </w:rPr>
        <w:t>公司目前在智慧城市相关业务领域与竞争对手差距较大，缺乏核心竞争技术与实力，影响企</w:t>
      </w:r>
    </w:p>
    <w:p>
      <w:pPr>
        <w:pStyle w:val="BodyText"/>
        <w:spacing w:line="272" w:lineRule="exact" w:before="1"/>
        <w:ind w:right="317"/>
        <w:jc w:val="both"/>
      </w:pPr>
      <w:r>
        <w:rPr>
          <w:spacing w:val="-2"/>
        </w:rPr>
        <w:t>业发展。此外，智慧城市项目执行过程中所需投入资金较大，公司目前融资能力有限，存在因资</w:t>
      </w:r>
      <w:r>
        <w:rPr>
          <w:spacing w:val="-25"/>
        </w:rPr>
        <w:t> </w:t>
      </w:r>
      <w:r>
        <w:rPr>
          <w:spacing w:val="-25"/>
        </w:rPr>
      </w:r>
      <w:r>
        <w:rPr>
          <w:spacing w:val="-2"/>
        </w:rPr>
        <w:t>金不足影响项目执行进度的风险。智慧城市项目周期较长，执行过程中可能面临宏观经济政策调</w:t>
      </w:r>
    </w:p>
    <w:p>
      <w:pPr>
        <w:pStyle w:val="BodyText"/>
        <w:spacing w:line="249" w:lineRule="exact"/>
        <w:ind w:right="0"/>
        <w:jc w:val="both"/>
      </w:pPr>
      <w:r>
        <w:rPr/>
        <w:t>整、行业结构性调整、人才储备不足等风险。</w:t>
      </w:r>
    </w:p>
    <w:p>
      <w:pPr>
        <w:spacing w:line="240" w:lineRule="auto" w:before="5"/>
        <w:rPr>
          <w:rFonts w:ascii="宋体" w:hAnsi="宋体" w:cs="宋体" w:eastAsia="宋体" w:hint="default"/>
          <w:sz w:val="20"/>
          <w:szCs w:val="20"/>
        </w:rPr>
      </w:pPr>
    </w:p>
    <w:p>
      <w:pPr>
        <w:spacing w:line="272" w:lineRule="exact" w:before="0"/>
        <w:ind w:left="558" w:right="96" w:firstLine="2"/>
        <w:jc w:val="left"/>
        <w:rPr>
          <w:rFonts w:ascii="宋体" w:hAnsi="宋体" w:cs="宋体" w:eastAsia="宋体" w:hint="default"/>
          <w:sz w:val="21"/>
          <w:szCs w:val="21"/>
        </w:rPr>
      </w:pPr>
      <w:r>
        <w:rPr>
          <w:rFonts w:ascii="宋体" w:hAnsi="宋体" w:cs="宋体" w:eastAsia="宋体" w:hint="default"/>
          <w:b/>
          <w:bCs/>
          <w:sz w:val="21"/>
          <w:szCs w:val="21"/>
        </w:rPr>
        <w:t>二、物业管理服务业务</w:t>
      </w:r>
      <w:r>
        <w:rPr>
          <w:rFonts w:ascii="宋体" w:hAnsi="宋体" w:cs="宋体" w:eastAsia="宋体" w:hint="default"/>
          <w:b/>
          <w:bCs/>
          <w:spacing w:val="-3"/>
          <w:w w:val="100"/>
          <w:sz w:val="21"/>
          <w:szCs w:val="21"/>
        </w:rPr>
        <w:t> </w:t>
      </w:r>
      <w:r>
        <w:rPr>
          <w:rFonts w:ascii="宋体" w:hAnsi="宋体" w:cs="宋体" w:eastAsia="宋体" w:hint="default"/>
          <w:spacing w:val="-1"/>
          <w:sz w:val="21"/>
          <w:szCs w:val="21"/>
        </w:rPr>
        <w:t>公司的物业管理服务业务主要经营模式以住宅物业管理为主，以案场服务及商业物业管理为</w:t>
      </w:r>
    </w:p>
    <w:p>
      <w:pPr>
        <w:pStyle w:val="BodyText"/>
        <w:spacing w:line="249" w:lineRule="exact"/>
        <w:ind w:right="0"/>
        <w:jc w:val="both"/>
      </w:pPr>
      <w:r>
        <w:rPr/>
        <w:t>辅。具体盈利模式主要包含了物业费收入、车位费收入、案场收入以及其他收入。</w:t>
      </w:r>
    </w:p>
    <w:p>
      <w:pPr>
        <w:spacing w:line="240" w:lineRule="auto" w:before="3"/>
        <w:rPr>
          <w:rFonts w:ascii="宋体" w:hAnsi="宋体" w:cs="宋体" w:eastAsia="宋体" w:hint="default"/>
          <w:sz w:val="18"/>
          <w:szCs w:val="18"/>
        </w:rPr>
      </w:pPr>
    </w:p>
    <w:p>
      <w:pPr>
        <w:pStyle w:val="Heading3"/>
        <w:spacing w:line="281" w:lineRule="exact"/>
        <w:ind w:left="560" w:right="2465"/>
        <w:jc w:val="left"/>
        <w:rPr>
          <w:b w:val="0"/>
          <w:bCs w:val="0"/>
        </w:rPr>
      </w:pPr>
      <w:r>
        <w:rPr>
          <w:rFonts w:ascii="Times New Roman" w:hAnsi="Times New Roman" w:cs="Times New Roman" w:eastAsia="Times New Roman" w:hint="default"/>
        </w:rPr>
        <w:t>3</w:t>
      </w:r>
      <w:r>
        <w:rPr/>
        <w:t>、行业情况说明</w:t>
      </w:r>
      <w:r>
        <w:rPr>
          <w:b w:val="0"/>
          <w:bCs w:val="0"/>
        </w:rPr>
      </w:r>
    </w:p>
    <w:p>
      <w:pPr>
        <w:pStyle w:val="BodyText"/>
        <w:spacing w:line="272" w:lineRule="exact"/>
        <w:ind w:left="558" w:right="2465"/>
        <w:jc w:val="left"/>
      </w:pPr>
      <w:r>
        <w:rPr/>
        <w:t>（</w:t>
      </w:r>
      <w:r>
        <w:rPr>
          <w:rFonts w:ascii="Times New Roman" w:hAnsi="Times New Roman" w:cs="Times New Roman" w:eastAsia="Times New Roman" w:hint="default"/>
        </w:rPr>
        <w:t>1</w:t>
      </w:r>
      <w:r>
        <w:rPr/>
        <w:t>）智慧城市</w:t>
      </w:r>
    </w:p>
    <w:p>
      <w:pPr>
        <w:pStyle w:val="BodyText"/>
        <w:spacing w:line="272" w:lineRule="exact" w:before="19"/>
        <w:ind w:left="558" w:right="307"/>
        <w:jc w:val="left"/>
      </w:pPr>
      <w:r>
        <w:rPr>
          <w:rFonts w:ascii="Times New Roman" w:hAnsi="Times New Roman" w:cs="Times New Roman" w:eastAsia="Times New Roman" w:hint="default"/>
        </w:rPr>
        <w:t>A</w:t>
      </w:r>
      <w:r>
        <w:rPr/>
        <w:t>、智慧城市建设投入提速，未来发展空间巨大</w:t>
      </w:r>
      <w:r>
        <w:rPr>
          <w:w w:val="100"/>
        </w:rPr>
        <w:t> </w:t>
      </w:r>
      <w:r>
        <w:rPr>
          <w:spacing w:val="-3"/>
        </w:rPr>
        <w:t>根据发改委等主管部门联手编制的《全国促进城镇化健康发展规划（</w:t>
      </w:r>
      <w:r>
        <w:rPr>
          <w:rFonts w:ascii="Times New Roman" w:hAnsi="Times New Roman" w:cs="Times New Roman" w:eastAsia="Times New Roman" w:hint="default"/>
          <w:spacing w:val="-3"/>
        </w:rPr>
        <w:t>2011-2020</w:t>
      </w:r>
      <w:r>
        <w:rPr>
          <w:spacing w:val="-3"/>
        </w:rPr>
        <w:t>）》，这项规</w:t>
      </w:r>
    </w:p>
    <w:p>
      <w:pPr>
        <w:pStyle w:val="BodyText"/>
        <w:spacing w:line="225" w:lineRule="auto"/>
        <w:ind w:right="307"/>
        <w:jc w:val="both"/>
      </w:pPr>
      <w:r>
        <w:rPr/>
        <w:t>划将涉及</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spacing w:val="-4"/>
        </w:rPr>
        <w:t>多个城市群、</w:t>
      </w:r>
      <w:r>
        <w:rPr>
          <w:rFonts w:ascii="Times New Roman" w:hAnsi="Times New Roman" w:cs="Times New Roman" w:eastAsia="Times New Roman" w:hint="default"/>
          <w:spacing w:val="-4"/>
        </w:rPr>
        <w:t>180</w:t>
      </w:r>
      <w:r>
        <w:rPr>
          <w:rFonts w:ascii="Times New Roman" w:hAnsi="Times New Roman" w:cs="Times New Roman" w:eastAsia="Times New Roman" w:hint="default"/>
          <w:spacing w:val="8"/>
        </w:rPr>
        <w:t> </w:t>
      </w:r>
      <w:r>
        <w:rPr/>
        <w:t>多个地级以上城市和</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万多个城镇的建设，预计总体城镇化建设所</w:t>
      </w:r>
      <w:r>
        <w:rPr>
          <w:spacing w:val="-102"/>
        </w:rPr>
        <w:t> </w:t>
      </w:r>
      <w:r>
        <w:rPr>
          <w:spacing w:val="-102"/>
        </w:rPr>
      </w:r>
      <w:r>
        <w:rPr/>
        <w:t>带动的投资高达 </w:t>
      </w:r>
      <w:r>
        <w:rPr>
          <w:rFonts w:ascii="Times New Roman" w:hAnsi="Times New Roman" w:cs="Times New Roman" w:eastAsia="Times New Roman" w:hint="default"/>
        </w:rPr>
        <w:t>40 </w:t>
      </w:r>
      <w:r>
        <w:rPr/>
        <w:t>万亿元。根据国际数据公司（</w:t>
      </w:r>
      <w:r>
        <w:rPr>
          <w:rFonts w:ascii="Times New Roman" w:hAnsi="Times New Roman" w:cs="Times New Roman" w:eastAsia="Times New Roman" w:hint="default"/>
        </w:rPr>
        <w:t>International Data</w:t>
      </w:r>
      <w:r>
        <w:rPr>
          <w:rFonts w:ascii="Times New Roman" w:hAnsi="Times New Roman" w:cs="Times New Roman" w:eastAsia="Times New Roman" w:hint="default"/>
          <w:spacing w:val="-19"/>
        </w:rPr>
        <w:t> </w:t>
      </w:r>
      <w:r>
        <w:rPr>
          <w:rFonts w:ascii="Times New Roman" w:hAnsi="Times New Roman" w:cs="Times New Roman" w:eastAsia="Times New Roman" w:hint="default"/>
        </w:rPr>
        <w:t>Corporation</w:t>
      </w:r>
      <w:r>
        <w:rPr/>
        <w:t>）研究数据，未来</w:t>
      </w:r>
      <w:r>
        <w:rPr>
          <w:w w:val="100"/>
        </w:rPr>
        <w:t> </w:t>
      </w:r>
      <w:r>
        <w:rPr>
          <w:rFonts w:ascii="Times New Roman" w:hAnsi="Times New Roman" w:cs="Times New Roman" w:eastAsia="Times New Roman" w:hint="default"/>
        </w:rPr>
        <w:t>10 </w:t>
      </w:r>
      <w:r>
        <w:rPr/>
        <w:t>年，智慧城市建设投资将超过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万亿元人民币，具体涉及</w:t>
      </w:r>
      <w:r>
        <w:rPr>
          <w:rFonts w:ascii="Times New Roman" w:hAnsi="Times New Roman" w:cs="Times New Roman" w:eastAsia="Times New Roman" w:hint="default"/>
        </w:rPr>
        <w:t>“</w:t>
      </w:r>
      <w:r>
        <w:rPr/>
        <w:t>产业载体建设、商业配套建设、服</w:t>
      </w:r>
      <w:r>
        <w:rPr>
          <w:w w:val="100"/>
        </w:rPr>
        <w:t> </w:t>
      </w:r>
      <w:r>
        <w:rPr>
          <w:spacing w:val="-1"/>
        </w:rPr>
        <w:t>务平台建设、交通设施建设、医疗服务建设、智能电网建设、水利设施建设、生态环保建设、城</w:t>
      </w:r>
    </w:p>
    <w:p>
      <w:pPr>
        <w:pStyle w:val="BodyText"/>
        <w:spacing w:line="225" w:lineRule="auto" w:before="15"/>
        <w:ind w:right="308"/>
        <w:jc w:val="both"/>
      </w:pPr>
      <w:r>
        <w:rPr/>
        <w:t>市管理建设</w:t>
      </w:r>
      <w:r>
        <w:rPr>
          <w:rFonts w:ascii="Times New Roman" w:hAnsi="Times New Roman" w:cs="Times New Roman" w:eastAsia="Times New Roman" w:hint="default"/>
        </w:rPr>
        <w:t>”</w:t>
      </w:r>
      <w:r>
        <w:rPr/>
        <w:t>等。其中与专属智慧城市载体相关的市场约占</w:t>
      </w:r>
      <w:r>
        <w:rPr>
          <w:spacing w:val="-18"/>
        </w:rPr>
        <w:t> </w:t>
      </w:r>
      <w:r>
        <w:rPr>
          <w:rFonts w:ascii="Times New Roman" w:hAnsi="Times New Roman" w:cs="Times New Roman" w:eastAsia="Times New Roman" w:hint="default"/>
        </w:rPr>
        <w:t>20-30%</w:t>
      </w:r>
      <w:r>
        <w:rPr/>
        <w:t>，智慧城市传感器、仪器、自</w:t>
      </w:r>
      <w:r>
        <w:rPr>
          <w:w w:val="100"/>
        </w:rPr>
        <w:t> </w:t>
      </w:r>
      <w:r>
        <w:rPr/>
        <w:t>动控制设备和相关服务占比约</w:t>
      </w:r>
      <w:r>
        <w:rPr>
          <w:spacing w:val="-48"/>
        </w:rPr>
        <w:t> </w:t>
      </w:r>
      <w:r>
        <w:rPr>
          <w:rFonts w:ascii="Times New Roman" w:hAnsi="Times New Roman" w:cs="Times New Roman" w:eastAsia="Times New Roman" w:hint="default"/>
        </w:rPr>
        <w:t>20-30%</w:t>
      </w:r>
      <w:r>
        <w:rPr/>
        <w:t>，</w:t>
      </w:r>
      <w:r>
        <w:rPr>
          <w:rFonts w:ascii="Times New Roman" w:hAnsi="Times New Roman" w:cs="Times New Roman" w:eastAsia="Times New Roman" w:hint="default"/>
        </w:rPr>
        <w:t>ICT</w:t>
      </w:r>
      <w:r>
        <w:rPr>
          <w:rFonts w:ascii="Times New Roman" w:hAnsi="Times New Roman" w:cs="Times New Roman" w:eastAsia="Times New Roman" w:hint="default"/>
          <w:spacing w:val="6"/>
        </w:rPr>
        <w:t> </w:t>
      </w:r>
      <w:r>
        <w:rPr/>
        <w:t>硬件、软件、服务相关的部分占</w:t>
      </w:r>
      <w:r>
        <w:rPr>
          <w:spacing w:val="-50"/>
        </w:rPr>
        <w:t> </w:t>
      </w:r>
      <w:r>
        <w:rPr>
          <w:rFonts w:ascii="Times New Roman" w:hAnsi="Times New Roman" w:cs="Times New Roman" w:eastAsia="Times New Roman" w:hint="default"/>
        </w:rPr>
        <w:t>40-50%</w:t>
      </w:r>
      <w:r>
        <w:rPr/>
        <w:t>，即未来</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w w:val="100"/>
        </w:rPr>
        <w:t> </w:t>
      </w:r>
      <w:r>
        <w:rPr/>
        <w:t>年</w:t>
      </w:r>
      <w:r>
        <w:rPr>
          <w:spacing w:val="-54"/>
        </w:rPr>
        <w:t> </w:t>
      </w:r>
      <w:r>
        <w:rPr>
          <w:rFonts w:ascii="Times New Roman" w:hAnsi="Times New Roman" w:cs="Times New Roman" w:eastAsia="Times New Roman" w:hint="default"/>
        </w:rPr>
        <w:t>ICT </w:t>
      </w:r>
      <w:r>
        <w:rPr/>
        <w:t>相关的市场将达到</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万亿元。</w:t>
      </w:r>
    </w:p>
    <w:p>
      <w:pPr>
        <w:pStyle w:val="BodyText"/>
        <w:spacing w:line="272" w:lineRule="exact" w:before="11"/>
        <w:ind w:left="558" w:right="96"/>
        <w:jc w:val="left"/>
      </w:pPr>
      <w:r>
        <w:rPr>
          <w:rFonts w:ascii="Times New Roman" w:hAnsi="Times New Roman" w:cs="Times New Roman" w:eastAsia="Times New Roman" w:hint="default"/>
        </w:rPr>
        <w:t>B</w:t>
      </w:r>
      <w:r>
        <w:rPr/>
        <w:t>、智慧城市需求各异，建设模式多样化</w:t>
      </w:r>
      <w:r>
        <w:rPr>
          <w:w w:val="100"/>
        </w:rPr>
        <w:t> </w:t>
      </w:r>
      <w:r>
        <w:rPr>
          <w:spacing w:val="-2"/>
        </w:rPr>
        <w:t>通过对国内外智慧城市发展模式的经验分析，公司发现不同国家、不同城市会因为不同的问</w:t>
      </w:r>
    </w:p>
    <w:p>
      <w:pPr>
        <w:pStyle w:val="BodyText"/>
        <w:spacing w:line="272" w:lineRule="exact" w:before="1"/>
        <w:ind w:right="308"/>
        <w:jc w:val="both"/>
      </w:pPr>
      <w:r>
        <w:rPr>
          <w:spacing w:val="-1"/>
        </w:rPr>
        <w:t>题而选择自己的建设模式。可以这样理解智慧城市的发展模式：“国情是背景，市情是基础，管</w:t>
      </w:r>
      <w:r>
        <w:rPr>
          <w:spacing w:val="-56"/>
        </w:rPr>
        <w:t> </w:t>
      </w:r>
      <w:r>
        <w:rPr>
          <w:spacing w:val="-56"/>
        </w:rPr>
      </w:r>
      <w:r>
        <w:rPr/>
        <w:t>理理念为指导，信息技术是手段。”</w:t>
      </w:r>
    </w:p>
    <w:p>
      <w:pPr>
        <w:pStyle w:val="BodyText"/>
        <w:spacing w:line="272" w:lineRule="exact" w:before="1"/>
        <w:ind w:right="96" w:firstLine="419"/>
        <w:jc w:val="left"/>
      </w:pPr>
      <w:r>
        <w:rPr>
          <w:spacing w:val="-2"/>
        </w:rPr>
        <w:t>这种多样性不仅体现在国情的巨大差别上，在中国，城市之间的差异性甚至大于国别之间的</w:t>
      </w:r>
      <w:r>
        <w:rPr>
          <w:w w:val="100"/>
        </w:rPr>
        <w:t> </w:t>
      </w:r>
      <w:r>
        <w:rPr>
          <w:spacing w:val="-1"/>
        </w:rPr>
        <w:t>差异，从城市发展问题、信息化基础、政府诉求来看，中国三四线城市与北京、上海的差异，肯</w:t>
      </w:r>
    </w:p>
    <w:p>
      <w:pPr>
        <w:pStyle w:val="BodyText"/>
        <w:spacing w:line="272" w:lineRule="exact" w:before="2"/>
        <w:ind w:right="308"/>
        <w:jc w:val="both"/>
      </w:pPr>
      <w:r>
        <w:rPr>
          <w:spacing w:val="-1"/>
        </w:rPr>
        <w:t>定大于上海、北京与纽约、巴黎的差异。再加上新型城镇化的要求，中国城市的复杂性和差异性</w:t>
      </w:r>
      <w:r>
        <w:rPr>
          <w:spacing w:val="-55"/>
        </w:rPr>
        <w:t> </w:t>
      </w:r>
      <w:r>
        <w:rPr>
          <w:spacing w:val="-55"/>
        </w:rPr>
      </w:r>
      <w:r>
        <w:rPr/>
        <w:t>更加严重，不可能有一种理性的“智慧城市模型”能够适用于大部分城市。</w:t>
      </w:r>
    </w:p>
    <w:p>
      <w:pPr>
        <w:pStyle w:val="BodyText"/>
        <w:spacing w:line="255" w:lineRule="exact"/>
        <w:ind w:left="558" w:right="2465"/>
        <w:jc w:val="left"/>
      </w:pPr>
      <w:r>
        <w:rPr>
          <w:rFonts w:ascii="Times New Roman" w:hAnsi="Times New Roman" w:cs="Times New Roman" w:eastAsia="Times New Roman" w:hint="default"/>
        </w:rPr>
        <w:t>C</w:t>
      </w:r>
      <w:r>
        <w:rPr/>
        <w:t>、智慧城市技术复杂，分布式创新是未来主流</w:t>
      </w:r>
    </w:p>
    <w:p>
      <w:pPr>
        <w:pStyle w:val="BodyText"/>
        <w:spacing w:line="235" w:lineRule="auto"/>
        <w:ind w:right="308" w:firstLine="419"/>
        <w:jc w:val="both"/>
      </w:pPr>
      <w:r>
        <w:rPr/>
        <w:t>智慧城市不仅要应用几乎所有的传统 </w:t>
      </w:r>
      <w:r>
        <w:rPr>
          <w:rFonts w:ascii="Times New Roman" w:hAnsi="Times New Roman" w:cs="Times New Roman" w:eastAsia="Times New Roman" w:hint="default"/>
        </w:rPr>
        <w:t>IT</w:t>
      </w:r>
      <w:r>
        <w:rPr>
          <w:rFonts w:ascii="Times New Roman" w:hAnsi="Times New Roman" w:cs="Times New Roman" w:eastAsia="Times New Roman" w:hint="default"/>
          <w:spacing w:val="-32"/>
        </w:rPr>
        <w:t> </w:t>
      </w:r>
      <w:r>
        <w:rPr>
          <w:spacing w:val="-5"/>
        </w:rPr>
        <w:t>技术，更以物联网、大数据等最新的信息化技术应用</w:t>
      </w:r>
      <w:r>
        <w:rPr>
          <w:w w:val="100"/>
        </w:rPr>
        <w:t> </w:t>
      </w:r>
      <w:r>
        <w:rPr>
          <w:spacing w:val="-1"/>
        </w:rPr>
        <w:t>为重点，而这些技术本身涉及的面都十分广泛，且并不成熟，表现出足够的复杂性。另一方面，</w:t>
      </w:r>
      <w:r>
        <w:rPr>
          <w:spacing w:val="-55"/>
        </w:rPr>
        <w:t> </w:t>
      </w:r>
      <w:r>
        <w:rPr>
          <w:spacing w:val="-55"/>
        </w:rPr>
      </w:r>
      <w:r>
        <w:rPr>
          <w:spacing w:val="-1"/>
        </w:rPr>
        <w:t>城市的发展本质是自下而上的，是无数个人和团队的决策结果，虽然政府总是热衷于自上而下的</w:t>
      </w:r>
      <w:r>
        <w:rPr>
          <w:spacing w:val="-55"/>
        </w:rPr>
        <w:t> </w:t>
      </w:r>
      <w:r>
        <w:rPr>
          <w:spacing w:val="-55"/>
        </w:rPr>
      </w:r>
      <w:r>
        <w:rPr>
          <w:spacing w:val="-1"/>
        </w:rPr>
        <w:t>集中性规划，但绝大部分创新总是从底层开始，尤其在互联网时代以后，创新的方式进一步去中</w:t>
      </w:r>
      <w:r>
        <w:rPr>
          <w:spacing w:val="-55"/>
        </w:rPr>
        <w:t> </w:t>
      </w:r>
      <w:r>
        <w:rPr>
          <w:spacing w:val="-55"/>
        </w:rPr>
      </w:r>
      <w:r>
        <w:rPr>
          <w:spacing w:val="-1"/>
        </w:rPr>
        <w:t>心化、自由流动、并具有适应性，从大企业为中心的集中式创新到以个体和中小企业为主的分布</w:t>
      </w:r>
      <w:r>
        <w:rPr>
          <w:spacing w:val="-55"/>
        </w:rPr>
        <w:t> </w:t>
      </w:r>
      <w:r>
        <w:rPr>
          <w:spacing w:val="-55"/>
        </w:rPr>
      </w:r>
      <w:r>
        <w:rPr>
          <w:spacing w:val="-1"/>
        </w:rPr>
        <w:t>式创新，互联网时代的大企业已经从技术创新的主导者变成了分布式创新的组织者，由此产生了</w:t>
      </w:r>
      <w:r>
        <w:rPr>
          <w:spacing w:val="-55"/>
        </w:rPr>
        <w:t> </w:t>
      </w:r>
      <w:r>
        <w:rPr>
          <w:spacing w:val="-55"/>
        </w:rPr>
      </w:r>
      <w:r>
        <w:rPr/>
        <w:t>各种类型的互联网平台战略。</w:t>
      </w:r>
    </w:p>
    <w:p>
      <w:pPr>
        <w:pStyle w:val="BodyText"/>
        <w:spacing w:line="272" w:lineRule="exact" w:before="27"/>
        <w:ind w:right="96" w:firstLine="419"/>
        <w:jc w:val="left"/>
      </w:pPr>
      <w:r>
        <w:rPr>
          <w:spacing w:val="-2"/>
        </w:rPr>
        <w:t>对公司而言，在技术领域的定位要更多考虑如何成为创新的组织者，而不是把自己变成一个</w:t>
      </w:r>
      <w:r>
        <w:rPr>
          <w:w w:val="100"/>
        </w:rPr>
        <w:t> </w:t>
      </w:r>
      <w:r>
        <w:rPr/>
        <w:t>强大的技术创新者、新技术的拥有者，这是平台战略不同于技术战略的地方。</w:t>
      </w:r>
    </w:p>
    <w:p>
      <w:pPr>
        <w:pStyle w:val="BodyText"/>
        <w:spacing w:line="272" w:lineRule="exact" w:before="2"/>
        <w:ind w:left="558" w:right="96"/>
        <w:jc w:val="left"/>
      </w:pPr>
      <w:r>
        <w:rPr>
          <w:rFonts w:ascii="Times New Roman" w:hAnsi="Times New Roman" w:cs="Times New Roman" w:eastAsia="Times New Roman" w:hint="default"/>
        </w:rPr>
        <w:t>D</w:t>
      </w:r>
      <w:r>
        <w:rPr/>
        <w:t>、总包模式成主流，项目以基础设施和垂直应用为主</w:t>
      </w:r>
      <w:r>
        <w:rPr>
          <w:w w:val="100"/>
        </w:rPr>
        <w:t> </w:t>
      </w:r>
      <w:r>
        <w:rPr>
          <w:spacing w:val="-2"/>
        </w:rPr>
        <w:t>国家发展和改革委员会、住房和城乡建设部、工业和信息化部、科学技术部、公安部、财政</w:t>
      </w:r>
    </w:p>
    <w:p>
      <w:pPr>
        <w:pStyle w:val="BodyText"/>
        <w:spacing w:line="265" w:lineRule="exact"/>
        <w:ind w:right="0"/>
        <w:jc w:val="both"/>
      </w:pPr>
      <w:r>
        <w:rPr>
          <w:w w:val="100"/>
        </w:rPr>
        <w:t>部</w:t>
      </w:r>
      <w:r>
        <w:rPr>
          <w:spacing w:val="-104"/>
          <w:w w:val="100"/>
        </w:rPr>
        <w:t>、</w:t>
      </w:r>
      <w:r>
        <w:rPr>
          <w:w w:val="100"/>
        </w:rPr>
        <w:t>国</w:t>
      </w:r>
      <w:r>
        <w:rPr>
          <w:spacing w:val="-3"/>
          <w:w w:val="100"/>
        </w:rPr>
        <w:t>土</w:t>
      </w:r>
      <w:r>
        <w:rPr>
          <w:w w:val="100"/>
        </w:rPr>
        <w:t>资</w:t>
      </w:r>
      <w:r>
        <w:rPr>
          <w:spacing w:val="-3"/>
          <w:w w:val="100"/>
        </w:rPr>
        <w:t>源部</w:t>
      </w:r>
      <w:r>
        <w:rPr>
          <w:spacing w:val="-101"/>
          <w:w w:val="100"/>
        </w:rPr>
        <w:t>、</w:t>
      </w:r>
      <w:r>
        <w:rPr>
          <w:spacing w:val="-3"/>
          <w:w w:val="100"/>
        </w:rPr>
        <w:t>交</w:t>
      </w:r>
      <w:r>
        <w:rPr>
          <w:w w:val="100"/>
        </w:rPr>
        <w:t>通</w:t>
      </w:r>
      <w:r>
        <w:rPr>
          <w:spacing w:val="-3"/>
          <w:w w:val="100"/>
        </w:rPr>
        <w:t>运输</w:t>
      </w:r>
      <w:r>
        <w:rPr>
          <w:w w:val="100"/>
        </w:rPr>
        <w:t>部于</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014</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27</w:t>
      </w:r>
      <w:r>
        <w:rPr>
          <w:rFonts w:ascii="Times New Roman" w:hAnsi="Times New Roman" w:cs="Times New Roman" w:eastAsia="Times New Roman" w:hint="default"/>
          <w:spacing w:val="-3"/>
        </w:rPr>
        <w:t> </w:t>
      </w:r>
      <w:r>
        <w:rPr>
          <w:w w:val="100"/>
        </w:rPr>
        <w:t>日</w:t>
      </w:r>
      <w:r>
        <w:rPr>
          <w:spacing w:val="-3"/>
          <w:w w:val="100"/>
        </w:rPr>
        <w:t>发</w:t>
      </w:r>
      <w:r>
        <w:rPr>
          <w:spacing w:val="-101"/>
          <w:w w:val="100"/>
        </w:rPr>
        <w:t>布</w:t>
      </w:r>
      <w:r>
        <w:rPr>
          <w:spacing w:val="-3"/>
          <w:w w:val="100"/>
        </w:rPr>
        <w:t>《</w:t>
      </w:r>
      <w:r>
        <w:rPr>
          <w:w w:val="100"/>
        </w:rPr>
        <w:t>关</w:t>
      </w:r>
      <w:r>
        <w:rPr>
          <w:spacing w:val="-3"/>
          <w:w w:val="100"/>
        </w:rPr>
        <w:t>于</w:t>
      </w:r>
      <w:r>
        <w:rPr>
          <w:w w:val="100"/>
        </w:rPr>
        <w:t>促</w:t>
      </w:r>
      <w:r>
        <w:rPr>
          <w:spacing w:val="-3"/>
          <w:w w:val="100"/>
        </w:rPr>
        <w:t>进</w:t>
      </w:r>
      <w:r>
        <w:rPr>
          <w:w w:val="100"/>
        </w:rPr>
        <w:t>智</w:t>
      </w:r>
      <w:r>
        <w:rPr>
          <w:spacing w:val="-3"/>
          <w:w w:val="100"/>
        </w:rPr>
        <w:t>慧</w:t>
      </w:r>
      <w:r>
        <w:rPr>
          <w:w w:val="100"/>
        </w:rPr>
        <w:t>城</w:t>
      </w:r>
      <w:r>
        <w:rPr>
          <w:spacing w:val="-3"/>
          <w:w w:val="100"/>
        </w:rPr>
        <w:t>市</w:t>
      </w:r>
      <w:r>
        <w:rPr>
          <w:w w:val="100"/>
        </w:rPr>
        <w:t>健</w:t>
      </w:r>
      <w:r>
        <w:rPr>
          <w:spacing w:val="-3"/>
          <w:w w:val="100"/>
        </w:rPr>
        <w:t>康</w:t>
      </w:r>
      <w:r>
        <w:rPr>
          <w:w w:val="100"/>
        </w:rPr>
        <w:t>发展</w:t>
      </w:r>
      <w:r>
        <w:rPr>
          <w:spacing w:val="-3"/>
          <w:w w:val="100"/>
        </w:rPr>
        <w:t>的</w:t>
      </w:r>
      <w:r>
        <w:rPr>
          <w:w w:val="100"/>
        </w:rPr>
        <w:t>指</w:t>
      </w:r>
      <w:r>
        <w:rPr>
          <w:spacing w:val="-3"/>
          <w:w w:val="100"/>
        </w:rPr>
        <w:t>导</w:t>
      </w:r>
      <w:r>
        <w:rPr>
          <w:w w:val="100"/>
        </w:rPr>
        <w:t>意</w:t>
      </w:r>
      <w:r>
        <w:rPr>
          <w:spacing w:val="-3"/>
          <w:w w:val="100"/>
        </w:rPr>
        <w:t>见</w:t>
      </w:r>
      <w:r>
        <w:rPr>
          <w:spacing w:val="-104"/>
          <w:w w:val="100"/>
        </w:rPr>
        <w:t>》</w:t>
      </w:r>
      <w:r>
        <w:rPr>
          <w:w w:val="100"/>
        </w:rPr>
        <w:t>，</w:t>
      </w:r>
    </w:p>
    <w:p>
      <w:pPr>
        <w:spacing w:after="0" w:line="265" w:lineRule="exact"/>
        <w:jc w:val="both"/>
        <w:sectPr>
          <w:footerReference w:type="default" r:id="rId11"/>
          <w:pgSz w:w="11910" w:h="16840"/>
          <w:pgMar w:footer="1195" w:header="880" w:top="1120" w:bottom="1380" w:left="1660" w:right="960"/>
        </w:sectPr>
      </w:pPr>
    </w:p>
    <w:p>
      <w:pPr>
        <w:spacing w:line="240" w:lineRule="auto" w:before="4"/>
        <w:rPr>
          <w:rFonts w:ascii="宋体" w:hAnsi="宋体" w:cs="宋体" w:eastAsia="宋体" w:hint="default"/>
          <w:sz w:val="25"/>
          <w:szCs w:val="25"/>
        </w:rPr>
      </w:pPr>
    </w:p>
    <w:p>
      <w:pPr>
        <w:pStyle w:val="BodyText"/>
        <w:spacing w:line="235" w:lineRule="auto" w:before="41"/>
        <w:ind w:right="207"/>
        <w:jc w:val="both"/>
      </w:pPr>
      <w:r>
        <w:rPr>
          <w:spacing w:val="-1"/>
        </w:rPr>
        <w:t>该《指导意见》中明确提出要重视顶层设计。之后，智慧城市普遍采用总包模式：先签订框架协</w:t>
      </w:r>
      <w:r>
        <w:rPr>
          <w:spacing w:val="-55"/>
        </w:rPr>
        <w:t> </w:t>
      </w:r>
      <w:r>
        <w:rPr>
          <w:spacing w:val="-55"/>
        </w:rPr>
      </w:r>
      <w:r>
        <w:rPr>
          <w:spacing w:val="-1"/>
        </w:rPr>
        <w:t>议，再整体设计顶层规划方案，按项目分步骤落实。主要厂家越来越多采用框架协议跑马圈地，</w:t>
      </w:r>
      <w:r>
        <w:rPr>
          <w:spacing w:val="-55"/>
        </w:rPr>
        <w:t> </w:t>
      </w:r>
      <w:r>
        <w:rPr>
          <w:spacing w:val="-55"/>
        </w:rPr>
      </w:r>
      <w:r>
        <w:rPr>
          <w:spacing w:val="-1"/>
        </w:rPr>
        <w:t>在当地成立子公司，建设项目则主要落实在</w:t>
      </w:r>
      <w:r>
        <w:rPr>
          <w:rFonts w:ascii="Times New Roman" w:hAnsi="Times New Roman" w:cs="Times New Roman" w:eastAsia="Times New Roman" w:hint="default"/>
          <w:spacing w:val="-1"/>
        </w:rPr>
        <w:t>“</w:t>
      </w:r>
      <w:r>
        <w:rPr>
          <w:spacing w:val="-1"/>
        </w:rPr>
        <w:t>基础设施建设＋信息化</w:t>
      </w:r>
      <w:r>
        <w:rPr>
          <w:rFonts w:ascii="Times New Roman" w:hAnsi="Times New Roman" w:cs="Times New Roman" w:eastAsia="Times New Roman" w:hint="default"/>
          <w:spacing w:val="-1"/>
        </w:rPr>
        <w:t>”</w:t>
      </w:r>
      <w:r>
        <w:rPr>
          <w:spacing w:val="-1"/>
        </w:rPr>
        <w:t>上，带动当地经济尤其是信</w:t>
      </w:r>
      <w:r>
        <w:rPr>
          <w:spacing w:val="-26"/>
        </w:rPr>
        <w:t> </w:t>
      </w:r>
      <w:r>
        <w:rPr>
          <w:spacing w:val="-26"/>
        </w:rPr>
      </w:r>
      <w:r>
        <w:rPr>
          <w:spacing w:val="-1"/>
        </w:rPr>
        <w:t>息产业发展为主。基础设施建设包括：一是宽带网络的升级；二是无线网络的覆盖；三是数据中</w:t>
      </w:r>
      <w:r>
        <w:rPr>
          <w:spacing w:val="-55"/>
        </w:rPr>
        <w:t> </w:t>
      </w:r>
      <w:r>
        <w:rPr>
          <w:spacing w:val="-55"/>
        </w:rPr>
      </w:r>
      <w:r>
        <w:rPr/>
        <w:t>心或中央数据库，应对大数据时代的效率和安全等问题；四是物联网、传感器。</w:t>
      </w:r>
    </w:p>
    <w:p>
      <w:pPr>
        <w:pStyle w:val="BodyText"/>
        <w:spacing w:line="272" w:lineRule="exact" w:before="27"/>
        <w:ind w:left="558" w:right="97"/>
        <w:jc w:val="left"/>
      </w:pPr>
      <w:r>
        <w:rPr>
          <w:rFonts w:ascii="Times New Roman" w:hAnsi="Times New Roman" w:cs="Times New Roman" w:eastAsia="Times New Roman" w:hint="default"/>
        </w:rPr>
        <w:t>E</w:t>
      </w:r>
      <w:r>
        <w:rPr/>
        <w:t>、不同厂商策略差异大，市场已经开始分化</w:t>
      </w:r>
      <w:r>
        <w:rPr>
          <w:w w:val="100"/>
        </w:rPr>
        <w:t> </w:t>
      </w:r>
      <w:r>
        <w:rPr>
          <w:spacing w:val="-2"/>
        </w:rPr>
        <w:t>不同厂商，因自身的优势、特长和认知侧重不同，对智慧城市的重点和建设方式也有差别。</w:t>
      </w:r>
    </w:p>
    <w:p>
      <w:pPr>
        <w:pStyle w:val="BodyText"/>
        <w:spacing w:line="225" w:lineRule="auto"/>
        <w:ind w:right="208"/>
        <w:jc w:val="both"/>
      </w:pPr>
      <w:r>
        <w:rPr/>
        <w:t>对</w:t>
      </w:r>
      <w:r>
        <w:rPr>
          <w:spacing w:val="-12"/>
        </w:rPr>
        <w:t> </w:t>
      </w:r>
      <w:r>
        <w:rPr>
          <w:rFonts w:ascii="Times New Roman" w:hAnsi="Times New Roman" w:cs="Times New Roman" w:eastAsia="Times New Roman" w:hint="default"/>
          <w:spacing w:val="-2"/>
        </w:rPr>
        <w:t>IBM</w:t>
      </w:r>
      <w:r>
        <w:rPr>
          <w:spacing w:val="-2"/>
        </w:rPr>
        <w:t>、思科等国际大企业，智慧城市还停留在概念层面，在营销领域被广泛使用，但对之前的</w:t>
      </w:r>
      <w:r>
        <w:rPr>
          <w:spacing w:val="-89"/>
        </w:rPr>
        <w:t> </w:t>
      </w:r>
      <w:r>
        <w:rPr>
          <w:spacing w:val="-89"/>
        </w:rPr>
      </w:r>
      <w:r>
        <w:rPr>
          <w:spacing w:val="-1"/>
        </w:rPr>
        <w:t>业务过程基本没有影响</w:t>
      </w:r>
      <w:r>
        <w:rPr>
          <w:rFonts w:ascii="Times New Roman" w:hAnsi="Times New Roman" w:cs="Times New Roman" w:eastAsia="Times New Roman" w:hint="default"/>
          <w:spacing w:val="-1"/>
        </w:rPr>
        <w:t>——</w:t>
      </w:r>
      <w:r>
        <w:rPr>
          <w:spacing w:val="-1"/>
        </w:rPr>
        <w:t>原来的方案、原来的产品、原来的业务结构、原来的业务组织方式。</w:t>
      </w:r>
      <w:r>
        <w:rPr>
          <w:spacing w:val="-55"/>
        </w:rPr>
        <w:t> </w:t>
      </w:r>
      <w:r>
        <w:rPr>
          <w:spacing w:val="-55"/>
        </w:rPr>
      </w:r>
      <w:r>
        <w:rPr>
          <w:spacing w:val="-1"/>
        </w:rPr>
        <w:t>之所以如此，是因为智慧城市没有成熟的解决方案，没办法大规模销售和经营，商业价值只能体</w:t>
      </w:r>
    </w:p>
    <w:p>
      <w:pPr>
        <w:pStyle w:val="BodyText"/>
        <w:spacing w:line="274" w:lineRule="exact" w:before="24"/>
        <w:ind w:right="211"/>
        <w:jc w:val="both"/>
      </w:pPr>
      <w:r>
        <w:rPr/>
        <w:t>现在</w:t>
      </w:r>
      <w:r>
        <w:rPr>
          <w:rFonts w:ascii="Times New Roman" w:hAnsi="Times New Roman" w:cs="Times New Roman" w:eastAsia="Times New Roman" w:hint="default"/>
        </w:rPr>
        <w:t>“</w:t>
      </w:r>
      <w:r>
        <w:rPr/>
        <w:t>基础设施建设</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信息化</w:t>
      </w:r>
      <w:r>
        <w:rPr>
          <w:rFonts w:ascii="Times New Roman" w:hAnsi="Times New Roman" w:cs="Times New Roman" w:eastAsia="Times New Roman" w:hint="default"/>
        </w:rPr>
        <w:t>”</w:t>
      </w:r>
      <w:r>
        <w:rPr/>
        <w:t>上。各厂家根据自己的优势特长，都在抢夺战机，抓紧布局，跑</w:t>
      </w:r>
      <w:r>
        <w:rPr>
          <w:spacing w:val="-49"/>
        </w:rPr>
        <w:t> </w:t>
      </w:r>
      <w:r>
        <w:rPr>
          <w:spacing w:val="-49"/>
        </w:rPr>
      </w:r>
      <w:r>
        <w:rPr/>
        <w:t>马圈地，激烈的争夺已经开始。</w:t>
      </w:r>
    </w:p>
    <w:p>
      <w:pPr>
        <w:pStyle w:val="BodyText"/>
        <w:spacing w:line="254" w:lineRule="exact"/>
        <w:ind w:left="558" w:right="97"/>
        <w:jc w:val="left"/>
      </w:pPr>
      <w:r>
        <w:rPr>
          <w:rFonts w:ascii="Times New Roman" w:hAnsi="Times New Roman" w:cs="Times New Roman" w:eastAsia="Times New Roman" w:hint="default"/>
        </w:rPr>
        <w:t>F</w:t>
      </w:r>
      <w:r>
        <w:rPr/>
        <w:t>、政策鼓励下，</w:t>
      </w:r>
      <w:r>
        <w:rPr>
          <w:rFonts w:ascii="Times New Roman" w:hAnsi="Times New Roman" w:cs="Times New Roman" w:eastAsia="Times New Roman" w:hint="default"/>
        </w:rPr>
        <w:t>PPP</w:t>
      </w:r>
      <w:r>
        <w:rPr>
          <w:rFonts w:ascii="Times New Roman" w:hAnsi="Times New Roman" w:cs="Times New Roman" w:eastAsia="Times New Roman" w:hint="default"/>
          <w:spacing w:val="-1"/>
        </w:rPr>
        <w:t> </w:t>
      </w:r>
      <w:r>
        <w:rPr/>
        <w:t>模式火热推进</w:t>
      </w:r>
    </w:p>
    <w:p>
      <w:pPr>
        <w:pStyle w:val="BodyText"/>
        <w:spacing w:line="225" w:lineRule="auto" w:before="6"/>
        <w:ind w:right="208" w:firstLine="419"/>
        <w:jc w:val="both"/>
      </w:pPr>
      <w:r>
        <w:rPr>
          <w:spacing w:val="-4"/>
        </w:rPr>
        <w:t>因地方政府债难以为继，</w:t>
      </w:r>
      <w:r>
        <w:rPr>
          <w:rFonts w:ascii="Times New Roman" w:hAnsi="Times New Roman" w:cs="Times New Roman" w:eastAsia="Times New Roman" w:hint="default"/>
          <w:spacing w:val="-4"/>
        </w:rPr>
        <w:t>2013</w:t>
      </w:r>
      <w:r>
        <w:rPr>
          <w:rFonts w:ascii="Times New Roman" w:hAnsi="Times New Roman" w:cs="Times New Roman" w:eastAsia="Times New Roman" w:hint="default"/>
          <w:spacing w:val="8"/>
        </w:rPr>
        <w:t> </w:t>
      </w:r>
      <w:r>
        <w:rPr/>
        <w:t>年国务院连续发文鼓励和引导社会资本参与公共产品和服务领</w:t>
      </w:r>
      <w:r>
        <w:rPr>
          <w:w w:val="100"/>
        </w:rPr>
        <w:t> </w:t>
      </w:r>
      <w:r>
        <w:rPr/>
        <w:t>域投资。财政部从</w:t>
      </w:r>
      <w:r>
        <w:rPr>
          <w:spacing w:val="-5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年底展开对</w:t>
      </w:r>
      <w:r>
        <w:rPr>
          <w:spacing w:val="-51"/>
        </w:rPr>
        <w:t> </w:t>
      </w:r>
      <w:r>
        <w:rPr>
          <w:rFonts w:ascii="Times New Roman" w:hAnsi="Times New Roman" w:cs="Times New Roman" w:eastAsia="Times New Roman" w:hint="default"/>
        </w:rPr>
        <w:t>PPP</w:t>
      </w:r>
      <w:r>
        <w:rPr>
          <w:rFonts w:ascii="Times New Roman" w:hAnsi="Times New Roman" w:cs="Times New Roman" w:eastAsia="Times New Roman" w:hint="default"/>
          <w:spacing w:val="4"/>
        </w:rPr>
        <w:t> </w:t>
      </w:r>
      <w:r>
        <w:rPr/>
        <w:t>模式推广工作全面部署，</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月，财政部政府和社</w:t>
      </w:r>
      <w:r>
        <w:rPr>
          <w:w w:val="100"/>
        </w:rPr>
        <w:t> </w:t>
      </w:r>
      <w:r>
        <w:rPr>
          <w:spacing w:val="-3"/>
        </w:rPr>
        <w:t>会资本合作（</w:t>
      </w:r>
      <w:r>
        <w:rPr>
          <w:rFonts w:ascii="Times New Roman" w:hAnsi="Times New Roman" w:cs="Times New Roman" w:eastAsia="Times New Roman" w:hint="default"/>
          <w:spacing w:val="-3"/>
        </w:rPr>
        <w:t>PPP</w:t>
      </w:r>
      <w:r>
        <w:rPr>
          <w:spacing w:val="-3"/>
        </w:rPr>
        <w:t>）工作领导小组正式设立，并连续推出</w:t>
      </w:r>
      <w:r>
        <w:rPr>
          <w:spacing w:val="-34"/>
        </w:rPr>
        <w:t> </w:t>
      </w:r>
      <w:r>
        <w:rPr>
          <w:rFonts w:ascii="Times New Roman" w:hAnsi="Times New Roman" w:cs="Times New Roman" w:eastAsia="Times New Roman" w:hint="default"/>
        </w:rPr>
        <w:t>80</w:t>
      </w:r>
      <w:r>
        <w:rPr>
          <w:rFonts w:ascii="Times New Roman" w:hAnsi="Times New Roman" w:cs="Times New Roman" w:eastAsia="Times New Roman" w:hint="default"/>
          <w:spacing w:val="18"/>
        </w:rPr>
        <w:t> </w:t>
      </w:r>
      <w:r>
        <w:rPr/>
        <w:t>个鼓励社会资本参与建设营运的示范</w:t>
      </w:r>
      <w:r>
        <w:rPr>
          <w:spacing w:val="-98"/>
        </w:rPr>
        <w:t> </w:t>
      </w:r>
      <w:r>
        <w:rPr>
          <w:spacing w:val="-98"/>
        </w:rPr>
      </w:r>
      <w:r>
        <w:rPr>
          <w:spacing w:val="-3"/>
        </w:rPr>
        <w:t>项目。</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spacing w:val="-4"/>
        </w:rPr>
        <w:t>月以来，重庆、江苏、安徽、青海等地先后发布了首批</w:t>
      </w:r>
      <w:r>
        <w:rPr>
          <w:spacing w:val="-45"/>
        </w:rPr>
        <w:t> </w:t>
      </w:r>
      <w:r>
        <w:rPr>
          <w:rFonts w:ascii="Times New Roman" w:hAnsi="Times New Roman" w:cs="Times New Roman" w:eastAsia="Times New Roman" w:hint="default"/>
        </w:rPr>
        <w:t>PPP</w:t>
      </w:r>
      <w:r>
        <w:rPr>
          <w:rFonts w:ascii="Times New Roman" w:hAnsi="Times New Roman" w:cs="Times New Roman" w:eastAsia="Times New Roman" w:hint="default"/>
          <w:spacing w:val="9"/>
        </w:rPr>
        <w:t> </w:t>
      </w:r>
      <w:r>
        <w:rPr>
          <w:spacing w:val="-3"/>
        </w:rPr>
        <w:t>试点项目计划，计划</w:t>
      </w:r>
      <w:r>
        <w:rPr>
          <w:spacing w:val="-100"/>
        </w:rPr>
        <w:t> </w:t>
      </w:r>
      <w:r>
        <w:rPr>
          <w:spacing w:val="-100"/>
        </w:rPr>
      </w:r>
      <w:r>
        <w:rPr/>
        <w:t>投资额千亿左右级。</w:t>
      </w:r>
    </w:p>
    <w:p>
      <w:pPr>
        <w:pStyle w:val="BodyText"/>
        <w:spacing w:line="232" w:lineRule="auto" w:before="5"/>
        <w:ind w:right="97" w:firstLine="419"/>
        <w:jc w:val="left"/>
      </w:pPr>
      <w:r>
        <w:rPr/>
        <w:t>在如此频繁有力的中央和地方政府相关政策催动下，智慧城市领域企业的相关意识和手段也</w:t>
      </w:r>
      <w:r>
        <w:rPr>
          <w:w w:val="100"/>
        </w:rPr>
        <w:t> </w:t>
      </w:r>
      <w:r>
        <w:rPr/>
        <w:t>大大强化加速，纷纷尝试以 </w:t>
      </w:r>
      <w:r>
        <w:rPr>
          <w:rFonts w:ascii="Times New Roman" w:hAnsi="Times New Roman" w:cs="Times New Roman" w:eastAsia="Times New Roman" w:hint="default"/>
        </w:rPr>
        <w:t>PPP</w:t>
      </w:r>
      <w:r>
        <w:rPr>
          <w:rFonts w:ascii="Times New Roman" w:hAnsi="Times New Roman" w:cs="Times New Roman" w:eastAsia="Times New Roman" w:hint="default"/>
          <w:spacing w:val="23"/>
        </w:rPr>
        <w:t> </w:t>
      </w:r>
      <w:r>
        <w:rPr/>
        <w:t>模式为基础的投资总包模式与地方政府签订战略合作框架协议，</w:t>
      </w:r>
      <w:r>
        <w:rPr>
          <w:w w:val="100"/>
        </w:rPr>
        <w:t> </w:t>
      </w:r>
      <w:r>
        <w:rPr/>
        <w:t>且势头劲猛。可以预计，在国家政策催动、地方政府财政紧张和金融创新手段层出不穷的不远的</w:t>
      </w:r>
      <w:r>
        <w:rPr>
          <w:spacing w:val="-97"/>
        </w:rPr>
        <w:t> </w:t>
      </w:r>
      <w:r>
        <w:rPr>
          <w:spacing w:val="-97"/>
        </w:rPr>
      </w:r>
      <w:r>
        <w:rPr/>
        <w:t>未来，</w:t>
      </w:r>
      <w:r>
        <w:rPr>
          <w:rFonts w:ascii="Times New Roman" w:hAnsi="Times New Roman" w:cs="Times New Roman" w:eastAsia="Times New Roman" w:hint="default"/>
        </w:rPr>
        <w:t>PPP</w:t>
      </w:r>
      <w:r>
        <w:rPr>
          <w:rFonts w:ascii="Times New Roman" w:hAnsi="Times New Roman" w:cs="Times New Roman" w:eastAsia="Times New Roman" w:hint="default"/>
          <w:spacing w:val="-4"/>
        </w:rPr>
        <w:t> </w:t>
      </w:r>
      <w:r>
        <w:rPr/>
        <w:t>模式将在智慧城市领域大行其道。</w:t>
      </w:r>
    </w:p>
    <w:p>
      <w:pPr>
        <w:pStyle w:val="BodyText"/>
        <w:spacing w:line="272" w:lineRule="exact" w:before="12"/>
        <w:ind w:left="558" w:right="97"/>
        <w:jc w:val="left"/>
      </w:pPr>
      <w:r>
        <w:rPr/>
        <w:t>（</w:t>
      </w:r>
      <w:r>
        <w:rPr>
          <w:rFonts w:ascii="Times New Roman" w:hAnsi="Times New Roman" w:cs="Times New Roman" w:eastAsia="Times New Roman" w:hint="default"/>
        </w:rPr>
        <w:t>2</w:t>
      </w:r>
      <w:r>
        <w:rPr/>
        <w:t>）物业管理服务</w:t>
      </w:r>
      <w:r>
        <w:rPr>
          <w:w w:val="100"/>
        </w:rPr>
        <w:t> </w:t>
      </w:r>
      <w:r>
        <w:rPr>
          <w:spacing w:val="-2"/>
        </w:rPr>
        <w:t>我国未来的物业管理应涉及到物业设置及使用全过程的管理及服务。根据对国外现代物业管</w:t>
      </w:r>
    </w:p>
    <w:p>
      <w:pPr>
        <w:pStyle w:val="BodyText"/>
        <w:spacing w:line="272" w:lineRule="exact" w:before="2"/>
        <w:ind w:right="208"/>
        <w:jc w:val="both"/>
      </w:pPr>
      <w:r>
        <w:rPr>
          <w:spacing w:val="-1"/>
        </w:rPr>
        <w:t>理实施过程的研究，其发展业务的内容应包括：物业管理战略的制定；为房地产开发建设服务；</w:t>
      </w:r>
      <w:r>
        <w:rPr>
          <w:spacing w:val="-55"/>
        </w:rPr>
        <w:t> </w:t>
      </w:r>
      <w:r>
        <w:rPr>
          <w:spacing w:val="-55"/>
        </w:rPr>
      </w:r>
      <w:r>
        <w:rPr/>
        <w:t>为房地产经营服务；物业维修运行管理；综合管理服务等。</w:t>
      </w:r>
    </w:p>
    <w:p>
      <w:pPr>
        <w:pStyle w:val="BodyText"/>
        <w:spacing w:line="272" w:lineRule="exact" w:before="1"/>
        <w:ind w:right="208" w:firstLine="419"/>
        <w:jc w:val="both"/>
      </w:pPr>
      <w:r>
        <w:rPr>
          <w:spacing w:val="-2"/>
        </w:rPr>
        <w:t>目前，我国物业管理机构以管理物业为主，兼而开展多种经营服务的“一主多副”思路应成</w:t>
      </w:r>
      <w:r>
        <w:rPr>
          <w:w w:val="100"/>
        </w:rPr>
        <w:t> </w:t>
      </w:r>
      <w:r>
        <w:rPr>
          <w:spacing w:val="-1"/>
        </w:rPr>
        <w:t>为具有中国特色物业管理服务模式，我国未来的物业管理发展应是专业化、综合性涉及物业建设</w:t>
      </w:r>
    </w:p>
    <w:p>
      <w:pPr>
        <w:pStyle w:val="BodyText"/>
        <w:spacing w:line="272" w:lineRule="exact" w:before="1"/>
        <w:ind w:left="558" w:right="97" w:hanging="420"/>
        <w:jc w:val="left"/>
      </w:pPr>
      <w:r>
        <w:rPr/>
        <w:t>与使用全过程的管理和服务。</w:t>
      </w:r>
      <w:r>
        <w:rPr>
          <w:w w:val="100"/>
        </w:rPr>
        <w:t> </w:t>
      </w:r>
      <w:r>
        <w:rPr>
          <w:spacing w:val="-2"/>
        </w:rPr>
        <w:t>物业管理企业小、弱、散、差的现象普遍存在，随着物业管理招投标大力推行和物业管理市</w:t>
      </w:r>
    </w:p>
    <w:p>
      <w:pPr>
        <w:pStyle w:val="BodyText"/>
        <w:spacing w:line="272" w:lineRule="exact" w:before="1"/>
        <w:ind w:right="208"/>
        <w:jc w:val="both"/>
      </w:pPr>
      <w:r>
        <w:rPr>
          <w:spacing w:val="-1"/>
        </w:rPr>
        <w:t>场化的发展，物业管理将从数量型增长向质量、规模、效益型转变，规模化经营的资产重组必然</w:t>
      </w:r>
      <w:r>
        <w:rPr>
          <w:spacing w:val="-54"/>
        </w:rPr>
        <w:t> </w:t>
      </w:r>
      <w:r>
        <w:rPr>
          <w:spacing w:val="-54"/>
        </w:rPr>
      </w:r>
      <w:r>
        <w:rPr>
          <w:spacing w:val="-1"/>
        </w:rPr>
        <w:t>驱使物业管理企业向品牌化企业方向发展。在有限的市场资源条件下，企业竞争将进一步加剧，</w:t>
      </w:r>
    </w:p>
    <w:p>
      <w:pPr>
        <w:pStyle w:val="BodyText"/>
        <w:spacing w:line="272" w:lineRule="exact" w:before="1"/>
        <w:ind w:right="208"/>
        <w:jc w:val="both"/>
      </w:pPr>
      <w:r>
        <w:rPr>
          <w:spacing w:val="-1"/>
        </w:rPr>
        <w:t>势必推动物业管理行业整体素质的提高，社会资源配置也将得到进一步优化。随着物业管理范围</w:t>
      </w:r>
      <w:r>
        <w:rPr>
          <w:spacing w:val="-55"/>
        </w:rPr>
        <w:t> </w:t>
      </w:r>
      <w:r>
        <w:rPr>
          <w:spacing w:val="-55"/>
        </w:rPr>
      </w:r>
      <w:r>
        <w:rPr>
          <w:spacing w:val="-1"/>
        </w:rPr>
        <w:t>和内容的扩展、市场化进程的加快、物业管理招投标的逐步规范，物业管理行业的竞争将日益激</w:t>
      </w:r>
    </w:p>
    <w:p>
      <w:pPr>
        <w:pStyle w:val="BodyText"/>
        <w:spacing w:line="249" w:lineRule="exact"/>
        <w:ind w:right="0"/>
        <w:jc w:val="both"/>
      </w:pPr>
      <w:r>
        <w:rPr/>
        <w:t>烈，行业间的兼并、整合现象将逐渐加剧、迅速扩展。</w:t>
      </w: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t>二、报告期内公司主要资产发生重大变化情况的说明</w:t>
      </w:r>
      <w:r>
        <w:rPr>
          <w:b w:val="0"/>
          <w:bCs w:val="0"/>
        </w:rPr>
      </w:r>
    </w:p>
    <w:p>
      <w:pPr>
        <w:pStyle w:val="BodyText"/>
        <w:spacing w:line="225" w:lineRule="auto" w:before="71"/>
        <w:ind w:right="253" w:firstLine="419"/>
        <w:jc w:val="both"/>
      </w:pPr>
      <w:r>
        <w:rPr>
          <w:spacing w:val="-2"/>
        </w:rPr>
        <w:t>报告期内，公司总资产比期初增加了</w:t>
      </w:r>
      <w:r>
        <w:rPr>
          <w:spacing w:val="7"/>
        </w:rPr>
        <w:t> </w:t>
      </w:r>
      <w:r>
        <w:rPr>
          <w:rFonts w:ascii="Times New Roman" w:hAnsi="Times New Roman" w:cs="Times New Roman" w:eastAsia="Times New Roman" w:hint="default"/>
          <w:spacing w:val="-2"/>
        </w:rPr>
        <w:t>128.75%</w:t>
      </w:r>
      <w:r>
        <w:rPr>
          <w:spacing w:val="-2"/>
        </w:rPr>
        <w:t>，主要原因是本期增加了智慧城市项目，公司</w:t>
      </w:r>
      <w:r>
        <w:rPr>
          <w:w w:val="100"/>
        </w:rPr>
        <w:t> </w:t>
      </w:r>
      <w:r>
        <w:rPr/>
        <w:t>董事长顾国平先生豁免公司对其负有</w:t>
      </w:r>
      <w:r>
        <w:rPr>
          <w:spacing w:val="-55"/>
        </w:rPr>
        <w:t> </w:t>
      </w:r>
      <w:r>
        <w:rPr>
          <w:rFonts w:ascii="Times New Roman" w:hAnsi="Times New Roman" w:cs="Times New Roman" w:eastAsia="Times New Roman" w:hint="default"/>
        </w:rPr>
        <w:t>25,000,000.00</w:t>
      </w:r>
      <w:r>
        <w:rPr>
          <w:rFonts w:ascii="Times New Roman" w:hAnsi="Times New Roman" w:cs="Times New Roman" w:eastAsia="Times New Roman" w:hint="default"/>
          <w:spacing w:val="-4"/>
        </w:rPr>
        <w:t> </w:t>
      </w:r>
      <w:r>
        <w:rPr/>
        <w:t>元债务；以及增加了子公司</w:t>
      </w:r>
      <w:r>
        <w:rPr>
          <w:rFonts w:ascii="Times New Roman" w:hAnsi="Times New Roman" w:cs="Times New Roman" w:eastAsia="Times New Roman" w:hint="default"/>
        </w:rPr>
        <w:t>-</w:t>
      </w:r>
      <w:r>
        <w:rPr/>
        <w:t>南宁智诚合讯信</w:t>
      </w:r>
      <w:r>
        <w:rPr>
          <w:w w:val="100"/>
        </w:rPr>
        <w:t> </w:t>
      </w:r>
      <w:r>
        <w:rPr/>
        <w:t>息技术有限公司、上海慧球通信科技有限公司、慧球科技（重庆）有限公司。</w:t>
      </w:r>
    </w:p>
    <w:p>
      <w:pPr>
        <w:spacing w:line="240" w:lineRule="auto" w:before="5"/>
        <w:rPr>
          <w:rFonts w:ascii="宋体" w:hAnsi="宋体" w:cs="宋体" w:eastAsia="宋体" w:hint="default"/>
          <w:sz w:val="25"/>
          <w:szCs w:val="25"/>
        </w:rPr>
      </w:pPr>
    </w:p>
    <w:p>
      <w:pPr>
        <w:pStyle w:val="Heading3"/>
        <w:spacing w:line="240" w:lineRule="auto"/>
        <w:ind w:left="138" w:right="0"/>
        <w:jc w:val="both"/>
        <w:rPr>
          <w:b w:val="0"/>
          <w:bCs w:val="0"/>
        </w:rPr>
      </w:pPr>
      <w:r>
        <w:rPr>
          <w:rFonts w:ascii="宋体" w:hAnsi="宋体" w:cs="宋体" w:eastAsia="宋体" w:hint="default"/>
          <w:b w:val="0"/>
          <w:bCs w:val="0"/>
        </w:rPr>
        <w:t>三、</w:t>
      </w:r>
      <w:r>
        <w:rPr/>
        <w:t>报告期内核心竞争力分析</w:t>
      </w:r>
      <w:r>
        <w:rPr>
          <w:b w:val="0"/>
          <w:bCs w:val="0"/>
        </w:rPr>
      </w:r>
    </w:p>
    <w:p>
      <w:pPr>
        <w:spacing w:line="240" w:lineRule="auto" w:before="4"/>
        <w:rPr>
          <w:rFonts w:ascii="宋体" w:hAnsi="宋体" w:cs="宋体" w:eastAsia="宋体" w:hint="default"/>
          <w:b/>
          <w:bCs/>
          <w:sz w:val="27"/>
          <w:szCs w:val="27"/>
        </w:rPr>
      </w:pPr>
    </w:p>
    <w:p>
      <w:pPr>
        <w:pStyle w:val="BodyText"/>
        <w:spacing w:line="272" w:lineRule="exact"/>
        <w:ind w:right="208" w:firstLine="424"/>
        <w:jc w:val="both"/>
      </w:pPr>
      <w:r>
        <w:rPr>
          <w:spacing w:val="-2"/>
          <w:w w:val="100"/>
        </w:rPr>
        <w:t>公司主营业务自</w:t>
      </w:r>
      <w:r>
        <w:rPr>
          <w:spacing w:val="-47"/>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7"/>
          <w:w w:val="100"/>
        </w:rPr>
        <w:t> </w:t>
      </w:r>
      <w:r>
        <w:rPr>
          <w:spacing w:val="-5"/>
          <w:w w:val="100"/>
        </w:rPr>
        <w:t>年向智慧城市领域相关业务转型以来，公司在智慧城市业务方面的核心</w:t>
      </w:r>
      <w:r>
        <w:rPr>
          <w:w w:val="100"/>
        </w:rPr>
        <w:t> </w:t>
      </w:r>
      <w:r>
        <w:rPr/>
        <w:t>竞争力主要体现在以下几个方面：</w:t>
      </w:r>
    </w:p>
    <w:p>
      <w:pPr>
        <w:pStyle w:val="BodyText"/>
        <w:spacing w:line="255" w:lineRule="exact"/>
        <w:ind w:left="560" w:right="97"/>
        <w:jc w:val="left"/>
      </w:pPr>
      <w:r>
        <w:rPr>
          <w:rFonts w:ascii="Times New Roman" w:hAnsi="Times New Roman" w:cs="Times New Roman" w:eastAsia="Times New Roman" w:hint="default"/>
        </w:rPr>
        <w:t>1</w:t>
      </w:r>
      <w:r>
        <w:rPr/>
        <w:t>、政策优势</w:t>
      </w:r>
    </w:p>
    <w:p>
      <w:pPr>
        <w:pStyle w:val="BodyText"/>
        <w:spacing w:line="225" w:lineRule="auto" w:before="5"/>
        <w:ind w:right="208" w:firstLine="422"/>
        <w:jc w:val="both"/>
      </w:pPr>
      <w:r>
        <w:rPr>
          <w:rFonts w:ascii="Times New Roman" w:hAnsi="Times New Roman" w:cs="Times New Roman" w:eastAsia="Times New Roman" w:hint="default"/>
        </w:rPr>
        <w:t>2008 </w:t>
      </w:r>
      <w:r>
        <w:rPr>
          <w:spacing w:val="-11"/>
        </w:rPr>
        <w:t>年，美国 </w:t>
      </w:r>
      <w:r>
        <w:rPr>
          <w:rFonts w:ascii="Times New Roman" w:hAnsi="Times New Roman" w:cs="Times New Roman" w:eastAsia="Times New Roman" w:hint="default"/>
        </w:rPr>
        <w:t>IBM</w:t>
      </w:r>
      <w:r>
        <w:rPr>
          <w:rFonts w:ascii="Times New Roman" w:hAnsi="Times New Roman" w:cs="Times New Roman" w:eastAsia="Times New Roman" w:hint="default"/>
          <w:spacing w:val="4"/>
        </w:rPr>
        <w:t> </w:t>
      </w:r>
      <w:r>
        <w:rPr>
          <w:spacing w:val="-3"/>
        </w:rPr>
        <w:t>公司首先提出</w:t>
      </w:r>
      <w:r>
        <w:rPr>
          <w:rFonts w:ascii="Times New Roman" w:hAnsi="Times New Roman" w:cs="Times New Roman" w:eastAsia="Times New Roman" w:hint="default"/>
          <w:spacing w:val="-3"/>
        </w:rPr>
        <w:t>“</w:t>
      </w:r>
      <w:r>
        <w:rPr>
          <w:spacing w:val="-3"/>
        </w:rPr>
        <w:t>智慧地球</w:t>
      </w:r>
      <w:r>
        <w:rPr>
          <w:rFonts w:ascii="Times New Roman" w:hAnsi="Times New Roman" w:cs="Times New Roman" w:eastAsia="Times New Roman" w:hint="default"/>
          <w:spacing w:val="-3"/>
        </w:rPr>
        <w:t>”</w:t>
      </w:r>
      <w:r>
        <w:rPr>
          <w:spacing w:val="-3"/>
        </w:rPr>
        <w:t>理念，进而</w:t>
      </w:r>
      <w:r>
        <w:rPr>
          <w:rFonts w:ascii="Times New Roman" w:hAnsi="Times New Roman" w:cs="Times New Roman" w:eastAsia="Times New Roman" w:hint="default"/>
          <w:spacing w:val="-3"/>
        </w:rPr>
        <w:t>“</w:t>
      </w:r>
      <w:r>
        <w:rPr>
          <w:spacing w:val="-3"/>
        </w:rPr>
        <w:t>智慧城市</w:t>
      </w:r>
      <w:r>
        <w:rPr>
          <w:rFonts w:ascii="Times New Roman" w:hAnsi="Times New Roman" w:cs="Times New Roman" w:eastAsia="Times New Roman" w:hint="default"/>
          <w:spacing w:val="-3"/>
        </w:rPr>
        <w:t>”</w:t>
      </w:r>
      <w:r>
        <w:rPr>
          <w:spacing w:val="-3"/>
        </w:rPr>
        <w:t>的概念被越来越多国家和</w:t>
      </w:r>
      <w:r>
        <w:rPr>
          <w:w w:val="100"/>
        </w:rPr>
        <w:t> </w:t>
      </w:r>
      <w:r>
        <w:rPr>
          <w:spacing w:val="-3"/>
        </w:rPr>
        <w:t>公众所接受。</w:t>
      </w:r>
      <w:r>
        <w:rPr>
          <w:rFonts w:ascii="Times New Roman" w:hAnsi="Times New Roman" w:cs="Times New Roman" w:eastAsia="Times New Roman" w:hint="default"/>
          <w:spacing w:val="-3"/>
        </w:rPr>
        <w:t>2010 </w:t>
      </w:r>
      <w:r>
        <w:rPr>
          <w:spacing w:val="-3"/>
        </w:rPr>
        <w:t>年前后，一方面是全球金融危机带来经济增速下行的压力，中央与地方每年数</w:t>
      </w:r>
      <w:r>
        <w:rPr>
          <w:spacing w:val="-70"/>
        </w:rPr>
        <w:t> </w:t>
      </w:r>
      <w:r>
        <w:rPr>
          <w:spacing w:val="-70"/>
        </w:rPr>
      </w:r>
      <w:r>
        <w:rPr>
          <w:spacing w:val="-1"/>
        </w:rPr>
        <w:t>万亿的刺激投资需要找到项目出口；另一方面随着以</w:t>
      </w:r>
      <w:r>
        <w:rPr>
          <w:rFonts w:ascii="Times New Roman" w:hAnsi="Times New Roman" w:cs="Times New Roman" w:eastAsia="Times New Roman" w:hint="default"/>
          <w:spacing w:val="-1"/>
        </w:rPr>
        <w:t>“</w:t>
      </w:r>
      <w:r>
        <w:rPr>
          <w:spacing w:val="-1"/>
        </w:rPr>
        <w:t>城市，让生活更美好</w:t>
      </w:r>
      <w:r>
        <w:rPr>
          <w:rFonts w:ascii="Times New Roman" w:hAnsi="Times New Roman" w:cs="Times New Roman" w:eastAsia="Times New Roman" w:hint="default"/>
          <w:spacing w:val="-1"/>
        </w:rPr>
        <w:t>”</w:t>
      </w:r>
      <w:r>
        <w:rPr>
          <w:spacing w:val="-1"/>
        </w:rPr>
        <w:t>为主题的上海世博会</w:t>
      </w:r>
    </w:p>
    <w:p>
      <w:pPr>
        <w:spacing w:after="0" w:line="225" w:lineRule="auto"/>
        <w:jc w:val="both"/>
        <w:sectPr>
          <w:footerReference w:type="default" r:id="rId12"/>
          <w:pgSz w:w="11910" w:h="16840"/>
          <w:pgMar w:footer="1195" w:header="880" w:top="1120" w:bottom="1380" w:left="1660" w:right="1060"/>
          <w:pgNumType w:start="11"/>
        </w:sectPr>
      </w:pPr>
    </w:p>
    <w:p>
      <w:pPr>
        <w:spacing w:line="240" w:lineRule="auto" w:before="4"/>
        <w:rPr>
          <w:rFonts w:ascii="宋体" w:hAnsi="宋体" w:cs="宋体" w:eastAsia="宋体" w:hint="default"/>
          <w:sz w:val="25"/>
          <w:szCs w:val="25"/>
        </w:rPr>
      </w:pPr>
    </w:p>
    <w:p>
      <w:pPr>
        <w:pStyle w:val="BodyText"/>
        <w:spacing w:line="240" w:lineRule="auto" w:before="36"/>
        <w:ind w:right="128"/>
        <w:jc w:val="both"/>
      </w:pPr>
      <w:r>
        <w:rPr>
          <w:spacing w:val="-1"/>
        </w:rPr>
        <w:t>召开，引发的城市发展模式升级的讨论，智慧城市被作为国家推进战略性新型产业和城市信息化</w:t>
      </w:r>
      <w:r>
        <w:rPr>
          <w:spacing w:val="-55"/>
        </w:rPr>
        <w:t> </w:t>
      </w:r>
      <w:r>
        <w:rPr>
          <w:spacing w:val="-55"/>
        </w:rPr>
      </w:r>
      <w:r>
        <w:rPr/>
        <w:t>进程的前沿理念，各城市在制订</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规划时纷纷把智慧城市当做发展重点。</w:t>
      </w:r>
    </w:p>
    <w:p>
      <w:pPr>
        <w:pStyle w:val="BodyText"/>
        <w:spacing w:line="255" w:lineRule="exact"/>
        <w:ind w:right="0" w:firstLine="422"/>
        <w:jc w:val="left"/>
      </w:pPr>
      <w:r>
        <w:rPr/>
        <w:t>为了有序推进智慧城市建设，国务院让发改委和工信部牵头，联合科技部、住建部、国土资</w:t>
      </w:r>
    </w:p>
    <w:p>
      <w:pPr>
        <w:pStyle w:val="BodyText"/>
        <w:spacing w:line="230" w:lineRule="auto" w:before="9"/>
        <w:ind w:right="128"/>
        <w:jc w:val="both"/>
      </w:pPr>
      <w:r>
        <w:rPr>
          <w:spacing w:val="-1"/>
        </w:rPr>
        <w:t>源部、公安部、交通部、财政部等部委编写了《关于促进智慧城市健康有序发展的指导意见》，</w:t>
      </w:r>
      <w:r>
        <w:rPr>
          <w:spacing w:val="-55"/>
        </w:rPr>
        <w:t> </w:t>
      </w:r>
      <w:r>
        <w:rPr>
          <w:spacing w:val="-55"/>
        </w:rPr>
      </w:r>
      <w:r>
        <w:rPr/>
        <w:t>文件于</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月上报国务院，</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月正式发布。由此，智慧城市建设从部委管理上进入</w:t>
      </w:r>
      <w:r>
        <w:rPr>
          <w:w w:val="100"/>
        </w:rPr>
        <w:t> </w:t>
      </w:r>
      <w:r>
        <w:rPr>
          <w:spacing w:val="-8"/>
        </w:rPr>
        <w:t>统筹推进阶段。</w:t>
      </w:r>
      <w:r>
        <w:rPr>
          <w:rFonts w:ascii="Times New Roman" w:hAnsi="Times New Roman" w:cs="Times New Roman" w:eastAsia="Times New Roman" w:hint="default"/>
          <w:spacing w:val="-8"/>
        </w:rPr>
        <w:t>2014</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spacing w:val="-6"/>
        </w:rPr>
        <w:t>月，八部门联合宣布启动第三批智慧城市申报试点工作；</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spacing w:val="-3"/>
        </w:rPr>
        <w:t>月，</w:t>
      </w:r>
      <w:r>
        <w:rPr/>
      </w:r>
    </w:p>
    <w:p>
      <w:pPr>
        <w:pStyle w:val="BodyText"/>
        <w:spacing w:line="264" w:lineRule="exact"/>
        <w:ind w:right="0"/>
        <w:jc w:val="both"/>
      </w:pPr>
      <w:r>
        <w:rPr/>
        <w:t>《关于公布国家智慧城市</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年度试点名单的通知》发布，确定了</w:t>
      </w:r>
      <w:r>
        <w:rPr>
          <w:spacing w:val="-50"/>
        </w:rPr>
        <w:t> </w:t>
      </w:r>
      <w:r>
        <w:rPr>
          <w:rFonts w:ascii="Times New Roman" w:hAnsi="Times New Roman" w:cs="Times New Roman" w:eastAsia="Times New Roman" w:hint="default"/>
        </w:rPr>
        <w:t>84 </w:t>
      </w:r>
      <w:r>
        <w:rPr/>
        <w:t>个城市（区、县、镇）为</w:t>
      </w:r>
    </w:p>
    <w:p>
      <w:pPr>
        <w:pStyle w:val="BodyText"/>
        <w:spacing w:line="272" w:lineRule="exact"/>
        <w:ind w:right="0"/>
        <w:jc w:val="both"/>
      </w:pPr>
      <w:r>
        <w:rPr/>
        <w:t>国家智慧城市</w:t>
      </w:r>
      <w:r>
        <w:rPr>
          <w:spacing w:val="-4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spacing w:val="-4"/>
        </w:rPr>
        <w:t>年度新增试点。加上前两批公布的</w:t>
      </w:r>
      <w:r>
        <w:rPr>
          <w:spacing w:val="-40"/>
        </w:rPr>
        <w:t> </w:t>
      </w:r>
      <w:r>
        <w:rPr>
          <w:rFonts w:ascii="Times New Roman" w:hAnsi="Times New Roman" w:cs="Times New Roman" w:eastAsia="Times New Roman" w:hint="default"/>
        </w:rPr>
        <w:t>193</w:t>
      </w:r>
      <w:r>
        <w:rPr>
          <w:rFonts w:ascii="Times New Roman" w:hAnsi="Times New Roman" w:cs="Times New Roman" w:eastAsia="Times New Roman" w:hint="default"/>
          <w:spacing w:val="8"/>
        </w:rPr>
        <w:t> </w:t>
      </w:r>
      <w:r>
        <w:rPr>
          <w:spacing w:val="-5"/>
        </w:rPr>
        <w:t>个城市，截至目前，我国的智慧城市试</w:t>
      </w:r>
    </w:p>
    <w:p>
      <w:pPr>
        <w:pStyle w:val="BodyText"/>
        <w:spacing w:line="272" w:lineRule="exact"/>
        <w:ind w:right="0"/>
        <w:jc w:val="both"/>
      </w:pPr>
      <w:r>
        <w:rPr/>
        <w:t>点已接近</w:t>
      </w:r>
      <w:r>
        <w:rPr>
          <w:spacing w:val="-52"/>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spacing w:val="-3"/>
        </w:rPr>
        <w:t>个。</w:t>
      </w:r>
      <w:r>
        <w:rPr/>
      </w:r>
    </w:p>
    <w:p>
      <w:pPr>
        <w:pStyle w:val="BodyText"/>
        <w:spacing w:line="225" w:lineRule="auto" w:before="6"/>
        <w:ind w:right="127" w:firstLine="422"/>
        <w:jc w:val="both"/>
      </w:pPr>
      <w:r>
        <w:rPr>
          <w:spacing w:val="-11"/>
        </w:rPr>
        <w:t>根据国际数据公司（</w:t>
      </w:r>
      <w:r>
        <w:rPr>
          <w:rFonts w:ascii="Times New Roman" w:hAnsi="Times New Roman" w:cs="Times New Roman" w:eastAsia="Times New Roman" w:hint="default"/>
          <w:spacing w:val="-11"/>
        </w:rPr>
        <w:t>IDC</w:t>
      </w:r>
      <w:r>
        <w:rPr>
          <w:spacing w:val="-11"/>
        </w:rPr>
        <w:t>）研究数据，未来</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spacing w:val="-7"/>
        </w:rPr>
        <w:t>年，智慧城市建设投资将超过</w:t>
      </w:r>
      <w:r>
        <w:rPr>
          <w:spacing w:val="-40"/>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万亿元人民币，</w:t>
      </w:r>
      <w:r>
        <w:rPr>
          <w:w w:val="100"/>
        </w:rPr>
        <w:t> </w:t>
      </w:r>
      <w:r>
        <w:rPr>
          <w:spacing w:val="-4"/>
        </w:rPr>
        <w:t>具体涉及</w:t>
      </w:r>
      <w:r>
        <w:rPr>
          <w:rFonts w:ascii="Times New Roman" w:hAnsi="Times New Roman" w:cs="Times New Roman" w:eastAsia="Times New Roman" w:hint="default"/>
          <w:spacing w:val="-4"/>
        </w:rPr>
        <w:t>“</w:t>
      </w:r>
      <w:r>
        <w:rPr>
          <w:spacing w:val="-4"/>
        </w:rPr>
        <w:t>产业载体建设、商业配套建设、服务平台建设、交通设施建设、医疗服务建设、智能电</w:t>
      </w:r>
      <w:r>
        <w:rPr>
          <w:spacing w:val="-22"/>
        </w:rPr>
        <w:t> </w:t>
      </w:r>
      <w:r>
        <w:rPr>
          <w:spacing w:val="-22"/>
        </w:rPr>
      </w:r>
      <w:r>
        <w:rPr>
          <w:spacing w:val="-4"/>
        </w:rPr>
        <w:t>网建设、水利设施建设、生态环保建设、城市管理建设</w:t>
      </w:r>
      <w:r>
        <w:rPr>
          <w:rFonts w:ascii="Times New Roman" w:hAnsi="Times New Roman" w:cs="Times New Roman" w:eastAsia="Times New Roman" w:hint="default"/>
          <w:spacing w:val="-4"/>
        </w:rPr>
        <w:t>”</w:t>
      </w:r>
      <w:r>
        <w:rPr>
          <w:spacing w:val="-4"/>
        </w:rPr>
        <w:t>等。其中，与专属智慧城市载体相关的市</w:t>
      </w:r>
      <w:r>
        <w:rPr>
          <w:spacing w:val="-21"/>
        </w:rPr>
        <w:t> </w:t>
      </w:r>
      <w:r>
        <w:rPr>
          <w:spacing w:val="-21"/>
        </w:rPr>
      </w:r>
      <w:r>
        <w:rPr/>
        <w:t>场约占</w:t>
      </w:r>
      <w:r>
        <w:rPr>
          <w:spacing w:val="-29"/>
        </w:rPr>
        <w:t> </w:t>
      </w:r>
      <w:r>
        <w:rPr>
          <w:rFonts w:ascii="Times New Roman" w:hAnsi="Times New Roman" w:cs="Times New Roman" w:eastAsia="Times New Roman" w:hint="default"/>
        </w:rPr>
        <w:t>20-30%</w:t>
      </w:r>
      <w:r>
        <w:rPr/>
        <w:t>，智慧城市传感器、仪器、自动控制设备和相关服务占比约</w:t>
      </w:r>
      <w:r>
        <w:rPr>
          <w:spacing w:val="-32"/>
        </w:rPr>
        <w:t> </w:t>
      </w:r>
      <w:r>
        <w:rPr>
          <w:rFonts w:ascii="Times New Roman" w:hAnsi="Times New Roman" w:cs="Times New Roman" w:eastAsia="Times New Roman" w:hint="default"/>
        </w:rPr>
        <w:t>20-30%</w:t>
      </w:r>
      <w:r>
        <w:rPr/>
        <w:t>，</w:t>
      </w:r>
      <w:r>
        <w:rPr>
          <w:rFonts w:ascii="Times New Roman" w:hAnsi="Times New Roman" w:cs="Times New Roman" w:eastAsia="Times New Roman" w:hint="default"/>
        </w:rPr>
        <w:t>ICT</w:t>
      </w:r>
      <w:r>
        <w:rPr>
          <w:rFonts w:ascii="Times New Roman" w:hAnsi="Times New Roman" w:cs="Times New Roman" w:eastAsia="Times New Roman" w:hint="default"/>
          <w:spacing w:val="24"/>
        </w:rPr>
        <w:t> </w:t>
      </w:r>
      <w:r>
        <w:rPr/>
        <w:t>硬件、</w:t>
      </w:r>
      <w:r>
        <w:rPr>
          <w:w w:val="100"/>
        </w:rPr>
        <w:t> </w:t>
      </w:r>
      <w:r>
        <w:rPr/>
        <w:t>软件、服务的部分占</w:t>
      </w:r>
      <w:r>
        <w:rPr>
          <w:spacing w:val="-54"/>
        </w:rPr>
        <w:t> </w:t>
      </w:r>
      <w:r>
        <w:rPr>
          <w:rFonts w:ascii="Times New Roman" w:hAnsi="Times New Roman" w:cs="Times New Roman" w:eastAsia="Times New Roman" w:hint="default"/>
        </w:rPr>
        <w:t>40-50%</w:t>
      </w:r>
      <w:r>
        <w:rPr/>
        <w:t>，即未来</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ICT </w:t>
      </w:r>
      <w:r>
        <w:rPr/>
        <w:t>相关的市场将达到</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万亿元。在国家政策的支持</w:t>
      </w:r>
      <w:r>
        <w:rPr>
          <w:w w:val="100"/>
        </w:rPr>
        <w:t> </w:t>
      </w:r>
      <w:r>
        <w:rPr/>
        <w:t>下，智慧城市建设投入提速，未来发展空间巨大。</w:t>
      </w:r>
    </w:p>
    <w:p>
      <w:pPr>
        <w:pStyle w:val="BodyText"/>
        <w:spacing w:line="272" w:lineRule="exact" w:before="28"/>
        <w:ind w:left="560" w:right="123"/>
        <w:jc w:val="left"/>
      </w:pPr>
      <w:r>
        <w:rPr>
          <w:rFonts w:ascii="Times New Roman" w:hAnsi="Times New Roman" w:cs="Times New Roman" w:eastAsia="Times New Roman" w:hint="default"/>
        </w:rPr>
        <w:t>2</w:t>
      </w:r>
      <w:r>
        <w:rPr/>
        <w:t>、人才优势</w:t>
      </w:r>
      <w:r>
        <w:rPr>
          <w:w w:val="100"/>
        </w:rPr>
        <w:t> </w:t>
      </w:r>
      <w:r>
        <w:rPr>
          <w:spacing w:val="-2"/>
        </w:rPr>
        <w:t>智慧城市属于知识密集型行业，其业务能力主要体现在业务团队上。公司董事长、总经理顾</w:t>
      </w:r>
    </w:p>
    <w:p>
      <w:pPr>
        <w:pStyle w:val="BodyText"/>
        <w:spacing w:line="272" w:lineRule="exact" w:before="1"/>
        <w:ind w:left="0" w:right="128"/>
        <w:jc w:val="right"/>
      </w:pPr>
      <w:r>
        <w:rPr>
          <w:spacing w:val="-1"/>
        </w:rPr>
        <w:t>国平先生在信息技术产业拥有较为深厚的根基和人才号召力，公司已搭建了以顾国平先生为首的</w:t>
      </w:r>
      <w:r>
        <w:rPr>
          <w:spacing w:val="-70"/>
        </w:rPr>
        <w:t> </w:t>
      </w:r>
      <w:r>
        <w:rPr>
          <w:spacing w:val="-70"/>
        </w:rPr>
      </w:r>
      <w:r>
        <w:rPr>
          <w:spacing w:val="-1"/>
        </w:rPr>
        <w:t>核心人员管理团队，并组建了一支业务精良、经验丰富的核心业务人员团队。由于智慧城市具体</w:t>
      </w:r>
      <w:r>
        <w:rPr>
          <w:spacing w:val="-70"/>
        </w:rPr>
        <w:t> </w:t>
      </w:r>
      <w:r>
        <w:rPr>
          <w:spacing w:val="-70"/>
        </w:rPr>
      </w:r>
      <w:r>
        <w:rPr>
          <w:w w:val="100"/>
        </w:rPr>
        <w:t>实施</w:t>
      </w:r>
      <w:r>
        <w:rPr>
          <w:spacing w:val="-3"/>
          <w:w w:val="100"/>
        </w:rPr>
        <w:t>建</w:t>
      </w:r>
      <w:r>
        <w:rPr>
          <w:w w:val="100"/>
        </w:rPr>
        <w:t>设</w:t>
      </w:r>
      <w:r>
        <w:rPr>
          <w:spacing w:val="-3"/>
          <w:w w:val="100"/>
        </w:rPr>
        <w:t>没</w:t>
      </w:r>
      <w:r>
        <w:rPr>
          <w:w w:val="100"/>
        </w:rPr>
        <w:t>有</w:t>
      </w:r>
      <w:r>
        <w:rPr>
          <w:spacing w:val="-3"/>
          <w:w w:val="100"/>
        </w:rPr>
        <w:t>固</w:t>
      </w:r>
      <w:r>
        <w:rPr>
          <w:w w:val="100"/>
        </w:rPr>
        <w:t>有</w:t>
      </w:r>
      <w:r>
        <w:rPr>
          <w:spacing w:val="-3"/>
          <w:w w:val="100"/>
        </w:rPr>
        <w:t>模</w:t>
      </w:r>
      <w:r>
        <w:rPr>
          <w:w w:val="100"/>
        </w:rPr>
        <w:t>式</w:t>
      </w:r>
      <w:r>
        <w:rPr>
          <w:spacing w:val="-101"/>
          <w:w w:val="100"/>
        </w:rPr>
        <w:t>，</w:t>
      </w:r>
      <w:r>
        <w:rPr>
          <w:spacing w:val="-3"/>
          <w:w w:val="100"/>
        </w:rPr>
        <w:t>因</w:t>
      </w:r>
      <w:r>
        <w:rPr>
          <w:w w:val="100"/>
        </w:rPr>
        <w:t>此</w:t>
      </w:r>
      <w:r>
        <w:rPr>
          <w:spacing w:val="-101"/>
          <w:w w:val="100"/>
        </w:rPr>
        <w:t>，</w:t>
      </w:r>
      <w:r>
        <w:rPr>
          <w:w w:val="100"/>
        </w:rPr>
        <w:t>核</w:t>
      </w:r>
      <w:r>
        <w:rPr>
          <w:spacing w:val="-3"/>
          <w:w w:val="100"/>
        </w:rPr>
        <w:t>心</w:t>
      </w:r>
      <w:r>
        <w:rPr>
          <w:w w:val="100"/>
        </w:rPr>
        <w:t>团队</w:t>
      </w:r>
      <w:r>
        <w:rPr>
          <w:spacing w:val="-3"/>
          <w:w w:val="100"/>
        </w:rPr>
        <w:t>丰</w:t>
      </w:r>
      <w:r>
        <w:rPr>
          <w:w w:val="100"/>
        </w:rPr>
        <w:t>富</w:t>
      </w:r>
      <w:r>
        <w:rPr>
          <w:spacing w:val="-3"/>
          <w:w w:val="100"/>
        </w:rPr>
        <w:t>的</w:t>
      </w:r>
      <w:r>
        <w:rPr>
          <w:w w:val="100"/>
        </w:rPr>
        <w:t>经</w:t>
      </w:r>
      <w:r>
        <w:rPr>
          <w:spacing w:val="-3"/>
          <w:w w:val="100"/>
        </w:rPr>
        <w:t>验和</w:t>
      </w:r>
      <w:r>
        <w:rPr>
          <w:w w:val="100"/>
        </w:rPr>
        <w:t>技术</w:t>
      </w:r>
      <w:r>
        <w:rPr>
          <w:spacing w:val="-3"/>
          <w:w w:val="100"/>
        </w:rPr>
        <w:t>积</w:t>
      </w:r>
      <w:r>
        <w:rPr>
          <w:w w:val="100"/>
        </w:rPr>
        <w:t>累</w:t>
      </w:r>
      <w:r>
        <w:rPr>
          <w:spacing w:val="-3"/>
          <w:w w:val="100"/>
        </w:rPr>
        <w:t>将</w:t>
      </w:r>
      <w:r>
        <w:rPr>
          <w:w w:val="100"/>
        </w:rPr>
        <w:t>为</w:t>
      </w:r>
      <w:r>
        <w:rPr>
          <w:spacing w:val="-3"/>
          <w:w w:val="100"/>
        </w:rPr>
        <w:t>公</w:t>
      </w:r>
      <w:r>
        <w:rPr>
          <w:w w:val="100"/>
        </w:rPr>
        <w:t>司</w:t>
      </w:r>
      <w:r>
        <w:rPr>
          <w:spacing w:val="-3"/>
          <w:w w:val="100"/>
        </w:rPr>
        <w:t>在</w:t>
      </w:r>
      <w:r>
        <w:rPr>
          <w:w w:val="100"/>
        </w:rPr>
        <w:t>竞</w:t>
      </w:r>
      <w:r>
        <w:rPr>
          <w:spacing w:val="-3"/>
          <w:w w:val="100"/>
        </w:rPr>
        <w:t>争</w:t>
      </w:r>
      <w:r>
        <w:rPr>
          <w:w w:val="100"/>
        </w:rPr>
        <w:t>中取</w:t>
      </w:r>
      <w:r>
        <w:rPr>
          <w:spacing w:val="-3"/>
          <w:w w:val="100"/>
        </w:rPr>
        <w:t>得</w:t>
      </w:r>
      <w:r>
        <w:rPr>
          <w:w w:val="100"/>
        </w:rPr>
        <w:t>一</w:t>
      </w:r>
      <w:r>
        <w:rPr>
          <w:spacing w:val="-3"/>
          <w:w w:val="100"/>
        </w:rPr>
        <w:t>定优势</w:t>
      </w:r>
      <w:r>
        <w:rPr>
          <w:w w:val="100"/>
        </w:rPr>
        <w:t>。</w:t>
      </w:r>
    </w:p>
    <w:p>
      <w:pPr>
        <w:pStyle w:val="BodyText"/>
        <w:spacing w:line="272" w:lineRule="exact" w:before="1"/>
        <w:ind w:right="128" w:firstLine="422"/>
        <w:jc w:val="both"/>
      </w:pPr>
      <w:r>
        <w:rPr/>
        <w:t>公司将充分利用顾国平先生及拟建研发运营中心的核心团队在 </w:t>
      </w:r>
      <w:r>
        <w:rPr>
          <w:rFonts w:ascii="Times New Roman" w:hAnsi="Times New Roman" w:cs="Times New Roman" w:eastAsia="Times New Roman" w:hint="default"/>
        </w:rPr>
        <w:t>IT</w:t>
      </w:r>
      <w:r>
        <w:rPr>
          <w:rFonts w:ascii="Times New Roman" w:hAnsi="Times New Roman" w:cs="Times New Roman" w:eastAsia="Times New Roman" w:hint="default"/>
          <w:spacing w:val="16"/>
        </w:rPr>
        <w:t> </w:t>
      </w:r>
      <w:r>
        <w:rPr/>
        <w:t>行业的专业经验及专业优</w:t>
      </w:r>
      <w:r>
        <w:rPr>
          <w:w w:val="100"/>
        </w:rPr>
        <w:t> </w:t>
      </w:r>
      <w:r>
        <w:rPr>
          <w:spacing w:val="-1"/>
        </w:rPr>
        <w:t>势，积极推进已签署的相关智慧城市框架协议的落地实施，在做大做强地域性市场的同时，向其</w:t>
      </w:r>
    </w:p>
    <w:p>
      <w:pPr>
        <w:pStyle w:val="BodyText"/>
        <w:spacing w:line="272" w:lineRule="exact" w:before="1"/>
        <w:ind w:right="128"/>
        <w:jc w:val="both"/>
      </w:pPr>
      <w:r>
        <w:rPr>
          <w:spacing w:val="-1"/>
        </w:rPr>
        <w:t>他城市扩展，丰富行业解决方案，拓展公司产品的区域以及行业布局。公司未来几年将进一步开</w:t>
      </w:r>
      <w:r>
        <w:rPr>
          <w:spacing w:val="-55"/>
        </w:rPr>
        <w:t> </w:t>
      </w:r>
      <w:r>
        <w:rPr>
          <w:spacing w:val="-55"/>
        </w:rPr>
      </w:r>
      <w:r>
        <w:rPr>
          <w:spacing w:val="-1"/>
        </w:rPr>
        <w:t>展人才团队招募计划，其中包括：运营、人事、行政等后台运营人员以及售前、研发、安全方案</w:t>
      </w:r>
    </w:p>
    <w:p>
      <w:pPr>
        <w:pStyle w:val="BodyText"/>
        <w:spacing w:line="272" w:lineRule="exact" w:before="2"/>
        <w:ind w:right="128"/>
        <w:jc w:val="both"/>
      </w:pPr>
      <w:r>
        <w:rPr>
          <w:spacing w:val="-1"/>
        </w:rPr>
        <w:t>架构师、解决方案咨询师以及研发工程师、融资租赁咨询师等技术研发及实施咨询人员。此外，</w:t>
      </w:r>
      <w:r>
        <w:rPr>
          <w:spacing w:val="-55"/>
        </w:rPr>
        <w:t> </w:t>
      </w:r>
      <w:r>
        <w:rPr>
          <w:spacing w:val="-55"/>
        </w:rPr>
      </w:r>
      <w:r>
        <w:rPr>
          <w:spacing w:val="-1"/>
        </w:rPr>
        <w:t>公司还将根据业务发展需要，进一步建立与院校、研究所的技术合作，形成有效的产学研合作机</w:t>
      </w:r>
    </w:p>
    <w:p>
      <w:pPr>
        <w:pStyle w:val="BodyText"/>
        <w:spacing w:line="247" w:lineRule="exact"/>
        <w:ind w:right="0"/>
        <w:jc w:val="both"/>
      </w:pPr>
      <w:r>
        <w:rPr/>
        <w:t>制。</w:t>
      </w:r>
    </w:p>
    <w:p>
      <w:pPr>
        <w:pStyle w:val="BodyText"/>
        <w:spacing w:line="274" w:lineRule="exact" w:before="24"/>
        <w:ind w:left="558" w:right="123" w:firstLine="2"/>
        <w:jc w:val="left"/>
      </w:pPr>
      <w:r>
        <w:rPr>
          <w:rFonts w:ascii="Times New Roman" w:hAnsi="Times New Roman" w:cs="Times New Roman" w:eastAsia="Times New Roman" w:hint="default"/>
        </w:rPr>
        <w:t>3</w:t>
      </w:r>
      <w:r>
        <w:rPr/>
        <w:t>、项目优势</w:t>
      </w:r>
      <w:r>
        <w:rPr>
          <w:w w:val="100"/>
        </w:rPr>
        <w:t> </w:t>
      </w:r>
      <w:r>
        <w:rPr>
          <w:spacing w:val="-2"/>
        </w:rPr>
        <w:t>公司立足于自身的顶层设计能力和智慧城市产业链上下游的整合能力，以框架协议的形式，</w:t>
      </w:r>
    </w:p>
    <w:p>
      <w:pPr>
        <w:pStyle w:val="BodyText"/>
        <w:spacing w:line="245" w:lineRule="exact"/>
        <w:ind w:right="0"/>
        <w:jc w:val="both"/>
      </w:pPr>
      <w:r>
        <w:rPr/>
        <w:t>迅速抢占智慧城市的市场份额，并推动项目落地实施。公司及全资子公司智诚合讯已与相关政府</w:t>
      </w:r>
    </w:p>
    <w:p>
      <w:pPr>
        <w:pStyle w:val="BodyText"/>
        <w:spacing w:line="272" w:lineRule="exact" w:before="27"/>
        <w:ind w:right="128"/>
        <w:jc w:val="both"/>
      </w:pPr>
      <w:r>
        <w:rPr>
          <w:spacing w:val="-1"/>
        </w:rPr>
        <w:t>投资主体签署战略合作框架协议，截至报告期末，公司和智诚合讯已签署的战略合作框架协议包</w:t>
      </w:r>
      <w:r>
        <w:rPr>
          <w:spacing w:val="-55"/>
        </w:rPr>
        <w:t> </w:t>
      </w:r>
      <w:r>
        <w:rPr>
          <w:spacing w:val="-55"/>
        </w:rPr>
      </w:r>
      <w:r>
        <w:rPr>
          <w:spacing w:val="-13"/>
          <w:w w:val="100"/>
        </w:rPr>
        <w:t>括：智慧南宁战略合作协议，总投资金额</w:t>
      </w:r>
      <w:r>
        <w:rPr>
          <w:spacing w:val="-46"/>
          <w:w w:val="100"/>
        </w:rPr>
        <w:t> </w:t>
      </w:r>
      <w:r>
        <w:rPr>
          <w:rFonts w:ascii="Times New Roman" w:hAnsi="Times New Roman" w:cs="Times New Roman" w:eastAsia="Times New Roman" w:hint="default"/>
          <w:spacing w:val="-2"/>
          <w:w w:val="100"/>
        </w:rPr>
        <w:t>35</w:t>
      </w:r>
      <w:r>
        <w:rPr>
          <w:rFonts w:ascii="Times New Roman" w:hAnsi="Times New Roman" w:cs="Times New Roman" w:eastAsia="Times New Roman" w:hint="default"/>
          <w:spacing w:val="7"/>
          <w:w w:val="100"/>
        </w:rPr>
        <w:t> </w:t>
      </w:r>
      <w:r>
        <w:rPr>
          <w:spacing w:val="-6"/>
          <w:w w:val="100"/>
        </w:rPr>
        <w:t>亿元人民币；江苏沛县智慧开发区项目战略合作协议，</w:t>
      </w:r>
    </w:p>
    <w:p>
      <w:pPr>
        <w:pStyle w:val="BodyText"/>
        <w:spacing w:line="255" w:lineRule="exact"/>
        <w:ind w:right="0"/>
        <w:jc w:val="both"/>
      </w:pPr>
      <w:r>
        <w:rPr/>
        <w:t>总投资金额</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亿元人民币；智慧鹤壁战略合作协议，总投资金额</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亿元人民币；芜湖智慧城市</w:t>
      </w:r>
    </w:p>
    <w:p>
      <w:pPr>
        <w:pStyle w:val="BodyText"/>
        <w:spacing w:line="272" w:lineRule="exact"/>
        <w:ind w:right="0"/>
        <w:jc w:val="both"/>
      </w:pPr>
      <w:r>
        <w:rPr/>
        <w:t>战略合作协议，总投资金额约 </w:t>
      </w:r>
      <w:r>
        <w:rPr>
          <w:rFonts w:ascii="Times New Roman" w:hAnsi="Times New Roman" w:cs="Times New Roman" w:eastAsia="Times New Roman" w:hint="default"/>
        </w:rPr>
        <w:t>20 </w:t>
      </w:r>
      <w:r>
        <w:rPr>
          <w:rFonts w:ascii="Times New Roman" w:hAnsi="Times New Roman" w:cs="Times New Roman" w:eastAsia="Times New Roman" w:hint="default"/>
          <w:spacing w:val="7"/>
        </w:rPr>
        <w:t> </w:t>
      </w:r>
      <w:r>
        <w:rPr/>
        <w:t>亿元人民币；武汉新洲智慧城市战略合作协议，总投资金额为</w:t>
      </w:r>
    </w:p>
    <w:p>
      <w:pPr>
        <w:pStyle w:val="BodyText"/>
        <w:spacing w:line="272" w:lineRule="exact"/>
        <w:ind w:right="0"/>
        <w:jc w:val="both"/>
      </w:pPr>
      <w:r>
        <w:rPr>
          <w:rFonts w:ascii="Times New Roman" w:hAnsi="Times New Roman" w:cs="Times New Roman" w:eastAsia="Times New Roman" w:hint="default"/>
        </w:rPr>
        <w:t>21.26 </w:t>
      </w:r>
      <w:r>
        <w:rPr>
          <w:spacing w:val="-3"/>
        </w:rPr>
        <w:t>亿元人民币；韶山智慧城市战略合作协议，总投资金额为 </w:t>
      </w:r>
      <w:r>
        <w:rPr>
          <w:rFonts w:ascii="Times New Roman" w:hAnsi="Times New Roman" w:cs="Times New Roman" w:eastAsia="Times New Roman" w:hint="default"/>
        </w:rPr>
        <w:t>12.18</w:t>
      </w:r>
      <w:r>
        <w:rPr>
          <w:rFonts w:ascii="Times New Roman" w:hAnsi="Times New Roman" w:cs="Times New Roman" w:eastAsia="Times New Roman" w:hint="default"/>
          <w:spacing w:val="10"/>
        </w:rPr>
        <w:t> </w:t>
      </w:r>
      <w:r>
        <w:rPr>
          <w:spacing w:val="-3"/>
        </w:rPr>
        <w:t>亿元人民币；重庆智慧城市</w:t>
      </w:r>
    </w:p>
    <w:p>
      <w:pPr>
        <w:pStyle w:val="BodyText"/>
        <w:spacing w:line="273" w:lineRule="exact"/>
        <w:ind w:right="0"/>
        <w:jc w:val="both"/>
      </w:pPr>
      <w:r>
        <w:rPr>
          <w:spacing w:val="-4"/>
        </w:rPr>
        <w:t>战略合作协议，总投资金额已约达 </w:t>
      </w:r>
      <w:r>
        <w:rPr>
          <w:rFonts w:ascii="Times New Roman" w:hAnsi="Times New Roman" w:cs="Times New Roman" w:eastAsia="Times New Roman" w:hint="default"/>
        </w:rPr>
        <w:t>40</w:t>
      </w:r>
      <w:r>
        <w:rPr>
          <w:rFonts w:ascii="Times New Roman" w:hAnsi="Times New Roman" w:cs="Times New Roman" w:eastAsia="Times New Roman" w:hint="default"/>
          <w:spacing w:val="15"/>
        </w:rPr>
        <w:t> </w:t>
      </w:r>
      <w:r>
        <w:rPr>
          <w:spacing w:val="-4"/>
        </w:rPr>
        <w:t>亿元人民币；宁波杭州湾新区智慧城市项目战略协议，总投</w:t>
      </w:r>
    </w:p>
    <w:p>
      <w:pPr>
        <w:pStyle w:val="BodyText"/>
        <w:spacing w:line="273" w:lineRule="exact"/>
        <w:ind w:right="0"/>
        <w:jc w:val="both"/>
      </w:pPr>
      <w:r>
        <w:rPr/>
        <w:t>资金额为</w:t>
      </w:r>
      <w:r>
        <w:rPr>
          <w:spacing w:val="-39"/>
        </w:rPr>
        <w:t> </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t>亿元人民币；湖南华容县智慧城市战略合作，总投资金额为</w:t>
      </w:r>
      <w:r>
        <w:rPr>
          <w:spacing w:val="-37"/>
        </w:rPr>
        <w:t> </w:t>
      </w:r>
      <w:r>
        <w:rPr>
          <w:rFonts w:ascii="Times New Roman" w:hAnsi="Times New Roman" w:cs="Times New Roman" w:eastAsia="Times New Roman" w:hint="default"/>
        </w:rPr>
        <w:t>11.2</w:t>
      </w:r>
      <w:r>
        <w:rPr>
          <w:rFonts w:ascii="Times New Roman" w:hAnsi="Times New Roman" w:cs="Times New Roman" w:eastAsia="Times New Roman" w:hint="default"/>
          <w:spacing w:val="14"/>
        </w:rPr>
        <w:t> </w:t>
      </w:r>
      <w:r>
        <w:rPr/>
        <w:t>亿元人民币；靖江</w:t>
      </w:r>
    </w:p>
    <w:p>
      <w:pPr>
        <w:pStyle w:val="BodyText"/>
        <w:spacing w:line="272" w:lineRule="exact"/>
        <w:ind w:right="0"/>
        <w:jc w:val="both"/>
      </w:pPr>
      <w:r>
        <w:rPr/>
        <w:t>智慧城市项目战略合作协议，总投资金额为 </w:t>
      </w:r>
      <w:r>
        <w:rPr>
          <w:rFonts w:ascii="Times New Roman" w:hAnsi="Times New Roman" w:cs="Times New Roman" w:eastAsia="Times New Roman" w:hint="default"/>
        </w:rPr>
        <w:t>15.41</w:t>
      </w:r>
      <w:r>
        <w:rPr>
          <w:rFonts w:ascii="Times New Roman" w:hAnsi="Times New Roman" w:cs="Times New Roman" w:eastAsia="Times New Roman" w:hint="default"/>
          <w:spacing w:val="5"/>
        </w:rPr>
        <w:t> </w:t>
      </w:r>
      <w:r>
        <w:rPr/>
        <w:t>亿元人民币；泰兴智慧城市合作框架，总投资</w:t>
      </w:r>
    </w:p>
    <w:p>
      <w:pPr>
        <w:pStyle w:val="BodyText"/>
        <w:spacing w:line="272" w:lineRule="exact"/>
        <w:ind w:right="0"/>
        <w:jc w:val="both"/>
      </w:pPr>
      <w:r>
        <w:rPr/>
        <w:t>金额为</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亿元人民币；共建智慧宿州战略合作协议，总投资金额为</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亿元人民币。上述战略合</w:t>
      </w:r>
    </w:p>
    <w:p>
      <w:pPr>
        <w:pStyle w:val="BodyText"/>
        <w:spacing w:line="272" w:lineRule="exact" w:before="18"/>
        <w:ind w:left="558" w:right="123" w:hanging="420"/>
        <w:jc w:val="left"/>
        <w:rPr>
          <w:rFonts w:ascii="Times New Roman" w:hAnsi="Times New Roman" w:cs="Times New Roman" w:eastAsia="Times New Roman" w:hint="default"/>
        </w:rPr>
      </w:pPr>
      <w:r>
        <w:rPr>
          <w:spacing w:val="-2"/>
          <w:w w:val="100"/>
        </w:rPr>
        <w:t>作框架协议累计金额已约达</w:t>
      </w:r>
      <w:r>
        <w:rPr>
          <w:spacing w:val="-43"/>
          <w:w w:val="100"/>
        </w:rPr>
        <w:t> </w:t>
      </w:r>
      <w:r>
        <w:rPr>
          <w:rFonts w:ascii="Times New Roman" w:hAnsi="Times New Roman" w:cs="Times New Roman" w:eastAsia="Times New Roman" w:hint="default"/>
          <w:w w:val="100"/>
        </w:rPr>
        <w:t>245</w:t>
      </w:r>
      <w:r>
        <w:rPr>
          <w:rFonts w:ascii="Times New Roman" w:hAnsi="Times New Roman" w:cs="Times New Roman" w:eastAsia="Times New Roman" w:hint="default"/>
          <w:spacing w:val="7"/>
          <w:w w:val="100"/>
        </w:rPr>
        <w:t> </w:t>
      </w:r>
      <w:r>
        <w:rPr>
          <w:spacing w:val="-9"/>
          <w:w w:val="100"/>
        </w:rPr>
        <w:t>亿元。目前，公司正在积极推动上述项目中具体项目的落地实施。</w:t>
      </w:r>
      <w:r>
        <w:rPr>
          <w:spacing w:val="-101"/>
          <w:w w:val="100"/>
        </w:rPr>
        <w:t> </w:t>
      </w:r>
      <w:r>
        <w:rPr>
          <w:spacing w:val="-101"/>
          <w:w w:val="100"/>
        </w:rPr>
      </w:r>
      <w:r>
        <w:rPr>
          <w:spacing w:val="-1"/>
        </w:rPr>
        <w:t>截至报告期末，公司已签署的具有法律约束力、可立即实施的智慧城市建设合同包括：</w:t>
      </w:r>
      <w:r>
        <w:rPr>
          <w:rFonts w:ascii="Times New Roman" w:hAnsi="Times New Roman" w:cs="Times New Roman" w:eastAsia="Times New Roman" w:hint="default"/>
          <w:spacing w:val="-1"/>
        </w:rPr>
        <w:t>2015</w:t>
      </w:r>
    </w:p>
    <w:p>
      <w:pPr>
        <w:pStyle w:val="BodyText"/>
        <w:spacing w:line="255" w:lineRule="exact"/>
        <w:ind w:right="0"/>
        <w:jc w:val="both"/>
        <w:rPr>
          <w:rFonts w:ascii="Times New Roman" w:hAnsi="Times New Roman" w:cs="Times New Roman" w:eastAsia="Times New Roman" w:hint="default"/>
        </w:rPr>
      </w:pPr>
      <w:r>
        <w:rPr/>
        <w:t>年 </w:t>
      </w:r>
      <w:r>
        <w:rPr>
          <w:rFonts w:ascii="Times New Roman" w:hAnsi="Times New Roman" w:cs="Times New Roman" w:eastAsia="Times New Roman" w:hint="default"/>
        </w:rPr>
        <w:t>4 </w:t>
      </w:r>
      <w:r>
        <w:rPr/>
        <w:t>月，公司与重庆两江新区管理委员会下属重庆云计算投资运营有限公司签署了《智慧金融</w:t>
      </w:r>
      <w:r>
        <w:rPr>
          <w:rFonts w:ascii="Times New Roman" w:hAnsi="Times New Roman" w:cs="Times New Roman" w:eastAsia="Times New Roman" w:hint="default"/>
        </w:rPr>
        <w:t>&amp;</w:t>
      </w:r>
    </w:p>
    <w:p>
      <w:pPr>
        <w:pStyle w:val="BodyText"/>
        <w:spacing w:line="228" w:lineRule="auto" w:before="2"/>
        <w:ind w:right="128"/>
        <w:jc w:val="both"/>
      </w:pPr>
      <w:r>
        <w:rPr>
          <w:spacing w:val="-7"/>
        </w:rPr>
        <w:t>智慧政务共建合同》，以打造全国领先的智慧政务系统、智慧金融系统，项目金额为 </w:t>
      </w:r>
      <w:r>
        <w:rPr>
          <w:rFonts w:ascii="Times New Roman" w:hAnsi="Times New Roman" w:cs="Times New Roman" w:eastAsia="Times New Roman" w:hint="default"/>
        </w:rPr>
        <w:t>1.54 </w:t>
      </w:r>
      <w:r>
        <w:rPr>
          <w:spacing w:val="-9"/>
        </w:rPr>
        <w:t>亿；</w:t>
      </w:r>
      <w:r>
        <w:rPr>
          <w:rFonts w:ascii="Times New Roman" w:hAnsi="Times New Roman" w:cs="Times New Roman" w:eastAsia="Times New Roman" w:hint="default"/>
          <w:spacing w:val="-9"/>
        </w:rPr>
        <w:t>2015</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w w:val="100"/>
        </w:rPr>
        <w:t>年</w:t>
      </w:r>
      <w:r>
        <w:rPr>
          <w:spacing w:val="-65"/>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12"/>
          <w:w w:val="100"/>
        </w:rPr>
        <w:t> </w:t>
      </w:r>
      <w:r>
        <w:rPr>
          <w:spacing w:val="-7"/>
          <w:w w:val="100"/>
        </w:rPr>
        <w:t>月，公司与宁波杭州湾新区开发建设有限公司签署了《宁波杭州湾新区滨海六路智慧交通</w:t>
      </w:r>
      <w:r>
        <w:rPr>
          <w:spacing w:val="-4"/>
          <w:w w:val="100"/>
        </w:rPr>
        <w:t> </w:t>
      </w:r>
      <w:r>
        <w:rPr>
          <w:rFonts w:ascii="Times New Roman" w:hAnsi="Times New Roman" w:cs="Times New Roman" w:eastAsia="Times New Roman" w:hint="default"/>
          <w:w w:val="100"/>
        </w:rPr>
        <w:t>PPP</w:t>
      </w:r>
      <w:r>
        <w:rPr>
          <w:rFonts w:ascii="Times New Roman" w:hAnsi="Times New Roman" w:cs="Times New Roman" w:eastAsia="Times New Roman" w:hint="default"/>
          <w:w w:val="100"/>
        </w:rPr>
        <w:t> </w:t>
      </w:r>
      <w:r>
        <w:rPr>
          <w:spacing w:val="-1"/>
        </w:rPr>
        <w:t>建设合同》，由公司负责宁波杭州湾新区智慧交通项目的投融资与工程建设服务，合同价款总额</w:t>
      </w:r>
      <w:r>
        <w:rPr>
          <w:spacing w:val="-55"/>
        </w:rPr>
        <w:t> </w:t>
      </w:r>
      <w:r>
        <w:rPr>
          <w:spacing w:val="-55"/>
        </w:rPr>
      </w:r>
      <w:r>
        <w:rPr/>
        <w:t>为人民币</w:t>
      </w:r>
      <w:r>
        <w:rPr>
          <w:spacing w:val="-41"/>
        </w:rPr>
        <w:t> </w:t>
      </w:r>
      <w:r>
        <w:rPr>
          <w:rFonts w:ascii="Times New Roman" w:hAnsi="Times New Roman" w:cs="Times New Roman" w:eastAsia="Times New Roman" w:hint="default"/>
        </w:rPr>
        <w:t>46,146.94</w:t>
      </w:r>
      <w:r>
        <w:rPr>
          <w:rFonts w:ascii="Times New Roman" w:hAnsi="Times New Roman" w:cs="Times New Roman" w:eastAsia="Times New Roman" w:hint="default"/>
          <w:spacing w:val="9"/>
        </w:rPr>
        <w:t>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月，公司与华容县海源建设投资有限公司签署了《湖南华容</w:t>
      </w:r>
      <w:r>
        <w:rPr>
          <w:w w:val="100"/>
        </w:rPr>
        <w:t> </w:t>
      </w:r>
      <w:r>
        <w:rPr/>
        <w:t>工业集中区智慧创新产业园</w:t>
      </w:r>
      <w:r>
        <w:rPr>
          <w:spacing w:val="-33"/>
        </w:rPr>
        <w:t> </w:t>
      </w:r>
      <w:r>
        <w:rPr>
          <w:rFonts w:ascii="Times New Roman" w:hAnsi="Times New Roman" w:cs="Times New Roman" w:eastAsia="Times New Roman" w:hint="default"/>
        </w:rPr>
        <w:t>PPP</w:t>
      </w:r>
      <w:r>
        <w:rPr>
          <w:rFonts w:ascii="Times New Roman" w:hAnsi="Times New Roman" w:cs="Times New Roman" w:eastAsia="Times New Roman" w:hint="default"/>
          <w:spacing w:val="23"/>
        </w:rPr>
        <w:t> </w:t>
      </w:r>
      <w:r>
        <w:rPr>
          <w:spacing w:val="-3"/>
        </w:rPr>
        <w:t>建设合同》，由公司负责华容县工业集中区智慧创新产业园项目</w:t>
      </w:r>
      <w:r>
        <w:rPr>
          <w:spacing w:val="-96"/>
        </w:rPr>
        <w:t> </w:t>
      </w:r>
      <w:r>
        <w:rPr>
          <w:spacing w:val="-96"/>
        </w:rPr>
      </w:r>
      <w:r>
        <w:rPr>
          <w:spacing w:val="-3"/>
        </w:rPr>
        <w:t>的投融资与工程建设服务，合同价款总额为人民币</w:t>
      </w:r>
      <w:r>
        <w:rPr>
          <w:spacing w:val="-43"/>
        </w:rPr>
        <w:t> </w:t>
      </w:r>
      <w:r>
        <w:rPr>
          <w:rFonts w:ascii="Times New Roman" w:hAnsi="Times New Roman" w:cs="Times New Roman" w:eastAsia="Times New Roman" w:hint="default"/>
        </w:rPr>
        <w:t>37,200</w:t>
      </w:r>
      <w:r>
        <w:rPr>
          <w:rFonts w:ascii="Times New Roman" w:hAnsi="Times New Roman" w:cs="Times New Roman" w:eastAsia="Times New Roman" w:hint="default"/>
          <w:spacing w:val="8"/>
        </w:rPr>
        <w:t> </w:t>
      </w:r>
      <w:r>
        <w:rPr>
          <w:spacing w:val="-6"/>
        </w:rPr>
        <w:t>万元；</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spacing w:val="-5"/>
        </w:rPr>
        <w:t>月，公司与贵州中科建</w:t>
      </w:r>
      <w:r>
        <w:rPr>
          <w:spacing w:val="-101"/>
        </w:rPr>
        <w:t> </w:t>
      </w:r>
      <w:r>
        <w:rPr>
          <w:spacing w:val="-101"/>
        </w:rPr>
      </w:r>
      <w:r>
        <w:rPr>
          <w:spacing w:val="-1"/>
        </w:rPr>
        <w:t>设有限公司签署了《西安市机关干部住宅智慧社区项目共建合同》，由公司负责设计、开发、实</w:t>
      </w:r>
      <w:r>
        <w:rPr>
          <w:spacing w:val="-55"/>
        </w:rPr>
        <w:t> </w:t>
      </w:r>
      <w:r>
        <w:rPr>
          <w:spacing w:val="-55"/>
        </w:rPr>
      </w:r>
      <w:r>
        <w:rPr>
          <w:spacing w:val="-3"/>
        </w:rPr>
        <w:t>施、运维的智慧社区部分的合同金额为人民币</w:t>
      </w:r>
      <w:r>
        <w:rPr>
          <w:spacing w:val="-42"/>
        </w:rPr>
        <w:t> </w:t>
      </w:r>
      <w:r>
        <w:rPr>
          <w:rFonts w:ascii="Times New Roman" w:hAnsi="Times New Roman" w:cs="Times New Roman" w:eastAsia="Times New Roman" w:hint="default"/>
        </w:rPr>
        <w:t>8.29</w:t>
      </w:r>
      <w:r>
        <w:rPr>
          <w:rFonts w:ascii="Times New Roman" w:hAnsi="Times New Roman" w:cs="Times New Roman" w:eastAsia="Times New Roman" w:hint="default"/>
          <w:spacing w:val="8"/>
        </w:rPr>
        <w:t> </w:t>
      </w:r>
      <w:r>
        <w:rPr>
          <w:spacing w:val="-5"/>
        </w:rPr>
        <w:t>亿元；</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spacing w:val="-4"/>
        </w:rPr>
        <w:t>月，公司与沈阳市沈北新区人</w:t>
      </w:r>
    </w:p>
    <w:p>
      <w:pPr>
        <w:spacing w:after="0" w:line="228"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30" w:lineRule="auto" w:before="46"/>
        <w:ind w:right="208"/>
        <w:jc w:val="both"/>
      </w:pPr>
      <w:r>
        <w:rPr>
          <w:spacing w:val="-1"/>
        </w:rPr>
        <w:t>民政府直属企业辽宁现代通讯产业投资发展有限公司签署了《沈阳市智慧沈北项目共建合同》，</w:t>
      </w:r>
      <w:r>
        <w:rPr>
          <w:spacing w:val="-56"/>
        </w:rPr>
        <w:t> </w:t>
      </w:r>
      <w:r>
        <w:rPr>
          <w:spacing w:val="-56"/>
        </w:rPr>
      </w:r>
      <w:r>
        <w:rPr>
          <w:spacing w:val="-3"/>
        </w:rPr>
        <w:t>组建项目合资公司承担实施智慧沈北项目投资建设与运营，合同总额为人民币</w:t>
      </w:r>
      <w:r>
        <w:rPr>
          <w:spacing w:val="-38"/>
        </w:rPr>
        <w:t> </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spacing w:val="-8"/>
        </w:rPr>
        <w:t>亿元；</w:t>
      </w:r>
      <w:r>
        <w:rPr>
          <w:rFonts w:ascii="Times New Roman" w:hAnsi="Times New Roman" w:cs="Times New Roman" w:eastAsia="Times New Roman" w:hint="default"/>
          <w:spacing w:val="-8"/>
        </w:rPr>
        <w:t>2015</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47"/>
        </w:rPr>
        <w:t> </w:t>
      </w:r>
      <w:r>
        <w:rPr/>
        <w:t>月，公司与靖江新港城投资建设有限公司签署了《靖江市智慧新港城项目</w:t>
      </w:r>
      <w:r>
        <w:rPr>
          <w:spacing w:val="-59"/>
        </w:rPr>
        <w:t> </w:t>
      </w:r>
      <w:r>
        <w:rPr>
          <w:rFonts w:ascii="Times New Roman" w:hAnsi="Times New Roman" w:cs="Times New Roman" w:eastAsia="Times New Roman" w:hint="default"/>
        </w:rPr>
        <w:t>PPP</w:t>
      </w:r>
      <w:r>
        <w:rPr>
          <w:rFonts w:ascii="Times New Roman" w:hAnsi="Times New Roman" w:cs="Times New Roman" w:eastAsia="Times New Roman" w:hint="default"/>
          <w:spacing w:val="-3"/>
        </w:rPr>
        <w:t> </w:t>
      </w:r>
      <w:r>
        <w:rPr>
          <w:spacing w:val="-3"/>
        </w:rPr>
        <w:t>共建合同》，公司</w:t>
      </w:r>
      <w:r>
        <w:rPr>
          <w:w w:val="100"/>
        </w:rPr>
        <w:t> </w:t>
      </w:r>
      <w:r>
        <w:rPr>
          <w:spacing w:val="-3"/>
        </w:rPr>
        <w:t>负责靖江市智慧城市项目的总体规划设计，合同总额为 </w:t>
      </w:r>
      <w:r>
        <w:rPr>
          <w:rFonts w:ascii="Times New Roman" w:hAnsi="Times New Roman" w:cs="Times New Roman" w:eastAsia="Times New Roman" w:hint="default"/>
        </w:rPr>
        <w:t>7.69</w:t>
      </w:r>
      <w:r>
        <w:rPr>
          <w:rFonts w:ascii="Times New Roman" w:hAnsi="Times New Roman" w:cs="Times New Roman" w:eastAsia="Times New Roman" w:hint="default"/>
          <w:spacing w:val="21"/>
        </w:rPr>
        <w:t> </w:t>
      </w:r>
      <w:r>
        <w:rPr>
          <w:spacing w:val="-3"/>
        </w:rPr>
        <w:t>亿元。上述六个智慧城市项目累计合</w:t>
      </w:r>
    </w:p>
    <w:p>
      <w:pPr>
        <w:pStyle w:val="BodyText"/>
        <w:spacing w:line="274" w:lineRule="exact" w:before="8"/>
        <w:ind w:right="210"/>
        <w:jc w:val="both"/>
      </w:pPr>
      <w:r>
        <w:rPr/>
        <w:t>同金额约达人民币 </w:t>
      </w:r>
      <w:r>
        <w:rPr>
          <w:rFonts w:ascii="Times New Roman" w:hAnsi="Times New Roman" w:cs="Times New Roman" w:eastAsia="Times New Roman" w:hint="default"/>
        </w:rPr>
        <w:t>40 </w:t>
      </w:r>
      <w:r>
        <w:rPr>
          <w:spacing w:val="-5"/>
        </w:rPr>
        <w:t>亿元，上述合同均已履行必要的政府审批和立项程序，政府项目已纳入财政</w:t>
      </w:r>
      <w:r>
        <w:rPr>
          <w:spacing w:val="-97"/>
        </w:rPr>
        <w:t> </w:t>
      </w:r>
      <w:r>
        <w:rPr>
          <w:spacing w:val="-97"/>
        </w:rPr>
      </w:r>
      <w:r>
        <w:rPr/>
        <w:t>资金预算，具有较强的回款保障。</w:t>
      </w:r>
    </w:p>
    <w:p>
      <w:pPr>
        <w:pStyle w:val="BodyText"/>
        <w:spacing w:line="245" w:lineRule="exact"/>
        <w:ind w:right="0" w:firstLine="422"/>
        <w:jc w:val="both"/>
      </w:pPr>
      <w:r>
        <w:rPr/>
        <w:t>公司以战略合作框架协议的形式切入智慧城市建设，已签订了较多的资源，为公司预先抢占</w:t>
      </w:r>
    </w:p>
    <w:p>
      <w:pPr>
        <w:pStyle w:val="BodyText"/>
        <w:spacing w:line="237" w:lineRule="auto" w:before="2"/>
        <w:ind w:right="208"/>
        <w:jc w:val="both"/>
      </w:pPr>
      <w:r>
        <w:rPr>
          <w:spacing w:val="-1"/>
        </w:rPr>
        <w:t>市场赢得项目打下了坚实的基础。除此之外，公司及子公司智诚合讯还通过与绿地（香港）控股</w:t>
      </w:r>
      <w:r>
        <w:rPr>
          <w:spacing w:val="-55"/>
        </w:rPr>
        <w:t> </w:t>
      </w:r>
      <w:r>
        <w:rPr>
          <w:spacing w:val="-55"/>
        </w:rPr>
      </w:r>
      <w:r>
        <w:rPr>
          <w:spacing w:val="-1"/>
        </w:rPr>
        <w:t>有限公司、湖南省有线电视网络（集团）股份有限公司等具备区位资源及行业优势的大型企业签</w:t>
      </w:r>
      <w:r>
        <w:rPr>
          <w:spacing w:val="-55"/>
        </w:rPr>
        <w:t> </w:t>
      </w:r>
      <w:r>
        <w:rPr>
          <w:spacing w:val="-55"/>
        </w:rPr>
      </w:r>
      <w:r>
        <w:rPr>
          <w:spacing w:val="-1"/>
        </w:rPr>
        <w:t>署《战略合作协议》，达成战略合作伙伴关系，以有利于共同开发智慧城市项目资源。随着具体</w:t>
      </w:r>
      <w:r>
        <w:rPr>
          <w:spacing w:val="-55"/>
        </w:rPr>
        <w:t> </w:t>
      </w:r>
      <w:r>
        <w:rPr>
          <w:spacing w:val="-55"/>
        </w:rPr>
      </w:r>
      <w:r>
        <w:rPr>
          <w:spacing w:val="-1"/>
        </w:rPr>
        <w:t>智慧城市项目的落地实施，公司将逐步实现产业转型升级，改善公司经营业绩，使得公司资本结</w:t>
      </w:r>
      <w:r>
        <w:rPr>
          <w:spacing w:val="-55"/>
        </w:rPr>
        <w:t> </w:t>
      </w:r>
      <w:r>
        <w:rPr>
          <w:spacing w:val="-55"/>
        </w:rPr>
      </w:r>
      <w:r>
        <w:rPr>
          <w:spacing w:val="-1"/>
        </w:rPr>
        <w:t>构得到改善、提升公司整体竞争力，保护公司股东和债权人的共同利益，为公司的可持续发展奠</w:t>
      </w:r>
      <w:r>
        <w:rPr>
          <w:spacing w:val="-55"/>
        </w:rPr>
        <w:t> </w:t>
      </w:r>
      <w:r>
        <w:rPr>
          <w:spacing w:val="-55"/>
        </w:rPr>
      </w:r>
      <w:r>
        <w:rPr/>
        <w:t>定坚实的基础。</w:t>
      </w:r>
    </w:p>
    <w:p>
      <w:pPr>
        <w:pStyle w:val="BodyText"/>
        <w:spacing w:line="272" w:lineRule="exact" w:before="26"/>
        <w:ind w:left="560" w:right="97"/>
        <w:jc w:val="left"/>
      </w:pPr>
      <w:r>
        <w:rPr>
          <w:rFonts w:ascii="Times New Roman" w:hAnsi="Times New Roman" w:cs="Times New Roman" w:eastAsia="Times New Roman" w:hint="default"/>
        </w:rPr>
        <w:t>4</w:t>
      </w:r>
      <w:r>
        <w:rPr/>
        <w:t>、业务能力优势</w:t>
      </w:r>
      <w:r>
        <w:rPr>
          <w:w w:val="100"/>
        </w:rPr>
        <w:t> </w:t>
      </w:r>
      <w:r>
        <w:rPr>
          <w:spacing w:val="-2"/>
        </w:rPr>
        <w:t>目前，公司主要通过智慧城市业务核心团队进行市场开拓并与各地方政府签订战略合作框架</w:t>
      </w:r>
    </w:p>
    <w:p>
      <w:pPr>
        <w:pStyle w:val="BodyText"/>
        <w:spacing w:line="272" w:lineRule="exact" w:before="1"/>
        <w:ind w:right="208"/>
        <w:jc w:val="both"/>
      </w:pPr>
      <w:r>
        <w:rPr>
          <w:spacing w:val="-1"/>
        </w:rPr>
        <w:t>协议的方式建立业务渠道。业务初期更多以提供智慧城市顶层架构设计咨询服务以及运营维护服</w:t>
      </w:r>
      <w:r>
        <w:rPr>
          <w:spacing w:val="-55"/>
        </w:rPr>
        <w:t> </w:t>
      </w:r>
      <w:r>
        <w:rPr>
          <w:spacing w:val="-55"/>
        </w:rPr>
      </w:r>
      <w:r>
        <w:rPr>
          <w:spacing w:val="-1"/>
        </w:rPr>
        <w:t>务为切入点，而在后续业务拓展及具体项目实施过程中，如果部分项目在落地招标等环节中涉及</w:t>
      </w:r>
    </w:p>
    <w:p>
      <w:pPr>
        <w:pStyle w:val="BodyText"/>
        <w:spacing w:line="272" w:lineRule="exact" w:before="1"/>
        <w:ind w:right="208"/>
        <w:jc w:val="both"/>
      </w:pPr>
      <w:r>
        <w:rPr>
          <w:spacing w:val="-1"/>
        </w:rPr>
        <w:t>系统集成资质、涉密系统集成等或建筑智能化相关的专项业务资质时，由于获得此类资质需要经</w:t>
      </w:r>
      <w:r>
        <w:rPr>
          <w:spacing w:val="-55"/>
        </w:rPr>
        <w:t> </w:t>
      </w:r>
      <w:r>
        <w:rPr>
          <w:spacing w:val="-55"/>
        </w:rPr>
      </w:r>
      <w:r>
        <w:rPr>
          <w:spacing w:val="-1"/>
        </w:rPr>
        <w:t>过一段时间的筹备期和评审期，公司在转型初期将面临一定挑战。公司将在公司层面协同资源，</w:t>
      </w:r>
      <w:r>
        <w:rPr>
          <w:spacing w:val="-55"/>
        </w:rPr>
        <w:t> </w:t>
      </w:r>
      <w:r>
        <w:rPr>
          <w:spacing w:val="-55"/>
        </w:rPr>
      </w:r>
      <w:r>
        <w:rPr>
          <w:spacing w:val="-1"/>
        </w:rPr>
        <w:t>根据实际业务需要，通过自主申请并结合投资控股具备资质的项目公司的形式尽快获取相关业务</w:t>
      </w:r>
    </w:p>
    <w:p>
      <w:pPr>
        <w:pStyle w:val="BodyText"/>
        <w:spacing w:line="247" w:lineRule="exact"/>
        <w:ind w:right="0"/>
        <w:jc w:val="both"/>
      </w:pPr>
      <w:r>
        <w:rPr/>
        <w:t>资质。</w:t>
      </w:r>
    </w:p>
    <w:p>
      <w:pPr>
        <w:pStyle w:val="BodyText"/>
        <w:spacing w:line="230" w:lineRule="auto" w:before="8"/>
        <w:ind w:right="208" w:firstLine="422"/>
        <w:jc w:val="both"/>
      </w:pPr>
      <w:r>
        <w:rPr>
          <w:spacing w:val="-3"/>
        </w:rPr>
        <w:t>截至报告期末，公司已签署约 </w:t>
      </w:r>
      <w:r>
        <w:rPr>
          <w:rFonts w:ascii="Times New Roman" w:hAnsi="Times New Roman" w:cs="Times New Roman" w:eastAsia="Times New Roman" w:hint="default"/>
        </w:rPr>
        <w:t>245 </w:t>
      </w:r>
      <w:r>
        <w:rPr>
          <w:spacing w:val="-3"/>
        </w:rPr>
        <w:t>亿智慧城市框架协议、</w:t>
      </w:r>
      <w:r>
        <w:rPr>
          <w:rFonts w:ascii="Times New Roman" w:hAnsi="Times New Roman" w:cs="Times New Roman" w:eastAsia="Times New Roman" w:hint="default"/>
          <w:spacing w:val="-3"/>
        </w:rPr>
        <w:t>40</w:t>
      </w:r>
      <w:r>
        <w:rPr>
          <w:rFonts w:ascii="Times New Roman" w:hAnsi="Times New Roman" w:cs="Times New Roman" w:eastAsia="Times New Roman" w:hint="default"/>
          <w:spacing w:val="5"/>
        </w:rPr>
        <w:t> </w:t>
      </w:r>
      <w:r>
        <w:rPr>
          <w:spacing w:val="-3"/>
        </w:rPr>
        <w:t>亿智慧城市项目合同，并与相关</w:t>
      </w:r>
      <w:r>
        <w:rPr>
          <w:w w:val="100"/>
        </w:rPr>
        <w:t> </w:t>
      </w:r>
      <w:r>
        <w:rPr>
          <w:spacing w:val="-1"/>
        </w:rPr>
        <w:t>具备区位资源及行业优势的大型企业签署《战略合作协议》，上述协议、合同的签署足以说明业</w:t>
      </w:r>
      <w:r>
        <w:rPr>
          <w:spacing w:val="-55"/>
        </w:rPr>
        <w:t> </w:t>
      </w:r>
      <w:r>
        <w:rPr>
          <w:spacing w:val="-55"/>
        </w:rPr>
      </w:r>
      <w:r>
        <w:rPr/>
        <w:t>主对公司未来承接智慧城市项目时在人员、资金及技术能力等方面的认可。</w:t>
      </w:r>
    </w:p>
    <w:p>
      <w:pPr>
        <w:pStyle w:val="BodyText"/>
        <w:spacing w:line="232" w:lineRule="auto" w:before="7"/>
        <w:ind w:right="207" w:firstLine="422"/>
        <w:jc w:val="both"/>
      </w:pPr>
      <w:r>
        <w:rPr>
          <w:spacing w:val="-2"/>
        </w:rPr>
        <w:t>公司通过在业务资源、人力资源、技术资源和资金资源方面的发展，已打造出顶层设计、数</w:t>
      </w:r>
      <w:r>
        <w:rPr>
          <w:w w:val="100"/>
        </w:rPr>
        <w:t> </w:t>
      </w:r>
      <w:r>
        <w:rPr>
          <w:spacing w:val="-1"/>
        </w:rPr>
        <w:t>据共享与社会化利用、智慧化的价值和业务定位，公司未来将以城市公共服务建设为运营模式，</w:t>
      </w:r>
      <w:r>
        <w:rPr>
          <w:spacing w:val="-55"/>
        </w:rPr>
        <w:t> </w:t>
      </w:r>
      <w:r>
        <w:rPr>
          <w:spacing w:val="-55"/>
        </w:rPr>
      </w:r>
      <w:r>
        <w:rPr/>
        <w:t>该模式完全不同于企业以 </w:t>
      </w:r>
      <w:r>
        <w:rPr>
          <w:rFonts w:ascii="Times New Roman" w:hAnsi="Times New Roman" w:cs="Times New Roman" w:eastAsia="Times New Roman" w:hint="default"/>
        </w:rPr>
        <w:t>IT </w:t>
      </w:r>
      <w:r>
        <w:rPr>
          <w:spacing w:val="-5"/>
        </w:rPr>
        <w:t>技术为核心的产品与方案型运营模式，为公司提供了一种颠覆式创新</w:t>
      </w:r>
      <w:r>
        <w:rPr>
          <w:spacing w:val="-99"/>
        </w:rPr>
        <w:t> </w:t>
      </w:r>
      <w:r>
        <w:rPr>
          <w:spacing w:val="-99"/>
        </w:rPr>
      </w:r>
      <w:r>
        <w:rPr/>
        <w:t>的可能，这将成为公司智慧城市业务独特的能力。</w:t>
      </w:r>
    </w:p>
    <w:p>
      <w:pPr>
        <w:pStyle w:val="BodyText"/>
        <w:spacing w:line="232" w:lineRule="auto" w:before="7"/>
        <w:ind w:right="207" w:firstLine="422"/>
        <w:jc w:val="both"/>
      </w:pPr>
      <w:r>
        <w:rPr>
          <w:spacing w:val="-2"/>
        </w:rPr>
        <w:t>目前，凭借核心团队的资源和技术积累，公司逐步在人才团队、融资方式、项目资源、业务</w:t>
      </w:r>
      <w:r>
        <w:rPr>
          <w:w w:val="100"/>
        </w:rPr>
        <w:t> </w:t>
      </w:r>
      <w:r>
        <w:rPr>
          <w:spacing w:val="-1"/>
        </w:rPr>
        <w:t>能力等方面得到进一步加强，具备开展智慧城市业务的能力。在业务层面，已形成顶层设计和咨</w:t>
      </w:r>
      <w:r>
        <w:rPr>
          <w:spacing w:val="-55"/>
        </w:rPr>
        <w:t> </w:t>
      </w:r>
      <w:r>
        <w:rPr>
          <w:spacing w:val="-55"/>
        </w:rPr>
      </w:r>
      <w:r>
        <w:rPr/>
        <w:t>询服务、城市大数据和运营管理平台、信息安全和互联网安全、行业垂直应用、</w:t>
      </w:r>
      <w:r>
        <w:rPr>
          <w:rFonts w:ascii="Times New Roman" w:hAnsi="Times New Roman" w:cs="Times New Roman" w:eastAsia="Times New Roman" w:hint="default"/>
        </w:rPr>
        <w:t>PPP</w:t>
      </w:r>
      <w:r>
        <w:rPr>
          <w:rFonts w:ascii="Times New Roman" w:hAnsi="Times New Roman" w:cs="Times New Roman" w:eastAsia="Times New Roman" w:hint="default"/>
          <w:spacing w:val="23"/>
        </w:rPr>
        <w:t> </w:t>
      </w:r>
      <w:r>
        <w:rPr/>
        <w:t>客户融资等</w:t>
      </w:r>
      <w:r>
        <w:rPr>
          <w:w w:val="100"/>
        </w:rPr>
        <w:t> </w:t>
      </w:r>
      <w:r>
        <w:rPr/>
        <w:t>为核心竞争力的整体解决方案与项目实施能力。</w:t>
      </w:r>
    </w:p>
    <w:p>
      <w:pPr>
        <w:spacing w:line="240" w:lineRule="auto" w:before="2"/>
        <w:rPr>
          <w:rFonts w:ascii="宋体" w:hAnsi="宋体" w:cs="宋体" w:eastAsia="宋体" w:hint="default"/>
          <w:sz w:val="24"/>
          <w:szCs w:val="24"/>
        </w:rPr>
      </w:pPr>
    </w:p>
    <w:p>
      <w:pPr>
        <w:pStyle w:val="Heading1"/>
        <w:tabs>
          <w:tab w:pos="1259" w:val="left" w:leader="none"/>
        </w:tabs>
        <w:spacing w:line="240" w:lineRule="auto"/>
        <w:ind w:right="75"/>
        <w:jc w:val="center"/>
        <w:rPr>
          <w:b w:val="0"/>
          <w:bCs w:val="0"/>
        </w:rPr>
      </w:pPr>
      <w:bookmarkStart w:name="_TOC_250008" w:id="4"/>
      <w:r>
        <w:rPr>
          <w:w w:val="95"/>
        </w:rPr>
        <w:t>第四节</w:t>
        <w:tab/>
      </w:r>
      <w:r>
        <w:rPr/>
        <w:t>管理层讨论与分析</w:t>
      </w:r>
      <w:bookmarkEnd w:id="4"/>
      <w:r>
        <w:rPr>
          <w:b w:val="0"/>
          <w:bCs w:val="0"/>
        </w:rPr>
      </w:r>
    </w:p>
    <w:p>
      <w:pPr>
        <w:spacing w:line="240" w:lineRule="auto" w:before="4"/>
        <w:rPr>
          <w:rFonts w:ascii="黑体" w:hAnsi="黑体" w:cs="黑体" w:eastAsia="黑体" w:hint="default"/>
          <w:b/>
          <w:bCs/>
          <w:sz w:val="19"/>
          <w:szCs w:val="19"/>
        </w:rPr>
      </w:pPr>
    </w:p>
    <w:p>
      <w:pPr>
        <w:pStyle w:val="Heading3"/>
        <w:spacing w:line="240" w:lineRule="auto"/>
        <w:ind w:left="138" w:right="0"/>
        <w:jc w:val="both"/>
        <w:rPr>
          <w:b w:val="0"/>
          <w:bCs w:val="0"/>
        </w:rPr>
      </w:pPr>
      <w:r>
        <w:rPr/>
        <w:t>一、管理层讨论与分析</w:t>
      </w:r>
      <w:r>
        <w:rPr>
          <w:b w:val="0"/>
          <w:bCs w:val="0"/>
        </w:rPr>
      </w:r>
    </w:p>
    <w:p>
      <w:pPr>
        <w:spacing w:line="240" w:lineRule="auto" w:before="3"/>
        <w:rPr>
          <w:rFonts w:ascii="宋体" w:hAnsi="宋体" w:cs="宋体" w:eastAsia="宋体" w:hint="default"/>
          <w:b/>
          <w:bCs/>
          <w:sz w:val="25"/>
          <w:szCs w:val="25"/>
        </w:rPr>
      </w:pPr>
    </w:p>
    <w:p>
      <w:pPr>
        <w:pStyle w:val="Heading3"/>
        <w:spacing w:line="274" w:lineRule="exact"/>
        <w:ind w:left="558" w:right="97"/>
        <w:jc w:val="left"/>
        <w:rPr>
          <w:b w:val="0"/>
          <w:bCs w:val="0"/>
        </w:rPr>
      </w:pPr>
      <w:r>
        <w:rPr/>
        <w:t>（一）智慧城市业务板块</w:t>
      </w:r>
      <w:r>
        <w:rPr>
          <w:b w:val="0"/>
          <w:bCs w:val="0"/>
        </w:rPr>
      </w:r>
    </w:p>
    <w:p>
      <w:pPr>
        <w:pStyle w:val="BodyText"/>
        <w:spacing w:line="232" w:lineRule="auto" w:before="6"/>
        <w:ind w:right="97" w:firstLine="419"/>
        <w:jc w:val="left"/>
      </w:pPr>
      <w:r>
        <w:rPr>
          <w:rFonts w:ascii="Times New Roman" w:hAnsi="Times New Roman" w:cs="Times New Roman" w:eastAsia="Times New Roman" w:hint="default"/>
          <w:w w:val="100"/>
        </w:rPr>
        <w:t>2015</w:t>
      </w:r>
      <w:r>
        <w:rPr>
          <w:rFonts w:ascii="Times New Roman" w:hAnsi="Times New Roman" w:cs="Times New Roman" w:eastAsia="Times New Roman" w:hint="default"/>
          <w:spacing w:val="-22"/>
          <w:w w:val="100"/>
        </w:rPr>
        <w:t> </w:t>
      </w:r>
      <w:r>
        <w:rPr>
          <w:spacing w:val="-6"/>
          <w:w w:val="100"/>
        </w:rPr>
        <w:t>年是公司自主营业务向智慧城市相关领域转型的起始年，而</w:t>
      </w:r>
      <w:r>
        <w:rPr>
          <w:spacing w:val="-77"/>
          <w:w w:val="100"/>
        </w:rPr>
        <w:t> </w:t>
      </w:r>
      <w:r>
        <w:rPr>
          <w:rFonts w:ascii="Times New Roman" w:hAnsi="Times New Roman" w:cs="Times New Roman" w:eastAsia="Times New Roman" w:hint="default"/>
          <w:w w:val="100"/>
        </w:rPr>
        <w:t>2015</w:t>
      </w:r>
      <w:r>
        <w:rPr>
          <w:rFonts w:ascii="Times New Roman" w:hAnsi="Times New Roman" w:cs="Times New Roman" w:eastAsia="Times New Roman" w:hint="default"/>
          <w:spacing w:val="-25"/>
          <w:w w:val="100"/>
        </w:rPr>
        <w:t> </w:t>
      </w:r>
      <w:r>
        <w:rPr>
          <w:spacing w:val="-2"/>
          <w:w w:val="100"/>
        </w:rPr>
        <w:t>年又恰逢面临国内</w:t>
      </w:r>
      <w:r>
        <w:rPr>
          <w:spacing w:val="-77"/>
          <w:w w:val="100"/>
        </w:rPr>
        <w:t> </w:t>
      </w:r>
      <w:r>
        <w:rPr>
          <w:rFonts w:ascii="Times New Roman" w:hAnsi="Times New Roman" w:cs="Times New Roman" w:eastAsia="Times New Roman" w:hint="default"/>
          <w:spacing w:val="-2"/>
          <w:w w:val="100"/>
        </w:rPr>
        <w:t>GDP </w:t>
      </w:r>
      <w:r>
        <w:rPr/>
        <w:t>数据自 </w:t>
      </w:r>
      <w:r>
        <w:rPr>
          <w:rFonts w:ascii="Times New Roman" w:hAnsi="Times New Roman" w:cs="Times New Roman" w:eastAsia="Times New Roman" w:hint="default"/>
        </w:rPr>
        <w:t>1990 </w:t>
      </w:r>
      <w:r>
        <w:rPr/>
        <w:t>年以来首次跌破</w:t>
      </w:r>
      <w:r>
        <w:rPr>
          <w:spacing w:val="-65"/>
        </w:rPr>
        <w:t> </w:t>
      </w:r>
      <w:r>
        <w:rPr>
          <w:rFonts w:ascii="Times New Roman" w:hAnsi="Times New Roman" w:cs="Times New Roman" w:eastAsia="Times New Roman" w:hint="default"/>
        </w:rPr>
        <w:t>7%</w:t>
      </w:r>
      <w:r>
        <w:rPr/>
        <w:t>，国内经济下滑，整体大环境低迷，政府整体去产能的新形式。</w:t>
      </w:r>
      <w:r>
        <w:rPr>
          <w:w w:val="100"/>
        </w:rPr>
        <w:t> </w:t>
      </w:r>
      <w:r>
        <w:rPr/>
        <w:t>在此背景下，公司管理层按照董事会年初制定的经营计划，紧抓企业发展和经营大局，积极应对</w:t>
      </w:r>
      <w:r>
        <w:rPr>
          <w:spacing w:val="-97"/>
        </w:rPr>
        <w:t> </w:t>
      </w:r>
      <w:r>
        <w:rPr>
          <w:spacing w:val="-97"/>
        </w:rPr>
      </w:r>
      <w:r>
        <w:rPr/>
        <w:t>各种挑战，在逆势中寻求突破，不断创新营销管理，加快主业拓展项目的开发，储备和建设，积</w:t>
      </w:r>
      <w:r>
        <w:rPr>
          <w:spacing w:val="-97"/>
        </w:rPr>
        <w:t> </w:t>
      </w:r>
      <w:r>
        <w:rPr>
          <w:spacing w:val="-97"/>
        </w:rPr>
      </w:r>
      <w:r>
        <w:rPr/>
        <w:t>极抓住新形势下的行业发展机遇，积极应对市场环境和行业发展增速放缓的局面，不断优化资本</w:t>
      </w:r>
      <w:r>
        <w:rPr>
          <w:spacing w:val="-97"/>
        </w:rPr>
        <w:t> </w:t>
      </w:r>
      <w:r>
        <w:rPr>
          <w:spacing w:val="-97"/>
        </w:rPr>
      </w:r>
      <w:r>
        <w:rPr/>
        <w:t>结构，继续平衡协调好发展与经营质量提升的关系，进一步强化投资风险管控意识，细化控制流</w:t>
      </w:r>
      <w:r>
        <w:rPr>
          <w:spacing w:val="-97"/>
        </w:rPr>
        <w:t> </w:t>
      </w:r>
      <w:r>
        <w:rPr>
          <w:spacing w:val="-97"/>
        </w:rPr>
      </w:r>
      <w:r>
        <w:rPr/>
        <w:t>程和预算指标的达成，稳步推进各行业的业务布局和规划。</w:t>
      </w:r>
    </w:p>
    <w:p>
      <w:pPr>
        <w:pStyle w:val="BodyText"/>
        <w:tabs>
          <w:tab w:pos="1263" w:val="left" w:leader="none"/>
        </w:tabs>
        <w:spacing w:line="235" w:lineRule="auto" w:before="4"/>
        <w:ind w:left="1263" w:right="102" w:hanging="706"/>
        <w:jc w:val="left"/>
      </w:pPr>
      <w:r>
        <w:rPr>
          <w:rFonts w:ascii="Times New Roman" w:hAnsi="Times New Roman" w:cs="Times New Roman" w:eastAsia="Times New Roman" w:hint="default"/>
        </w:rPr>
        <w:t>1.</w:t>
        <w:tab/>
      </w:r>
      <w:r>
        <w:rPr>
          <w:spacing w:val="-4"/>
        </w:rPr>
        <w:t>全力推进公司在智慧城市业务的全面深入经营。智慧政务结合自身在智慧政务的项目</w:t>
      </w:r>
      <w:r>
        <w:rPr>
          <w:spacing w:val="-26"/>
        </w:rPr>
        <w:t> </w:t>
      </w:r>
      <w:r>
        <w:rPr>
          <w:spacing w:val="-26"/>
        </w:rPr>
      </w:r>
      <w:r>
        <w:rPr>
          <w:spacing w:val="-6"/>
          <w:w w:val="100"/>
        </w:rPr>
        <w:t>经验，智慧园区立足于自身和相关项目中为自身以及客户建立统一的工作流程，协同、</w:t>
      </w:r>
      <w:r>
        <w:rPr>
          <w:w w:val="100"/>
        </w:rPr>
        <w:t> </w:t>
      </w:r>
      <w:r>
        <w:rPr/>
        <w:t>调度和共享机制，通过云平台的整合，以云平台为枢纽，形成一个紧密联系的整体，</w:t>
      </w:r>
      <w:r>
        <w:rPr>
          <w:w w:val="100"/>
        </w:rPr>
        <w:t> </w:t>
      </w:r>
      <w:r>
        <w:rPr>
          <w:spacing w:val="-4"/>
        </w:rPr>
        <w:t>获得高效、协同、互动、整体的效益。进一步建立统一的应急管理与日常管理、对内</w:t>
      </w:r>
      <w:r>
        <w:rPr>
          <w:w w:val="100"/>
        </w:rPr>
        <w:t> </w:t>
      </w:r>
      <w:r>
        <w:rPr/>
        <w:t>与对外服务这两大服务和两大管理体系。结合其他智慧城市的相关业务，形成</w:t>
      </w:r>
      <w:r>
        <w:rPr>
          <w:rFonts w:ascii="Times New Roman" w:hAnsi="Times New Roman" w:cs="Times New Roman" w:eastAsia="Times New Roman" w:hint="default"/>
        </w:rPr>
        <w:t>“</w:t>
      </w:r>
      <w:r>
        <w:rPr/>
        <w:t>低成</w:t>
      </w:r>
    </w:p>
    <w:p>
      <w:pPr>
        <w:spacing w:after="0" w:line="235"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82" w:lineRule="exact" w:before="36"/>
        <w:ind w:left="1263" w:right="96"/>
        <w:jc w:val="left"/>
      </w:pPr>
      <w:r>
        <w:rPr/>
        <w:t>本、集约化、见实效</w:t>
      </w:r>
      <w:r>
        <w:rPr>
          <w:rFonts w:ascii="Times New Roman" w:hAnsi="Times New Roman" w:cs="Times New Roman" w:eastAsia="Times New Roman" w:hint="default"/>
        </w:rPr>
        <w:t>”</w:t>
      </w:r>
      <w:r>
        <w:rPr/>
        <w:t>为建设宗旨经营理念，达到业内的共识。</w:t>
      </w:r>
    </w:p>
    <w:p>
      <w:pPr>
        <w:pStyle w:val="BodyText"/>
        <w:tabs>
          <w:tab w:pos="1263" w:val="left" w:leader="none"/>
        </w:tabs>
        <w:spacing w:line="272" w:lineRule="exact" w:before="19"/>
        <w:ind w:left="1263" w:right="308" w:hanging="706"/>
        <w:jc w:val="left"/>
      </w:pPr>
      <w:r>
        <w:rPr>
          <w:rFonts w:ascii="Times New Roman" w:hAnsi="Times New Roman" w:cs="Times New Roman" w:eastAsia="Times New Roman" w:hint="default"/>
        </w:rPr>
        <w:t>2.</w:t>
        <w:tab/>
      </w:r>
      <w:r>
        <w:rPr>
          <w:spacing w:val="-4"/>
        </w:rPr>
        <w:t>智慧城市各业态通过整合内部资源以及优化外部资源，不断提升我司核心竞争力，提</w:t>
      </w:r>
      <w:r>
        <w:rPr>
          <w:spacing w:val="-27"/>
        </w:rPr>
        <w:t> </w:t>
      </w:r>
      <w:r>
        <w:rPr>
          <w:spacing w:val="-27"/>
        </w:rPr>
      </w:r>
      <w:r>
        <w:rPr/>
        <w:t>升服务体系，增加各业态间的协同联动经营效益，有效提升了整体运营质量。</w:t>
      </w:r>
    </w:p>
    <w:p>
      <w:pPr>
        <w:pStyle w:val="BodyText"/>
        <w:tabs>
          <w:tab w:pos="1263" w:val="left" w:leader="none"/>
        </w:tabs>
        <w:spacing w:line="260" w:lineRule="exact"/>
        <w:ind w:left="558" w:right="0"/>
        <w:jc w:val="left"/>
      </w:pPr>
      <w:r>
        <w:rPr>
          <w:rFonts w:ascii="Calibri" w:hAnsi="Calibri" w:cs="Calibri" w:eastAsia="Calibri" w:hint="default"/>
          <w:w w:val="100"/>
        </w:rPr>
        <w:t>3.</w:t>
      </w:r>
      <w:r>
        <w:rPr>
          <w:rFonts w:ascii="Calibri" w:hAnsi="Calibri" w:cs="Calibri" w:eastAsia="Calibri" w:hint="default"/>
        </w:rPr>
        <w:tab/>
      </w:r>
      <w:r>
        <w:rPr>
          <w:w w:val="100"/>
        </w:rPr>
        <w:t>报告</w:t>
      </w:r>
      <w:r>
        <w:rPr>
          <w:spacing w:val="-3"/>
          <w:w w:val="100"/>
        </w:rPr>
        <w:t>期</w:t>
      </w:r>
      <w:r>
        <w:rPr>
          <w:w w:val="100"/>
        </w:rPr>
        <w:t>内</w:t>
      </w:r>
      <w:r>
        <w:rPr>
          <w:spacing w:val="-108"/>
          <w:w w:val="100"/>
        </w:rPr>
        <w:t>，</w:t>
      </w:r>
      <w:r>
        <w:rPr>
          <w:w w:val="100"/>
        </w:rPr>
        <w:t>公</w:t>
      </w:r>
      <w:r>
        <w:rPr>
          <w:spacing w:val="-2"/>
          <w:w w:val="100"/>
        </w:rPr>
        <w:t>司</w:t>
      </w:r>
      <w:r>
        <w:rPr>
          <w:w w:val="100"/>
        </w:rPr>
        <w:t>智</w:t>
      </w:r>
      <w:r>
        <w:rPr>
          <w:spacing w:val="-3"/>
          <w:w w:val="100"/>
        </w:rPr>
        <w:t>慧</w:t>
      </w:r>
      <w:r>
        <w:rPr>
          <w:w w:val="100"/>
        </w:rPr>
        <w:t>城</w:t>
      </w:r>
      <w:r>
        <w:rPr>
          <w:spacing w:val="-3"/>
          <w:w w:val="100"/>
        </w:rPr>
        <w:t>市业</w:t>
      </w:r>
      <w:r>
        <w:rPr>
          <w:spacing w:val="-1"/>
          <w:w w:val="100"/>
        </w:rPr>
        <w:t>务</w:t>
      </w:r>
      <w:r>
        <w:rPr>
          <w:w w:val="100"/>
        </w:rPr>
        <w:t>板</w:t>
      </w:r>
      <w:r>
        <w:rPr>
          <w:spacing w:val="-3"/>
          <w:w w:val="100"/>
        </w:rPr>
        <w:t>块</w:t>
      </w:r>
      <w:r>
        <w:rPr>
          <w:w w:val="100"/>
        </w:rPr>
        <w:t>整</w:t>
      </w:r>
      <w:r>
        <w:rPr>
          <w:spacing w:val="-3"/>
          <w:w w:val="100"/>
        </w:rPr>
        <w:t>体</w:t>
      </w:r>
      <w:r>
        <w:rPr>
          <w:w w:val="100"/>
        </w:rPr>
        <w:t>实</w:t>
      </w:r>
      <w:r>
        <w:rPr>
          <w:spacing w:val="-3"/>
          <w:w w:val="100"/>
        </w:rPr>
        <w:t>现</w:t>
      </w:r>
      <w:r>
        <w:rPr>
          <w:w w:val="100"/>
        </w:rPr>
        <w:t>营</w:t>
      </w:r>
      <w:r>
        <w:rPr>
          <w:spacing w:val="-3"/>
          <w:w w:val="100"/>
        </w:rPr>
        <w:t>业收</w:t>
      </w:r>
      <w:r>
        <w:rPr>
          <w:w w:val="100"/>
        </w:rPr>
        <w:t>入</w:t>
      </w:r>
      <w:r>
        <w:rPr>
          <w:spacing w:val="-60"/>
        </w:rPr>
        <w:t> </w:t>
      </w:r>
      <w:r>
        <w:rPr>
          <w:rFonts w:ascii="Calibri" w:hAnsi="Calibri" w:cs="Calibri" w:eastAsia="Calibri" w:hint="default"/>
          <w:w w:val="100"/>
        </w:rPr>
        <w:t>4</w:t>
      </w:r>
      <w:r>
        <w:rPr>
          <w:rFonts w:ascii="Calibri" w:hAnsi="Calibri" w:cs="Calibri" w:eastAsia="Calibri" w:hint="default"/>
          <w:spacing w:val="-2"/>
          <w:w w:val="100"/>
        </w:rPr>
        <w:t>56</w:t>
      </w:r>
      <w:r>
        <w:rPr>
          <w:rFonts w:ascii="Calibri" w:hAnsi="Calibri" w:cs="Calibri" w:eastAsia="Calibri" w:hint="default"/>
          <w:w w:val="100"/>
        </w:rPr>
        <w:t>2</w:t>
      </w:r>
      <w:r>
        <w:rPr>
          <w:rFonts w:ascii="Calibri" w:hAnsi="Calibri" w:cs="Calibri" w:eastAsia="Calibri" w:hint="default"/>
          <w:spacing w:val="1"/>
        </w:rPr>
        <w:t> </w:t>
      </w:r>
      <w:r>
        <w:rPr>
          <w:spacing w:val="-3"/>
          <w:w w:val="100"/>
        </w:rPr>
        <w:t>万</w:t>
      </w:r>
      <w:r>
        <w:rPr>
          <w:w w:val="100"/>
        </w:rPr>
        <w:t>元</w:t>
      </w:r>
      <w:r>
        <w:rPr>
          <w:spacing w:val="-109"/>
          <w:w w:val="100"/>
        </w:rPr>
        <w:t>；</w:t>
      </w:r>
      <w:r>
        <w:rPr>
          <w:rFonts w:ascii="Calibri" w:hAnsi="Calibri" w:cs="Calibri" w:eastAsia="Calibri" w:hint="default"/>
          <w:w w:val="100"/>
        </w:rPr>
        <w:t>2</w:t>
      </w:r>
      <w:r>
        <w:rPr>
          <w:spacing w:val="-106"/>
          <w:w w:val="100"/>
        </w:rPr>
        <w:t>）</w:t>
      </w:r>
      <w:r>
        <w:rPr>
          <w:spacing w:val="-3"/>
          <w:w w:val="100"/>
        </w:rPr>
        <w:t>毛</w:t>
      </w:r>
      <w:r>
        <w:rPr>
          <w:w w:val="100"/>
        </w:rPr>
        <w:t>利</w:t>
      </w:r>
      <w:r>
        <w:rPr>
          <w:spacing w:val="-3"/>
          <w:w w:val="100"/>
        </w:rPr>
        <w:t>率达</w:t>
      </w:r>
      <w:r>
        <w:rPr>
          <w:w w:val="100"/>
        </w:rPr>
        <w:t>到</w:t>
      </w:r>
      <w:r>
        <w:rPr>
          <w:spacing w:val="-57"/>
        </w:rPr>
        <w:t> </w:t>
      </w:r>
      <w:r>
        <w:rPr>
          <w:rFonts w:ascii="Calibri" w:hAnsi="Calibri" w:cs="Calibri" w:eastAsia="Calibri" w:hint="default"/>
          <w:spacing w:val="-2"/>
          <w:w w:val="100"/>
        </w:rPr>
        <w:t>3</w:t>
      </w:r>
      <w:r>
        <w:rPr>
          <w:rFonts w:ascii="Calibri" w:hAnsi="Calibri" w:cs="Calibri" w:eastAsia="Calibri" w:hint="default"/>
          <w:w w:val="100"/>
        </w:rPr>
        <w:t>6</w:t>
      </w:r>
      <w:r>
        <w:rPr>
          <w:rFonts w:ascii="Calibri" w:hAnsi="Calibri" w:cs="Calibri" w:eastAsia="Calibri" w:hint="default"/>
          <w:spacing w:val="-1"/>
          <w:w w:val="100"/>
        </w:rPr>
        <w:t>.</w:t>
      </w:r>
      <w:r>
        <w:rPr>
          <w:rFonts w:ascii="Calibri" w:hAnsi="Calibri" w:cs="Calibri" w:eastAsia="Calibri" w:hint="default"/>
          <w:spacing w:val="-2"/>
          <w:w w:val="100"/>
        </w:rPr>
        <w:t>8</w:t>
      </w:r>
      <w:r>
        <w:rPr>
          <w:rFonts w:ascii="Calibri" w:hAnsi="Calibri" w:cs="Calibri" w:eastAsia="Calibri" w:hint="default"/>
          <w:w w:val="100"/>
        </w:rPr>
        <w:t>7</w:t>
      </w:r>
      <w:r>
        <w:rPr>
          <w:rFonts w:ascii="Calibri" w:hAnsi="Calibri" w:cs="Calibri" w:eastAsia="Calibri" w:hint="default"/>
          <w:spacing w:val="-2"/>
          <w:w w:val="100"/>
        </w:rPr>
        <w:t>%</w:t>
      </w:r>
      <w:r>
        <w:rPr>
          <w:w w:val="100"/>
        </w:rPr>
        <w:t>；</w:t>
      </w:r>
    </w:p>
    <w:p>
      <w:pPr>
        <w:pStyle w:val="BodyText"/>
        <w:spacing w:line="272" w:lineRule="exact"/>
        <w:ind w:left="1263" w:right="96"/>
        <w:jc w:val="left"/>
      </w:pPr>
      <w:r>
        <w:rPr>
          <w:rFonts w:ascii="Calibri" w:hAnsi="Calibri" w:cs="Calibri" w:eastAsia="Calibri" w:hint="default"/>
        </w:rPr>
        <w:t>3</w:t>
      </w:r>
      <w:r>
        <w:rPr/>
        <w:t>）</w:t>
      </w:r>
      <w:r>
        <w:rPr>
          <w:spacing w:val="-8"/>
        </w:rPr>
        <w:t> </w:t>
      </w:r>
      <w:r>
        <w:rPr/>
        <w:t>利润总额达到</w:t>
      </w:r>
      <w:r>
        <w:rPr>
          <w:spacing w:val="-50"/>
        </w:rPr>
        <w:t> </w:t>
      </w:r>
      <w:r>
        <w:rPr>
          <w:rFonts w:ascii="Calibri" w:hAnsi="Calibri" w:cs="Calibri" w:eastAsia="Calibri" w:hint="default"/>
        </w:rPr>
        <w:t>343</w:t>
      </w:r>
      <w:r>
        <w:rPr>
          <w:rFonts w:ascii="Calibri" w:hAnsi="Calibri" w:cs="Calibri" w:eastAsia="Calibri" w:hint="default"/>
          <w:spacing w:val="9"/>
        </w:rPr>
        <w:t> </w:t>
      </w:r>
      <w:r>
        <w:rPr>
          <w:spacing w:val="-4"/>
        </w:rPr>
        <w:t>万元，净利润达到</w:t>
      </w:r>
      <w:r>
        <w:rPr>
          <w:spacing w:val="-50"/>
        </w:rPr>
        <w:t> </w:t>
      </w:r>
      <w:r>
        <w:rPr>
          <w:rFonts w:ascii="Calibri" w:hAnsi="Calibri" w:cs="Calibri" w:eastAsia="Calibri" w:hint="default"/>
        </w:rPr>
        <w:t>291</w:t>
      </w:r>
      <w:r>
        <w:rPr>
          <w:rFonts w:ascii="Calibri" w:hAnsi="Calibri" w:cs="Calibri" w:eastAsia="Calibri" w:hint="default"/>
          <w:spacing w:val="9"/>
        </w:rPr>
        <w:t> </w:t>
      </w:r>
      <w:r>
        <w:rPr>
          <w:spacing w:val="-5"/>
        </w:rPr>
        <w:t>万元；</w:t>
      </w:r>
      <w:r>
        <w:rPr>
          <w:rFonts w:ascii="Calibri" w:hAnsi="Calibri" w:cs="Calibri" w:eastAsia="Calibri" w:hint="default"/>
          <w:spacing w:val="-5"/>
        </w:rPr>
        <w:t>4</w:t>
      </w:r>
      <w:r>
        <w:rPr>
          <w:spacing w:val="-5"/>
        </w:rPr>
        <w:t>）资产总额达到</w:t>
      </w:r>
      <w:r>
        <w:rPr>
          <w:spacing w:val="-50"/>
        </w:rPr>
        <w:t> </w:t>
      </w:r>
      <w:r>
        <w:rPr>
          <w:rFonts w:ascii="Calibri" w:hAnsi="Calibri" w:cs="Calibri" w:eastAsia="Calibri" w:hint="default"/>
        </w:rPr>
        <w:t>8877</w:t>
      </w:r>
      <w:r>
        <w:rPr>
          <w:rFonts w:ascii="Calibri" w:hAnsi="Calibri" w:cs="Calibri" w:eastAsia="Calibri" w:hint="default"/>
          <w:spacing w:val="9"/>
        </w:rPr>
        <w:t> </w:t>
      </w:r>
      <w:r>
        <w:rPr>
          <w:spacing w:val="-5"/>
        </w:rPr>
        <w:t>万元。报</w:t>
      </w:r>
    </w:p>
    <w:p>
      <w:pPr>
        <w:pStyle w:val="BodyText"/>
        <w:spacing w:line="230" w:lineRule="auto"/>
        <w:ind w:left="1263" w:right="307"/>
        <w:jc w:val="both"/>
      </w:pPr>
      <w:r>
        <w:rPr>
          <w:spacing w:val="-4"/>
        </w:rPr>
        <w:t>告期内，公司签署了 </w:t>
      </w:r>
      <w:r>
        <w:rPr>
          <w:rFonts w:ascii="Calibri" w:hAnsi="Calibri" w:cs="Calibri" w:eastAsia="Calibri" w:hint="default"/>
        </w:rPr>
        <w:t>5 </w:t>
      </w:r>
      <w:r>
        <w:rPr>
          <w:spacing w:val="-3"/>
        </w:rPr>
        <w:t>份战略合作协议，分别为《宁波杭州湾新区智慧城市项目战略</w:t>
      </w:r>
      <w:r>
        <w:rPr>
          <w:spacing w:val="-102"/>
        </w:rPr>
        <w:t> </w:t>
      </w:r>
      <w:r>
        <w:rPr>
          <w:spacing w:val="-102"/>
        </w:rPr>
      </w:r>
      <w:r>
        <w:rPr>
          <w:spacing w:val="-19"/>
          <w:w w:val="100"/>
        </w:rPr>
        <w:t>协议》，《湖南华容县智慧城市战略合作》，《靖江智慧城市项目战略合作协议》，《泰兴</w:t>
      </w:r>
      <w:r>
        <w:rPr>
          <w:spacing w:val="-93"/>
          <w:w w:val="100"/>
        </w:rPr>
        <w:t> </w:t>
      </w:r>
      <w:r>
        <w:rPr>
          <w:spacing w:val="-93"/>
          <w:w w:val="100"/>
        </w:rPr>
      </w:r>
      <w:r>
        <w:rPr>
          <w:spacing w:val="-9"/>
          <w:w w:val="100"/>
        </w:rPr>
        <w:t>智慧城市合作框架》，《共建智慧宿州战略合作协议》和《宿州市高新区云计算数据中</w:t>
      </w:r>
      <w:r>
        <w:rPr>
          <w:spacing w:val="-89"/>
          <w:w w:val="100"/>
        </w:rPr>
        <w:t> </w:t>
      </w:r>
      <w:r>
        <w:rPr>
          <w:spacing w:val="-89"/>
          <w:w w:val="100"/>
        </w:rPr>
      </w:r>
      <w:r>
        <w:rPr>
          <w:spacing w:val="-7"/>
        </w:rPr>
        <w:t>心项目合作协议书》涉及总金额高达</w:t>
      </w:r>
      <w:r>
        <w:rPr>
          <w:spacing w:val="-47"/>
        </w:rPr>
        <w:t> </w:t>
      </w:r>
      <w:r>
        <w:rPr>
          <w:rFonts w:ascii="Calibri" w:hAnsi="Calibri" w:cs="Calibri" w:eastAsia="Calibri" w:hint="default"/>
        </w:rPr>
        <w:t>76</w:t>
      </w:r>
      <w:r>
        <w:rPr>
          <w:rFonts w:ascii="Calibri" w:hAnsi="Calibri" w:cs="Calibri" w:eastAsia="Calibri" w:hint="default"/>
          <w:spacing w:val="15"/>
        </w:rPr>
        <w:t> </w:t>
      </w:r>
      <w:r>
        <w:rPr>
          <w:spacing w:val="-10"/>
        </w:rPr>
        <w:t>亿元以上。签署合同</w:t>
      </w:r>
      <w:r>
        <w:rPr>
          <w:spacing w:val="-45"/>
        </w:rPr>
        <w:t> </w:t>
      </w:r>
      <w:r>
        <w:rPr>
          <w:rFonts w:ascii="Calibri" w:hAnsi="Calibri" w:cs="Calibri" w:eastAsia="Calibri" w:hint="default"/>
        </w:rPr>
        <w:t>20</w:t>
      </w:r>
      <w:r>
        <w:rPr>
          <w:rFonts w:ascii="Calibri" w:hAnsi="Calibri" w:cs="Calibri" w:eastAsia="Calibri" w:hint="default"/>
          <w:spacing w:val="11"/>
        </w:rPr>
        <w:t> </w:t>
      </w:r>
      <w:r>
        <w:rPr>
          <w:spacing w:val="-16"/>
        </w:rPr>
        <w:t>个，总金额</w:t>
      </w:r>
      <w:r>
        <w:rPr>
          <w:spacing w:val="-47"/>
        </w:rPr>
        <w:t> </w:t>
      </w:r>
      <w:r>
        <w:rPr>
          <w:rFonts w:ascii="Calibri" w:hAnsi="Calibri" w:cs="Calibri" w:eastAsia="Calibri" w:hint="default"/>
        </w:rPr>
        <w:t>2.3</w:t>
      </w:r>
      <w:r>
        <w:rPr>
          <w:rFonts w:ascii="Calibri" w:hAnsi="Calibri" w:cs="Calibri" w:eastAsia="Calibri" w:hint="default"/>
          <w:spacing w:val="12"/>
        </w:rPr>
        <w:t> </w:t>
      </w:r>
      <w:r>
        <w:rPr/>
        <w:t>亿元，</w:t>
      </w:r>
    </w:p>
    <w:p>
      <w:pPr>
        <w:pStyle w:val="BodyText"/>
        <w:spacing w:line="225" w:lineRule="auto"/>
        <w:ind w:left="1263" w:right="96"/>
        <w:jc w:val="left"/>
      </w:pPr>
      <w:r>
        <w:rPr>
          <w:spacing w:val="-10"/>
          <w:w w:val="100"/>
        </w:rPr>
        <w:t>包括：《重庆两江智慧政务及智慧金融共建项目》，总金额</w:t>
      </w:r>
      <w:r>
        <w:rPr>
          <w:spacing w:val="-55"/>
          <w:w w:val="100"/>
        </w:rPr>
        <w:t> </w:t>
      </w:r>
      <w:r>
        <w:rPr>
          <w:rFonts w:ascii="Calibri" w:hAnsi="Calibri" w:cs="Calibri" w:eastAsia="Calibri" w:hint="default"/>
          <w:spacing w:val="-1"/>
          <w:w w:val="100"/>
        </w:rPr>
        <w:t>2.02</w:t>
      </w:r>
      <w:r>
        <w:rPr>
          <w:rFonts w:ascii="Calibri" w:hAnsi="Calibri" w:cs="Calibri" w:eastAsia="Calibri" w:hint="default"/>
          <w:spacing w:val="4"/>
          <w:w w:val="100"/>
        </w:rPr>
        <w:t> </w:t>
      </w:r>
      <w:r>
        <w:rPr>
          <w:spacing w:val="-12"/>
          <w:w w:val="100"/>
        </w:rPr>
        <w:t>亿元，《泰兴市智慧城</w:t>
      </w:r>
      <w:r>
        <w:rPr>
          <w:spacing w:val="-103"/>
          <w:w w:val="100"/>
        </w:rPr>
        <w:t> </w:t>
      </w:r>
      <w:r>
        <w:rPr>
          <w:spacing w:val="-103"/>
          <w:w w:val="100"/>
        </w:rPr>
      </w:r>
      <w:r>
        <w:rPr>
          <w:spacing w:val="-1"/>
          <w:w w:val="100"/>
        </w:rPr>
        <w:t>市顶层设计》</w:t>
      </w:r>
      <w:r>
        <w:rPr>
          <w:rFonts w:ascii="Calibri" w:hAnsi="Calibri" w:cs="Calibri" w:eastAsia="Calibri" w:hint="default"/>
          <w:spacing w:val="-1"/>
          <w:w w:val="100"/>
        </w:rPr>
        <w:t>980</w:t>
      </w:r>
      <w:r>
        <w:rPr>
          <w:rFonts w:ascii="Calibri" w:hAnsi="Calibri" w:cs="Calibri" w:eastAsia="Calibri" w:hint="default"/>
          <w:spacing w:val="16"/>
          <w:w w:val="100"/>
        </w:rPr>
        <w:t> </w:t>
      </w:r>
      <w:r>
        <w:rPr>
          <w:spacing w:val="-4"/>
          <w:w w:val="100"/>
        </w:rPr>
        <w:t>万元，《靖江智慧新港城建设顶层设计咨询项目服务合同》总金额</w:t>
      </w:r>
      <w:r>
        <w:rPr>
          <w:spacing w:val="-99"/>
          <w:w w:val="100"/>
        </w:rPr>
        <w:t> </w:t>
      </w:r>
      <w:r>
        <w:rPr>
          <w:spacing w:val="-99"/>
          <w:w w:val="100"/>
        </w:rPr>
      </w:r>
      <w:r>
        <w:rPr>
          <w:rFonts w:ascii="Calibri" w:hAnsi="Calibri" w:cs="Calibri" w:eastAsia="Calibri" w:hint="default"/>
          <w:spacing w:val="-1"/>
          <w:w w:val="100"/>
        </w:rPr>
        <w:t>499</w:t>
      </w:r>
      <w:r>
        <w:rPr>
          <w:rFonts w:ascii="Calibri" w:hAnsi="Calibri" w:cs="Calibri" w:eastAsia="Calibri" w:hint="default"/>
          <w:spacing w:val="5"/>
          <w:w w:val="100"/>
        </w:rPr>
        <w:t> </w:t>
      </w:r>
      <w:r>
        <w:rPr>
          <w:spacing w:val="-8"/>
          <w:w w:val="100"/>
        </w:rPr>
        <w:t>万元，《苏州传媒希尔顿酒店平台系统》</w:t>
      </w:r>
      <w:r>
        <w:rPr>
          <w:rFonts w:ascii="Calibri" w:hAnsi="Calibri" w:cs="Calibri" w:eastAsia="Calibri" w:hint="default"/>
          <w:spacing w:val="-8"/>
          <w:w w:val="100"/>
        </w:rPr>
        <w:t>963</w:t>
      </w:r>
      <w:r>
        <w:rPr>
          <w:rFonts w:ascii="Calibri" w:hAnsi="Calibri" w:cs="Calibri" w:eastAsia="Calibri" w:hint="default"/>
          <w:spacing w:val="5"/>
          <w:w w:val="100"/>
        </w:rPr>
        <w:t> </w:t>
      </w:r>
      <w:r>
        <w:rPr>
          <w:spacing w:val="-4"/>
          <w:w w:val="100"/>
        </w:rPr>
        <w:t>万元。目前阶段在生态圈建设、高潜</w:t>
      </w:r>
      <w:r>
        <w:rPr>
          <w:spacing w:val="-102"/>
          <w:w w:val="100"/>
        </w:rPr>
        <w:t> </w:t>
      </w:r>
      <w:r>
        <w:rPr>
          <w:spacing w:val="-102"/>
          <w:w w:val="100"/>
        </w:rPr>
      </w:r>
      <w:r>
        <w:rPr>
          <w:spacing w:val="-4"/>
        </w:rPr>
        <w:t>企业孵化及大数据经营方面未有实质性进展和成果。主要原因在于智慧城市平台和生</w:t>
      </w:r>
      <w:r>
        <w:rPr>
          <w:spacing w:val="-27"/>
        </w:rPr>
        <w:t> </w:t>
      </w:r>
      <w:r>
        <w:rPr>
          <w:spacing w:val="-27"/>
        </w:rPr>
      </w:r>
      <w:r>
        <w:rPr/>
        <w:t>态圈体系建设涉及基础设施建设，此阶段需要提前投入大量资金，且项目周期较长。</w:t>
      </w:r>
      <w:r>
        <w:rPr>
          <w:spacing w:val="-61"/>
        </w:rPr>
        <w:t> </w:t>
      </w:r>
      <w:r>
        <w:rPr/>
        <w:t>公司现阶段资金实力有限，难以满足大规模开展相关业务的能力。</w:t>
      </w:r>
    </w:p>
    <w:p>
      <w:pPr>
        <w:pStyle w:val="BodyText"/>
        <w:tabs>
          <w:tab w:pos="1263" w:val="left" w:leader="none"/>
        </w:tabs>
        <w:spacing w:line="272" w:lineRule="exact" w:before="28"/>
        <w:ind w:left="1263" w:right="99" w:hanging="706"/>
        <w:jc w:val="left"/>
      </w:pPr>
      <w:r>
        <w:rPr>
          <w:rFonts w:ascii="Calibri" w:hAnsi="Calibri" w:cs="Calibri" w:eastAsia="Calibri" w:hint="default"/>
        </w:rPr>
        <w:t>4.</w:t>
        <w:tab/>
      </w:r>
      <w:r>
        <w:rPr>
          <w:spacing w:val="-7"/>
        </w:rPr>
        <w:t>报告期内，公司已签署的共计 </w:t>
      </w:r>
      <w:r>
        <w:rPr>
          <w:rFonts w:ascii="Calibri" w:hAnsi="Calibri" w:cs="Calibri" w:eastAsia="Calibri" w:hint="default"/>
        </w:rPr>
        <w:t>245</w:t>
      </w:r>
      <w:r>
        <w:rPr>
          <w:rFonts w:ascii="Calibri" w:hAnsi="Calibri" w:cs="Calibri" w:eastAsia="Calibri" w:hint="default"/>
          <w:spacing w:val="-25"/>
        </w:rPr>
        <w:t> </w:t>
      </w:r>
      <w:r>
        <w:rPr/>
        <w:t>亿元智慧城市框架协议尚在前期筹备或执行过程中，</w:t>
      </w:r>
      <w:r>
        <w:rPr>
          <w:w w:val="100"/>
        </w:rPr>
        <w:t> </w:t>
      </w:r>
      <w:r>
        <w:rPr/>
        <w:t>未有实际投入使用项目。详情请见下表：</w:t>
      </w:r>
    </w:p>
    <w:p>
      <w:pPr>
        <w:spacing w:after="0" w:line="272" w:lineRule="exact"/>
        <w:jc w:val="left"/>
        <w:sectPr>
          <w:pgSz w:w="11910" w:h="16840"/>
          <w:pgMar w:header="880" w:footer="1195" w:top="1120" w:bottom="1380" w:left="16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36"/>
        <w:ind w:left="1346" w:right="2333"/>
        <w:jc w:val="left"/>
      </w:pPr>
      <w:r>
        <w:rPr/>
        <w:t>表</w:t>
      </w:r>
      <w:r>
        <w:rPr>
          <w:rFonts w:ascii="Times New Roman" w:hAnsi="Times New Roman" w:cs="Times New Roman" w:eastAsia="Times New Roman" w:hint="default"/>
        </w:rPr>
        <w:t>-1</w:t>
      </w:r>
      <w:r>
        <w:rPr/>
        <w:t>：</w:t>
      </w:r>
      <w:r>
        <w:rPr>
          <w:rFonts w:ascii="Times New Roman" w:hAnsi="Times New Roman" w:cs="Times New Roman" w:eastAsia="Times New Roman" w:hint="default"/>
        </w:rPr>
        <w:t>245</w:t>
      </w:r>
      <w:r>
        <w:rPr>
          <w:rFonts w:ascii="Times New Roman" w:hAnsi="Times New Roman" w:cs="Times New Roman" w:eastAsia="Times New Roman" w:hint="default"/>
          <w:spacing w:val="-3"/>
        </w:rPr>
        <w:t> </w:t>
      </w:r>
      <w:r>
        <w:rPr/>
        <w:t>亿智慧城市框架协议执行及落地情况：</w:t>
      </w:r>
    </w:p>
    <w:tbl>
      <w:tblPr>
        <w:tblW w:w="0" w:type="auto"/>
        <w:jc w:val="left"/>
        <w:tblInd w:w="107" w:type="dxa"/>
        <w:tblLayout w:type="fixed"/>
        <w:tblCellMar>
          <w:top w:w="0" w:type="dxa"/>
          <w:left w:w="0" w:type="dxa"/>
          <w:bottom w:w="0" w:type="dxa"/>
          <w:right w:w="0" w:type="dxa"/>
        </w:tblCellMar>
        <w:tblLook w:val="01E0"/>
      </w:tblPr>
      <w:tblGrid>
        <w:gridCol w:w="984"/>
        <w:gridCol w:w="1025"/>
        <w:gridCol w:w="5497"/>
        <w:gridCol w:w="1644"/>
        <w:gridCol w:w="1827"/>
        <w:gridCol w:w="2746"/>
      </w:tblGrid>
      <w:tr>
        <w:trPr>
          <w:trHeight w:val="554" w:hRule="exact"/>
        </w:trPr>
        <w:tc>
          <w:tcPr>
            <w:tcW w:w="984"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275"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75"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025"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297" w:right="0"/>
              <w:jc w:val="left"/>
              <w:rPr>
                <w:rFonts w:ascii="宋体" w:hAnsi="宋体" w:cs="宋体" w:eastAsia="宋体" w:hint="default"/>
                <w:sz w:val="21"/>
                <w:szCs w:val="21"/>
              </w:rPr>
            </w:pPr>
            <w:r>
              <w:rPr>
                <w:rFonts w:ascii="宋体" w:hAnsi="宋体" w:cs="宋体" w:eastAsia="宋体" w:hint="default"/>
                <w:sz w:val="21"/>
                <w:szCs w:val="21"/>
              </w:rPr>
              <w:t>客户</w:t>
            </w:r>
          </w:p>
          <w:p>
            <w:pPr>
              <w:pStyle w:val="TableParagraph"/>
              <w:spacing w:line="273" w:lineRule="exact"/>
              <w:ind w:left="297"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497"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主要内容</w:t>
            </w:r>
          </w:p>
        </w:tc>
        <w:tc>
          <w:tcPr>
            <w:tcW w:w="1644"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827"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102"/>
              <w:ind w:left="489" w:right="0"/>
              <w:jc w:val="left"/>
              <w:rPr>
                <w:rFonts w:ascii="宋体" w:hAnsi="宋体" w:cs="宋体" w:eastAsia="宋体" w:hint="default"/>
                <w:sz w:val="21"/>
                <w:szCs w:val="21"/>
              </w:rPr>
            </w:pPr>
            <w:r>
              <w:rPr>
                <w:rFonts w:ascii="宋体" w:hAnsi="宋体" w:cs="宋体" w:eastAsia="宋体" w:hint="default"/>
                <w:sz w:val="21"/>
                <w:szCs w:val="21"/>
              </w:rPr>
              <w:t>签订日期</w:t>
            </w:r>
          </w:p>
        </w:tc>
        <w:tc>
          <w:tcPr>
            <w:tcW w:w="2746"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840" w:right="0"/>
              <w:jc w:val="left"/>
              <w:rPr>
                <w:rFonts w:ascii="宋体" w:hAnsi="宋体" w:cs="宋体" w:eastAsia="宋体" w:hint="default"/>
                <w:sz w:val="21"/>
                <w:szCs w:val="21"/>
              </w:rPr>
            </w:pPr>
            <w:r>
              <w:rPr>
                <w:rFonts w:ascii="宋体" w:hAnsi="宋体" w:cs="宋体" w:eastAsia="宋体" w:hint="default"/>
                <w:sz w:val="21"/>
                <w:szCs w:val="21"/>
              </w:rPr>
              <w:t>目前的执行</w:t>
            </w:r>
          </w:p>
          <w:p>
            <w:pPr>
              <w:pStyle w:val="TableParagraph"/>
              <w:spacing w:line="273" w:lineRule="exact"/>
              <w:ind w:left="840" w:right="0"/>
              <w:jc w:val="left"/>
              <w:rPr>
                <w:rFonts w:ascii="宋体" w:hAnsi="宋体" w:cs="宋体" w:eastAsia="宋体" w:hint="default"/>
                <w:sz w:val="21"/>
                <w:szCs w:val="21"/>
              </w:rPr>
            </w:pPr>
            <w:r>
              <w:rPr>
                <w:rFonts w:ascii="宋体" w:hAnsi="宋体" w:cs="宋体" w:eastAsia="宋体" w:hint="default"/>
                <w:sz w:val="21"/>
                <w:szCs w:val="21"/>
              </w:rPr>
              <w:t>及落地情况</w:t>
            </w:r>
          </w:p>
        </w:tc>
      </w:tr>
      <w:tr>
        <w:trPr>
          <w:trHeight w:val="1371"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37"/>
              <w:jc w:val="both"/>
              <w:rPr>
                <w:rFonts w:ascii="宋体" w:hAnsi="宋体" w:cs="宋体" w:eastAsia="宋体" w:hint="default"/>
                <w:sz w:val="21"/>
                <w:szCs w:val="21"/>
              </w:rPr>
            </w:pPr>
            <w:r>
              <w:rPr>
                <w:rFonts w:ascii="宋体" w:hAnsi="宋体" w:cs="宋体" w:eastAsia="宋体" w:hint="default"/>
                <w:sz w:val="21"/>
                <w:szCs w:val="21"/>
              </w:rPr>
              <w:t>智慧南</w:t>
            </w:r>
            <w:r>
              <w:rPr>
                <w:rFonts w:ascii="宋体" w:hAnsi="宋体" w:cs="宋体" w:eastAsia="宋体" w:hint="default"/>
                <w:spacing w:val="-102"/>
                <w:sz w:val="21"/>
                <w:szCs w:val="21"/>
              </w:rPr>
              <w:t> </w:t>
            </w:r>
            <w:r>
              <w:rPr>
                <w:rFonts w:ascii="宋体" w:hAnsi="宋体" w:cs="宋体" w:eastAsia="宋体" w:hint="default"/>
                <w:sz w:val="21"/>
                <w:szCs w:val="21"/>
              </w:rPr>
              <w:t>宁战略</w:t>
            </w:r>
            <w:r>
              <w:rPr>
                <w:rFonts w:ascii="宋体" w:hAnsi="宋体" w:cs="宋体" w:eastAsia="宋体" w:hint="default"/>
                <w:spacing w:val="-102"/>
                <w:sz w:val="21"/>
                <w:szCs w:val="21"/>
              </w:rPr>
              <w:t> </w:t>
            </w:r>
            <w:r>
              <w:rPr>
                <w:rFonts w:ascii="宋体" w:hAnsi="宋体" w:cs="宋体" w:eastAsia="宋体" w:hint="default"/>
                <w:sz w:val="21"/>
                <w:szCs w:val="21"/>
              </w:rPr>
              <w:t>合作协</w:t>
            </w:r>
            <w:r>
              <w:rPr>
                <w:rFonts w:ascii="宋体" w:hAnsi="宋体" w:cs="宋体" w:eastAsia="宋体" w:hint="default"/>
                <w:spacing w:val="-102"/>
                <w:sz w:val="21"/>
                <w:szCs w:val="21"/>
              </w:rPr>
              <w:t> </w:t>
            </w:r>
            <w:r>
              <w:rPr>
                <w:rFonts w:ascii="宋体" w:hAnsi="宋体" w:cs="宋体" w:eastAsia="宋体" w:hint="default"/>
                <w:sz w:val="21"/>
                <w:szCs w:val="21"/>
              </w:rPr>
              <w:t>议</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276"/>
              <w:jc w:val="both"/>
              <w:rPr>
                <w:rFonts w:ascii="宋体" w:hAnsi="宋体" w:cs="宋体" w:eastAsia="宋体" w:hint="default"/>
                <w:sz w:val="21"/>
                <w:szCs w:val="21"/>
              </w:rPr>
            </w:pPr>
            <w:r>
              <w:rPr>
                <w:rFonts w:ascii="宋体" w:hAnsi="宋体" w:cs="宋体" w:eastAsia="宋体" w:hint="default"/>
                <w:sz w:val="21"/>
                <w:szCs w:val="21"/>
              </w:rPr>
              <w:t>南宁市</w:t>
            </w:r>
            <w:r>
              <w:rPr>
                <w:rFonts w:ascii="宋体" w:hAnsi="宋体" w:cs="宋体" w:eastAsia="宋体" w:hint="default"/>
                <w:spacing w:val="-102"/>
                <w:sz w:val="21"/>
                <w:szCs w:val="21"/>
              </w:rPr>
              <w:t> </w:t>
            </w:r>
            <w:r>
              <w:rPr>
                <w:rFonts w:ascii="宋体" w:hAnsi="宋体" w:cs="宋体" w:eastAsia="宋体" w:hint="default"/>
                <w:sz w:val="21"/>
                <w:szCs w:val="21"/>
              </w:rPr>
              <w:t>人民政</w:t>
            </w:r>
            <w:r>
              <w:rPr>
                <w:rFonts w:ascii="宋体" w:hAnsi="宋体" w:cs="宋体" w:eastAsia="宋体" w:hint="default"/>
                <w:spacing w:val="-102"/>
                <w:sz w:val="21"/>
                <w:szCs w:val="21"/>
              </w:rPr>
              <w:t> </w:t>
            </w:r>
            <w:r>
              <w:rPr>
                <w:rFonts w:ascii="宋体" w:hAnsi="宋体" w:cs="宋体" w:eastAsia="宋体" w:hint="default"/>
                <w:sz w:val="21"/>
                <w:szCs w:val="21"/>
              </w:rPr>
              <w:t>府</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南宁市未来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年内建设的南宁市智慧城市项目的设计或系</w:t>
            </w:r>
          </w:p>
          <w:p>
            <w:pPr>
              <w:pStyle w:val="TableParagraph"/>
              <w:spacing w:line="237" w:lineRule="auto"/>
              <w:ind w:left="103" w:right="125"/>
              <w:jc w:val="both"/>
              <w:rPr>
                <w:rFonts w:ascii="宋体" w:hAnsi="宋体" w:cs="宋体" w:eastAsia="宋体" w:hint="default"/>
                <w:sz w:val="21"/>
                <w:szCs w:val="21"/>
              </w:rPr>
            </w:pPr>
            <w:r>
              <w:rPr>
                <w:rFonts w:ascii="宋体" w:hAnsi="宋体" w:cs="宋体" w:eastAsia="宋体" w:hint="default"/>
                <w:spacing w:val="-2"/>
                <w:sz w:val="21"/>
                <w:szCs w:val="21"/>
              </w:rPr>
              <w:t>统集成。合作项目范围涵盖智慧产业、南宁市智慧城市各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项目的总体规划设计、城市大数据中心和城市级信息交换</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共享平台、公共信息服务平台、智慧民生以及与智慧城市</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相关的其他建设项目。</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350,000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2014/6/16</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8"/>
              <w:jc w:val="both"/>
              <w:rPr>
                <w:rFonts w:ascii="宋体" w:hAnsi="宋体" w:cs="宋体" w:eastAsia="宋体" w:hint="default"/>
                <w:sz w:val="21"/>
                <w:szCs w:val="21"/>
              </w:rPr>
            </w:pPr>
            <w:r>
              <w:rPr>
                <w:rFonts w:ascii="宋体" w:hAnsi="宋体" w:cs="宋体" w:eastAsia="宋体" w:hint="default"/>
                <w:spacing w:val="-2"/>
                <w:sz w:val="21"/>
                <w:szCs w:val="21"/>
              </w:rPr>
              <w:t>目前就南宁青秀山、动物园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等核心景区和市有关部门共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同打造南宁智慧旅游项目，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前期可研报告已制作完毕。</w:t>
            </w:r>
          </w:p>
        </w:tc>
      </w:tr>
      <w:tr>
        <w:trPr>
          <w:trHeight w:val="1644"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江苏沛</w:t>
            </w:r>
          </w:p>
          <w:p>
            <w:pPr>
              <w:pStyle w:val="TableParagraph"/>
              <w:spacing w:line="237" w:lineRule="auto"/>
              <w:ind w:left="103" w:right="237"/>
              <w:jc w:val="both"/>
              <w:rPr>
                <w:rFonts w:ascii="宋体" w:hAnsi="宋体" w:cs="宋体" w:eastAsia="宋体" w:hint="default"/>
                <w:sz w:val="21"/>
                <w:szCs w:val="21"/>
              </w:rPr>
            </w:pPr>
            <w:r>
              <w:rPr>
                <w:rFonts w:ascii="宋体" w:hAnsi="宋体" w:cs="宋体" w:eastAsia="宋体" w:hint="default"/>
                <w:sz w:val="21"/>
                <w:szCs w:val="21"/>
              </w:rPr>
              <w:t>县智慧</w:t>
            </w:r>
            <w:r>
              <w:rPr>
                <w:rFonts w:ascii="宋体" w:hAnsi="宋体" w:cs="宋体" w:eastAsia="宋体" w:hint="default"/>
                <w:spacing w:val="-102"/>
                <w:sz w:val="21"/>
                <w:szCs w:val="21"/>
              </w:rPr>
              <w:t> </w:t>
            </w:r>
            <w:r>
              <w:rPr>
                <w:rFonts w:ascii="宋体" w:hAnsi="宋体" w:cs="宋体" w:eastAsia="宋体" w:hint="default"/>
                <w:sz w:val="21"/>
                <w:szCs w:val="21"/>
              </w:rPr>
              <w:t>开发区</w:t>
            </w:r>
            <w:r>
              <w:rPr>
                <w:rFonts w:ascii="宋体" w:hAnsi="宋体" w:cs="宋体" w:eastAsia="宋体" w:hint="default"/>
                <w:spacing w:val="-102"/>
                <w:sz w:val="21"/>
                <w:szCs w:val="21"/>
              </w:rPr>
              <w:t> </w:t>
            </w:r>
            <w:r>
              <w:rPr>
                <w:rFonts w:ascii="宋体" w:hAnsi="宋体" w:cs="宋体" w:eastAsia="宋体" w:hint="default"/>
                <w:sz w:val="21"/>
                <w:szCs w:val="21"/>
              </w:rPr>
              <w:t>项目战</w:t>
            </w:r>
            <w:r>
              <w:rPr>
                <w:rFonts w:ascii="宋体" w:hAnsi="宋体" w:cs="宋体" w:eastAsia="宋体" w:hint="default"/>
                <w:spacing w:val="-102"/>
                <w:sz w:val="21"/>
                <w:szCs w:val="21"/>
              </w:rPr>
              <w:t> </w:t>
            </w:r>
            <w:r>
              <w:rPr>
                <w:rFonts w:ascii="宋体" w:hAnsi="宋体" w:cs="宋体" w:eastAsia="宋体" w:hint="default"/>
                <w:sz w:val="21"/>
                <w:szCs w:val="21"/>
              </w:rPr>
              <w:t>略合作</w:t>
            </w:r>
            <w:r>
              <w:rPr>
                <w:rFonts w:ascii="宋体" w:hAnsi="宋体" w:cs="宋体" w:eastAsia="宋体" w:hint="default"/>
                <w:spacing w:val="-102"/>
                <w:sz w:val="21"/>
                <w:szCs w:val="21"/>
              </w:rPr>
              <w:t> </w:t>
            </w:r>
            <w:r>
              <w:rPr>
                <w:rFonts w:ascii="宋体" w:hAnsi="宋体" w:cs="宋体" w:eastAsia="宋体" w:hint="default"/>
                <w:sz w:val="21"/>
                <w:szCs w:val="21"/>
              </w:rPr>
              <w:t>协议</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276"/>
              <w:jc w:val="both"/>
              <w:rPr>
                <w:rFonts w:ascii="宋体" w:hAnsi="宋体" w:cs="宋体" w:eastAsia="宋体" w:hint="default"/>
                <w:sz w:val="21"/>
                <w:szCs w:val="21"/>
              </w:rPr>
            </w:pPr>
            <w:r>
              <w:rPr>
                <w:rFonts w:ascii="宋体" w:hAnsi="宋体" w:cs="宋体" w:eastAsia="宋体" w:hint="default"/>
                <w:sz w:val="21"/>
                <w:szCs w:val="21"/>
              </w:rPr>
              <w:t>江苏沛</w:t>
            </w:r>
            <w:r>
              <w:rPr>
                <w:rFonts w:ascii="宋体" w:hAnsi="宋体" w:cs="宋体" w:eastAsia="宋体" w:hint="default"/>
                <w:spacing w:val="-102"/>
                <w:sz w:val="21"/>
                <w:szCs w:val="21"/>
              </w:rPr>
              <w:t> </w:t>
            </w:r>
            <w:r>
              <w:rPr>
                <w:rFonts w:ascii="宋体" w:hAnsi="宋体" w:cs="宋体" w:eastAsia="宋体" w:hint="default"/>
                <w:sz w:val="21"/>
                <w:szCs w:val="21"/>
              </w:rPr>
              <w:t>县经济</w:t>
            </w:r>
            <w:r>
              <w:rPr>
                <w:rFonts w:ascii="宋体" w:hAnsi="宋体" w:cs="宋体" w:eastAsia="宋体" w:hint="default"/>
                <w:spacing w:val="-102"/>
                <w:sz w:val="21"/>
                <w:szCs w:val="21"/>
              </w:rPr>
              <w:t> </w:t>
            </w:r>
            <w:r>
              <w:rPr>
                <w:rFonts w:ascii="宋体" w:hAnsi="宋体" w:cs="宋体" w:eastAsia="宋体" w:hint="default"/>
                <w:sz w:val="21"/>
                <w:szCs w:val="21"/>
              </w:rPr>
              <w:t>开发区</w:t>
            </w:r>
            <w:r>
              <w:rPr>
                <w:rFonts w:ascii="宋体" w:hAnsi="宋体" w:cs="宋体" w:eastAsia="宋体" w:hint="default"/>
                <w:spacing w:val="-102"/>
                <w:sz w:val="21"/>
                <w:szCs w:val="21"/>
              </w:rPr>
              <w:t> </w:t>
            </w:r>
            <w:r>
              <w:rPr>
                <w:rFonts w:ascii="宋体" w:hAnsi="宋体" w:cs="宋体" w:eastAsia="宋体" w:hint="default"/>
                <w:sz w:val="21"/>
                <w:szCs w:val="21"/>
              </w:rPr>
              <w:t>管委会</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auto"/>
              <w:ind w:left="103" w:right="99"/>
              <w:jc w:val="both"/>
              <w:rPr>
                <w:rFonts w:ascii="宋体" w:hAnsi="宋体" w:cs="宋体" w:eastAsia="宋体" w:hint="default"/>
                <w:sz w:val="21"/>
                <w:szCs w:val="21"/>
              </w:rPr>
            </w:pPr>
            <w:r>
              <w:rPr>
                <w:rFonts w:ascii="宋体" w:hAnsi="宋体" w:cs="宋体" w:eastAsia="宋体" w:hint="default"/>
                <w:sz w:val="21"/>
                <w:szCs w:val="21"/>
              </w:rPr>
              <w:t>沛县经济开发区未来</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年建设的智慧开发区项目</w:t>
            </w:r>
            <w:r>
              <w:rPr>
                <w:rFonts w:ascii="Times New Roman" w:hAnsi="Times New Roman" w:cs="Times New Roman" w:eastAsia="Times New Roman" w:hint="default"/>
                <w:sz w:val="21"/>
                <w:szCs w:val="21"/>
              </w:rPr>
              <w:t>,</w:t>
            </w:r>
            <w:r>
              <w:rPr>
                <w:rFonts w:ascii="宋体" w:hAnsi="宋体" w:cs="宋体" w:eastAsia="宋体" w:hint="default"/>
                <w:sz w:val="21"/>
                <w:szCs w:val="21"/>
              </w:rPr>
              <w:t>项目范围</w:t>
            </w:r>
            <w:r>
              <w:rPr>
                <w:rFonts w:ascii="宋体" w:hAnsi="宋体" w:cs="宋体" w:eastAsia="宋体" w:hint="default"/>
                <w:w w:val="100"/>
                <w:sz w:val="21"/>
                <w:szCs w:val="21"/>
              </w:rPr>
              <w:t> </w:t>
            </w:r>
            <w:r>
              <w:rPr>
                <w:rFonts w:ascii="宋体" w:hAnsi="宋体" w:cs="宋体" w:eastAsia="宋体" w:hint="default"/>
                <w:sz w:val="21"/>
                <w:szCs w:val="21"/>
              </w:rPr>
              <w:t>涵盖智慧云计算产业园项目的总体规划设计、公共数据中</w:t>
            </w:r>
            <w:r>
              <w:rPr>
                <w:rFonts w:ascii="宋体" w:hAnsi="宋体" w:cs="宋体" w:eastAsia="宋体" w:hint="default"/>
                <w:w w:val="100"/>
                <w:sz w:val="21"/>
                <w:szCs w:val="21"/>
              </w:rPr>
              <w:t> </w:t>
            </w:r>
            <w:r>
              <w:rPr>
                <w:rFonts w:ascii="宋体" w:hAnsi="宋体" w:cs="宋体" w:eastAsia="宋体" w:hint="default"/>
                <w:sz w:val="21"/>
                <w:szCs w:val="21"/>
              </w:rPr>
              <w:t>心、智慧园区等，以及与智慧城市具体项目相关的基础设</w:t>
            </w:r>
            <w:r>
              <w:rPr>
                <w:rFonts w:ascii="宋体" w:hAnsi="宋体" w:cs="宋体" w:eastAsia="宋体" w:hint="default"/>
                <w:w w:val="100"/>
                <w:sz w:val="21"/>
                <w:szCs w:val="21"/>
              </w:rPr>
              <w:t> </w:t>
            </w:r>
            <w:r>
              <w:rPr>
                <w:rFonts w:ascii="宋体" w:hAnsi="宋体" w:cs="宋体" w:eastAsia="宋体" w:hint="default"/>
                <w:sz w:val="21"/>
                <w:szCs w:val="21"/>
              </w:rPr>
              <w:t>施建设。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103" w:right="0"/>
              <w:jc w:val="left"/>
              <w:rPr>
                <w:rFonts w:ascii="Times New Roman" w:hAnsi="Times New Roman" w:cs="Times New Roman" w:eastAsia="Times New Roman" w:hint="default"/>
                <w:sz w:val="21"/>
                <w:szCs w:val="21"/>
              </w:rPr>
            </w:pPr>
            <w:r>
              <w:rPr>
                <w:rFonts w:ascii="Times New Roman"/>
                <w:sz w:val="21"/>
              </w:rPr>
              <w:t>100,000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103" w:right="0"/>
              <w:jc w:val="left"/>
              <w:rPr>
                <w:rFonts w:ascii="Times New Roman" w:hAnsi="Times New Roman" w:cs="Times New Roman" w:eastAsia="Times New Roman" w:hint="default"/>
                <w:sz w:val="21"/>
                <w:szCs w:val="21"/>
              </w:rPr>
            </w:pPr>
            <w:r>
              <w:rPr>
                <w:rFonts w:ascii="Times New Roman"/>
                <w:sz w:val="21"/>
              </w:rPr>
              <w:t>2014/1/1</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auto"/>
              <w:ind w:left="103" w:right="108"/>
              <w:jc w:val="left"/>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年非公开发行股票</w:t>
            </w:r>
            <w:r>
              <w:rPr>
                <w:rFonts w:ascii="宋体" w:hAnsi="宋体" w:cs="宋体" w:eastAsia="宋体" w:hint="default"/>
                <w:w w:val="100"/>
                <w:sz w:val="21"/>
                <w:szCs w:val="21"/>
              </w:rPr>
              <w:t> </w:t>
            </w:r>
            <w:r>
              <w:rPr>
                <w:rFonts w:ascii="宋体" w:hAnsi="宋体" w:cs="宋体" w:eastAsia="宋体" w:hint="default"/>
                <w:spacing w:val="-2"/>
                <w:sz w:val="21"/>
                <w:szCs w:val="21"/>
              </w:rPr>
              <w:t>的申请未获得审核通过较大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影响，仍就核心条款与甲方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进行协商。</w:t>
            </w:r>
          </w:p>
        </w:tc>
      </w:tr>
      <w:tr>
        <w:trPr>
          <w:trHeight w:val="1100"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智慧鹤</w:t>
            </w:r>
          </w:p>
          <w:p>
            <w:pPr>
              <w:pStyle w:val="TableParagraph"/>
              <w:spacing w:line="237" w:lineRule="auto" w:before="1"/>
              <w:ind w:left="103" w:right="237"/>
              <w:jc w:val="both"/>
              <w:rPr>
                <w:rFonts w:ascii="宋体" w:hAnsi="宋体" w:cs="宋体" w:eastAsia="宋体" w:hint="default"/>
                <w:sz w:val="21"/>
                <w:szCs w:val="21"/>
              </w:rPr>
            </w:pPr>
            <w:r>
              <w:rPr>
                <w:rFonts w:ascii="宋体" w:hAnsi="宋体" w:cs="宋体" w:eastAsia="宋体" w:hint="default"/>
                <w:sz w:val="21"/>
                <w:szCs w:val="21"/>
              </w:rPr>
              <w:t>壁战略</w:t>
            </w:r>
            <w:r>
              <w:rPr>
                <w:rFonts w:ascii="宋体" w:hAnsi="宋体" w:cs="宋体" w:eastAsia="宋体" w:hint="default"/>
                <w:spacing w:val="-102"/>
                <w:sz w:val="21"/>
                <w:szCs w:val="21"/>
              </w:rPr>
              <w:t> </w:t>
            </w:r>
            <w:r>
              <w:rPr>
                <w:rFonts w:ascii="宋体" w:hAnsi="宋体" w:cs="宋体" w:eastAsia="宋体" w:hint="default"/>
                <w:sz w:val="21"/>
                <w:szCs w:val="21"/>
              </w:rPr>
              <w:t>合作协</w:t>
            </w:r>
            <w:r>
              <w:rPr>
                <w:rFonts w:ascii="宋体" w:hAnsi="宋体" w:cs="宋体" w:eastAsia="宋体" w:hint="default"/>
                <w:spacing w:val="-102"/>
                <w:sz w:val="21"/>
                <w:szCs w:val="21"/>
              </w:rPr>
              <w:t> </w:t>
            </w:r>
            <w:r>
              <w:rPr>
                <w:rFonts w:ascii="宋体" w:hAnsi="宋体" w:cs="宋体" w:eastAsia="宋体" w:hint="default"/>
                <w:sz w:val="21"/>
                <w:szCs w:val="21"/>
              </w:rPr>
              <w:t>议</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76"/>
              <w:jc w:val="both"/>
              <w:rPr>
                <w:rFonts w:ascii="宋体" w:hAnsi="宋体" w:cs="宋体" w:eastAsia="宋体" w:hint="default"/>
                <w:sz w:val="21"/>
                <w:szCs w:val="21"/>
              </w:rPr>
            </w:pPr>
            <w:r>
              <w:rPr>
                <w:rFonts w:ascii="宋体" w:hAnsi="宋体" w:cs="宋体" w:eastAsia="宋体" w:hint="default"/>
                <w:sz w:val="21"/>
                <w:szCs w:val="21"/>
              </w:rPr>
              <w:t>鹤壁市</w:t>
            </w:r>
            <w:r>
              <w:rPr>
                <w:rFonts w:ascii="宋体" w:hAnsi="宋体" w:cs="宋体" w:eastAsia="宋体" w:hint="default"/>
                <w:spacing w:val="-102"/>
                <w:sz w:val="21"/>
                <w:szCs w:val="21"/>
              </w:rPr>
              <w:t> </w:t>
            </w:r>
            <w:r>
              <w:rPr>
                <w:rFonts w:ascii="宋体" w:hAnsi="宋体" w:cs="宋体" w:eastAsia="宋体" w:hint="default"/>
                <w:sz w:val="21"/>
                <w:szCs w:val="21"/>
              </w:rPr>
              <w:t>人民政</w:t>
            </w:r>
            <w:r>
              <w:rPr>
                <w:rFonts w:ascii="宋体" w:hAnsi="宋体" w:cs="宋体" w:eastAsia="宋体" w:hint="default"/>
                <w:spacing w:val="-102"/>
                <w:sz w:val="21"/>
                <w:szCs w:val="21"/>
              </w:rPr>
              <w:t> </w:t>
            </w:r>
            <w:r>
              <w:rPr>
                <w:rFonts w:ascii="宋体" w:hAnsi="宋体" w:cs="宋体" w:eastAsia="宋体" w:hint="default"/>
                <w:sz w:val="21"/>
                <w:szCs w:val="21"/>
              </w:rPr>
              <w:t>府</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未来</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94"/>
                <w:w w:val="100"/>
                <w:sz w:val="21"/>
                <w:szCs w:val="21"/>
              </w:rPr>
              <w:t>，</w:t>
            </w:r>
            <w:r>
              <w:rPr>
                <w:rFonts w:ascii="宋体" w:hAnsi="宋体" w:cs="宋体" w:eastAsia="宋体" w:hint="default"/>
                <w:w w:val="100"/>
                <w:sz w:val="21"/>
                <w:szCs w:val="21"/>
              </w:rPr>
              <w:t>推</w:t>
            </w:r>
            <w:r>
              <w:rPr>
                <w:rFonts w:ascii="宋体" w:hAnsi="宋体" w:cs="宋体" w:eastAsia="宋体" w:hint="default"/>
                <w:spacing w:val="-3"/>
                <w:w w:val="100"/>
                <w:sz w:val="21"/>
                <w:szCs w:val="21"/>
              </w:rPr>
              <w:t>进</w:t>
            </w:r>
            <w:r>
              <w:rPr>
                <w:rFonts w:ascii="宋体" w:hAnsi="宋体" w:cs="宋体" w:eastAsia="宋体" w:hint="default"/>
                <w:w w:val="100"/>
                <w:sz w:val="21"/>
                <w:szCs w:val="21"/>
              </w:rPr>
              <w:t>鹤</w:t>
            </w:r>
            <w:r>
              <w:rPr>
                <w:rFonts w:ascii="宋体" w:hAnsi="宋体" w:cs="宋体" w:eastAsia="宋体" w:hint="default"/>
                <w:spacing w:val="-3"/>
                <w:w w:val="100"/>
                <w:sz w:val="21"/>
                <w:szCs w:val="21"/>
              </w:rPr>
              <w:t>壁</w:t>
            </w:r>
            <w:r>
              <w:rPr>
                <w:rFonts w:ascii="宋体" w:hAnsi="宋体" w:cs="宋体" w:eastAsia="宋体" w:hint="default"/>
                <w:w w:val="100"/>
                <w:sz w:val="21"/>
                <w:szCs w:val="21"/>
              </w:rPr>
              <w:t>市</w:t>
            </w:r>
            <w:r>
              <w:rPr>
                <w:rFonts w:ascii="宋体" w:hAnsi="宋体" w:cs="宋体" w:eastAsia="宋体" w:hint="default"/>
                <w:spacing w:val="-3"/>
                <w:w w:val="100"/>
                <w:sz w:val="21"/>
                <w:szCs w:val="21"/>
              </w:rPr>
              <w:t>信</w:t>
            </w:r>
            <w:r>
              <w:rPr>
                <w:rFonts w:ascii="宋体" w:hAnsi="宋体" w:cs="宋体" w:eastAsia="宋体" w:hint="default"/>
                <w:w w:val="100"/>
                <w:sz w:val="21"/>
                <w:szCs w:val="21"/>
              </w:rPr>
              <w:t>息产</w:t>
            </w:r>
            <w:r>
              <w:rPr>
                <w:rFonts w:ascii="宋体" w:hAnsi="宋体" w:cs="宋体" w:eastAsia="宋体" w:hint="default"/>
                <w:spacing w:val="-3"/>
                <w:w w:val="100"/>
                <w:sz w:val="21"/>
                <w:szCs w:val="21"/>
              </w:rPr>
              <w:t>业</w:t>
            </w:r>
            <w:r>
              <w:rPr>
                <w:rFonts w:ascii="宋体" w:hAnsi="宋体" w:cs="宋体" w:eastAsia="宋体" w:hint="default"/>
                <w:w w:val="100"/>
                <w:sz w:val="21"/>
                <w:szCs w:val="21"/>
              </w:rPr>
              <w:t>发展</w:t>
            </w:r>
            <w:r>
              <w:rPr>
                <w:rFonts w:ascii="宋体" w:hAnsi="宋体" w:cs="宋体" w:eastAsia="宋体" w:hint="default"/>
                <w:spacing w:val="-94"/>
                <w:w w:val="100"/>
                <w:sz w:val="21"/>
                <w:szCs w:val="21"/>
              </w:rPr>
              <w:t>，</w:t>
            </w:r>
            <w:r>
              <w:rPr>
                <w:rFonts w:ascii="宋体" w:hAnsi="宋体" w:cs="宋体" w:eastAsia="宋体" w:hint="default"/>
                <w:w w:val="100"/>
                <w:sz w:val="21"/>
                <w:szCs w:val="21"/>
              </w:rPr>
              <w:t>建</w:t>
            </w:r>
            <w:r>
              <w:rPr>
                <w:rFonts w:ascii="宋体" w:hAnsi="宋体" w:cs="宋体" w:eastAsia="宋体" w:hint="default"/>
                <w:spacing w:val="-3"/>
                <w:w w:val="100"/>
                <w:sz w:val="21"/>
                <w:szCs w:val="21"/>
              </w:rPr>
              <w:t>设</w:t>
            </w:r>
            <w:r>
              <w:rPr>
                <w:rFonts w:ascii="宋体" w:hAnsi="宋体" w:cs="宋体" w:eastAsia="宋体" w:hint="default"/>
                <w:w w:val="100"/>
                <w:sz w:val="21"/>
                <w:szCs w:val="21"/>
              </w:rPr>
              <w:t>鹤</w:t>
            </w:r>
            <w:r>
              <w:rPr>
                <w:rFonts w:ascii="宋体" w:hAnsi="宋体" w:cs="宋体" w:eastAsia="宋体" w:hint="default"/>
                <w:spacing w:val="-3"/>
                <w:w w:val="100"/>
                <w:sz w:val="21"/>
                <w:szCs w:val="21"/>
              </w:rPr>
              <w:t>壁</w:t>
            </w:r>
            <w:r>
              <w:rPr>
                <w:rFonts w:ascii="宋体" w:hAnsi="宋体" w:cs="宋体" w:eastAsia="宋体" w:hint="default"/>
                <w:w w:val="100"/>
                <w:sz w:val="21"/>
                <w:szCs w:val="21"/>
              </w:rPr>
              <w:t>智</w:t>
            </w:r>
            <w:r>
              <w:rPr>
                <w:rFonts w:ascii="宋体" w:hAnsi="宋体" w:cs="宋体" w:eastAsia="宋体" w:hint="default"/>
                <w:spacing w:val="-3"/>
                <w:w w:val="100"/>
                <w:sz w:val="21"/>
                <w:szCs w:val="21"/>
              </w:rPr>
              <w:t>慧</w:t>
            </w:r>
            <w:r>
              <w:rPr>
                <w:rFonts w:ascii="宋体" w:hAnsi="宋体" w:cs="宋体" w:eastAsia="宋体" w:hint="default"/>
                <w:w w:val="100"/>
                <w:sz w:val="21"/>
                <w:szCs w:val="21"/>
              </w:rPr>
              <w:t>城市，</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项目范围涵盖鹤壁市智慧城市项目的总体规划设计、公共</w:t>
            </w:r>
            <w:r>
              <w:rPr>
                <w:rFonts w:ascii="宋体" w:hAnsi="宋体" w:cs="宋体" w:eastAsia="宋体" w:hint="default"/>
                <w:w w:val="100"/>
                <w:sz w:val="21"/>
                <w:szCs w:val="21"/>
              </w:rPr>
              <w:t> </w:t>
            </w:r>
            <w:r>
              <w:rPr>
                <w:rFonts w:ascii="宋体" w:hAnsi="宋体" w:cs="宋体" w:eastAsia="宋体" w:hint="default"/>
                <w:sz w:val="21"/>
                <w:szCs w:val="21"/>
              </w:rPr>
              <w:t>数据中心、智慧政务、城市公共信息平台、市民卡工程、</w:t>
            </w:r>
            <w:r>
              <w:rPr>
                <w:rFonts w:ascii="宋体" w:hAnsi="宋体" w:cs="宋体" w:eastAsia="宋体" w:hint="default"/>
                <w:w w:val="100"/>
                <w:sz w:val="21"/>
                <w:szCs w:val="21"/>
              </w:rPr>
              <w:t> </w:t>
            </w:r>
            <w:r>
              <w:rPr>
                <w:rFonts w:ascii="宋体" w:hAnsi="宋体" w:cs="宋体" w:eastAsia="宋体" w:hint="default"/>
                <w:spacing w:val="-5"/>
                <w:sz w:val="21"/>
                <w:szCs w:val="21"/>
              </w:rPr>
              <w:t>数字城管、智慧店里、智慧医疗、智慧园区、智慧校园等。</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3" w:right="0"/>
              <w:jc w:val="left"/>
              <w:rPr>
                <w:rFonts w:ascii="Times New Roman" w:hAnsi="Times New Roman" w:cs="Times New Roman" w:eastAsia="Times New Roman" w:hint="default"/>
                <w:sz w:val="21"/>
                <w:szCs w:val="21"/>
              </w:rPr>
            </w:pPr>
            <w:r>
              <w:rPr>
                <w:rFonts w:ascii="Times New Roman"/>
                <w:sz w:val="21"/>
              </w:rPr>
              <w:t>300,000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3" w:right="0"/>
              <w:jc w:val="left"/>
              <w:rPr>
                <w:rFonts w:ascii="Times New Roman" w:hAnsi="Times New Roman" w:cs="Times New Roman" w:eastAsia="Times New Roman" w:hint="default"/>
                <w:sz w:val="21"/>
                <w:szCs w:val="21"/>
              </w:rPr>
            </w:pPr>
            <w:r>
              <w:rPr>
                <w:rFonts w:ascii="Times New Roman"/>
                <w:sz w:val="21"/>
              </w:rPr>
              <w:t>2014/12/25</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年非公开发行股票</w:t>
            </w:r>
          </w:p>
          <w:p>
            <w:pPr>
              <w:pStyle w:val="TableParagraph"/>
              <w:spacing w:line="237" w:lineRule="auto"/>
              <w:ind w:left="103" w:right="108"/>
              <w:jc w:val="both"/>
              <w:rPr>
                <w:rFonts w:ascii="宋体" w:hAnsi="宋体" w:cs="宋体" w:eastAsia="宋体" w:hint="default"/>
                <w:sz w:val="21"/>
                <w:szCs w:val="21"/>
              </w:rPr>
            </w:pPr>
            <w:r>
              <w:rPr>
                <w:rFonts w:ascii="宋体" w:hAnsi="宋体" w:cs="宋体" w:eastAsia="宋体" w:hint="default"/>
                <w:spacing w:val="-2"/>
                <w:sz w:val="21"/>
                <w:szCs w:val="21"/>
              </w:rPr>
              <w:t>的申请未获得审核通过较大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影响，仍就核心条款与甲方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进行协商。</w:t>
            </w:r>
          </w:p>
        </w:tc>
      </w:tr>
      <w:tr>
        <w:trPr>
          <w:trHeight w:val="1102"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芜湖智</w:t>
            </w:r>
          </w:p>
          <w:p>
            <w:pPr>
              <w:pStyle w:val="TableParagraph"/>
              <w:spacing w:line="237" w:lineRule="auto"/>
              <w:ind w:left="103" w:right="237"/>
              <w:jc w:val="both"/>
              <w:rPr>
                <w:rFonts w:ascii="宋体" w:hAnsi="宋体" w:cs="宋体" w:eastAsia="宋体" w:hint="default"/>
                <w:sz w:val="21"/>
                <w:szCs w:val="21"/>
              </w:rPr>
            </w:pPr>
            <w:r>
              <w:rPr>
                <w:rFonts w:ascii="宋体" w:hAnsi="宋体" w:cs="宋体" w:eastAsia="宋体" w:hint="default"/>
                <w:sz w:val="21"/>
                <w:szCs w:val="21"/>
              </w:rPr>
              <w:t>慧城市</w:t>
            </w:r>
            <w:r>
              <w:rPr>
                <w:rFonts w:ascii="宋体" w:hAnsi="宋体" w:cs="宋体" w:eastAsia="宋体" w:hint="default"/>
                <w:spacing w:val="-102"/>
                <w:sz w:val="21"/>
                <w:szCs w:val="21"/>
              </w:rPr>
              <w:t> </w:t>
            </w:r>
            <w:r>
              <w:rPr>
                <w:rFonts w:ascii="宋体" w:hAnsi="宋体" w:cs="宋体" w:eastAsia="宋体" w:hint="default"/>
                <w:sz w:val="21"/>
                <w:szCs w:val="21"/>
              </w:rPr>
              <w:t>战略合</w:t>
            </w:r>
            <w:r>
              <w:rPr>
                <w:rFonts w:ascii="宋体" w:hAnsi="宋体" w:cs="宋体" w:eastAsia="宋体" w:hint="default"/>
                <w:spacing w:val="-102"/>
                <w:sz w:val="21"/>
                <w:szCs w:val="21"/>
              </w:rPr>
              <w:t> </w:t>
            </w:r>
            <w:r>
              <w:rPr>
                <w:rFonts w:ascii="宋体" w:hAnsi="宋体" w:cs="宋体" w:eastAsia="宋体" w:hint="default"/>
                <w:sz w:val="21"/>
                <w:szCs w:val="21"/>
              </w:rPr>
              <w:t>作协议</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76"/>
              <w:jc w:val="both"/>
              <w:rPr>
                <w:rFonts w:ascii="宋体" w:hAnsi="宋体" w:cs="宋体" w:eastAsia="宋体" w:hint="default"/>
                <w:sz w:val="21"/>
                <w:szCs w:val="21"/>
              </w:rPr>
            </w:pPr>
            <w:r>
              <w:rPr>
                <w:rFonts w:ascii="宋体" w:hAnsi="宋体" w:cs="宋体" w:eastAsia="宋体" w:hint="default"/>
                <w:sz w:val="21"/>
                <w:szCs w:val="21"/>
              </w:rPr>
              <w:t>芜湖市</w:t>
            </w:r>
            <w:r>
              <w:rPr>
                <w:rFonts w:ascii="宋体" w:hAnsi="宋体" w:cs="宋体" w:eastAsia="宋体" w:hint="default"/>
                <w:spacing w:val="-102"/>
                <w:sz w:val="21"/>
                <w:szCs w:val="21"/>
              </w:rPr>
              <w:t> </w:t>
            </w:r>
            <w:r>
              <w:rPr>
                <w:rFonts w:ascii="宋体" w:hAnsi="宋体" w:cs="宋体" w:eastAsia="宋体" w:hint="default"/>
                <w:sz w:val="21"/>
                <w:szCs w:val="21"/>
              </w:rPr>
              <w:t>人民政</w:t>
            </w:r>
            <w:r>
              <w:rPr>
                <w:rFonts w:ascii="宋体" w:hAnsi="宋体" w:cs="宋体" w:eastAsia="宋体" w:hint="default"/>
                <w:spacing w:val="-102"/>
                <w:sz w:val="21"/>
                <w:szCs w:val="21"/>
              </w:rPr>
              <w:t> </w:t>
            </w:r>
            <w:r>
              <w:rPr>
                <w:rFonts w:ascii="宋体" w:hAnsi="宋体" w:cs="宋体" w:eastAsia="宋体" w:hint="default"/>
                <w:sz w:val="21"/>
                <w:szCs w:val="21"/>
              </w:rPr>
              <w:t>府</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年，打造芜湖成智慧产业和智慧城市示范工程，项</w:t>
            </w:r>
          </w:p>
          <w:p>
            <w:pPr>
              <w:pStyle w:val="TableParagraph"/>
              <w:spacing w:line="237" w:lineRule="auto"/>
              <w:ind w:left="103" w:right="125"/>
              <w:jc w:val="both"/>
              <w:rPr>
                <w:rFonts w:ascii="宋体" w:hAnsi="宋体" w:cs="宋体" w:eastAsia="宋体" w:hint="default"/>
                <w:sz w:val="21"/>
                <w:szCs w:val="21"/>
              </w:rPr>
            </w:pPr>
            <w:r>
              <w:rPr>
                <w:rFonts w:ascii="宋体" w:hAnsi="宋体" w:cs="宋体" w:eastAsia="宋体" w:hint="default"/>
                <w:spacing w:val="-2"/>
                <w:sz w:val="21"/>
                <w:szCs w:val="21"/>
              </w:rPr>
              <w:t>目范围涵盖智慧城市云平台、智慧政务、智慧教育、智慧</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交通、智慧医疗、平安城市，以及与智慧城市其它相关项</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目的建设。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200,000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2014/11/26</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年非公开发行股票</w:t>
            </w:r>
          </w:p>
          <w:p>
            <w:pPr>
              <w:pStyle w:val="TableParagraph"/>
              <w:spacing w:line="237" w:lineRule="auto"/>
              <w:ind w:left="103" w:right="108"/>
              <w:jc w:val="both"/>
              <w:rPr>
                <w:rFonts w:ascii="宋体" w:hAnsi="宋体" w:cs="宋体" w:eastAsia="宋体" w:hint="default"/>
                <w:sz w:val="21"/>
                <w:szCs w:val="21"/>
              </w:rPr>
            </w:pPr>
            <w:r>
              <w:rPr>
                <w:rFonts w:ascii="宋体" w:hAnsi="宋体" w:cs="宋体" w:eastAsia="宋体" w:hint="default"/>
                <w:spacing w:val="-2"/>
                <w:sz w:val="21"/>
                <w:szCs w:val="21"/>
              </w:rPr>
              <w:t>的申请未获得审核通过较大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影响，仍就核心条款与甲方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进行协商。</w:t>
            </w:r>
          </w:p>
        </w:tc>
      </w:tr>
      <w:tr>
        <w:trPr>
          <w:trHeight w:val="1371"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武汉新</w:t>
            </w:r>
          </w:p>
          <w:p>
            <w:pPr>
              <w:pStyle w:val="TableParagraph"/>
              <w:spacing w:line="237" w:lineRule="auto"/>
              <w:ind w:left="103" w:right="237"/>
              <w:jc w:val="both"/>
              <w:rPr>
                <w:rFonts w:ascii="宋体" w:hAnsi="宋体" w:cs="宋体" w:eastAsia="宋体" w:hint="default"/>
                <w:sz w:val="21"/>
                <w:szCs w:val="21"/>
              </w:rPr>
            </w:pPr>
            <w:r>
              <w:rPr>
                <w:rFonts w:ascii="宋体" w:hAnsi="宋体" w:cs="宋体" w:eastAsia="宋体" w:hint="default"/>
                <w:sz w:val="21"/>
                <w:szCs w:val="21"/>
              </w:rPr>
              <w:t>洲智慧</w:t>
            </w:r>
            <w:r>
              <w:rPr>
                <w:rFonts w:ascii="宋体" w:hAnsi="宋体" w:cs="宋体" w:eastAsia="宋体" w:hint="default"/>
                <w:spacing w:val="-102"/>
                <w:sz w:val="21"/>
                <w:szCs w:val="21"/>
              </w:rPr>
              <w:t> </w:t>
            </w:r>
            <w:r>
              <w:rPr>
                <w:rFonts w:ascii="宋体" w:hAnsi="宋体" w:cs="宋体" w:eastAsia="宋体" w:hint="default"/>
                <w:sz w:val="21"/>
                <w:szCs w:val="21"/>
              </w:rPr>
              <w:t>城市战</w:t>
            </w:r>
            <w:r>
              <w:rPr>
                <w:rFonts w:ascii="宋体" w:hAnsi="宋体" w:cs="宋体" w:eastAsia="宋体" w:hint="default"/>
                <w:spacing w:val="-102"/>
                <w:sz w:val="21"/>
                <w:szCs w:val="21"/>
              </w:rPr>
              <w:t> </w:t>
            </w:r>
            <w:r>
              <w:rPr>
                <w:rFonts w:ascii="宋体" w:hAnsi="宋体" w:cs="宋体" w:eastAsia="宋体" w:hint="default"/>
                <w:sz w:val="21"/>
                <w:szCs w:val="21"/>
              </w:rPr>
              <w:t>略合作</w:t>
            </w:r>
            <w:r>
              <w:rPr>
                <w:rFonts w:ascii="宋体" w:hAnsi="宋体" w:cs="宋体" w:eastAsia="宋体" w:hint="default"/>
                <w:spacing w:val="-102"/>
                <w:sz w:val="21"/>
                <w:szCs w:val="21"/>
              </w:rPr>
              <w:t> </w:t>
            </w:r>
            <w:r>
              <w:rPr>
                <w:rFonts w:ascii="宋体" w:hAnsi="宋体" w:cs="宋体" w:eastAsia="宋体" w:hint="default"/>
                <w:sz w:val="21"/>
                <w:szCs w:val="21"/>
              </w:rPr>
              <w:t>协议</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276"/>
              <w:jc w:val="both"/>
              <w:rPr>
                <w:rFonts w:ascii="宋体" w:hAnsi="宋体" w:cs="宋体" w:eastAsia="宋体" w:hint="default"/>
                <w:sz w:val="21"/>
                <w:szCs w:val="21"/>
              </w:rPr>
            </w:pPr>
            <w:r>
              <w:rPr>
                <w:rFonts w:ascii="宋体" w:hAnsi="宋体" w:cs="宋体" w:eastAsia="宋体" w:hint="default"/>
                <w:sz w:val="21"/>
                <w:szCs w:val="21"/>
              </w:rPr>
              <w:t>新洲市</w:t>
            </w:r>
            <w:r>
              <w:rPr>
                <w:rFonts w:ascii="宋体" w:hAnsi="宋体" w:cs="宋体" w:eastAsia="宋体" w:hint="default"/>
                <w:spacing w:val="-102"/>
                <w:sz w:val="21"/>
                <w:szCs w:val="21"/>
              </w:rPr>
              <w:t> </w:t>
            </w:r>
            <w:r>
              <w:rPr>
                <w:rFonts w:ascii="宋体" w:hAnsi="宋体" w:cs="宋体" w:eastAsia="宋体" w:hint="default"/>
                <w:sz w:val="21"/>
                <w:szCs w:val="21"/>
              </w:rPr>
              <w:t>人民政</w:t>
            </w:r>
            <w:r>
              <w:rPr>
                <w:rFonts w:ascii="宋体" w:hAnsi="宋体" w:cs="宋体" w:eastAsia="宋体" w:hint="default"/>
                <w:spacing w:val="-102"/>
                <w:sz w:val="21"/>
                <w:szCs w:val="21"/>
              </w:rPr>
              <w:t> </w:t>
            </w:r>
            <w:r>
              <w:rPr>
                <w:rFonts w:ascii="宋体" w:hAnsi="宋体" w:cs="宋体" w:eastAsia="宋体" w:hint="default"/>
                <w:sz w:val="21"/>
                <w:szCs w:val="21"/>
              </w:rPr>
              <w:t>府</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05"/>
              <w:ind w:left="103" w:right="125"/>
              <w:jc w:val="both"/>
              <w:rPr>
                <w:rFonts w:ascii="宋体" w:hAnsi="宋体" w:cs="宋体" w:eastAsia="宋体" w:hint="default"/>
                <w:sz w:val="21"/>
                <w:szCs w:val="21"/>
              </w:rPr>
            </w:pPr>
            <w:r>
              <w:rPr>
                <w:rFonts w:ascii="宋体" w:hAnsi="宋体" w:cs="宋体" w:eastAsia="宋体" w:hint="default"/>
                <w:sz w:val="21"/>
                <w:szCs w:val="21"/>
              </w:rPr>
              <w:t>武汉新洲区在未来</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年投资建设的新洲区智慧城市项目，</w:t>
            </w:r>
            <w:r>
              <w:rPr>
                <w:rFonts w:ascii="宋体" w:hAnsi="宋体" w:cs="宋体" w:eastAsia="宋体" w:hint="default"/>
                <w:w w:val="100"/>
                <w:sz w:val="21"/>
                <w:szCs w:val="21"/>
              </w:rPr>
              <w:t> </w:t>
            </w:r>
            <w:r>
              <w:rPr>
                <w:rFonts w:ascii="宋体" w:hAnsi="宋体" w:cs="宋体" w:eastAsia="宋体" w:hint="default"/>
                <w:spacing w:val="-2"/>
                <w:sz w:val="21"/>
                <w:szCs w:val="21"/>
              </w:rPr>
              <w:t>项目范围包括新洲区智慧城市项目的总体规划设计、阳逻</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智慧新城、智慧旅游、智慧管网、平安城市、智慧阳逻之</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星等项目。</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212,600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2014/12/22</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108"/>
              <w:jc w:val="both"/>
              <w:rPr>
                <w:rFonts w:ascii="宋体" w:hAnsi="宋体" w:cs="宋体" w:eastAsia="宋体" w:hint="default"/>
                <w:sz w:val="21"/>
                <w:szCs w:val="21"/>
              </w:rPr>
            </w:pPr>
            <w:r>
              <w:rPr>
                <w:rFonts w:ascii="宋体" w:hAnsi="宋体" w:cs="宋体" w:eastAsia="宋体" w:hint="default"/>
                <w:spacing w:val="-2"/>
                <w:sz w:val="21"/>
                <w:szCs w:val="21"/>
              </w:rPr>
              <w:t>目前和武汉新洲区就智慧阳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逻项目展开深入探讨，一期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以顶层设计咨询服务为切入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点。</w:t>
            </w:r>
          </w:p>
        </w:tc>
      </w:tr>
      <w:tr>
        <w:trPr>
          <w:trHeight w:val="828"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韶山智</w:t>
            </w:r>
          </w:p>
          <w:p>
            <w:pPr>
              <w:pStyle w:val="TableParagraph"/>
              <w:spacing w:line="272" w:lineRule="exact" w:before="27"/>
              <w:ind w:left="103" w:right="237"/>
              <w:jc w:val="left"/>
              <w:rPr>
                <w:rFonts w:ascii="宋体" w:hAnsi="宋体" w:cs="宋体" w:eastAsia="宋体" w:hint="default"/>
                <w:sz w:val="21"/>
                <w:szCs w:val="21"/>
              </w:rPr>
            </w:pPr>
            <w:r>
              <w:rPr>
                <w:rFonts w:ascii="宋体" w:hAnsi="宋体" w:cs="宋体" w:eastAsia="宋体" w:hint="default"/>
                <w:sz w:val="21"/>
                <w:szCs w:val="21"/>
              </w:rPr>
              <w:t>慧城市</w:t>
            </w:r>
            <w:r>
              <w:rPr>
                <w:rFonts w:ascii="宋体" w:hAnsi="宋体" w:cs="宋体" w:eastAsia="宋体" w:hint="default"/>
                <w:spacing w:val="-102"/>
                <w:sz w:val="21"/>
                <w:szCs w:val="21"/>
              </w:rPr>
              <w:t> </w:t>
            </w:r>
            <w:r>
              <w:rPr>
                <w:rFonts w:ascii="宋体" w:hAnsi="宋体" w:cs="宋体" w:eastAsia="宋体" w:hint="default"/>
                <w:sz w:val="21"/>
                <w:szCs w:val="21"/>
              </w:rPr>
              <w:t>战略合</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韶山市</w:t>
            </w:r>
          </w:p>
          <w:p>
            <w:pPr>
              <w:pStyle w:val="TableParagraph"/>
              <w:spacing w:line="272" w:lineRule="exact" w:before="27"/>
              <w:ind w:left="103" w:right="276"/>
              <w:jc w:val="left"/>
              <w:rPr>
                <w:rFonts w:ascii="宋体" w:hAnsi="宋体" w:cs="宋体" w:eastAsia="宋体" w:hint="default"/>
                <w:sz w:val="21"/>
                <w:szCs w:val="21"/>
              </w:rPr>
            </w:pPr>
            <w:r>
              <w:rPr>
                <w:rFonts w:ascii="宋体" w:hAnsi="宋体" w:cs="宋体" w:eastAsia="宋体" w:hint="default"/>
                <w:sz w:val="21"/>
                <w:szCs w:val="21"/>
              </w:rPr>
              <w:t>人民政</w:t>
            </w:r>
            <w:r>
              <w:rPr>
                <w:rFonts w:ascii="宋体" w:hAnsi="宋体" w:cs="宋体" w:eastAsia="宋体" w:hint="default"/>
                <w:spacing w:val="-102"/>
                <w:sz w:val="21"/>
                <w:szCs w:val="21"/>
              </w:rPr>
              <w:t> </w:t>
            </w:r>
            <w:r>
              <w:rPr>
                <w:rFonts w:ascii="宋体" w:hAnsi="宋体" w:cs="宋体" w:eastAsia="宋体" w:hint="default"/>
                <w:sz w:val="21"/>
                <w:szCs w:val="21"/>
              </w:rPr>
              <w:t>府</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韶山市政府未来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年建设的智慧城市项目，项目范围涵盖</w:t>
            </w:r>
          </w:p>
          <w:p>
            <w:pPr>
              <w:pStyle w:val="TableParagraph"/>
              <w:spacing w:line="272" w:lineRule="exact" w:before="19"/>
              <w:ind w:left="103" w:right="125"/>
              <w:jc w:val="left"/>
              <w:rPr>
                <w:rFonts w:ascii="宋体" w:hAnsi="宋体" w:cs="宋体" w:eastAsia="宋体" w:hint="default"/>
                <w:sz w:val="21"/>
                <w:szCs w:val="21"/>
              </w:rPr>
            </w:pPr>
            <w:r>
              <w:rPr>
                <w:rFonts w:ascii="宋体" w:hAnsi="宋体" w:cs="宋体" w:eastAsia="宋体" w:hint="default"/>
                <w:spacing w:val="-2"/>
                <w:sz w:val="21"/>
                <w:szCs w:val="21"/>
              </w:rPr>
              <w:t>韶山市智慧城市项目的总体规划设计、智慧旅游、市民一</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卡、平安城市、通智慧园区等，以及与智慧城市具体项目</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121,800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2014/12/5</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年非公开发行股票</w:t>
            </w:r>
          </w:p>
          <w:p>
            <w:pPr>
              <w:pStyle w:val="TableParagraph"/>
              <w:spacing w:line="272" w:lineRule="exact" w:before="19"/>
              <w:ind w:left="103" w:right="108"/>
              <w:jc w:val="left"/>
              <w:rPr>
                <w:rFonts w:ascii="宋体" w:hAnsi="宋体" w:cs="宋体" w:eastAsia="宋体" w:hint="default"/>
                <w:sz w:val="21"/>
                <w:szCs w:val="21"/>
              </w:rPr>
            </w:pPr>
            <w:r>
              <w:rPr>
                <w:rFonts w:ascii="宋体" w:hAnsi="宋体" w:cs="宋体" w:eastAsia="宋体" w:hint="default"/>
                <w:spacing w:val="-2"/>
                <w:sz w:val="21"/>
                <w:szCs w:val="21"/>
              </w:rPr>
              <w:t>的申请未获得审核通过较大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影响，仍就核心条款与甲方</w:t>
            </w:r>
          </w:p>
        </w:tc>
      </w:tr>
    </w:tbl>
    <w:p>
      <w:pPr>
        <w:spacing w:after="0" w:line="272" w:lineRule="exact"/>
        <w:jc w:val="left"/>
        <w:rPr>
          <w:rFonts w:ascii="宋体" w:hAnsi="宋体" w:cs="宋体" w:eastAsia="宋体" w:hint="default"/>
          <w:sz w:val="21"/>
          <w:szCs w:val="21"/>
        </w:rPr>
        <w:sectPr>
          <w:headerReference w:type="default" r:id="rId13"/>
          <w:footerReference w:type="default" r:id="rId14"/>
          <w:pgSz w:w="16840" w:h="11910" w:orient="landscape"/>
          <w:pgMar w:header="880" w:footer="1195" w:top="1120" w:bottom="1380" w:left="1220" w:right="1400"/>
          <w:pgNumType w:start="1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84"/>
        <w:gridCol w:w="1025"/>
        <w:gridCol w:w="5497"/>
        <w:gridCol w:w="1644"/>
        <w:gridCol w:w="1827"/>
        <w:gridCol w:w="2746"/>
      </w:tblGrid>
      <w:tr>
        <w:trPr>
          <w:trHeight w:val="554" w:hRule="exact"/>
        </w:trPr>
        <w:tc>
          <w:tcPr>
            <w:tcW w:w="984"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275"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75"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025"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297" w:right="0"/>
              <w:jc w:val="left"/>
              <w:rPr>
                <w:rFonts w:ascii="宋体" w:hAnsi="宋体" w:cs="宋体" w:eastAsia="宋体" w:hint="default"/>
                <w:sz w:val="21"/>
                <w:szCs w:val="21"/>
              </w:rPr>
            </w:pPr>
            <w:r>
              <w:rPr>
                <w:rFonts w:ascii="宋体" w:hAnsi="宋体" w:cs="宋体" w:eastAsia="宋体" w:hint="default"/>
                <w:sz w:val="21"/>
                <w:szCs w:val="21"/>
              </w:rPr>
              <w:t>客户</w:t>
            </w:r>
          </w:p>
          <w:p>
            <w:pPr>
              <w:pStyle w:val="TableParagraph"/>
              <w:spacing w:line="273" w:lineRule="exact"/>
              <w:ind w:left="297"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497"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主要内容</w:t>
            </w:r>
          </w:p>
        </w:tc>
        <w:tc>
          <w:tcPr>
            <w:tcW w:w="1644"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827"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102"/>
              <w:ind w:left="489" w:right="0"/>
              <w:jc w:val="left"/>
              <w:rPr>
                <w:rFonts w:ascii="宋体" w:hAnsi="宋体" w:cs="宋体" w:eastAsia="宋体" w:hint="default"/>
                <w:sz w:val="21"/>
                <w:szCs w:val="21"/>
              </w:rPr>
            </w:pPr>
            <w:r>
              <w:rPr>
                <w:rFonts w:ascii="宋体" w:hAnsi="宋体" w:cs="宋体" w:eastAsia="宋体" w:hint="default"/>
                <w:sz w:val="21"/>
                <w:szCs w:val="21"/>
              </w:rPr>
              <w:t>签订日期</w:t>
            </w:r>
          </w:p>
        </w:tc>
        <w:tc>
          <w:tcPr>
            <w:tcW w:w="2746"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840" w:right="0"/>
              <w:jc w:val="left"/>
              <w:rPr>
                <w:rFonts w:ascii="宋体" w:hAnsi="宋体" w:cs="宋体" w:eastAsia="宋体" w:hint="default"/>
                <w:sz w:val="21"/>
                <w:szCs w:val="21"/>
              </w:rPr>
            </w:pPr>
            <w:r>
              <w:rPr>
                <w:rFonts w:ascii="宋体" w:hAnsi="宋体" w:cs="宋体" w:eastAsia="宋体" w:hint="default"/>
                <w:sz w:val="21"/>
                <w:szCs w:val="21"/>
              </w:rPr>
              <w:t>目前的执行</w:t>
            </w:r>
          </w:p>
          <w:p>
            <w:pPr>
              <w:pStyle w:val="TableParagraph"/>
              <w:spacing w:line="273" w:lineRule="exact"/>
              <w:ind w:left="840" w:right="0"/>
              <w:jc w:val="left"/>
              <w:rPr>
                <w:rFonts w:ascii="宋体" w:hAnsi="宋体" w:cs="宋体" w:eastAsia="宋体" w:hint="default"/>
                <w:sz w:val="21"/>
                <w:szCs w:val="21"/>
              </w:rPr>
            </w:pPr>
            <w:r>
              <w:rPr>
                <w:rFonts w:ascii="宋体" w:hAnsi="宋体" w:cs="宋体" w:eastAsia="宋体" w:hint="default"/>
                <w:sz w:val="21"/>
                <w:szCs w:val="21"/>
              </w:rPr>
              <w:t>及落地情况</w:t>
            </w:r>
          </w:p>
        </w:tc>
      </w:tr>
      <w:tr>
        <w:trPr>
          <w:trHeight w:val="41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作协议</w:t>
            </w:r>
          </w:p>
        </w:tc>
        <w:tc>
          <w:tcPr>
            <w:tcW w:w="1025" w:type="dxa"/>
            <w:tcBorders>
              <w:top w:val="single" w:sz="4" w:space="0" w:color="000000"/>
              <w:left w:val="single" w:sz="4" w:space="0" w:color="000000"/>
              <w:bottom w:val="single" w:sz="4" w:space="0" w:color="000000"/>
              <w:right w:val="single" w:sz="4" w:space="0" w:color="000000"/>
            </w:tcBorders>
          </w:tcPr>
          <w:p>
            <w:pP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相关的基础设施建设。</w:t>
            </w:r>
          </w:p>
        </w:tc>
        <w:tc>
          <w:tcPr>
            <w:tcW w:w="1644"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进行协商。</w:t>
            </w:r>
          </w:p>
        </w:tc>
      </w:tr>
      <w:tr>
        <w:trPr>
          <w:trHeight w:val="1918"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3" w:right="237"/>
              <w:jc w:val="both"/>
              <w:rPr>
                <w:rFonts w:ascii="宋体" w:hAnsi="宋体" w:cs="宋体" w:eastAsia="宋体" w:hint="default"/>
                <w:sz w:val="21"/>
                <w:szCs w:val="21"/>
              </w:rPr>
            </w:pPr>
            <w:r>
              <w:rPr>
                <w:rFonts w:ascii="宋体" w:hAnsi="宋体" w:cs="宋体" w:eastAsia="宋体" w:hint="default"/>
                <w:sz w:val="21"/>
                <w:szCs w:val="21"/>
              </w:rPr>
              <w:t>重庆智</w:t>
            </w:r>
            <w:r>
              <w:rPr>
                <w:rFonts w:ascii="宋体" w:hAnsi="宋体" w:cs="宋体" w:eastAsia="宋体" w:hint="default"/>
                <w:spacing w:val="-102"/>
                <w:sz w:val="21"/>
                <w:szCs w:val="21"/>
              </w:rPr>
              <w:t> </w:t>
            </w:r>
            <w:r>
              <w:rPr>
                <w:rFonts w:ascii="宋体" w:hAnsi="宋体" w:cs="宋体" w:eastAsia="宋体" w:hint="default"/>
                <w:sz w:val="21"/>
                <w:szCs w:val="21"/>
              </w:rPr>
              <w:t>慧城市</w:t>
            </w:r>
            <w:r>
              <w:rPr>
                <w:rFonts w:ascii="宋体" w:hAnsi="宋体" w:cs="宋体" w:eastAsia="宋体" w:hint="default"/>
                <w:spacing w:val="-102"/>
                <w:sz w:val="21"/>
                <w:szCs w:val="21"/>
              </w:rPr>
              <w:t> </w:t>
            </w:r>
            <w:r>
              <w:rPr>
                <w:rFonts w:ascii="宋体" w:hAnsi="宋体" w:cs="宋体" w:eastAsia="宋体" w:hint="default"/>
                <w:sz w:val="21"/>
                <w:szCs w:val="21"/>
              </w:rPr>
              <w:t>战略合</w:t>
            </w:r>
            <w:r>
              <w:rPr>
                <w:rFonts w:ascii="宋体" w:hAnsi="宋体" w:cs="宋体" w:eastAsia="宋体" w:hint="default"/>
                <w:spacing w:val="-102"/>
                <w:sz w:val="21"/>
                <w:szCs w:val="21"/>
              </w:rPr>
              <w:t> </w:t>
            </w:r>
            <w:r>
              <w:rPr>
                <w:rFonts w:ascii="宋体" w:hAnsi="宋体" w:cs="宋体" w:eastAsia="宋体" w:hint="default"/>
                <w:sz w:val="21"/>
                <w:szCs w:val="21"/>
              </w:rPr>
              <w:t>作协议</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3" w:right="276"/>
              <w:jc w:val="both"/>
              <w:rPr>
                <w:rFonts w:ascii="宋体" w:hAnsi="宋体" w:cs="宋体" w:eastAsia="宋体" w:hint="default"/>
                <w:sz w:val="21"/>
                <w:szCs w:val="21"/>
              </w:rPr>
            </w:pPr>
            <w:r>
              <w:rPr>
                <w:rFonts w:ascii="宋体" w:hAnsi="宋体" w:cs="宋体" w:eastAsia="宋体" w:hint="default"/>
                <w:sz w:val="21"/>
                <w:szCs w:val="21"/>
              </w:rPr>
              <w:t>重庆市</w:t>
            </w:r>
            <w:r>
              <w:rPr>
                <w:rFonts w:ascii="宋体" w:hAnsi="宋体" w:cs="宋体" w:eastAsia="宋体" w:hint="default"/>
                <w:spacing w:val="-102"/>
                <w:sz w:val="21"/>
                <w:szCs w:val="21"/>
              </w:rPr>
              <w:t> </w:t>
            </w:r>
            <w:r>
              <w:rPr>
                <w:rFonts w:ascii="宋体" w:hAnsi="宋体" w:cs="宋体" w:eastAsia="宋体" w:hint="default"/>
                <w:sz w:val="21"/>
                <w:szCs w:val="21"/>
              </w:rPr>
              <w:t>经济和</w:t>
            </w:r>
            <w:r>
              <w:rPr>
                <w:rFonts w:ascii="宋体" w:hAnsi="宋体" w:cs="宋体" w:eastAsia="宋体" w:hint="default"/>
                <w:spacing w:val="-102"/>
                <w:sz w:val="21"/>
                <w:szCs w:val="21"/>
              </w:rPr>
              <w:t> </w:t>
            </w:r>
            <w:r>
              <w:rPr>
                <w:rFonts w:ascii="宋体" w:hAnsi="宋体" w:cs="宋体" w:eastAsia="宋体" w:hint="default"/>
                <w:sz w:val="21"/>
                <w:szCs w:val="21"/>
              </w:rPr>
              <w:t>信息化</w:t>
            </w:r>
            <w:r>
              <w:rPr>
                <w:rFonts w:ascii="宋体" w:hAnsi="宋体" w:cs="宋体" w:eastAsia="宋体" w:hint="default"/>
                <w:spacing w:val="-102"/>
                <w:sz w:val="21"/>
                <w:szCs w:val="21"/>
              </w:rPr>
              <w:t> </w:t>
            </w:r>
            <w:r>
              <w:rPr>
                <w:rFonts w:ascii="宋体" w:hAnsi="宋体" w:cs="宋体" w:eastAsia="宋体" w:hint="default"/>
                <w:sz w:val="21"/>
                <w:szCs w:val="21"/>
              </w:rPr>
              <w:t>委员会</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auto" w:before="153"/>
              <w:ind w:left="103" w:right="125"/>
              <w:jc w:val="both"/>
              <w:rPr>
                <w:rFonts w:ascii="宋体" w:hAnsi="宋体" w:cs="宋体" w:eastAsia="宋体" w:hint="default"/>
                <w:sz w:val="21"/>
                <w:szCs w:val="21"/>
              </w:rPr>
            </w:pPr>
            <w:r>
              <w:rPr>
                <w:rFonts w:ascii="宋体" w:hAnsi="宋体" w:cs="宋体" w:eastAsia="宋体" w:hint="default"/>
                <w:sz w:val="21"/>
                <w:szCs w:val="21"/>
              </w:rPr>
              <w:t>重庆两江新区管理委员会未来</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年内建设的智慧城市基础</w:t>
            </w:r>
            <w:r>
              <w:rPr>
                <w:rFonts w:ascii="宋体" w:hAnsi="宋体" w:cs="宋体" w:eastAsia="宋体" w:hint="default"/>
                <w:w w:val="100"/>
                <w:sz w:val="21"/>
                <w:szCs w:val="21"/>
              </w:rPr>
              <w:t> </w:t>
            </w:r>
            <w:r>
              <w:rPr>
                <w:rFonts w:ascii="宋体" w:hAnsi="宋体" w:cs="宋体" w:eastAsia="宋体" w:hint="default"/>
                <w:spacing w:val="-2"/>
                <w:sz w:val="21"/>
                <w:szCs w:val="21"/>
              </w:rPr>
              <w:t>设施项目，项目范围涵盖智慧城市项目的总体规划设计、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智慧新城、智慧保障房管理、智慧物流、智慧园区、智慧</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商圈等。</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400,000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2014/12/1</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已完成两江智慧政务平台一</w:t>
            </w:r>
          </w:p>
          <w:p>
            <w:pPr>
              <w:pStyle w:val="TableParagraph"/>
              <w:spacing w:line="237" w:lineRule="auto"/>
              <w:ind w:left="103" w:right="108"/>
              <w:jc w:val="both"/>
              <w:rPr>
                <w:rFonts w:ascii="宋体" w:hAnsi="宋体" w:cs="宋体" w:eastAsia="宋体" w:hint="default"/>
                <w:sz w:val="21"/>
                <w:szCs w:val="21"/>
              </w:rPr>
            </w:pPr>
            <w:r>
              <w:rPr>
                <w:rFonts w:ascii="宋体" w:hAnsi="宋体" w:cs="宋体" w:eastAsia="宋体" w:hint="default"/>
                <w:spacing w:val="-2"/>
                <w:sz w:val="21"/>
                <w:szCs w:val="21"/>
              </w:rPr>
              <w:t>期建设，承接两江市场监管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局等单位的智慧政务业务。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目前正在积极推进两江公共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信息平台、智慧政务二期等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项目，完成技术方案规划及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设计。</w:t>
            </w:r>
          </w:p>
        </w:tc>
      </w:tr>
      <w:tr>
        <w:trPr>
          <w:trHeight w:val="1644"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宁波杭</w:t>
            </w:r>
          </w:p>
          <w:p>
            <w:pPr>
              <w:pStyle w:val="TableParagraph"/>
              <w:spacing w:line="237" w:lineRule="auto" w:before="2"/>
              <w:ind w:left="103" w:right="237"/>
              <w:jc w:val="both"/>
              <w:rPr>
                <w:rFonts w:ascii="宋体" w:hAnsi="宋体" w:cs="宋体" w:eastAsia="宋体" w:hint="default"/>
                <w:sz w:val="21"/>
                <w:szCs w:val="21"/>
              </w:rPr>
            </w:pPr>
            <w:r>
              <w:rPr>
                <w:rFonts w:ascii="宋体" w:hAnsi="宋体" w:cs="宋体" w:eastAsia="宋体" w:hint="default"/>
                <w:sz w:val="21"/>
                <w:szCs w:val="21"/>
              </w:rPr>
              <w:t>州湾新</w:t>
            </w:r>
            <w:r>
              <w:rPr>
                <w:rFonts w:ascii="宋体" w:hAnsi="宋体" w:cs="宋体" w:eastAsia="宋体" w:hint="default"/>
                <w:spacing w:val="-102"/>
                <w:sz w:val="21"/>
                <w:szCs w:val="21"/>
              </w:rPr>
              <w:t> </w:t>
            </w:r>
            <w:r>
              <w:rPr>
                <w:rFonts w:ascii="宋体" w:hAnsi="宋体" w:cs="宋体" w:eastAsia="宋体" w:hint="default"/>
                <w:sz w:val="21"/>
                <w:szCs w:val="21"/>
              </w:rPr>
              <w:t>区智慧</w:t>
            </w:r>
            <w:r>
              <w:rPr>
                <w:rFonts w:ascii="宋体" w:hAnsi="宋体" w:cs="宋体" w:eastAsia="宋体" w:hint="default"/>
                <w:spacing w:val="-102"/>
                <w:sz w:val="21"/>
                <w:szCs w:val="21"/>
              </w:rPr>
              <w:t> </w:t>
            </w:r>
            <w:r>
              <w:rPr>
                <w:rFonts w:ascii="宋体" w:hAnsi="宋体" w:cs="宋体" w:eastAsia="宋体" w:hint="default"/>
                <w:sz w:val="21"/>
                <w:szCs w:val="21"/>
              </w:rPr>
              <w:t>城市项</w:t>
            </w:r>
            <w:r>
              <w:rPr>
                <w:rFonts w:ascii="宋体" w:hAnsi="宋体" w:cs="宋体" w:eastAsia="宋体" w:hint="default"/>
                <w:spacing w:val="-102"/>
                <w:sz w:val="21"/>
                <w:szCs w:val="21"/>
              </w:rPr>
              <w:t> </w:t>
            </w:r>
            <w:r>
              <w:rPr>
                <w:rFonts w:ascii="宋体" w:hAnsi="宋体" w:cs="宋体" w:eastAsia="宋体" w:hint="default"/>
                <w:sz w:val="21"/>
                <w:szCs w:val="21"/>
              </w:rPr>
              <w:t>目战略</w:t>
            </w:r>
            <w:r>
              <w:rPr>
                <w:rFonts w:ascii="宋体" w:hAnsi="宋体" w:cs="宋体" w:eastAsia="宋体" w:hint="default"/>
                <w:spacing w:val="-102"/>
                <w:sz w:val="21"/>
                <w:szCs w:val="21"/>
              </w:rPr>
              <w:t> </w:t>
            </w:r>
            <w:r>
              <w:rPr>
                <w:rFonts w:ascii="宋体" w:hAnsi="宋体" w:cs="宋体" w:eastAsia="宋体" w:hint="default"/>
                <w:sz w:val="21"/>
                <w:szCs w:val="21"/>
              </w:rPr>
              <w:t>协议</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宁波杭</w:t>
            </w:r>
          </w:p>
          <w:p>
            <w:pPr>
              <w:pStyle w:val="TableParagraph"/>
              <w:spacing w:line="237" w:lineRule="auto" w:before="2"/>
              <w:ind w:left="103" w:right="276"/>
              <w:jc w:val="both"/>
              <w:rPr>
                <w:rFonts w:ascii="宋体" w:hAnsi="宋体" w:cs="宋体" w:eastAsia="宋体" w:hint="default"/>
                <w:sz w:val="21"/>
                <w:szCs w:val="21"/>
              </w:rPr>
            </w:pPr>
            <w:r>
              <w:rPr>
                <w:rFonts w:ascii="宋体" w:hAnsi="宋体" w:cs="宋体" w:eastAsia="宋体" w:hint="default"/>
                <w:sz w:val="21"/>
                <w:szCs w:val="21"/>
              </w:rPr>
              <w:t>州湾新</w:t>
            </w:r>
            <w:r>
              <w:rPr>
                <w:rFonts w:ascii="宋体" w:hAnsi="宋体" w:cs="宋体" w:eastAsia="宋体" w:hint="default"/>
                <w:spacing w:val="-102"/>
                <w:sz w:val="21"/>
                <w:szCs w:val="21"/>
              </w:rPr>
              <w:t> </w:t>
            </w:r>
            <w:r>
              <w:rPr>
                <w:rFonts w:ascii="宋体" w:hAnsi="宋体" w:cs="宋体" w:eastAsia="宋体" w:hint="default"/>
                <w:sz w:val="21"/>
                <w:szCs w:val="21"/>
              </w:rPr>
              <w:t>区开发</w:t>
            </w:r>
            <w:r>
              <w:rPr>
                <w:rFonts w:ascii="宋体" w:hAnsi="宋体" w:cs="宋体" w:eastAsia="宋体" w:hint="default"/>
                <w:spacing w:val="-102"/>
                <w:sz w:val="21"/>
                <w:szCs w:val="21"/>
              </w:rPr>
              <w:t> </w:t>
            </w:r>
            <w:r>
              <w:rPr>
                <w:rFonts w:ascii="宋体" w:hAnsi="宋体" w:cs="宋体" w:eastAsia="宋体" w:hint="default"/>
                <w:sz w:val="21"/>
                <w:szCs w:val="21"/>
              </w:rPr>
              <w:t>建设管</w:t>
            </w:r>
            <w:r>
              <w:rPr>
                <w:rFonts w:ascii="宋体" w:hAnsi="宋体" w:cs="宋体" w:eastAsia="宋体" w:hint="default"/>
                <w:spacing w:val="-102"/>
                <w:sz w:val="21"/>
                <w:szCs w:val="21"/>
              </w:rPr>
              <w:t> </w:t>
            </w:r>
            <w:r>
              <w:rPr>
                <w:rFonts w:ascii="宋体" w:hAnsi="宋体" w:cs="宋体" w:eastAsia="宋体" w:hint="default"/>
                <w:sz w:val="21"/>
                <w:szCs w:val="21"/>
              </w:rPr>
              <w:t>理委员</w:t>
            </w:r>
            <w:r>
              <w:rPr>
                <w:rFonts w:ascii="宋体" w:hAnsi="宋体" w:cs="宋体" w:eastAsia="宋体" w:hint="default"/>
                <w:spacing w:val="-102"/>
                <w:sz w:val="21"/>
                <w:szCs w:val="21"/>
              </w:rPr>
              <w:t> </w:t>
            </w:r>
            <w:r>
              <w:rPr>
                <w:rFonts w:ascii="宋体" w:hAnsi="宋体" w:cs="宋体" w:eastAsia="宋体" w:hint="default"/>
                <w:sz w:val="21"/>
                <w:szCs w:val="21"/>
              </w:rPr>
              <w:t>会</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0" w:lineRule="auto" w:before="153"/>
              <w:ind w:left="103" w:right="125"/>
              <w:jc w:val="both"/>
              <w:rPr>
                <w:rFonts w:ascii="宋体" w:hAnsi="宋体" w:cs="宋体" w:eastAsia="宋体" w:hint="default"/>
                <w:sz w:val="21"/>
                <w:szCs w:val="21"/>
              </w:rPr>
            </w:pPr>
            <w:r>
              <w:rPr>
                <w:rFonts w:ascii="宋体" w:hAnsi="宋体" w:cs="宋体" w:eastAsia="宋体" w:hint="default"/>
                <w:sz w:val="21"/>
                <w:szCs w:val="21"/>
              </w:rPr>
              <w:t>宁波杭州湾新区未来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年内建设的宁波杭州湾新区智慧城</w:t>
            </w:r>
            <w:r>
              <w:rPr>
                <w:rFonts w:ascii="宋体" w:hAnsi="宋体" w:cs="宋体" w:eastAsia="宋体" w:hint="default"/>
                <w:w w:val="100"/>
                <w:sz w:val="21"/>
                <w:szCs w:val="21"/>
              </w:rPr>
              <w:t> </w:t>
            </w:r>
            <w:r>
              <w:rPr>
                <w:rFonts w:ascii="宋体" w:hAnsi="宋体" w:cs="宋体" w:eastAsia="宋体" w:hint="default"/>
                <w:spacing w:val="-2"/>
                <w:sz w:val="21"/>
                <w:szCs w:val="21"/>
              </w:rPr>
              <w:t>市项目，项目范围包括智慧政务、智慧城管、智慧旅游、</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智慧交通、智慧产业园区、智慧新区建设等。</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2015/4/14</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72" w:lineRule="exact"/>
              <w:ind w:left="103" w:right="108"/>
              <w:jc w:val="left"/>
              <w:rPr>
                <w:rFonts w:ascii="宋体" w:hAnsi="宋体" w:cs="宋体" w:eastAsia="宋体" w:hint="default"/>
                <w:sz w:val="21"/>
                <w:szCs w:val="21"/>
              </w:rPr>
            </w:pPr>
            <w:r>
              <w:rPr>
                <w:rFonts w:ascii="宋体" w:hAnsi="宋体" w:cs="宋体" w:eastAsia="宋体" w:hint="default"/>
                <w:spacing w:val="-2"/>
                <w:sz w:val="21"/>
                <w:szCs w:val="21"/>
              </w:rPr>
              <w:t>已签署宁波杭州湾新区智慧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交通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PPP </w:t>
            </w:r>
            <w:r>
              <w:rPr>
                <w:rFonts w:ascii="宋体" w:hAnsi="宋体" w:cs="宋体" w:eastAsia="宋体" w:hint="default"/>
                <w:sz w:val="21"/>
                <w:szCs w:val="21"/>
              </w:rPr>
              <w:t>共建合同。</w:t>
            </w:r>
          </w:p>
        </w:tc>
      </w:tr>
      <w:tr>
        <w:trPr>
          <w:trHeight w:val="1371"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湖南华</w:t>
            </w:r>
          </w:p>
          <w:p>
            <w:pPr>
              <w:pStyle w:val="TableParagraph"/>
              <w:spacing w:line="237" w:lineRule="auto" w:before="2"/>
              <w:ind w:left="103" w:right="237"/>
              <w:jc w:val="both"/>
              <w:rPr>
                <w:rFonts w:ascii="宋体" w:hAnsi="宋体" w:cs="宋体" w:eastAsia="宋体" w:hint="default"/>
                <w:sz w:val="21"/>
                <w:szCs w:val="21"/>
              </w:rPr>
            </w:pPr>
            <w:r>
              <w:rPr>
                <w:rFonts w:ascii="宋体" w:hAnsi="宋体" w:cs="宋体" w:eastAsia="宋体" w:hint="default"/>
                <w:sz w:val="21"/>
                <w:szCs w:val="21"/>
              </w:rPr>
              <w:t>容县智</w:t>
            </w:r>
            <w:r>
              <w:rPr>
                <w:rFonts w:ascii="宋体" w:hAnsi="宋体" w:cs="宋体" w:eastAsia="宋体" w:hint="default"/>
                <w:spacing w:val="-102"/>
                <w:sz w:val="21"/>
                <w:szCs w:val="21"/>
              </w:rPr>
              <w:t> </w:t>
            </w:r>
            <w:r>
              <w:rPr>
                <w:rFonts w:ascii="宋体" w:hAnsi="宋体" w:cs="宋体" w:eastAsia="宋体" w:hint="default"/>
                <w:sz w:val="21"/>
                <w:szCs w:val="21"/>
              </w:rPr>
              <w:t>慧城市</w:t>
            </w:r>
            <w:r>
              <w:rPr>
                <w:rFonts w:ascii="宋体" w:hAnsi="宋体" w:cs="宋体" w:eastAsia="宋体" w:hint="default"/>
                <w:spacing w:val="-102"/>
                <w:sz w:val="21"/>
                <w:szCs w:val="21"/>
              </w:rPr>
              <w:t> </w:t>
            </w:r>
            <w:r>
              <w:rPr>
                <w:rFonts w:ascii="宋体" w:hAnsi="宋体" w:cs="宋体" w:eastAsia="宋体" w:hint="default"/>
                <w:sz w:val="21"/>
                <w:szCs w:val="21"/>
              </w:rPr>
              <w:t>战略合</w:t>
            </w:r>
            <w:r>
              <w:rPr>
                <w:rFonts w:ascii="宋体" w:hAnsi="宋体" w:cs="宋体" w:eastAsia="宋体" w:hint="default"/>
                <w:spacing w:val="-102"/>
                <w:sz w:val="21"/>
                <w:szCs w:val="21"/>
              </w:rPr>
              <w:t> </w:t>
            </w:r>
            <w:r>
              <w:rPr>
                <w:rFonts w:ascii="宋体" w:hAnsi="宋体" w:cs="宋体" w:eastAsia="宋体" w:hint="default"/>
                <w:sz w:val="21"/>
                <w:szCs w:val="21"/>
              </w:rPr>
              <w:t>作</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76"/>
              <w:jc w:val="both"/>
              <w:rPr>
                <w:rFonts w:ascii="宋体" w:hAnsi="宋体" w:cs="宋体" w:eastAsia="宋体" w:hint="default"/>
                <w:sz w:val="21"/>
                <w:szCs w:val="21"/>
              </w:rPr>
            </w:pPr>
            <w:r>
              <w:rPr>
                <w:rFonts w:ascii="宋体" w:hAnsi="宋体" w:cs="宋体" w:eastAsia="宋体" w:hint="default"/>
                <w:sz w:val="21"/>
                <w:szCs w:val="21"/>
              </w:rPr>
              <w:t>岳阳市</w:t>
            </w:r>
            <w:r>
              <w:rPr>
                <w:rFonts w:ascii="宋体" w:hAnsi="宋体" w:cs="宋体" w:eastAsia="宋体" w:hint="default"/>
                <w:spacing w:val="-102"/>
                <w:sz w:val="21"/>
                <w:szCs w:val="21"/>
              </w:rPr>
              <w:t> </w:t>
            </w:r>
            <w:r>
              <w:rPr>
                <w:rFonts w:ascii="宋体" w:hAnsi="宋体" w:cs="宋体" w:eastAsia="宋体" w:hint="default"/>
                <w:sz w:val="21"/>
                <w:szCs w:val="21"/>
              </w:rPr>
              <w:t>华容县</w:t>
            </w:r>
            <w:r>
              <w:rPr>
                <w:rFonts w:ascii="宋体" w:hAnsi="宋体" w:cs="宋体" w:eastAsia="宋体" w:hint="default"/>
                <w:spacing w:val="-102"/>
                <w:sz w:val="21"/>
                <w:szCs w:val="21"/>
              </w:rPr>
              <w:t> </w:t>
            </w:r>
            <w:r>
              <w:rPr>
                <w:rFonts w:ascii="宋体" w:hAnsi="宋体" w:cs="宋体" w:eastAsia="宋体" w:hint="default"/>
                <w:sz w:val="21"/>
                <w:szCs w:val="21"/>
              </w:rPr>
              <w:t>人民政</w:t>
            </w:r>
            <w:r>
              <w:rPr>
                <w:rFonts w:ascii="宋体" w:hAnsi="宋体" w:cs="宋体" w:eastAsia="宋体" w:hint="default"/>
                <w:spacing w:val="-102"/>
                <w:sz w:val="21"/>
                <w:szCs w:val="21"/>
              </w:rPr>
              <w:t> </w:t>
            </w:r>
            <w:r>
              <w:rPr>
                <w:rFonts w:ascii="宋体" w:hAnsi="宋体" w:cs="宋体" w:eastAsia="宋体" w:hint="default"/>
                <w:sz w:val="21"/>
                <w:szCs w:val="21"/>
              </w:rPr>
              <w:t>府</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10"/>
              <w:ind w:left="103" w:right="125"/>
              <w:jc w:val="both"/>
              <w:rPr>
                <w:rFonts w:ascii="宋体" w:hAnsi="宋体" w:cs="宋体" w:eastAsia="宋体" w:hint="default"/>
                <w:sz w:val="21"/>
                <w:szCs w:val="21"/>
              </w:rPr>
            </w:pPr>
            <w:r>
              <w:rPr>
                <w:rFonts w:ascii="宋体" w:hAnsi="宋体" w:cs="宋体" w:eastAsia="宋体" w:hint="default"/>
                <w:sz w:val="21"/>
                <w:szCs w:val="21"/>
              </w:rPr>
              <w:t>岳阳市华容县未来</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年内建设的华容县智慧城市项目，项</w:t>
            </w:r>
            <w:r>
              <w:rPr>
                <w:rFonts w:ascii="宋体" w:hAnsi="宋体" w:cs="宋体" w:eastAsia="宋体" w:hint="default"/>
                <w:w w:val="100"/>
                <w:sz w:val="21"/>
                <w:szCs w:val="21"/>
              </w:rPr>
              <w:t> </w:t>
            </w:r>
            <w:r>
              <w:rPr>
                <w:rFonts w:ascii="宋体" w:hAnsi="宋体" w:cs="宋体" w:eastAsia="宋体" w:hint="default"/>
                <w:spacing w:val="-2"/>
                <w:sz w:val="21"/>
                <w:szCs w:val="21"/>
              </w:rPr>
              <w:t>目范围涵盖华容县智慧城市的总体规划设计、智慧创新工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业园、智慧交通、智慧物流园、公共数据中心等，以及与</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智慧城市具体项目相关的基础设施建设。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112,000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2015/4/29</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hAnsi="宋体" w:cs="宋体" w:eastAsia="宋体" w:hint="default"/>
                <w:sz w:val="21"/>
                <w:szCs w:val="21"/>
              </w:rPr>
              <w:t>已签署华容县智慧创新园区</w:t>
            </w:r>
          </w:p>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PPP</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共建项目。</w:t>
            </w:r>
          </w:p>
        </w:tc>
      </w:tr>
      <w:tr>
        <w:trPr>
          <w:trHeight w:val="137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靖江智</w:t>
            </w:r>
          </w:p>
          <w:p>
            <w:pPr>
              <w:pStyle w:val="TableParagraph"/>
              <w:spacing w:line="237" w:lineRule="auto"/>
              <w:ind w:left="103" w:right="237"/>
              <w:jc w:val="both"/>
              <w:rPr>
                <w:rFonts w:ascii="宋体" w:hAnsi="宋体" w:cs="宋体" w:eastAsia="宋体" w:hint="default"/>
                <w:sz w:val="21"/>
                <w:szCs w:val="21"/>
              </w:rPr>
            </w:pPr>
            <w:r>
              <w:rPr>
                <w:rFonts w:ascii="宋体" w:hAnsi="宋体" w:cs="宋体" w:eastAsia="宋体" w:hint="default"/>
                <w:sz w:val="21"/>
                <w:szCs w:val="21"/>
              </w:rPr>
              <w:t>慧城市</w:t>
            </w:r>
            <w:r>
              <w:rPr>
                <w:rFonts w:ascii="宋体" w:hAnsi="宋体" w:cs="宋体" w:eastAsia="宋体" w:hint="default"/>
                <w:spacing w:val="-102"/>
                <w:sz w:val="21"/>
                <w:szCs w:val="21"/>
              </w:rPr>
              <w:t> </w:t>
            </w:r>
            <w:r>
              <w:rPr>
                <w:rFonts w:ascii="宋体" w:hAnsi="宋体" w:cs="宋体" w:eastAsia="宋体" w:hint="default"/>
                <w:sz w:val="21"/>
                <w:szCs w:val="21"/>
              </w:rPr>
              <w:t>项目战</w:t>
            </w:r>
            <w:r>
              <w:rPr>
                <w:rFonts w:ascii="宋体" w:hAnsi="宋体" w:cs="宋体" w:eastAsia="宋体" w:hint="default"/>
                <w:spacing w:val="-102"/>
                <w:sz w:val="21"/>
                <w:szCs w:val="21"/>
              </w:rPr>
              <w:t> </w:t>
            </w:r>
            <w:r>
              <w:rPr>
                <w:rFonts w:ascii="宋体" w:hAnsi="宋体" w:cs="宋体" w:eastAsia="宋体" w:hint="default"/>
                <w:sz w:val="21"/>
                <w:szCs w:val="21"/>
              </w:rPr>
              <w:t>略合作</w:t>
            </w:r>
            <w:r>
              <w:rPr>
                <w:rFonts w:ascii="宋体" w:hAnsi="宋体" w:cs="宋体" w:eastAsia="宋体" w:hint="default"/>
                <w:spacing w:val="-102"/>
                <w:sz w:val="21"/>
                <w:szCs w:val="21"/>
              </w:rPr>
              <w:t> </w:t>
            </w:r>
            <w:r>
              <w:rPr>
                <w:rFonts w:ascii="宋体" w:hAnsi="宋体" w:cs="宋体" w:eastAsia="宋体" w:hint="default"/>
                <w:sz w:val="21"/>
                <w:szCs w:val="21"/>
              </w:rPr>
              <w:t>协议</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276"/>
              <w:jc w:val="both"/>
              <w:rPr>
                <w:rFonts w:ascii="宋体" w:hAnsi="宋体" w:cs="宋体" w:eastAsia="宋体" w:hint="default"/>
                <w:sz w:val="21"/>
                <w:szCs w:val="21"/>
              </w:rPr>
            </w:pPr>
            <w:r>
              <w:rPr>
                <w:rFonts w:ascii="宋体" w:hAnsi="宋体" w:cs="宋体" w:eastAsia="宋体" w:hint="default"/>
                <w:sz w:val="21"/>
                <w:szCs w:val="21"/>
              </w:rPr>
              <w:t>靖江市</w:t>
            </w:r>
            <w:r>
              <w:rPr>
                <w:rFonts w:ascii="宋体" w:hAnsi="宋体" w:cs="宋体" w:eastAsia="宋体" w:hint="default"/>
                <w:spacing w:val="-102"/>
                <w:sz w:val="21"/>
                <w:szCs w:val="21"/>
              </w:rPr>
              <w:t> </w:t>
            </w:r>
            <w:r>
              <w:rPr>
                <w:rFonts w:ascii="宋体" w:hAnsi="宋体" w:cs="宋体" w:eastAsia="宋体" w:hint="default"/>
                <w:sz w:val="21"/>
                <w:szCs w:val="21"/>
              </w:rPr>
              <w:t>人民政</w:t>
            </w:r>
            <w:r>
              <w:rPr>
                <w:rFonts w:ascii="宋体" w:hAnsi="宋体" w:cs="宋体" w:eastAsia="宋体" w:hint="default"/>
                <w:spacing w:val="-102"/>
                <w:sz w:val="21"/>
                <w:szCs w:val="21"/>
              </w:rPr>
              <w:t> </w:t>
            </w:r>
            <w:r>
              <w:rPr>
                <w:rFonts w:ascii="宋体" w:hAnsi="宋体" w:cs="宋体" w:eastAsia="宋体" w:hint="default"/>
                <w:sz w:val="21"/>
                <w:szCs w:val="21"/>
              </w:rPr>
              <w:t>府</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30" w:lineRule="auto"/>
              <w:ind w:left="103" w:right="125"/>
              <w:jc w:val="both"/>
              <w:rPr>
                <w:rFonts w:ascii="宋体" w:hAnsi="宋体" w:cs="宋体" w:eastAsia="宋体" w:hint="default"/>
                <w:sz w:val="21"/>
                <w:szCs w:val="21"/>
              </w:rPr>
            </w:pPr>
            <w:r>
              <w:rPr>
                <w:rFonts w:ascii="宋体" w:hAnsi="宋体" w:cs="宋体" w:eastAsia="宋体" w:hint="default"/>
                <w:sz w:val="21"/>
                <w:szCs w:val="21"/>
              </w:rPr>
              <w:t>靖江市未来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年建设的靖江市智慧城市项目，项目范围涵</w:t>
            </w:r>
            <w:r>
              <w:rPr>
                <w:rFonts w:ascii="宋体" w:hAnsi="宋体" w:cs="宋体" w:eastAsia="宋体" w:hint="default"/>
                <w:w w:val="100"/>
                <w:sz w:val="21"/>
                <w:szCs w:val="21"/>
              </w:rPr>
              <w:t> </w:t>
            </w:r>
            <w:r>
              <w:rPr>
                <w:rFonts w:ascii="宋体" w:hAnsi="宋体" w:cs="宋体" w:eastAsia="宋体" w:hint="default"/>
                <w:spacing w:val="-2"/>
                <w:sz w:val="21"/>
                <w:szCs w:val="21"/>
              </w:rPr>
              <w:t>盖靖江市智慧城市项目的总体规划设计、智慧港口、智慧</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旅游、市民一卡通、平安城市、智慧园区、智慧管网等。</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154,100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2015/8/19</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3" w:right="-3"/>
              <w:jc w:val="left"/>
              <w:rPr>
                <w:rFonts w:ascii="宋体" w:hAnsi="宋体" w:cs="宋体" w:eastAsia="宋体" w:hint="default"/>
                <w:sz w:val="21"/>
                <w:szCs w:val="21"/>
              </w:rPr>
            </w:pPr>
            <w:r>
              <w:rPr>
                <w:rFonts w:ascii="宋体" w:hAnsi="宋体" w:cs="宋体" w:eastAsia="宋体" w:hint="default"/>
                <w:sz w:val="21"/>
                <w:szCs w:val="21"/>
              </w:rPr>
              <w:t>已签署靖江新港城智慧城市</w:t>
            </w:r>
            <w:r>
              <w:rPr>
                <w:rFonts w:ascii="宋体" w:hAnsi="宋体" w:cs="宋体" w:eastAsia="宋体" w:hint="default"/>
                <w:w w:val="100"/>
                <w:sz w:val="21"/>
                <w:szCs w:val="21"/>
              </w:rPr>
              <w:t> </w:t>
            </w:r>
            <w:r>
              <w:rPr>
                <w:rFonts w:ascii="宋体" w:hAnsi="宋体" w:cs="宋体" w:eastAsia="宋体" w:hint="default"/>
                <w:spacing w:val="-9"/>
                <w:w w:val="100"/>
                <w:sz w:val="21"/>
                <w:szCs w:val="21"/>
              </w:rPr>
              <w:t>顶层设计合同，实施交付中。</w:t>
            </w:r>
          </w:p>
        </w:tc>
      </w:tr>
      <w:tr>
        <w:trPr>
          <w:trHeight w:val="1373"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37"/>
              <w:jc w:val="both"/>
              <w:rPr>
                <w:rFonts w:ascii="宋体" w:hAnsi="宋体" w:cs="宋体" w:eastAsia="宋体" w:hint="default"/>
                <w:sz w:val="21"/>
                <w:szCs w:val="21"/>
              </w:rPr>
            </w:pPr>
            <w:r>
              <w:rPr>
                <w:rFonts w:ascii="宋体" w:hAnsi="宋体" w:cs="宋体" w:eastAsia="宋体" w:hint="default"/>
                <w:sz w:val="21"/>
                <w:szCs w:val="21"/>
              </w:rPr>
              <w:t>泰兴智</w:t>
            </w:r>
            <w:r>
              <w:rPr>
                <w:rFonts w:ascii="宋体" w:hAnsi="宋体" w:cs="宋体" w:eastAsia="宋体" w:hint="default"/>
                <w:spacing w:val="-102"/>
                <w:sz w:val="21"/>
                <w:szCs w:val="21"/>
              </w:rPr>
              <w:t> </w:t>
            </w:r>
            <w:r>
              <w:rPr>
                <w:rFonts w:ascii="宋体" w:hAnsi="宋体" w:cs="宋体" w:eastAsia="宋体" w:hint="default"/>
                <w:sz w:val="21"/>
                <w:szCs w:val="21"/>
              </w:rPr>
              <w:t>慧城市</w:t>
            </w:r>
            <w:r>
              <w:rPr>
                <w:rFonts w:ascii="宋体" w:hAnsi="宋体" w:cs="宋体" w:eastAsia="宋体" w:hint="default"/>
                <w:spacing w:val="-102"/>
                <w:sz w:val="21"/>
                <w:szCs w:val="21"/>
              </w:rPr>
              <w:t> </w:t>
            </w:r>
            <w:r>
              <w:rPr>
                <w:rFonts w:ascii="宋体" w:hAnsi="宋体" w:cs="宋体" w:eastAsia="宋体" w:hint="default"/>
                <w:sz w:val="21"/>
                <w:szCs w:val="21"/>
              </w:rPr>
              <w:t>合作框</w:t>
            </w:r>
            <w:r>
              <w:rPr>
                <w:rFonts w:ascii="宋体" w:hAnsi="宋体" w:cs="宋体" w:eastAsia="宋体" w:hint="default"/>
                <w:spacing w:val="-102"/>
                <w:sz w:val="21"/>
                <w:szCs w:val="21"/>
              </w:rPr>
              <w:t> </w:t>
            </w:r>
            <w:r>
              <w:rPr>
                <w:rFonts w:ascii="宋体" w:hAnsi="宋体" w:cs="宋体" w:eastAsia="宋体" w:hint="default"/>
                <w:sz w:val="21"/>
                <w:szCs w:val="21"/>
              </w:rPr>
              <w:t>架</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276"/>
              <w:jc w:val="both"/>
              <w:rPr>
                <w:rFonts w:ascii="宋体" w:hAnsi="宋体" w:cs="宋体" w:eastAsia="宋体" w:hint="default"/>
                <w:sz w:val="21"/>
                <w:szCs w:val="21"/>
              </w:rPr>
            </w:pPr>
            <w:r>
              <w:rPr>
                <w:rFonts w:ascii="宋体" w:hAnsi="宋体" w:cs="宋体" w:eastAsia="宋体" w:hint="default"/>
                <w:sz w:val="21"/>
                <w:szCs w:val="21"/>
              </w:rPr>
              <w:t>泰兴市</w:t>
            </w:r>
            <w:r>
              <w:rPr>
                <w:rFonts w:ascii="宋体" w:hAnsi="宋体" w:cs="宋体" w:eastAsia="宋体" w:hint="default"/>
                <w:spacing w:val="-102"/>
                <w:sz w:val="21"/>
                <w:szCs w:val="21"/>
              </w:rPr>
              <w:t> </w:t>
            </w:r>
            <w:r>
              <w:rPr>
                <w:rFonts w:ascii="宋体" w:hAnsi="宋体" w:cs="宋体" w:eastAsia="宋体" w:hint="default"/>
                <w:sz w:val="21"/>
                <w:szCs w:val="21"/>
              </w:rPr>
              <w:t>人民政</w:t>
            </w:r>
            <w:r>
              <w:rPr>
                <w:rFonts w:ascii="宋体" w:hAnsi="宋体" w:cs="宋体" w:eastAsia="宋体" w:hint="default"/>
                <w:spacing w:val="-102"/>
                <w:sz w:val="21"/>
                <w:szCs w:val="21"/>
              </w:rPr>
              <w:t> </w:t>
            </w:r>
            <w:r>
              <w:rPr>
                <w:rFonts w:ascii="宋体" w:hAnsi="宋体" w:cs="宋体" w:eastAsia="宋体" w:hint="default"/>
                <w:sz w:val="21"/>
                <w:szCs w:val="21"/>
              </w:rPr>
              <w:t>府</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30" w:lineRule="auto"/>
              <w:ind w:left="103" w:right="125"/>
              <w:jc w:val="both"/>
              <w:rPr>
                <w:rFonts w:ascii="宋体" w:hAnsi="宋体" w:cs="宋体" w:eastAsia="宋体" w:hint="default"/>
                <w:sz w:val="21"/>
                <w:szCs w:val="21"/>
              </w:rPr>
            </w:pPr>
            <w:r>
              <w:rPr>
                <w:rFonts w:ascii="宋体" w:hAnsi="宋体" w:cs="宋体" w:eastAsia="宋体" w:hint="default"/>
                <w:sz w:val="21"/>
                <w:szCs w:val="21"/>
              </w:rPr>
              <w:t>泰兴市未来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年建设的泰兴市智慧城市项目，项目范围涵</w:t>
            </w:r>
            <w:r>
              <w:rPr>
                <w:rFonts w:ascii="宋体" w:hAnsi="宋体" w:cs="宋体" w:eastAsia="宋体" w:hint="default"/>
                <w:w w:val="100"/>
                <w:sz w:val="21"/>
                <w:szCs w:val="21"/>
              </w:rPr>
              <w:t> </w:t>
            </w:r>
            <w:r>
              <w:rPr>
                <w:rFonts w:ascii="宋体" w:hAnsi="宋体" w:cs="宋体" w:eastAsia="宋体" w:hint="default"/>
                <w:spacing w:val="-2"/>
                <w:sz w:val="21"/>
                <w:szCs w:val="21"/>
              </w:rPr>
              <w:t>盖泰兴市智慧城市项目的总体规划设计、智慧旅游、市民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一卡通、平安城市、智慧园区、智慧管网等。</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2015/10/20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已签署泰兴智慧城市顶层设</w:t>
            </w:r>
          </w:p>
          <w:p>
            <w:pPr>
              <w:pStyle w:val="TableParagraph"/>
              <w:spacing w:line="237" w:lineRule="auto" w:before="2"/>
              <w:ind w:left="103" w:right="108"/>
              <w:jc w:val="left"/>
              <w:rPr>
                <w:rFonts w:ascii="宋体" w:hAnsi="宋体" w:cs="宋体" w:eastAsia="宋体" w:hint="default"/>
                <w:sz w:val="21"/>
                <w:szCs w:val="21"/>
              </w:rPr>
            </w:pPr>
            <w:r>
              <w:rPr>
                <w:rFonts w:ascii="宋体" w:hAnsi="宋体" w:cs="宋体" w:eastAsia="宋体" w:hint="default"/>
                <w:spacing w:val="-2"/>
                <w:sz w:val="21"/>
                <w:szCs w:val="21"/>
              </w:rPr>
              <w:t>计咨询合同，并就顶层设计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城市主要城区完成调研工</w:t>
            </w:r>
            <w:r>
              <w:rPr>
                <w:rFonts w:ascii="宋体" w:hAnsi="宋体" w:cs="宋体" w:eastAsia="宋体" w:hint="default"/>
                <w:w w:val="100"/>
                <w:sz w:val="21"/>
                <w:szCs w:val="21"/>
              </w:rPr>
              <w:t> </w:t>
            </w:r>
            <w:r>
              <w:rPr>
                <w:rFonts w:ascii="宋体" w:hAnsi="宋体" w:cs="宋体" w:eastAsia="宋体" w:hint="default"/>
                <w:spacing w:val="-2"/>
                <w:sz w:val="21"/>
                <w:szCs w:val="21"/>
              </w:rPr>
              <w:t>作。完成调研后已输出顶层</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设计规划初稿，并获得客户</w:t>
            </w:r>
          </w:p>
        </w:tc>
      </w:tr>
    </w:tbl>
    <w:p>
      <w:pPr>
        <w:spacing w:after="0" w:line="237" w:lineRule="auto"/>
        <w:jc w:val="left"/>
        <w:rPr>
          <w:rFonts w:ascii="宋体" w:hAnsi="宋体" w:cs="宋体" w:eastAsia="宋体" w:hint="default"/>
          <w:sz w:val="21"/>
          <w:szCs w:val="21"/>
        </w:rPr>
        <w:sectPr>
          <w:pgSz w:w="16840" w:h="11910" w:orient="landscape"/>
          <w:pgMar w:header="880" w:footer="1195" w:top="1120" w:bottom="138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84"/>
        <w:gridCol w:w="1025"/>
        <w:gridCol w:w="5497"/>
        <w:gridCol w:w="1644"/>
        <w:gridCol w:w="1827"/>
        <w:gridCol w:w="2746"/>
      </w:tblGrid>
      <w:tr>
        <w:trPr>
          <w:trHeight w:val="554" w:hRule="exact"/>
        </w:trPr>
        <w:tc>
          <w:tcPr>
            <w:tcW w:w="984"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275"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75"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025"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297" w:right="0"/>
              <w:jc w:val="left"/>
              <w:rPr>
                <w:rFonts w:ascii="宋体" w:hAnsi="宋体" w:cs="宋体" w:eastAsia="宋体" w:hint="default"/>
                <w:sz w:val="21"/>
                <w:szCs w:val="21"/>
              </w:rPr>
            </w:pPr>
            <w:r>
              <w:rPr>
                <w:rFonts w:ascii="宋体" w:hAnsi="宋体" w:cs="宋体" w:eastAsia="宋体" w:hint="default"/>
                <w:sz w:val="21"/>
                <w:szCs w:val="21"/>
              </w:rPr>
              <w:t>客户</w:t>
            </w:r>
          </w:p>
          <w:p>
            <w:pPr>
              <w:pStyle w:val="TableParagraph"/>
              <w:spacing w:line="273" w:lineRule="exact"/>
              <w:ind w:left="297"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497"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主要内容</w:t>
            </w:r>
          </w:p>
        </w:tc>
        <w:tc>
          <w:tcPr>
            <w:tcW w:w="1644"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827"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102"/>
              <w:ind w:left="489" w:right="0"/>
              <w:jc w:val="left"/>
              <w:rPr>
                <w:rFonts w:ascii="宋体" w:hAnsi="宋体" w:cs="宋体" w:eastAsia="宋体" w:hint="default"/>
                <w:sz w:val="21"/>
                <w:szCs w:val="21"/>
              </w:rPr>
            </w:pPr>
            <w:r>
              <w:rPr>
                <w:rFonts w:ascii="宋体" w:hAnsi="宋体" w:cs="宋体" w:eastAsia="宋体" w:hint="default"/>
                <w:sz w:val="21"/>
                <w:szCs w:val="21"/>
              </w:rPr>
              <w:t>签订日期</w:t>
            </w:r>
          </w:p>
        </w:tc>
        <w:tc>
          <w:tcPr>
            <w:tcW w:w="2746"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840" w:right="0"/>
              <w:jc w:val="left"/>
              <w:rPr>
                <w:rFonts w:ascii="宋体" w:hAnsi="宋体" w:cs="宋体" w:eastAsia="宋体" w:hint="default"/>
                <w:sz w:val="21"/>
                <w:szCs w:val="21"/>
              </w:rPr>
            </w:pPr>
            <w:r>
              <w:rPr>
                <w:rFonts w:ascii="宋体" w:hAnsi="宋体" w:cs="宋体" w:eastAsia="宋体" w:hint="default"/>
                <w:sz w:val="21"/>
                <w:szCs w:val="21"/>
              </w:rPr>
              <w:t>目前的执行</w:t>
            </w:r>
          </w:p>
          <w:p>
            <w:pPr>
              <w:pStyle w:val="TableParagraph"/>
              <w:spacing w:line="273" w:lineRule="exact"/>
              <w:ind w:left="840" w:right="0"/>
              <w:jc w:val="left"/>
              <w:rPr>
                <w:rFonts w:ascii="宋体" w:hAnsi="宋体" w:cs="宋体" w:eastAsia="宋体" w:hint="default"/>
                <w:sz w:val="21"/>
                <w:szCs w:val="21"/>
              </w:rPr>
            </w:pPr>
            <w:r>
              <w:rPr>
                <w:rFonts w:ascii="宋体" w:hAnsi="宋体" w:cs="宋体" w:eastAsia="宋体" w:hint="default"/>
                <w:sz w:val="21"/>
                <w:szCs w:val="21"/>
              </w:rPr>
              <w:t>及落地情况</w:t>
            </w:r>
          </w:p>
        </w:tc>
      </w:tr>
      <w:tr>
        <w:trPr>
          <w:trHeight w:val="283" w:hRule="exact"/>
        </w:trPr>
        <w:tc>
          <w:tcPr>
            <w:tcW w:w="98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49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确认通过。</w:t>
            </w:r>
          </w:p>
        </w:tc>
      </w:tr>
      <w:tr>
        <w:trPr>
          <w:trHeight w:val="1099"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共建智</w:t>
            </w:r>
          </w:p>
          <w:p>
            <w:pPr>
              <w:pStyle w:val="TableParagraph"/>
              <w:spacing w:line="237" w:lineRule="auto"/>
              <w:ind w:left="103" w:right="237"/>
              <w:jc w:val="both"/>
              <w:rPr>
                <w:rFonts w:ascii="宋体" w:hAnsi="宋体" w:cs="宋体" w:eastAsia="宋体" w:hint="default"/>
                <w:sz w:val="21"/>
                <w:szCs w:val="21"/>
              </w:rPr>
            </w:pPr>
            <w:r>
              <w:rPr>
                <w:rFonts w:ascii="宋体" w:hAnsi="宋体" w:cs="宋体" w:eastAsia="宋体" w:hint="default"/>
                <w:sz w:val="21"/>
                <w:szCs w:val="21"/>
              </w:rPr>
              <w:t>慧宿州</w:t>
            </w:r>
            <w:r>
              <w:rPr>
                <w:rFonts w:ascii="宋体" w:hAnsi="宋体" w:cs="宋体" w:eastAsia="宋体" w:hint="default"/>
                <w:spacing w:val="-102"/>
                <w:sz w:val="21"/>
                <w:szCs w:val="21"/>
              </w:rPr>
              <w:t> </w:t>
            </w:r>
            <w:r>
              <w:rPr>
                <w:rFonts w:ascii="宋体" w:hAnsi="宋体" w:cs="宋体" w:eastAsia="宋体" w:hint="default"/>
                <w:sz w:val="21"/>
                <w:szCs w:val="21"/>
              </w:rPr>
              <w:t>战略合</w:t>
            </w:r>
            <w:r>
              <w:rPr>
                <w:rFonts w:ascii="宋体" w:hAnsi="宋体" w:cs="宋体" w:eastAsia="宋体" w:hint="default"/>
                <w:spacing w:val="-102"/>
                <w:sz w:val="21"/>
                <w:szCs w:val="21"/>
              </w:rPr>
              <w:t> </w:t>
            </w:r>
            <w:r>
              <w:rPr>
                <w:rFonts w:ascii="宋体" w:hAnsi="宋体" w:cs="宋体" w:eastAsia="宋体" w:hint="default"/>
                <w:sz w:val="21"/>
                <w:szCs w:val="21"/>
              </w:rPr>
              <w:t>作协议</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276"/>
              <w:jc w:val="left"/>
              <w:rPr>
                <w:rFonts w:ascii="宋体" w:hAnsi="宋体" w:cs="宋体" w:eastAsia="宋体" w:hint="default"/>
                <w:sz w:val="21"/>
                <w:szCs w:val="21"/>
              </w:rPr>
            </w:pPr>
            <w:r>
              <w:rPr>
                <w:rFonts w:ascii="宋体" w:hAnsi="宋体" w:cs="宋体" w:eastAsia="宋体" w:hint="default"/>
                <w:sz w:val="21"/>
                <w:szCs w:val="21"/>
              </w:rPr>
              <w:t>宿州人</w:t>
            </w:r>
            <w:r>
              <w:rPr>
                <w:rFonts w:ascii="宋体" w:hAnsi="宋体" w:cs="宋体" w:eastAsia="宋体" w:hint="default"/>
                <w:spacing w:val="-102"/>
                <w:sz w:val="21"/>
                <w:szCs w:val="21"/>
              </w:rPr>
              <w:t> </w:t>
            </w:r>
            <w:r>
              <w:rPr>
                <w:rFonts w:ascii="宋体" w:hAnsi="宋体" w:cs="宋体" w:eastAsia="宋体" w:hint="default"/>
                <w:sz w:val="21"/>
                <w:szCs w:val="21"/>
              </w:rPr>
              <w:t>民政府</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宿州市未来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年建设的智慧城市基础设施项目，项目范围</w:t>
            </w:r>
          </w:p>
          <w:p>
            <w:pPr>
              <w:pStyle w:val="TableParagraph"/>
              <w:spacing w:line="237" w:lineRule="auto"/>
              <w:ind w:left="103" w:right="125"/>
              <w:jc w:val="both"/>
              <w:rPr>
                <w:rFonts w:ascii="宋体" w:hAnsi="宋体" w:cs="宋体" w:eastAsia="宋体" w:hint="default"/>
                <w:sz w:val="21"/>
                <w:szCs w:val="21"/>
              </w:rPr>
            </w:pPr>
            <w:r>
              <w:rPr>
                <w:rFonts w:ascii="宋体" w:hAnsi="宋体" w:cs="宋体" w:eastAsia="宋体" w:hint="default"/>
                <w:spacing w:val="-2"/>
                <w:sz w:val="21"/>
                <w:szCs w:val="21"/>
              </w:rPr>
              <w:t>涵盖智慧城市项目中公共基础数据库、公共信息平台、智</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慧交通、政务安全、企业服务平台、智慧农业、智慧管网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等</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2015/9/1</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108"/>
              <w:jc w:val="both"/>
              <w:rPr>
                <w:rFonts w:ascii="宋体" w:hAnsi="宋体" w:cs="宋体" w:eastAsia="宋体" w:hint="default"/>
                <w:sz w:val="21"/>
                <w:szCs w:val="21"/>
              </w:rPr>
            </w:pPr>
            <w:r>
              <w:rPr>
                <w:rFonts w:ascii="宋体" w:hAnsi="宋体" w:cs="宋体" w:eastAsia="宋体" w:hint="default"/>
                <w:spacing w:val="-2"/>
                <w:sz w:val="21"/>
                <w:szCs w:val="21"/>
              </w:rPr>
              <w:t>目前就宿州智慧城市项目开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展深度合作，一期启动智慧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环卫项目。</w:t>
            </w:r>
          </w:p>
        </w:tc>
      </w:tr>
      <w:tr>
        <w:trPr>
          <w:trHeight w:val="1033" w:hRule="exact"/>
        </w:trPr>
        <w:tc>
          <w:tcPr>
            <w:tcW w:w="984" w:type="dxa"/>
            <w:tcBorders>
              <w:top w:val="single" w:sz="4" w:space="0" w:color="000000"/>
              <w:left w:val="single" w:sz="4" w:space="0" w:color="000000"/>
              <w:bottom w:val="single" w:sz="4" w:space="0" w:color="000000"/>
              <w:right w:val="single" w:sz="4" w:space="0" w:color="000000"/>
            </w:tcBorders>
            <w:shd w:val="clear" w:color="auto" w:fill="ADAAAA"/>
          </w:tcPr>
          <w:p>
            <w:pPr/>
          </w:p>
        </w:tc>
        <w:tc>
          <w:tcPr>
            <w:tcW w:w="1025"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297" w:right="0"/>
              <w:jc w:val="left"/>
              <w:rPr>
                <w:rFonts w:ascii="宋体" w:hAnsi="宋体" w:cs="宋体" w:eastAsia="宋体" w:hint="default"/>
                <w:sz w:val="21"/>
                <w:szCs w:val="21"/>
              </w:rPr>
            </w:pPr>
            <w:r>
              <w:rPr>
                <w:rFonts w:ascii="宋体" w:hAnsi="宋体" w:cs="宋体" w:eastAsia="宋体" w:hint="default"/>
                <w:sz w:val="21"/>
                <w:szCs w:val="21"/>
              </w:rPr>
              <w:t>合计</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497" w:type="dxa"/>
            <w:tcBorders>
              <w:top w:val="single" w:sz="4" w:space="0" w:color="000000"/>
              <w:left w:val="single" w:sz="4" w:space="0" w:color="000000"/>
              <w:bottom w:val="single" w:sz="4" w:space="0" w:color="000000"/>
              <w:right w:val="single" w:sz="4" w:space="0" w:color="000000"/>
            </w:tcBorders>
            <w:shd w:val="clear" w:color="auto" w:fill="ADAAAA"/>
          </w:tcPr>
          <w:p>
            <w:pPr/>
          </w:p>
        </w:tc>
        <w:tc>
          <w:tcPr>
            <w:tcW w:w="1644"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395" w:right="0"/>
              <w:jc w:val="left"/>
              <w:rPr>
                <w:rFonts w:ascii="Times New Roman" w:hAnsi="Times New Roman" w:cs="Times New Roman" w:eastAsia="Times New Roman" w:hint="default"/>
                <w:sz w:val="21"/>
                <w:szCs w:val="21"/>
              </w:rPr>
            </w:pPr>
            <w:r>
              <w:rPr>
                <w:rFonts w:ascii="Times New Roman"/>
                <w:sz w:val="21"/>
              </w:rPr>
              <w:t>2,450,500</w:t>
            </w:r>
          </w:p>
        </w:tc>
        <w:tc>
          <w:tcPr>
            <w:tcW w:w="1827" w:type="dxa"/>
            <w:tcBorders>
              <w:top w:val="single" w:sz="4" w:space="0" w:color="000000"/>
              <w:left w:val="single" w:sz="4" w:space="0" w:color="000000"/>
              <w:bottom w:val="single" w:sz="4" w:space="0" w:color="000000"/>
              <w:right w:val="single" w:sz="4" w:space="0" w:color="000000"/>
            </w:tcBorders>
            <w:shd w:val="clear" w:color="auto" w:fill="ADAAAA"/>
          </w:tcPr>
          <w:p>
            <w:pPr/>
          </w:p>
        </w:tc>
        <w:tc>
          <w:tcPr>
            <w:tcW w:w="2746" w:type="dxa"/>
            <w:tcBorders>
              <w:top w:val="single" w:sz="4" w:space="0" w:color="000000"/>
              <w:left w:val="single" w:sz="4" w:space="0" w:color="000000"/>
              <w:bottom w:val="single" w:sz="4" w:space="0" w:color="000000"/>
              <w:right w:val="single" w:sz="4" w:space="0" w:color="000000"/>
            </w:tcBorders>
            <w:shd w:val="clear" w:color="auto" w:fill="ADAAAA"/>
          </w:tcPr>
          <w:p>
            <w:pPr/>
          </w:p>
        </w:tc>
      </w:tr>
    </w:tbl>
    <w:p>
      <w:pPr>
        <w:spacing w:line="240" w:lineRule="auto" w:before="11"/>
        <w:rPr>
          <w:rFonts w:ascii="Times New Roman" w:hAnsi="Times New Roman" w:cs="Times New Roman" w:eastAsia="Times New Roman" w:hint="default"/>
          <w:sz w:val="14"/>
          <w:szCs w:val="14"/>
        </w:rPr>
      </w:pPr>
    </w:p>
    <w:p>
      <w:pPr>
        <w:pStyle w:val="BodyText"/>
        <w:spacing w:line="424" w:lineRule="auto" w:before="36"/>
        <w:ind w:left="1346" w:right="2333" w:hanging="1126"/>
        <w:jc w:val="left"/>
      </w:pPr>
      <w:r>
        <w:rPr/>
        <w:pict>
          <v:shape style="position:absolute;margin-left:84.384003pt;margin-top:42.803699pt;width:669.25pt;height:233.5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89"/>
                    <w:gridCol w:w="758"/>
                    <w:gridCol w:w="4390"/>
                    <w:gridCol w:w="1400"/>
                    <w:gridCol w:w="1663"/>
                    <w:gridCol w:w="2199"/>
                    <w:gridCol w:w="1971"/>
                  </w:tblGrid>
                  <w:tr>
                    <w:trPr>
                      <w:trHeight w:val="556" w:hRule="exact"/>
                    </w:trPr>
                    <w:tc>
                      <w:tcPr>
                        <w:tcW w:w="989"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exact"/>
                          <w:ind w:left="278"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78"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758"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客户</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390"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主要内容</w:t>
                        </w:r>
                      </w:p>
                    </w:tc>
                    <w:tc>
                      <w:tcPr>
                        <w:tcW w:w="1400"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663"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101"/>
                          <w:ind w:right="403"/>
                          <w:jc w:val="right"/>
                          <w:rPr>
                            <w:rFonts w:ascii="宋体" w:hAnsi="宋体" w:cs="宋体" w:eastAsia="宋体" w:hint="default"/>
                            <w:sz w:val="21"/>
                            <w:szCs w:val="21"/>
                          </w:rPr>
                        </w:pPr>
                        <w:r>
                          <w:rPr>
                            <w:rFonts w:ascii="宋体" w:hAnsi="宋体" w:cs="宋体" w:eastAsia="宋体" w:hint="default"/>
                            <w:spacing w:val="-1"/>
                            <w:sz w:val="21"/>
                            <w:szCs w:val="21"/>
                          </w:rPr>
                          <w:t>签订日期</w:t>
                        </w:r>
                      </w:p>
                    </w:tc>
                    <w:tc>
                      <w:tcPr>
                        <w:tcW w:w="2199"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exact"/>
                          <w:ind w:left="569" w:right="0"/>
                          <w:jc w:val="left"/>
                          <w:rPr>
                            <w:rFonts w:ascii="宋体" w:hAnsi="宋体" w:cs="宋体" w:eastAsia="宋体" w:hint="default"/>
                            <w:sz w:val="21"/>
                            <w:szCs w:val="21"/>
                          </w:rPr>
                        </w:pPr>
                        <w:r>
                          <w:rPr>
                            <w:rFonts w:ascii="宋体" w:hAnsi="宋体" w:cs="宋体" w:eastAsia="宋体" w:hint="default"/>
                            <w:sz w:val="21"/>
                            <w:szCs w:val="21"/>
                          </w:rPr>
                          <w:t>目前的执行</w:t>
                        </w:r>
                      </w:p>
                      <w:p>
                        <w:pPr>
                          <w:pStyle w:val="TableParagraph"/>
                          <w:spacing w:line="273" w:lineRule="exact"/>
                          <w:ind w:left="569" w:right="0"/>
                          <w:jc w:val="left"/>
                          <w:rPr>
                            <w:rFonts w:ascii="宋体" w:hAnsi="宋体" w:cs="宋体" w:eastAsia="宋体" w:hint="default"/>
                            <w:sz w:val="21"/>
                            <w:szCs w:val="21"/>
                          </w:rPr>
                        </w:pPr>
                        <w:r>
                          <w:rPr>
                            <w:rFonts w:ascii="宋体" w:hAnsi="宋体" w:cs="宋体" w:eastAsia="宋体" w:hint="default"/>
                            <w:sz w:val="21"/>
                            <w:szCs w:val="21"/>
                          </w:rPr>
                          <w:t>及落地情况</w:t>
                        </w:r>
                      </w:p>
                    </w:tc>
                    <w:tc>
                      <w:tcPr>
                        <w:tcW w:w="1971"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101"/>
                          <w:ind w:left="559" w:right="0"/>
                          <w:jc w:val="left"/>
                          <w:rPr>
                            <w:rFonts w:ascii="宋体" w:hAnsi="宋体" w:cs="宋体" w:eastAsia="宋体" w:hint="default"/>
                            <w:sz w:val="21"/>
                            <w:szCs w:val="21"/>
                          </w:rPr>
                        </w:pPr>
                        <w:r>
                          <w:rPr>
                            <w:rFonts w:ascii="宋体" w:hAnsi="宋体" w:cs="宋体" w:eastAsia="宋体" w:hint="default"/>
                            <w:sz w:val="21"/>
                            <w:szCs w:val="21"/>
                          </w:rPr>
                          <w:t>违约责任</w:t>
                        </w:r>
                      </w:p>
                    </w:tc>
                  </w:tr>
                  <w:tr>
                    <w:trPr>
                      <w:trHeight w:val="300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西安市</w:t>
                        </w:r>
                        <w:r>
                          <w:rPr>
                            <w:rFonts w:ascii="宋体" w:hAnsi="宋体" w:cs="宋体" w:eastAsia="宋体" w:hint="default"/>
                            <w:spacing w:val="-102"/>
                            <w:sz w:val="21"/>
                            <w:szCs w:val="21"/>
                          </w:rPr>
                          <w:t> </w:t>
                        </w:r>
                        <w:r>
                          <w:rPr>
                            <w:rFonts w:ascii="宋体" w:hAnsi="宋体" w:cs="宋体" w:eastAsia="宋体" w:hint="default"/>
                            <w:sz w:val="21"/>
                            <w:szCs w:val="21"/>
                          </w:rPr>
                          <w:t>机关干</w:t>
                        </w:r>
                        <w:r>
                          <w:rPr>
                            <w:rFonts w:ascii="宋体" w:hAnsi="宋体" w:cs="宋体" w:eastAsia="宋体" w:hint="default"/>
                            <w:spacing w:val="-102"/>
                            <w:sz w:val="21"/>
                            <w:szCs w:val="21"/>
                          </w:rPr>
                          <w:t> </w:t>
                        </w:r>
                        <w:r>
                          <w:rPr>
                            <w:rFonts w:ascii="宋体" w:hAnsi="宋体" w:cs="宋体" w:eastAsia="宋体" w:hint="default"/>
                            <w:sz w:val="21"/>
                            <w:szCs w:val="21"/>
                          </w:rPr>
                          <w:t>部住宅</w:t>
                        </w:r>
                        <w:r>
                          <w:rPr>
                            <w:rFonts w:ascii="宋体" w:hAnsi="宋体" w:cs="宋体" w:eastAsia="宋体" w:hint="default"/>
                            <w:spacing w:val="-102"/>
                            <w:sz w:val="21"/>
                            <w:szCs w:val="21"/>
                          </w:rPr>
                          <w:t> </w:t>
                        </w:r>
                        <w:r>
                          <w:rPr>
                            <w:rFonts w:ascii="宋体" w:hAnsi="宋体" w:cs="宋体" w:eastAsia="宋体" w:hint="default"/>
                            <w:sz w:val="21"/>
                            <w:szCs w:val="21"/>
                          </w:rPr>
                          <w:t>智慧社</w:t>
                        </w:r>
                        <w:r>
                          <w:rPr>
                            <w:rFonts w:ascii="宋体" w:hAnsi="宋体" w:cs="宋体" w:eastAsia="宋体" w:hint="default"/>
                            <w:spacing w:val="-102"/>
                            <w:sz w:val="21"/>
                            <w:szCs w:val="21"/>
                          </w:rPr>
                          <w:t> </w:t>
                        </w:r>
                        <w:r>
                          <w:rPr>
                            <w:rFonts w:ascii="宋体" w:hAnsi="宋体" w:cs="宋体" w:eastAsia="宋体" w:hint="default"/>
                            <w:sz w:val="21"/>
                            <w:szCs w:val="21"/>
                          </w:rPr>
                          <w:t>区项目</w:t>
                        </w:r>
                      </w:p>
                      <w:p>
                        <w:pPr>
                          <w:pStyle w:val="TableParagraph"/>
                          <w:spacing w:line="240" w:lineRule="auto" w:before="5"/>
                          <w:ind w:left="103" w:right="0"/>
                          <w:jc w:val="both"/>
                          <w:rPr>
                            <w:rFonts w:ascii="宋体" w:hAnsi="宋体" w:cs="宋体" w:eastAsia="宋体" w:hint="default"/>
                            <w:sz w:val="11"/>
                            <w:szCs w:val="11"/>
                          </w:rPr>
                        </w:pPr>
                        <w:r>
                          <w:rPr>
                            <w:rFonts w:ascii="宋体" w:hAnsi="宋体" w:cs="宋体" w:eastAsia="宋体" w:hint="default"/>
                            <w:position w:val="1"/>
                            <w:sz w:val="11"/>
                            <w:szCs w:val="11"/>
                          </w:rPr>
                          <w:t>（注</w:t>
                        </w:r>
                        <w:r>
                          <w:rPr>
                            <w:rFonts w:ascii="宋体" w:hAnsi="宋体" w:cs="宋体" w:eastAsia="宋体" w:hint="default"/>
                            <w:spacing w:val="-29"/>
                            <w:position w:val="1"/>
                            <w:sz w:val="11"/>
                            <w:szCs w:val="11"/>
                          </w:rPr>
                          <w:t> </w:t>
                        </w:r>
                        <w:r>
                          <w:rPr>
                            <w:rFonts w:ascii="Times New Roman" w:hAnsi="Times New Roman" w:cs="Times New Roman" w:eastAsia="Times New Roman" w:hint="default"/>
                            <w:sz w:val="14"/>
                            <w:szCs w:val="14"/>
                          </w:rPr>
                          <w:t>2</w:t>
                        </w:r>
                        <w:r>
                          <w:rPr>
                            <w:rFonts w:ascii="宋体" w:hAnsi="宋体" w:cs="宋体" w:eastAsia="宋体" w:hint="default"/>
                            <w:position w:val="1"/>
                            <w:sz w:val="11"/>
                            <w:szCs w:val="11"/>
                          </w:rPr>
                          <w:t>）</w:t>
                        </w:r>
                        <w:r>
                          <w:rPr>
                            <w:rFonts w:ascii="宋体" w:hAnsi="宋体" w:cs="宋体" w:eastAsia="宋体" w:hint="default"/>
                            <w:sz w:val="11"/>
                            <w:szCs w:val="1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103" w:right="221"/>
                          <w:jc w:val="both"/>
                          <w:rPr>
                            <w:rFonts w:ascii="宋体" w:hAnsi="宋体" w:cs="宋体" w:eastAsia="宋体" w:hint="default"/>
                            <w:sz w:val="21"/>
                            <w:szCs w:val="21"/>
                          </w:rPr>
                        </w:pPr>
                        <w:r>
                          <w:rPr>
                            <w:rFonts w:ascii="宋体" w:hAnsi="宋体" w:cs="宋体" w:eastAsia="宋体" w:hint="default"/>
                            <w:sz w:val="21"/>
                            <w:szCs w:val="21"/>
                          </w:rPr>
                          <w:t>贵州</w:t>
                        </w:r>
                        <w:r>
                          <w:rPr>
                            <w:rFonts w:ascii="宋体" w:hAnsi="宋体" w:cs="宋体" w:eastAsia="宋体" w:hint="default"/>
                            <w:spacing w:val="-103"/>
                            <w:sz w:val="21"/>
                            <w:szCs w:val="21"/>
                          </w:rPr>
                          <w:t> </w:t>
                        </w:r>
                        <w:r>
                          <w:rPr>
                            <w:rFonts w:ascii="宋体" w:hAnsi="宋体" w:cs="宋体" w:eastAsia="宋体" w:hint="default"/>
                            <w:sz w:val="21"/>
                            <w:szCs w:val="21"/>
                          </w:rPr>
                          <w:t>中科</w:t>
                        </w:r>
                        <w:r>
                          <w:rPr>
                            <w:rFonts w:ascii="宋体" w:hAnsi="宋体" w:cs="宋体" w:eastAsia="宋体" w:hint="default"/>
                            <w:spacing w:val="-103"/>
                            <w:sz w:val="21"/>
                            <w:szCs w:val="21"/>
                          </w:rPr>
                          <w:t> </w:t>
                        </w:r>
                        <w:r>
                          <w:rPr>
                            <w:rFonts w:ascii="宋体" w:hAnsi="宋体" w:cs="宋体" w:eastAsia="宋体" w:hint="default"/>
                            <w:sz w:val="21"/>
                            <w:szCs w:val="21"/>
                          </w:rPr>
                          <w:t>建设</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5" w:lineRule="auto"/>
                          <w:ind w:left="100" w:right="98"/>
                          <w:jc w:val="both"/>
                          <w:rPr>
                            <w:rFonts w:ascii="宋体" w:hAnsi="宋体" w:cs="宋体" w:eastAsia="宋体" w:hint="default"/>
                            <w:sz w:val="21"/>
                            <w:szCs w:val="21"/>
                          </w:rPr>
                        </w:pPr>
                        <w:r>
                          <w:rPr>
                            <w:rFonts w:ascii="宋体" w:hAnsi="宋体" w:cs="宋体" w:eastAsia="宋体" w:hint="default"/>
                            <w:spacing w:val="-5"/>
                            <w:sz w:val="21"/>
                            <w:szCs w:val="21"/>
                          </w:rPr>
                          <w:t>西安市机关干部住宅智慧社区项目</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含设计、开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发、实施、运维智慧社区的核心部分，包括智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6"/>
                            <w:sz w:val="21"/>
                            <w:szCs w:val="21"/>
                          </w:rPr>
                          <w:t>慧社区建设工程</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智慧社区平台（楼宇自动化系</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统、信息通讯系统、安全保障系统等）相关方</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案设计、智慧社区平台开发、智慧社区系统工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程方案设计、智慧社区系统工程实施、配套信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息化设备采购、配套基础工程设备采购、工程</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实施等内容。</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82,923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2015/5/5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5" w:lineRule="auto"/>
                          <w:ind w:left="103" w:right="98"/>
                          <w:jc w:val="left"/>
                          <w:rPr>
                            <w:rFonts w:ascii="宋体" w:hAnsi="宋体" w:cs="宋体" w:eastAsia="宋体" w:hint="default"/>
                            <w:sz w:val="21"/>
                            <w:szCs w:val="21"/>
                          </w:rPr>
                        </w:pPr>
                        <w:r>
                          <w:rPr>
                            <w:rFonts w:ascii="宋体" w:hAnsi="宋体" w:cs="宋体" w:eastAsia="宋体" w:hint="default"/>
                            <w:sz w:val="21"/>
                            <w:szCs w:val="21"/>
                          </w:rPr>
                          <w:t>项目可研及设计已完</w:t>
                        </w:r>
                        <w:r>
                          <w:rPr>
                            <w:rFonts w:ascii="宋体" w:hAnsi="宋体" w:cs="宋体" w:eastAsia="宋体" w:hint="default"/>
                            <w:w w:val="100"/>
                            <w:sz w:val="21"/>
                            <w:szCs w:val="21"/>
                          </w:rPr>
                          <w:t> </w:t>
                        </w:r>
                        <w:r>
                          <w:rPr>
                            <w:rFonts w:ascii="宋体" w:hAnsi="宋体" w:cs="宋体" w:eastAsia="宋体" w:hint="default"/>
                            <w:spacing w:val="-5"/>
                            <w:sz w:val="21"/>
                            <w:szCs w:val="21"/>
                          </w:rPr>
                          <w:t>成。因受</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年非公</w:t>
                        </w:r>
                        <w:r>
                          <w:rPr>
                            <w:rFonts w:ascii="宋体" w:hAnsi="宋体" w:cs="宋体" w:eastAsia="宋体" w:hint="default"/>
                            <w:w w:val="100"/>
                            <w:sz w:val="21"/>
                            <w:szCs w:val="21"/>
                          </w:rPr>
                          <w:t> </w:t>
                        </w:r>
                        <w:r>
                          <w:rPr>
                            <w:rFonts w:ascii="宋体" w:hAnsi="宋体" w:cs="宋体" w:eastAsia="宋体" w:hint="default"/>
                            <w:sz w:val="21"/>
                            <w:szCs w:val="21"/>
                          </w:rPr>
                          <w:t>开发行股票的申请未</w:t>
                        </w:r>
                        <w:r>
                          <w:rPr>
                            <w:rFonts w:ascii="宋体" w:hAnsi="宋体" w:cs="宋体" w:eastAsia="宋体" w:hint="default"/>
                            <w:w w:val="100"/>
                            <w:sz w:val="21"/>
                            <w:szCs w:val="21"/>
                          </w:rPr>
                          <w:t> </w:t>
                        </w:r>
                        <w:r>
                          <w:rPr>
                            <w:rFonts w:ascii="宋体" w:hAnsi="宋体" w:cs="宋体" w:eastAsia="宋体" w:hint="default"/>
                            <w:sz w:val="21"/>
                            <w:szCs w:val="21"/>
                          </w:rPr>
                          <w:t>获得审核通过较大影</w:t>
                        </w:r>
                        <w:r>
                          <w:rPr>
                            <w:rFonts w:ascii="宋体" w:hAnsi="宋体" w:cs="宋体" w:eastAsia="宋体" w:hint="default"/>
                            <w:w w:val="100"/>
                            <w:sz w:val="21"/>
                            <w:szCs w:val="21"/>
                          </w:rPr>
                          <w:t> </w:t>
                        </w:r>
                        <w:r>
                          <w:rPr>
                            <w:rFonts w:ascii="宋体" w:hAnsi="宋体" w:cs="宋体" w:eastAsia="宋体" w:hint="default"/>
                            <w:sz w:val="21"/>
                            <w:szCs w:val="21"/>
                          </w:rPr>
                          <w:t>响，推进缓慢。</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公司如果不能按照</w:t>
                        </w:r>
                      </w:p>
                      <w:p>
                        <w:pPr>
                          <w:pStyle w:val="TableParagraph"/>
                          <w:spacing w:line="237" w:lineRule="auto"/>
                          <w:ind w:left="103" w:right="173"/>
                          <w:jc w:val="left"/>
                          <w:rPr>
                            <w:rFonts w:ascii="宋体" w:hAnsi="宋体" w:cs="宋体" w:eastAsia="宋体" w:hint="default"/>
                            <w:sz w:val="21"/>
                            <w:szCs w:val="21"/>
                          </w:rPr>
                        </w:pPr>
                        <w:r>
                          <w:rPr>
                            <w:rFonts w:ascii="宋体" w:hAnsi="宋体" w:cs="宋体" w:eastAsia="宋体" w:hint="default"/>
                            <w:sz w:val="21"/>
                            <w:szCs w:val="21"/>
                          </w:rPr>
                          <w:t>合同计划的时间及</w:t>
                        </w:r>
                        <w:r>
                          <w:rPr>
                            <w:rFonts w:ascii="宋体" w:hAnsi="宋体" w:cs="宋体" w:eastAsia="宋体" w:hint="default"/>
                            <w:w w:val="100"/>
                            <w:sz w:val="21"/>
                            <w:szCs w:val="21"/>
                          </w:rPr>
                          <w:t> </w:t>
                        </w:r>
                        <w:r>
                          <w:rPr>
                            <w:rFonts w:ascii="宋体" w:hAnsi="宋体" w:cs="宋体" w:eastAsia="宋体" w:hint="default"/>
                            <w:sz w:val="21"/>
                            <w:szCs w:val="21"/>
                          </w:rPr>
                          <w:t>金额支付项目建设</w:t>
                        </w:r>
                        <w:r>
                          <w:rPr>
                            <w:rFonts w:ascii="宋体" w:hAnsi="宋体" w:cs="宋体" w:eastAsia="宋体" w:hint="default"/>
                            <w:w w:val="100"/>
                            <w:sz w:val="21"/>
                            <w:szCs w:val="21"/>
                          </w:rPr>
                          <w:t> </w:t>
                        </w:r>
                        <w:r>
                          <w:rPr>
                            <w:rFonts w:ascii="宋体" w:hAnsi="宋体" w:cs="宋体" w:eastAsia="宋体" w:hint="default"/>
                            <w:sz w:val="21"/>
                            <w:szCs w:val="21"/>
                          </w:rPr>
                          <w:t>资金的，甲方有权</w:t>
                        </w:r>
                        <w:r>
                          <w:rPr>
                            <w:rFonts w:ascii="宋体" w:hAnsi="宋体" w:cs="宋体" w:eastAsia="宋体" w:hint="default"/>
                            <w:w w:val="100"/>
                            <w:sz w:val="21"/>
                            <w:szCs w:val="21"/>
                          </w:rPr>
                          <w:t> </w:t>
                        </w:r>
                        <w:r>
                          <w:rPr>
                            <w:rFonts w:ascii="宋体" w:hAnsi="宋体" w:cs="宋体" w:eastAsia="宋体" w:hint="default"/>
                            <w:sz w:val="21"/>
                            <w:szCs w:val="21"/>
                          </w:rPr>
                          <w:t>立刻终止本合同，</w:t>
                        </w:r>
                        <w:r>
                          <w:rPr>
                            <w:rFonts w:ascii="宋体" w:hAnsi="宋体" w:cs="宋体" w:eastAsia="宋体" w:hint="default"/>
                            <w:w w:val="100"/>
                            <w:sz w:val="21"/>
                            <w:szCs w:val="21"/>
                          </w:rPr>
                          <w:t> </w:t>
                        </w:r>
                        <w:r>
                          <w:rPr>
                            <w:rFonts w:ascii="宋体" w:hAnsi="宋体" w:cs="宋体" w:eastAsia="宋体" w:hint="default"/>
                            <w:sz w:val="21"/>
                            <w:szCs w:val="21"/>
                          </w:rPr>
                          <w:t>但公司已支付给甲</w:t>
                        </w:r>
                        <w:r>
                          <w:rPr>
                            <w:rFonts w:ascii="宋体" w:hAnsi="宋体" w:cs="宋体" w:eastAsia="宋体" w:hint="default"/>
                            <w:w w:val="100"/>
                            <w:sz w:val="21"/>
                            <w:szCs w:val="21"/>
                          </w:rPr>
                          <w:t> </w:t>
                        </w:r>
                        <w:r>
                          <w:rPr>
                            <w:rFonts w:ascii="宋体" w:hAnsi="宋体" w:cs="宋体" w:eastAsia="宋体" w:hint="default"/>
                            <w:sz w:val="21"/>
                            <w:szCs w:val="21"/>
                          </w:rPr>
                          <w:t>方的工程建设资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金，甲方仍应按照</w:t>
                        </w:r>
                        <w:r>
                          <w:rPr>
                            <w:rFonts w:ascii="宋体" w:hAnsi="宋体" w:cs="宋体" w:eastAsia="宋体" w:hint="default"/>
                            <w:w w:val="100"/>
                            <w:sz w:val="21"/>
                            <w:szCs w:val="21"/>
                          </w:rPr>
                          <w:t> </w:t>
                        </w:r>
                        <w:r>
                          <w:rPr>
                            <w:rFonts w:ascii="宋体" w:hAnsi="宋体" w:cs="宋体" w:eastAsia="宋体" w:hint="default"/>
                            <w:sz w:val="21"/>
                            <w:szCs w:val="21"/>
                          </w:rPr>
                          <w:t>合同的约定返还并</w:t>
                        </w:r>
                        <w:r>
                          <w:rPr>
                            <w:rFonts w:ascii="宋体" w:hAnsi="宋体" w:cs="宋体" w:eastAsia="宋体" w:hint="default"/>
                            <w:w w:val="100"/>
                            <w:sz w:val="21"/>
                            <w:szCs w:val="21"/>
                          </w:rPr>
                          <w:t> </w:t>
                        </w:r>
                        <w:r>
                          <w:rPr>
                            <w:rFonts w:ascii="宋体" w:hAnsi="宋体" w:cs="宋体" w:eastAsia="宋体" w:hint="default"/>
                            <w:sz w:val="21"/>
                            <w:szCs w:val="21"/>
                          </w:rPr>
                          <w:t>支付资金占用费以</w:t>
                        </w:r>
                        <w:r>
                          <w:rPr>
                            <w:rFonts w:ascii="宋体" w:hAnsi="宋体" w:cs="宋体" w:eastAsia="宋体" w:hint="default"/>
                            <w:w w:val="100"/>
                            <w:sz w:val="21"/>
                            <w:szCs w:val="21"/>
                          </w:rPr>
                          <w:t> </w:t>
                        </w:r>
                        <w:r>
                          <w:rPr>
                            <w:rFonts w:ascii="宋体" w:hAnsi="宋体" w:cs="宋体" w:eastAsia="宋体" w:hint="default"/>
                            <w:sz w:val="21"/>
                            <w:szCs w:val="21"/>
                          </w:rPr>
                          <w:t>及承担其他责任。</w:t>
                        </w:r>
                      </w:p>
                    </w:tc>
                  </w:tr>
                  <w:tr>
                    <w:trPr>
                      <w:trHeight w:val="109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重庆两</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江智慧</w:t>
                        </w:r>
                        <w:r>
                          <w:rPr>
                            <w:rFonts w:ascii="宋体" w:hAnsi="宋体" w:cs="宋体" w:eastAsia="宋体" w:hint="default"/>
                            <w:spacing w:val="-102"/>
                            <w:sz w:val="21"/>
                            <w:szCs w:val="21"/>
                          </w:rPr>
                          <w:t> </w:t>
                        </w:r>
                        <w:r>
                          <w:rPr>
                            <w:rFonts w:ascii="宋体" w:hAnsi="宋体" w:cs="宋体" w:eastAsia="宋体" w:hint="default"/>
                            <w:sz w:val="21"/>
                            <w:szCs w:val="21"/>
                          </w:rPr>
                          <w:t>政务系</w:t>
                        </w:r>
                        <w:r>
                          <w:rPr>
                            <w:rFonts w:ascii="宋体" w:hAnsi="宋体" w:cs="宋体" w:eastAsia="宋体" w:hint="default"/>
                            <w:spacing w:val="-102"/>
                            <w:sz w:val="21"/>
                            <w:szCs w:val="21"/>
                          </w:rPr>
                          <w:t> </w:t>
                        </w:r>
                        <w:r>
                          <w:rPr>
                            <w:rFonts w:ascii="宋体" w:hAnsi="宋体" w:cs="宋体" w:eastAsia="宋体" w:hint="default"/>
                            <w:spacing w:val="-18"/>
                            <w:sz w:val="21"/>
                            <w:szCs w:val="21"/>
                          </w:rPr>
                          <w:t>统、智慧</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重庆</w:t>
                        </w:r>
                      </w:p>
                      <w:p>
                        <w:pPr>
                          <w:pStyle w:val="TableParagraph"/>
                          <w:spacing w:line="237" w:lineRule="auto" w:before="2"/>
                          <w:ind w:left="103" w:right="221"/>
                          <w:jc w:val="both"/>
                          <w:rPr>
                            <w:rFonts w:ascii="宋体" w:hAnsi="宋体" w:cs="宋体" w:eastAsia="宋体" w:hint="default"/>
                            <w:sz w:val="21"/>
                            <w:szCs w:val="21"/>
                          </w:rPr>
                        </w:pPr>
                        <w:r>
                          <w:rPr>
                            <w:rFonts w:ascii="宋体" w:hAnsi="宋体" w:cs="宋体" w:eastAsia="宋体" w:hint="default"/>
                            <w:sz w:val="21"/>
                            <w:szCs w:val="21"/>
                          </w:rPr>
                          <w:t>两江</w:t>
                        </w:r>
                        <w:r>
                          <w:rPr>
                            <w:rFonts w:ascii="宋体" w:hAnsi="宋体" w:cs="宋体" w:eastAsia="宋体" w:hint="default"/>
                            <w:spacing w:val="-103"/>
                            <w:sz w:val="21"/>
                            <w:szCs w:val="21"/>
                          </w:rPr>
                          <w:t> </w:t>
                        </w:r>
                        <w:r>
                          <w:rPr>
                            <w:rFonts w:ascii="宋体" w:hAnsi="宋体" w:cs="宋体" w:eastAsia="宋体" w:hint="default"/>
                            <w:sz w:val="21"/>
                            <w:szCs w:val="21"/>
                          </w:rPr>
                          <w:t>新区</w:t>
                        </w:r>
                        <w:r>
                          <w:rPr>
                            <w:rFonts w:ascii="宋体" w:hAnsi="宋体" w:cs="宋体" w:eastAsia="宋体" w:hint="default"/>
                            <w:spacing w:val="-103"/>
                            <w:sz w:val="21"/>
                            <w:szCs w:val="21"/>
                          </w:rPr>
                          <w:t> </w:t>
                        </w:r>
                        <w:r>
                          <w:rPr>
                            <w:rFonts w:ascii="宋体" w:hAnsi="宋体" w:cs="宋体" w:eastAsia="宋体" w:hint="default"/>
                            <w:sz w:val="21"/>
                            <w:szCs w:val="21"/>
                          </w:rPr>
                          <w:t>管委</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与重庆两江新区管委会通过合资合作方式，在</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pacing w:val="-3"/>
                            <w:sz w:val="21"/>
                            <w:szCs w:val="21"/>
                          </w:rPr>
                          <w:t>重庆两江新区开展智慧政务、智慧金融等系统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的建设和运营、金融大数据产业基地、大数据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结算中心等方面建设和相关业务。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 w:right="0"/>
                          <w:jc w:val="center"/>
                          <w:rPr>
                            <w:rFonts w:ascii="Times New Roman" w:hAnsi="Times New Roman" w:cs="Times New Roman" w:eastAsia="Times New Roman" w:hint="default"/>
                            <w:sz w:val="21"/>
                            <w:szCs w:val="21"/>
                          </w:rPr>
                        </w:pPr>
                        <w:r>
                          <w:rPr>
                            <w:rFonts w:ascii="Times New Roman"/>
                            <w:sz w:val="21"/>
                          </w:rPr>
                          <w:t>15,400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396"/>
                          <w:jc w:val="right"/>
                          <w:rPr>
                            <w:rFonts w:ascii="Times New Roman" w:hAnsi="Times New Roman" w:cs="Times New Roman" w:eastAsia="Times New Roman" w:hint="default"/>
                            <w:sz w:val="21"/>
                            <w:szCs w:val="21"/>
                          </w:rPr>
                        </w:pPr>
                        <w:r>
                          <w:rPr>
                            <w:rFonts w:ascii="Times New Roman"/>
                            <w:spacing w:val="-1"/>
                            <w:sz w:val="21"/>
                          </w:rPr>
                          <w:t>2015/4/13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完成了项目公司的注</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册，资产技术评估，</w:t>
                        </w:r>
                        <w:r>
                          <w:rPr>
                            <w:rFonts w:ascii="宋体" w:hAnsi="宋体" w:cs="宋体" w:eastAsia="宋体" w:hint="default"/>
                            <w:w w:val="100"/>
                            <w:sz w:val="21"/>
                            <w:szCs w:val="21"/>
                          </w:rPr>
                          <w:t> </w:t>
                        </w:r>
                        <w:r>
                          <w:rPr>
                            <w:rFonts w:ascii="宋体" w:hAnsi="宋体" w:cs="宋体" w:eastAsia="宋体" w:hint="default"/>
                            <w:spacing w:val="-3"/>
                            <w:sz w:val="21"/>
                            <w:szCs w:val="21"/>
                          </w:rPr>
                          <w:t>设计，临水电等工作，</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部分模块装修进行</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t>报告期内，公司已签署的总价共计</w:t>
      </w:r>
      <w:r>
        <w:rPr>
          <w:spacing w:val="-57"/>
        </w:rPr>
        <w:t> </w:t>
      </w:r>
      <w:r>
        <w:rPr>
          <w:rFonts w:ascii="Times New Roman" w:hAnsi="Times New Roman" w:cs="Times New Roman" w:eastAsia="Times New Roman" w:hint="default"/>
        </w:rPr>
        <w:t>40</w:t>
      </w:r>
      <w:r>
        <w:rPr>
          <w:rFonts w:ascii="Times New Roman" w:hAnsi="Times New Roman" w:cs="Times New Roman" w:eastAsia="Times New Roman" w:hint="default"/>
          <w:spacing w:val="-5"/>
        </w:rPr>
        <w:t> </w:t>
      </w:r>
      <w:r>
        <w:rPr/>
        <w:t>亿元智慧城市项目尚在前期筹备或执行过程中，未有实际投入使用项目。详情请见下表：</w:t>
      </w:r>
      <w:r>
        <w:rPr>
          <w:w w:val="100"/>
        </w:rPr>
        <w:t> </w:t>
      </w:r>
      <w:r>
        <w:rPr/>
        <w:t>表</w:t>
      </w:r>
      <w:r>
        <w:rPr>
          <w:rFonts w:ascii="Times New Roman" w:hAnsi="Times New Roman" w:cs="Times New Roman" w:eastAsia="Times New Roman" w:hint="default"/>
        </w:rPr>
        <w:t>-2</w:t>
      </w:r>
      <w:r>
        <w:rPr/>
        <w:t>：</w:t>
      </w:r>
      <w:r>
        <w:rPr>
          <w:rFonts w:ascii="Times New Roman" w:hAnsi="Times New Roman" w:cs="Times New Roman" w:eastAsia="Times New Roman" w:hint="default"/>
        </w:rPr>
        <w:t>40 </w:t>
      </w:r>
      <w:r>
        <w:rPr/>
        <w:t>亿元智慧城市项目合同执行及落地情况</w:t>
      </w:r>
      <w:r>
        <w:rPr>
          <w:position w:val="11"/>
          <w:sz w:val="11"/>
          <w:szCs w:val="11"/>
        </w:rPr>
        <w:t>（注</w:t>
      </w:r>
      <w:r>
        <w:rPr>
          <w:spacing w:val="-33"/>
          <w:position w:val="11"/>
          <w:sz w:val="11"/>
          <w:szCs w:val="11"/>
        </w:rPr>
        <w:t> </w:t>
      </w:r>
      <w:r>
        <w:rPr>
          <w:rFonts w:ascii="Times New Roman" w:hAnsi="Times New Roman" w:cs="Times New Roman" w:eastAsia="Times New Roman" w:hint="default"/>
          <w:position w:val="10"/>
          <w:sz w:val="14"/>
          <w:szCs w:val="14"/>
        </w:rPr>
        <w:t>1</w:t>
      </w:r>
      <w:r>
        <w:rPr>
          <w:position w:val="11"/>
          <w:sz w:val="11"/>
          <w:szCs w:val="11"/>
        </w:rPr>
        <w:t>）</w:t>
      </w:r>
      <w:r>
        <w:rPr/>
        <w:t>：</w:t>
      </w:r>
    </w:p>
    <w:p>
      <w:pPr>
        <w:spacing w:after="0" w:line="424" w:lineRule="auto"/>
        <w:jc w:val="left"/>
        <w:sectPr>
          <w:pgSz w:w="16840" w:h="11910" w:orient="landscape"/>
          <w:pgMar w:header="880" w:footer="1195" w:top="1120" w:bottom="1380" w:left="12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387" w:type="dxa"/>
        <w:tblLayout w:type="fixed"/>
        <w:tblCellMar>
          <w:top w:w="0" w:type="dxa"/>
          <w:left w:w="0" w:type="dxa"/>
          <w:bottom w:w="0" w:type="dxa"/>
          <w:right w:w="0" w:type="dxa"/>
        </w:tblCellMar>
        <w:tblLook w:val="01E0"/>
      </w:tblPr>
      <w:tblGrid>
        <w:gridCol w:w="989"/>
        <w:gridCol w:w="758"/>
        <w:gridCol w:w="4390"/>
        <w:gridCol w:w="1400"/>
        <w:gridCol w:w="1663"/>
        <w:gridCol w:w="2199"/>
        <w:gridCol w:w="1971"/>
      </w:tblGrid>
      <w:tr>
        <w:trPr>
          <w:trHeight w:val="554" w:hRule="exact"/>
        </w:trPr>
        <w:tc>
          <w:tcPr>
            <w:tcW w:w="989"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278"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78"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758"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客户</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390"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主要内容</w:t>
            </w:r>
          </w:p>
        </w:tc>
        <w:tc>
          <w:tcPr>
            <w:tcW w:w="1400"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663"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签订日期</w:t>
            </w:r>
          </w:p>
        </w:tc>
        <w:tc>
          <w:tcPr>
            <w:tcW w:w="2199"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569" w:right="0"/>
              <w:jc w:val="left"/>
              <w:rPr>
                <w:rFonts w:ascii="宋体" w:hAnsi="宋体" w:cs="宋体" w:eastAsia="宋体" w:hint="default"/>
                <w:sz w:val="21"/>
                <w:szCs w:val="21"/>
              </w:rPr>
            </w:pPr>
            <w:r>
              <w:rPr>
                <w:rFonts w:ascii="宋体" w:hAnsi="宋体" w:cs="宋体" w:eastAsia="宋体" w:hint="default"/>
                <w:sz w:val="21"/>
                <w:szCs w:val="21"/>
              </w:rPr>
              <w:t>目前的执行</w:t>
            </w:r>
          </w:p>
          <w:p>
            <w:pPr>
              <w:pStyle w:val="TableParagraph"/>
              <w:spacing w:line="273" w:lineRule="exact"/>
              <w:ind w:left="569" w:right="0"/>
              <w:jc w:val="left"/>
              <w:rPr>
                <w:rFonts w:ascii="宋体" w:hAnsi="宋体" w:cs="宋体" w:eastAsia="宋体" w:hint="default"/>
                <w:sz w:val="21"/>
                <w:szCs w:val="21"/>
              </w:rPr>
            </w:pPr>
            <w:r>
              <w:rPr>
                <w:rFonts w:ascii="宋体" w:hAnsi="宋体" w:cs="宋体" w:eastAsia="宋体" w:hint="default"/>
                <w:sz w:val="21"/>
                <w:szCs w:val="21"/>
              </w:rPr>
              <w:t>及落地情况</w:t>
            </w:r>
          </w:p>
        </w:tc>
        <w:tc>
          <w:tcPr>
            <w:tcW w:w="1971"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102"/>
              <w:ind w:left="559" w:right="0"/>
              <w:jc w:val="left"/>
              <w:rPr>
                <w:rFonts w:ascii="宋体" w:hAnsi="宋体" w:cs="宋体" w:eastAsia="宋体" w:hint="default"/>
                <w:sz w:val="21"/>
                <w:szCs w:val="21"/>
              </w:rPr>
            </w:pPr>
            <w:r>
              <w:rPr>
                <w:rFonts w:ascii="宋体" w:hAnsi="宋体" w:cs="宋体" w:eastAsia="宋体" w:hint="default"/>
                <w:sz w:val="21"/>
                <w:szCs w:val="21"/>
              </w:rPr>
              <w:t>违约责任</w:t>
            </w:r>
          </w:p>
        </w:tc>
      </w:tr>
      <w:tr>
        <w:trPr>
          <w:trHeight w:val="82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金融系</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统及运</w:t>
            </w:r>
            <w:r>
              <w:rPr>
                <w:rFonts w:ascii="宋体" w:hAnsi="宋体" w:cs="宋体" w:eastAsia="宋体" w:hint="default"/>
                <w:spacing w:val="-102"/>
                <w:sz w:val="21"/>
                <w:szCs w:val="21"/>
              </w:rPr>
              <w:t> </w:t>
            </w:r>
            <w:r>
              <w:rPr>
                <w:rFonts w:ascii="宋体" w:hAnsi="宋体" w:cs="宋体" w:eastAsia="宋体" w:hint="default"/>
                <w:sz w:val="21"/>
                <w:szCs w:val="21"/>
              </w:rPr>
              <w:t>营项目</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会</w:t>
            </w:r>
          </w:p>
        </w:tc>
        <w:tc>
          <w:tcPr>
            <w:tcW w:w="439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中。预计</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年三季度</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完成项目。</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32"/>
                <w:szCs w:val="32"/>
              </w:rPr>
            </w:pP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宁波杭</w:t>
            </w:r>
            <w:r>
              <w:rPr>
                <w:rFonts w:ascii="宋体" w:hAnsi="宋体" w:cs="宋体" w:eastAsia="宋体" w:hint="default"/>
                <w:spacing w:val="-102"/>
                <w:sz w:val="21"/>
                <w:szCs w:val="21"/>
              </w:rPr>
              <w:t> </w:t>
            </w:r>
            <w:r>
              <w:rPr>
                <w:rFonts w:ascii="宋体" w:hAnsi="宋体" w:cs="宋体" w:eastAsia="宋体" w:hint="default"/>
                <w:sz w:val="21"/>
                <w:szCs w:val="21"/>
              </w:rPr>
              <w:t>州湾新</w:t>
            </w:r>
            <w:r>
              <w:rPr>
                <w:rFonts w:ascii="宋体" w:hAnsi="宋体" w:cs="宋体" w:eastAsia="宋体" w:hint="default"/>
                <w:spacing w:val="-102"/>
                <w:sz w:val="21"/>
                <w:szCs w:val="21"/>
              </w:rPr>
              <w:t> </w:t>
            </w:r>
            <w:r>
              <w:rPr>
                <w:rFonts w:ascii="宋体" w:hAnsi="宋体" w:cs="宋体" w:eastAsia="宋体" w:hint="default"/>
                <w:sz w:val="21"/>
                <w:szCs w:val="21"/>
              </w:rPr>
              <w:t>区滨海</w:t>
            </w:r>
            <w:r>
              <w:rPr>
                <w:rFonts w:ascii="宋体" w:hAnsi="宋体" w:cs="宋体" w:eastAsia="宋体" w:hint="default"/>
                <w:spacing w:val="-102"/>
                <w:sz w:val="21"/>
                <w:szCs w:val="21"/>
              </w:rPr>
              <w:t> </w:t>
            </w:r>
            <w:r>
              <w:rPr>
                <w:rFonts w:ascii="宋体" w:hAnsi="宋体" w:cs="宋体" w:eastAsia="宋体" w:hint="default"/>
                <w:sz w:val="21"/>
                <w:szCs w:val="21"/>
              </w:rPr>
              <w:t>六路智</w:t>
            </w:r>
            <w:r>
              <w:rPr>
                <w:rFonts w:ascii="宋体" w:hAnsi="宋体" w:cs="宋体" w:eastAsia="宋体" w:hint="default"/>
                <w:spacing w:val="-102"/>
                <w:sz w:val="21"/>
                <w:szCs w:val="21"/>
              </w:rPr>
              <w:t> </w:t>
            </w:r>
            <w:r>
              <w:rPr>
                <w:rFonts w:ascii="宋体" w:hAnsi="宋体" w:cs="宋体" w:eastAsia="宋体" w:hint="default"/>
                <w:sz w:val="21"/>
                <w:szCs w:val="21"/>
              </w:rPr>
              <w:t>慧交通</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PPP</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建</w:t>
            </w:r>
          </w:p>
          <w:p>
            <w:pPr>
              <w:pStyle w:val="TableParagraph"/>
              <w:spacing w:line="258" w:lineRule="exact"/>
              <w:ind w:left="103" w:right="0"/>
              <w:jc w:val="both"/>
              <w:rPr>
                <w:rFonts w:ascii="宋体" w:hAnsi="宋体" w:cs="宋体" w:eastAsia="宋体" w:hint="default"/>
                <w:sz w:val="21"/>
                <w:szCs w:val="21"/>
              </w:rPr>
            </w:pPr>
            <w:r>
              <w:rPr>
                <w:rFonts w:ascii="宋体" w:hAnsi="宋体" w:cs="宋体" w:eastAsia="宋体" w:hint="default"/>
                <w:sz w:val="21"/>
                <w:szCs w:val="21"/>
              </w:rPr>
              <w:t>设合同</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221"/>
              <w:jc w:val="both"/>
              <w:rPr>
                <w:rFonts w:ascii="宋体" w:hAnsi="宋体" w:cs="宋体" w:eastAsia="宋体" w:hint="default"/>
                <w:sz w:val="21"/>
                <w:szCs w:val="21"/>
              </w:rPr>
            </w:pPr>
            <w:r>
              <w:rPr>
                <w:rFonts w:ascii="宋体" w:hAnsi="宋体" w:cs="宋体" w:eastAsia="宋体" w:hint="default"/>
                <w:sz w:val="21"/>
                <w:szCs w:val="21"/>
              </w:rPr>
              <w:t>宁波</w:t>
            </w:r>
            <w:r>
              <w:rPr>
                <w:rFonts w:ascii="宋体" w:hAnsi="宋体" w:cs="宋体" w:eastAsia="宋体" w:hint="default"/>
                <w:spacing w:val="-103"/>
                <w:sz w:val="21"/>
                <w:szCs w:val="21"/>
              </w:rPr>
              <w:t> </w:t>
            </w:r>
            <w:r>
              <w:rPr>
                <w:rFonts w:ascii="宋体" w:hAnsi="宋体" w:cs="宋体" w:eastAsia="宋体" w:hint="default"/>
                <w:sz w:val="21"/>
                <w:szCs w:val="21"/>
              </w:rPr>
              <w:t>杭州</w:t>
            </w:r>
            <w:r>
              <w:rPr>
                <w:rFonts w:ascii="宋体" w:hAnsi="宋体" w:cs="宋体" w:eastAsia="宋体" w:hint="default"/>
                <w:spacing w:val="-103"/>
                <w:sz w:val="21"/>
                <w:szCs w:val="21"/>
              </w:rPr>
              <w:t> </w:t>
            </w:r>
            <w:r>
              <w:rPr>
                <w:rFonts w:ascii="宋体" w:hAnsi="宋体" w:cs="宋体" w:eastAsia="宋体" w:hint="default"/>
                <w:sz w:val="21"/>
                <w:szCs w:val="21"/>
              </w:rPr>
              <w:t>湾新</w:t>
            </w:r>
            <w:r>
              <w:rPr>
                <w:rFonts w:ascii="宋体" w:hAnsi="宋体" w:cs="宋体" w:eastAsia="宋体" w:hint="default"/>
                <w:spacing w:val="-103"/>
                <w:sz w:val="21"/>
                <w:szCs w:val="21"/>
              </w:rPr>
              <w:t> </w:t>
            </w:r>
            <w:r>
              <w:rPr>
                <w:rFonts w:ascii="宋体" w:hAnsi="宋体" w:cs="宋体" w:eastAsia="宋体" w:hint="default"/>
                <w:sz w:val="21"/>
                <w:szCs w:val="21"/>
              </w:rPr>
              <w:t>区开</w:t>
            </w:r>
            <w:r>
              <w:rPr>
                <w:rFonts w:ascii="宋体" w:hAnsi="宋体" w:cs="宋体" w:eastAsia="宋体" w:hint="default"/>
                <w:spacing w:val="-103"/>
                <w:sz w:val="21"/>
                <w:szCs w:val="21"/>
              </w:rPr>
              <w:t> </w:t>
            </w:r>
            <w:r>
              <w:rPr>
                <w:rFonts w:ascii="宋体" w:hAnsi="宋体" w:cs="宋体" w:eastAsia="宋体" w:hint="default"/>
                <w:sz w:val="21"/>
                <w:szCs w:val="21"/>
              </w:rPr>
              <w:t>发建</w:t>
            </w:r>
            <w:r>
              <w:rPr>
                <w:rFonts w:ascii="宋体" w:hAnsi="宋体" w:cs="宋体" w:eastAsia="宋体" w:hint="default"/>
                <w:spacing w:val="-103"/>
                <w:sz w:val="21"/>
                <w:szCs w:val="21"/>
              </w:rPr>
              <w:t> </w:t>
            </w:r>
            <w:r>
              <w:rPr>
                <w:rFonts w:ascii="宋体" w:hAnsi="宋体" w:cs="宋体" w:eastAsia="宋体" w:hint="default"/>
                <w:sz w:val="21"/>
                <w:szCs w:val="21"/>
              </w:rPr>
              <w:t>设有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与宁波杭州湾新区开发建设有限公司通过</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PPP</w:t>
            </w:r>
          </w:p>
          <w:p>
            <w:pPr>
              <w:pStyle w:val="TableParagraph"/>
              <w:spacing w:line="237" w:lineRule="auto"/>
              <w:ind w:left="100" w:right="-5"/>
              <w:jc w:val="left"/>
              <w:rPr>
                <w:rFonts w:ascii="宋体" w:hAnsi="宋体" w:cs="宋体" w:eastAsia="宋体" w:hint="default"/>
                <w:sz w:val="21"/>
                <w:szCs w:val="21"/>
              </w:rPr>
            </w:pPr>
            <w:r>
              <w:rPr>
                <w:rFonts w:ascii="宋体" w:hAnsi="宋体" w:cs="宋体" w:eastAsia="宋体" w:hint="default"/>
                <w:spacing w:val="-3"/>
                <w:sz w:val="21"/>
                <w:szCs w:val="21"/>
              </w:rPr>
              <w:t>合作模式，双方出资成立项目公司，负责项目</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建设运营。项目主要建设内容包括划定范围内</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8"/>
                <w:sz w:val="21"/>
                <w:szCs w:val="21"/>
              </w:rPr>
              <w:t>的智慧交通总体工程（含道路工程、桥梁工程、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管线工程、沿线绿化工程）、智慧照明工程以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及道路综合平台（包括道路物联网、道路大数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sz w:val="21"/>
                <w:szCs w:val="21"/>
              </w:rPr>
              <w:t>据、道路指标系统、道路指挥、道路能源和道</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路运营等和交通信息采集系统、信息处理分析</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系统、信息发布系统、交通监控平台、运营车</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辆高度管理系统、车辆控制系统）等。</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right="401"/>
              <w:jc w:val="right"/>
              <w:rPr>
                <w:rFonts w:ascii="Times New Roman" w:hAnsi="Times New Roman" w:cs="Times New Roman" w:eastAsia="Times New Roman" w:hint="default"/>
                <w:sz w:val="21"/>
                <w:szCs w:val="21"/>
              </w:rPr>
            </w:pPr>
            <w:r>
              <w:rPr>
                <w:rFonts w:ascii="Times New Roman"/>
                <w:sz w:val="21"/>
              </w:rPr>
              <w:t>46,147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2015/4/14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35" w:lineRule="auto"/>
              <w:ind w:left="103" w:right="-5"/>
              <w:jc w:val="left"/>
              <w:rPr>
                <w:rFonts w:ascii="宋体" w:hAnsi="宋体" w:cs="宋体" w:eastAsia="宋体" w:hint="default"/>
                <w:sz w:val="21"/>
                <w:szCs w:val="21"/>
              </w:rPr>
            </w:pPr>
            <w:r>
              <w:rPr>
                <w:rFonts w:ascii="宋体" w:hAnsi="宋体" w:cs="宋体" w:eastAsia="宋体" w:hint="default"/>
                <w:sz w:val="21"/>
                <w:szCs w:val="21"/>
              </w:rPr>
              <w:t>完成了项目公司的注</w:t>
            </w:r>
            <w:r>
              <w:rPr>
                <w:rFonts w:ascii="宋体" w:hAnsi="宋体" w:cs="宋体" w:eastAsia="宋体" w:hint="default"/>
                <w:w w:val="100"/>
                <w:sz w:val="21"/>
                <w:szCs w:val="21"/>
              </w:rPr>
              <w:t> </w:t>
            </w:r>
            <w:r>
              <w:rPr>
                <w:rFonts w:ascii="宋体" w:hAnsi="宋体" w:cs="宋体" w:eastAsia="宋体" w:hint="default"/>
                <w:sz w:val="21"/>
                <w:szCs w:val="21"/>
              </w:rPr>
              <w:t>册、规划设计和深度</w:t>
            </w:r>
            <w:r>
              <w:rPr>
                <w:rFonts w:ascii="宋体" w:hAnsi="宋体" w:cs="宋体" w:eastAsia="宋体" w:hint="default"/>
                <w:w w:val="100"/>
                <w:sz w:val="21"/>
                <w:szCs w:val="21"/>
              </w:rPr>
              <w:t> </w:t>
            </w:r>
            <w:r>
              <w:rPr>
                <w:rFonts w:ascii="宋体" w:hAnsi="宋体" w:cs="宋体" w:eastAsia="宋体" w:hint="default"/>
                <w:sz w:val="21"/>
                <w:szCs w:val="21"/>
              </w:rPr>
              <w:t>可研编制。因受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年非公开发行股票的</w:t>
            </w:r>
            <w:r>
              <w:rPr>
                <w:rFonts w:ascii="宋体" w:hAnsi="宋体" w:cs="宋体" w:eastAsia="宋体" w:hint="default"/>
                <w:w w:val="100"/>
                <w:sz w:val="21"/>
                <w:szCs w:val="21"/>
              </w:rPr>
              <w:t> </w:t>
            </w:r>
            <w:r>
              <w:rPr>
                <w:rFonts w:ascii="宋体" w:hAnsi="宋体" w:cs="宋体" w:eastAsia="宋体" w:hint="default"/>
                <w:sz w:val="21"/>
                <w:szCs w:val="21"/>
              </w:rPr>
              <w:t>申请未获得审核通过</w:t>
            </w:r>
            <w:r>
              <w:rPr>
                <w:rFonts w:ascii="宋体" w:hAnsi="宋体" w:cs="宋体" w:eastAsia="宋体" w:hint="default"/>
                <w:w w:val="100"/>
                <w:sz w:val="21"/>
                <w:szCs w:val="21"/>
              </w:rPr>
              <w:t> </w:t>
            </w:r>
            <w:r>
              <w:rPr>
                <w:rFonts w:ascii="宋体" w:hAnsi="宋体" w:cs="宋体" w:eastAsia="宋体" w:hint="default"/>
                <w:spacing w:val="-3"/>
                <w:sz w:val="21"/>
                <w:szCs w:val="21"/>
              </w:rPr>
              <w:t>较大影响，推进缓慢。</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合同双方应按合同</w:t>
            </w:r>
          </w:p>
          <w:p>
            <w:pPr>
              <w:pStyle w:val="TableParagraph"/>
              <w:spacing w:line="237" w:lineRule="auto"/>
              <w:ind w:left="103" w:right="173"/>
              <w:jc w:val="both"/>
              <w:rPr>
                <w:rFonts w:ascii="宋体" w:hAnsi="宋体" w:cs="宋体" w:eastAsia="宋体" w:hint="default"/>
                <w:sz w:val="21"/>
                <w:szCs w:val="21"/>
              </w:rPr>
            </w:pPr>
            <w:r>
              <w:rPr>
                <w:rFonts w:ascii="宋体" w:hAnsi="宋体" w:cs="宋体" w:eastAsia="宋体" w:hint="default"/>
                <w:sz w:val="21"/>
                <w:szCs w:val="21"/>
              </w:rPr>
              <w:t>约定的期限向项目</w:t>
            </w:r>
            <w:r>
              <w:rPr>
                <w:rFonts w:ascii="宋体" w:hAnsi="宋体" w:cs="宋体" w:eastAsia="宋体" w:hint="default"/>
                <w:w w:val="100"/>
                <w:sz w:val="21"/>
                <w:szCs w:val="21"/>
              </w:rPr>
              <w:t> </w:t>
            </w:r>
            <w:r>
              <w:rPr>
                <w:rFonts w:ascii="宋体" w:hAnsi="宋体" w:cs="宋体" w:eastAsia="宋体" w:hint="default"/>
                <w:sz w:val="21"/>
                <w:szCs w:val="21"/>
              </w:rPr>
              <w:t>公司缴付出资，公</w:t>
            </w:r>
            <w:r>
              <w:rPr>
                <w:rFonts w:ascii="宋体" w:hAnsi="宋体" w:cs="宋体" w:eastAsia="宋体" w:hint="default"/>
                <w:w w:val="100"/>
                <w:sz w:val="21"/>
                <w:szCs w:val="21"/>
              </w:rPr>
              <w:t> </w:t>
            </w:r>
            <w:r>
              <w:rPr>
                <w:rFonts w:ascii="宋体" w:hAnsi="宋体" w:cs="宋体" w:eastAsia="宋体" w:hint="default"/>
                <w:sz w:val="21"/>
                <w:szCs w:val="21"/>
              </w:rPr>
              <w:t>司原因导致未能按</w:t>
            </w:r>
            <w:r>
              <w:rPr>
                <w:rFonts w:ascii="宋体" w:hAnsi="宋体" w:cs="宋体" w:eastAsia="宋体" w:hint="default"/>
                <w:w w:val="100"/>
                <w:sz w:val="21"/>
                <w:szCs w:val="21"/>
              </w:rPr>
              <w:t> </w:t>
            </w:r>
            <w:r>
              <w:rPr>
                <w:rFonts w:ascii="宋体" w:hAnsi="宋体" w:cs="宋体" w:eastAsia="宋体" w:hint="default"/>
                <w:sz w:val="21"/>
                <w:szCs w:val="21"/>
              </w:rPr>
              <w:t>照约定的时间及条</w:t>
            </w:r>
            <w:r>
              <w:rPr>
                <w:rFonts w:ascii="宋体" w:hAnsi="宋体" w:cs="宋体" w:eastAsia="宋体" w:hint="default"/>
                <w:w w:val="100"/>
                <w:sz w:val="21"/>
                <w:szCs w:val="21"/>
              </w:rPr>
              <w:t> </w:t>
            </w:r>
            <w:r>
              <w:rPr>
                <w:rFonts w:ascii="宋体" w:hAnsi="宋体" w:cs="宋体" w:eastAsia="宋体" w:hint="default"/>
                <w:sz w:val="21"/>
                <w:szCs w:val="21"/>
              </w:rPr>
              <w:t>件出资的，由公司</w:t>
            </w:r>
            <w:r>
              <w:rPr>
                <w:rFonts w:ascii="宋体" w:hAnsi="宋体" w:cs="宋体" w:eastAsia="宋体" w:hint="default"/>
                <w:w w:val="100"/>
                <w:sz w:val="21"/>
                <w:szCs w:val="21"/>
              </w:rPr>
              <w:t> </w:t>
            </w:r>
            <w:r>
              <w:rPr>
                <w:rFonts w:ascii="宋体" w:hAnsi="宋体" w:cs="宋体" w:eastAsia="宋体" w:hint="default"/>
                <w:sz w:val="21"/>
                <w:szCs w:val="21"/>
              </w:rPr>
              <w:t>承担已按照约定时</w:t>
            </w:r>
            <w:r>
              <w:rPr>
                <w:rFonts w:ascii="宋体" w:hAnsi="宋体" w:cs="宋体" w:eastAsia="宋体" w:hint="default"/>
                <w:w w:val="100"/>
                <w:sz w:val="21"/>
                <w:szCs w:val="21"/>
              </w:rPr>
              <w:t> </w:t>
            </w:r>
            <w:r>
              <w:rPr>
                <w:rFonts w:ascii="宋体" w:hAnsi="宋体" w:cs="宋体" w:eastAsia="宋体" w:hint="default"/>
                <w:sz w:val="21"/>
                <w:szCs w:val="21"/>
              </w:rPr>
              <w:t>间及条件出资的甲</w:t>
            </w:r>
            <w:r>
              <w:rPr>
                <w:rFonts w:ascii="宋体" w:hAnsi="宋体" w:cs="宋体" w:eastAsia="宋体" w:hint="default"/>
                <w:w w:val="100"/>
                <w:sz w:val="21"/>
                <w:szCs w:val="21"/>
              </w:rPr>
              <w:t> </w:t>
            </w:r>
            <w:r>
              <w:rPr>
                <w:rFonts w:ascii="宋体" w:hAnsi="宋体" w:cs="宋体" w:eastAsia="宋体" w:hint="default"/>
                <w:sz w:val="21"/>
                <w:szCs w:val="21"/>
              </w:rPr>
              <w:t>方产生的具体损失</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（如有）。</w:t>
            </w:r>
          </w:p>
        </w:tc>
      </w:tr>
      <w:tr>
        <w:trPr>
          <w:trHeight w:val="273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240"/>
              <w:jc w:val="both"/>
              <w:rPr>
                <w:rFonts w:ascii="Times New Roman" w:hAnsi="Times New Roman" w:cs="Times New Roman" w:eastAsia="Times New Roman" w:hint="default"/>
                <w:sz w:val="21"/>
                <w:szCs w:val="21"/>
              </w:rPr>
            </w:pPr>
            <w:r>
              <w:rPr>
                <w:rFonts w:ascii="宋体" w:hAnsi="宋体" w:cs="宋体" w:eastAsia="宋体" w:hint="default"/>
                <w:sz w:val="21"/>
                <w:szCs w:val="21"/>
              </w:rPr>
              <w:t>湖南华</w:t>
            </w:r>
            <w:r>
              <w:rPr>
                <w:rFonts w:ascii="宋体" w:hAnsi="宋体" w:cs="宋体" w:eastAsia="宋体" w:hint="default"/>
                <w:spacing w:val="-102"/>
                <w:sz w:val="21"/>
                <w:szCs w:val="21"/>
              </w:rPr>
              <w:t> </w:t>
            </w:r>
            <w:r>
              <w:rPr>
                <w:rFonts w:ascii="宋体" w:hAnsi="宋体" w:cs="宋体" w:eastAsia="宋体" w:hint="default"/>
                <w:sz w:val="21"/>
                <w:szCs w:val="21"/>
              </w:rPr>
              <w:t>容工业</w:t>
            </w:r>
            <w:r>
              <w:rPr>
                <w:rFonts w:ascii="宋体" w:hAnsi="宋体" w:cs="宋体" w:eastAsia="宋体" w:hint="default"/>
                <w:spacing w:val="-102"/>
                <w:sz w:val="21"/>
                <w:szCs w:val="21"/>
              </w:rPr>
              <w:t> </w:t>
            </w:r>
            <w:r>
              <w:rPr>
                <w:rFonts w:ascii="宋体" w:hAnsi="宋体" w:cs="宋体" w:eastAsia="宋体" w:hint="default"/>
                <w:sz w:val="21"/>
                <w:szCs w:val="21"/>
              </w:rPr>
              <w:t>集中区</w:t>
            </w:r>
            <w:r>
              <w:rPr>
                <w:rFonts w:ascii="宋体" w:hAnsi="宋体" w:cs="宋体" w:eastAsia="宋体" w:hint="default"/>
                <w:spacing w:val="-102"/>
                <w:sz w:val="21"/>
                <w:szCs w:val="21"/>
              </w:rPr>
              <w:t> </w:t>
            </w:r>
            <w:r>
              <w:rPr>
                <w:rFonts w:ascii="宋体" w:hAnsi="宋体" w:cs="宋体" w:eastAsia="宋体" w:hint="default"/>
                <w:sz w:val="21"/>
                <w:szCs w:val="21"/>
              </w:rPr>
              <w:t>智慧创</w:t>
            </w:r>
            <w:r>
              <w:rPr>
                <w:rFonts w:ascii="宋体" w:hAnsi="宋体" w:cs="宋体" w:eastAsia="宋体" w:hint="default"/>
                <w:spacing w:val="-102"/>
                <w:sz w:val="21"/>
                <w:szCs w:val="21"/>
              </w:rPr>
              <w:t> </w:t>
            </w:r>
            <w:r>
              <w:rPr>
                <w:rFonts w:ascii="宋体" w:hAnsi="宋体" w:cs="宋体" w:eastAsia="宋体" w:hint="default"/>
                <w:sz w:val="21"/>
                <w:szCs w:val="21"/>
              </w:rPr>
              <w:t>新产业</w:t>
            </w:r>
            <w:r>
              <w:rPr>
                <w:rFonts w:ascii="宋体" w:hAnsi="宋体" w:cs="宋体" w:eastAsia="宋体" w:hint="default"/>
                <w:spacing w:val="-102"/>
                <w:sz w:val="21"/>
                <w:szCs w:val="21"/>
              </w:rPr>
              <w:t> </w:t>
            </w:r>
            <w:r>
              <w:rPr>
                <w:rFonts w:ascii="宋体" w:hAnsi="宋体" w:cs="宋体" w:eastAsia="宋体" w:hint="default"/>
                <w:sz w:val="21"/>
                <w:szCs w:val="21"/>
              </w:rPr>
              <w:t>园</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PPP</w:t>
            </w:r>
          </w:p>
          <w:p>
            <w:pPr>
              <w:pStyle w:val="TableParagraph"/>
              <w:spacing w:line="272" w:lineRule="exact" w:before="11"/>
              <w:ind w:left="103" w:right="240"/>
              <w:jc w:val="both"/>
              <w:rPr>
                <w:rFonts w:ascii="宋体" w:hAnsi="宋体" w:cs="宋体" w:eastAsia="宋体" w:hint="default"/>
                <w:sz w:val="21"/>
                <w:szCs w:val="21"/>
              </w:rPr>
            </w:pPr>
            <w:r>
              <w:rPr>
                <w:rFonts w:ascii="宋体" w:hAnsi="宋体" w:cs="宋体" w:eastAsia="宋体" w:hint="default"/>
                <w:sz w:val="21"/>
                <w:szCs w:val="21"/>
              </w:rPr>
              <w:t>建设合</w:t>
            </w:r>
            <w:r>
              <w:rPr>
                <w:rFonts w:ascii="宋体" w:hAnsi="宋体" w:cs="宋体" w:eastAsia="宋体" w:hint="default"/>
                <w:spacing w:val="-102"/>
                <w:sz w:val="21"/>
                <w:szCs w:val="21"/>
              </w:rPr>
              <w:t> </w:t>
            </w:r>
            <w:r>
              <w:rPr>
                <w:rFonts w:ascii="宋体" w:hAnsi="宋体" w:cs="宋体" w:eastAsia="宋体" w:hint="default"/>
                <w:sz w:val="21"/>
                <w:szCs w:val="21"/>
              </w:rPr>
              <w:t>同</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9"/>
              <w:ind w:left="103" w:right="221"/>
              <w:jc w:val="both"/>
              <w:rPr>
                <w:rFonts w:ascii="宋体" w:hAnsi="宋体" w:cs="宋体" w:eastAsia="宋体" w:hint="default"/>
                <w:sz w:val="21"/>
                <w:szCs w:val="21"/>
              </w:rPr>
            </w:pPr>
            <w:r>
              <w:rPr>
                <w:rFonts w:ascii="宋体" w:hAnsi="宋体" w:cs="宋体" w:eastAsia="宋体" w:hint="default"/>
                <w:sz w:val="21"/>
                <w:szCs w:val="21"/>
              </w:rPr>
              <w:t>华容</w:t>
            </w:r>
            <w:r>
              <w:rPr>
                <w:rFonts w:ascii="宋体" w:hAnsi="宋体" w:cs="宋体" w:eastAsia="宋体" w:hint="default"/>
                <w:spacing w:val="-103"/>
                <w:sz w:val="21"/>
                <w:szCs w:val="21"/>
              </w:rPr>
              <w:t> </w:t>
            </w:r>
            <w:r>
              <w:rPr>
                <w:rFonts w:ascii="宋体" w:hAnsi="宋体" w:cs="宋体" w:eastAsia="宋体" w:hint="default"/>
                <w:sz w:val="21"/>
                <w:szCs w:val="21"/>
              </w:rPr>
              <w:t>县海</w:t>
            </w:r>
            <w:r>
              <w:rPr>
                <w:rFonts w:ascii="宋体" w:hAnsi="宋体" w:cs="宋体" w:eastAsia="宋体" w:hint="default"/>
                <w:spacing w:val="-103"/>
                <w:sz w:val="21"/>
                <w:szCs w:val="21"/>
              </w:rPr>
              <w:t> </w:t>
            </w:r>
            <w:r>
              <w:rPr>
                <w:rFonts w:ascii="宋体" w:hAnsi="宋体" w:cs="宋体" w:eastAsia="宋体" w:hint="default"/>
                <w:sz w:val="21"/>
                <w:szCs w:val="21"/>
              </w:rPr>
              <w:t>源建</w:t>
            </w:r>
            <w:r>
              <w:rPr>
                <w:rFonts w:ascii="宋体" w:hAnsi="宋体" w:cs="宋体" w:eastAsia="宋体" w:hint="default"/>
                <w:spacing w:val="-103"/>
                <w:sz w:val="21"/>
                <w:szCs w:val="21"/>
              </w:rPr>
              <w:t> </w:t>
            </w:r>
            <w:r>
              <w:rPr>
                <w:rFonts w:ascii="宋体" w:hAnsi="宋体" w:cs="宋体" w:eastAsia="宋体" w:hint="default"/>
                <w:sz w:val="21"/>
                <w:szCs w:val="21"/>
              </w:rPr>
              <w:t>设投</w:t>
            </w:r>
            <w:r>
              <w:rPr>
                <w:rFonts w:ascii="宋体" w:hAnsi="宋体" w:cs="宋体" w:eastAsia="宋体" w:hint="default"/>
                <w:spacing w:val="-103"/>
                <w:sz w:val="21"/>
                <w:szCs w:val="21"/>
              </w:rPr>
              <w:t> </w:t>
            </w:r>
            <w:r>
              <w:rPr>
                <w:rFonts w:ascii="宋体" w:hAnsi="宋体" w:cs="宋体" w:eastAsia="宋体" w:hint="default"/>
                <w:sz w:val="21"/>
                <w:szCs w:val="21"/>
              </w:rPr>
              <w:t>资有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5" w:lineRule="auto"/>
              <w:ind w:left="100" w:right="98"/>
              <w:jc w:val="left"/>
              <w:rPr>
                <w:rFonts w:ascii="宋体" w:hAnsi="宋体" w:cs="宋体" w:eastAsia="宋体" w:hint="default"/>
                <w:sz w:val="21"/>
                <w:szCs w:val="21"/>
              </w:rPr>
            </w:pPr>
            <w:r>
              <w:rPr>
                <w:rFonts w:ascii="宋体" w:hAnsi="宋体" w:cs="宋体" w:eastAsia="宋体" w:hint="default"/>
                <w:sz w:val="21"/>
                <w:szCs w:val="21"/>
              </w:rPr>
              <w:t>与华容县海源建设投资有限公司通过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PPP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pacing w:val="-3"/>
                <w:sz w:val="21"/>
                <w:szCs w:val="21"/>
              </w:rPr>
              <w:t>作模式，双方出资成立项目公司负责项目的建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设、运营，以华容工业集中区智慧创新产业园</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建设为载体，建设两个基础支撑平台（数据共</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享交换平台、物联网平台），四个综合应用系</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统（招商引资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一张图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应用系统、地下综合管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线管理系统、智能安防系统、视频监控管理系</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统）。</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right="401"/>
              <w:jc w:val="right"/>
              <w:rPr>
                <w:rFonts w:ascii="Times New Roman" w:hAnsi="Times New Roman" w:cs="Times New Roman" w:eastAsia="Times New Roman" w:hint="default"/>
                <w:sz w:val="21"/>
                <w:szCs w:val="21"/>
              </w:rPr>
            </w:pPr>
            <w:r>
              <w:rPr>
                <w:rFonts w:ascii="Times New Roman"/>
                <w:sz w:val="21"/>
              </w:rPr>
              <w:t>37,200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2015/4/29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5" w:lineRule="auto"/>
              <w:ind w:left="103" w:right="98"/>
              <w:jc w:val="left"/>
              <w:rPr>
                <w:rFonts w:ascii="宋体" w:hAnsi="宋体" w:cs="宋体" w:eastAsia="宋体" w:hint="default"/>
                <w:sz w:val="21"/>
                <w:szCs w:val="21"/>
              </w:rPr>
            </w:pPr>
            <w:r>
              <w:rPr>
                <w:rFonts w:ascii="宋体" w:hAnsi="宋体" w:cs="宋体" w:eastAsia="宋体" w:hint="default"/>
                <w:sz w:val="21"/>
                <w:szCs w:val="21"/>
              </w:rPr>
              <w:t>完成了项目公司注</w:t>
            </w:r>
            <w:r>
              <w:rPr>
                <w:rFonts w:ascii="宋体" w:hAnsi="宋体" w:cs="宋体" w:eastAsia="宋体" w:hint="default"/>
                <w:w w:val="100"/>
                <w:sz w:val="21"/>
                <w:szCs w:val="21"/>
              </w:rPr>
              <w:t> </w:t>
            </w:r>
            <w:r>
              <w:rPr>
                <w:rFonts w:ascii="宋体" w:hAnsi="宋体" w:cs="宋体" w:eastAsia="宋体" w:hint="default"/>
                <w:sz w:val="21"/>
                <w:szCs w:val="21"/>
              </w:rPr>
              <w:t>册、深度可研编制、</w:t>
            </w:r>
            <w:r>
              <w:rPr>
                <w:rFonts w:ascii="宋体" w:hAnsi="宋体" w:cs="宋体" w:eastAsia="宋体" w:hint="default"/>
                <w:w w:val="100"/>
                <w:sz w:val="21"/>
                <w:szCs w:val="21"/>
              </w:rPr>
              <w:t> </w:t>
            </w:r>
            <w:r>
              <w:rPr>
                <w:rFonts w:ascii="宋体" w:hAnsi="宋体" w:cs="宋体" w:eastAsia="宋体" w:hint="default"/>
                <w:sz w:val="21"/>
                <w:szCs w:val="21"/>
              </w:rPr>
              <w:t>项目用地的平整、项</w:t>
            </w:r>
            <w:r>
              <w:rPr>
                <w:rFonts w:ascii="宋体" w:hAnsi="宋体" w:cs="宋体" w:eastAsia="宋体" w:hint="default"/>
                <w:w w:val="100"/>
                <w:sz w:val="21"/>
                <w:szCs w:val="21"/>
              </w:rPr>
              <w:t> </w:t>
            </w:r>
            <w:r>
              <w:rPr>
                <w:rFonts w:ascii="宋体" w:hAnsi="宋体" w:cs="宋体" w:eastAsia="宋体" w:hint="default"/>
                <w:sz w:val="21"/>
                <w:szCs w:val="21"/>
              </w:rPr>
              <w:t>目实施基础条件具</w:t>
            </w:r>
            <w:r>
              <w:rPr>
                <w:rFonts w:ascii="宋体" w:hAnsi="宋体" w:cs="宋体" w:eastAsia="宋体" w:hint="default"/>
                <w:w w:val="100"/>
                <w:sz w:val="21"/>
                <w:szCs w:val="21"/>
              </w:rPr>
              <w:t> </w:t>
            </w:r>
            <w:r>
              <w:rPr>
                <w:rFonts w:ascii="宋体" w:hAnsi="宋体" w:cs="宋体" w:eastAsia="宋体" w:hint="default"/>
                <w:spacing w:val="-5"/>
                <w:sz w:val="21"/>
                <w:szCs w:val="21"/>
              </w:rPr>
              <w:t>备。因受</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年非公</w:t>
            </w:r>
            <w:r>
              <w:rPr>
                <w:rFonts w:ascii="宋体" w:hAnsi="宋体" w:cs="宋体" w:eastAsia="宋体" w:hint="default"/>
                <w:w w:val="100"/>
                <w:sz w:val="21"/>
                <w:szCs w:val="21"/>
              </w:rPr>
              <w:t> </w:t>
            </w:r>
            <w:r>
              <w:rPr>
                <w:rFonts w:ascii="宋体" w:hAnsi="宋体" w:cs="宋体" w:eastAsia="宋体" w:hint="default"/>
                <w:sz w:val="21"/>
                <w:szCs w:val="21"/>
              </w:rPr>
              <w:t>开发行股票的申请未</w:t>
            </w:r>
            <w:r>
              <w:rPr>
                <w:rFonts w:ascii="宋体" w:hAnsi="宋体" w:cs="宋体" w:eastAsia="宋体" w:hint="default"/>
                <w:w w:val="100"/>
                <w:sz w:val="21"/>
                <w:szCs w:val="21"/>
              </w:rPr>
              <w:t> </w:t>
            </w:r>
            <w:r>
              <w:rPr>
                <w:rFonts w:ascii="宋体" w:hAnsi="宋体" w:cs="宋体" w:eastAsia="宋体" w:hint="default"/>
                <w:sz w:val="21"/>
                <w:szCs w:val="21"/>
              </w:rPr>
              <w:t>获得审核通过较大影</w:t>
            </w:r>
            <w:r>
              <w:rPr>
                <w:rFonts w:ascii="宋体" w:hAnsi="宋体" w:cs="宋体" w:eastAsia="宋体" w:hint="default"/>
                <w:w w:val="100"/>
                <w:sz w:val="21"/>
                <w:szCs w:val="21"/>
              </w:rPr>
              <w:t> </w:t>
            </w:r>
            <w:r>
              <w:rPr>
                <w:rFonts w:ascii="宋体" w:hAnsi="宋体" w:cs="宋体" w:eastAsia="宋体" w:hint="default"/>
                <w:sz w:val="21"/>
                <w:szCs w:val="21"/>
              </w:rPr>
              <w:t>响，推进缓慢。</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合同双方应按合同</w:t>
            </w:r>
          </w:p>
          <w:p>
            <w:pPr>
              <w:pStyle w:val="TableParagraph"/>
              <w:spacing w:line="237" w:lineRule="auto" w:before="1"/>
              <w:ind w:left="103" w:right="173"/>
              <w:jc w:val="both"/>
              <w:rPr>
                <w:rFonts w:ascii="宋体" w:hAnsi="宋体" w:cs="宋体" w:eastAsia="宋体" w:hint="default"/>
                <w:sz w:val="21"/>
                <w:szCs w:val="21"/>
              </w:rPr>
            </w:pPr>
            <w:r>
              <w:rPr>
                <w:rFonts w:ascii="宋体" w:hAnsi="宋体" w:cs="宋体" w:eastAsia="宋体" w:hint="default"/>
                <w:sz w:val="21"/>
                <w:szCs w:val="21"/>
              </w:rPr>
              <w:t>约定的期限向项目</w:t>
            </w:r>
            <w:r>
              <w:rPr>
                <w:rFonts w:ascii="宋体" w:hAnsi="宋体" w:cs="宋体" w:eastAsia="宋体" w:hint="default"/>
                <w:w w:val="100"/>
                <w:sz w:val="21"/>
                <w:szCs w:val="21"/>
              </w:rPr>
              <w:t> </w:t>
            </w:r>
            <w:r>
              <w:rPr>
                <w:rFonts w:ascii="宋体" w:hAnsi="宋体" w:cs="宋体" w:eastAsia="宋体" w:hint="default"/>
                <w:sz w:val="21"/>
                <w:szCs w:val="21"/>
              </w:rPr>
              <w:t>公司缴付出资，公</w:t>
            </w:r>
            <w:r>
              <w:rPr>
                <w:rFonts w:ascii="宋体" w:hAnsi="宋体" w:cs="宋体" w:eastAsia="宋体" w:hint="default"/>
                <w:w w:val="100"/>
                <w:sz w:val="21"/>
                <w:szCs w:val="21"/>
              </w:rPr>
              <w:t> </w:t>
            </w:r>
            <w:r>
              <w:rPr>
                <w:rFonts w:ascii="宋体" w:hAnsi="宋体" w:cs="宋体" w:eastAsia="宋体" w:hint="default"/>
                <w:sz w:val="21"/>
                <w:szCs w:val="21"/>
              </w:rPr>
              <w:t>司原因导致未能按</w:t>
            </w:r>
            <w:r>
              <w:rPr>
                <w:rFonts w:ascii="宋体" w:hAnsi="宋体" w:cs="宋体" w:eastAsia="宋体" w:hint="default"/>
                <w:w w:val="100"/>
                <w:sz w:val="21"/>
                <w:szCs w:val="21"/>
              </w:rPr>
              <w:t> </w:t>
            </w:r>
            <w:r>
              <w:rPr>
                <w:rFonts w:ascii="宋体" w:hAnsi="宋体" w:cs="宋体" w:eastAsia="宋体" w:hint="default"/>
                <w:sz w:val="21"/>
                <w:szCs w:val="21"/>
              </w:rPr>
              <w:t>照约定的时间及条</w:t>
            </w:r>
            <w:r>
              <w:rPr>
                <w:rFonts w:ascii="宋体" w:hAnsi="宋体" w:cs="宋体" w:eastAsia="宋体" w:hint="default"/>
                <w:w w:val="100"/>
                <w:sz w:val="21"/>
                <w:szCs w:val="21"/>
              </w:rPr>
              <w:t> </w:t>
            </w:r>
            <w:r>
              <w:rPr>
                <w:rFonts w:ascii="宋体" w:hAnsi="宋体" w:cs="宋体" w:eastAsia="宋体" w:hint="default"/>
                <w:sz w:val="21"/>
                <w:szCs w:val="21"/>
              </w:rPr>
              <w:t>件出资的，由公司</w:t>
            </w:r>
            <w:r>
              <w:rPr>
                <w:rFonts w:ascii="宋体" w:hAnsi="宋体" w:cs="宋体" w:eastAsia="宋体" w:hint="default"/>
                <w:w w:val="100"/>
                <w:sz w:val="21"/>
                <w:szCs w:val="21"/>
              </w:rPr>
              <w:t> </w:t>
            </w:r>
            <w:r>
              <w:rPr>
                <w:rFonts w:ascii="宋体" w:hAnsi="宋体" w:cs="宋体" w:eastAsia="宋体" w:hint="default"/>
                <w:sz w:val="21"/>
                <w:szCs w:val="21"/>
              </w:rPr>
              <w:t>承担已按照约定时</w:t>
            </w:r>
            <w:r>
              <w:rPr>
                <w:rFonts w:ascii="宋体" w:hAnsi="宋体" w:cs="宋体" w:eastAsia="宋体" w:hint="default"/>
                <w:w w:val="100"/>
                <w:sz w:val="21"/>
                <w:szCs w:val="21"/>
              </w:rPr>
              <w:t> </w:t>
            </w:r>
            <w:r>
              <w:rPr>
                <w:rFonts w:ascii="宋体" w:hAnsi="宋体" w:cs="宋体" w:eastAsia="宋体" w:hint="default"/>
                <w:sz w:val="21"/>
                <w:szCs w:val="21"/>
              </w:rPr>
              <w:t>间及条件出资的甲</w:t>
            </w:r>
            <w:r>
              <w:rPr>
                <w:rFonts w:ascii="宋体" w:hAnsi="宋体" w:cs="宋体" w:eastAsia="宋体" w:hint="default"/>
                <w:w w:val="100"/>
                <w:sz w:val="21"/>
                <w:szCs w:val="21"/>
              </w:rPr>
              <w:t> </w:t>
            </w:r>
            <w:r>
              <w:rPr>
                <w:rFonts w:ascii="宋体" w:hAnsi="宋体" w:cs="宋体" w:eastAsia="宋体" w:hint="default"/>
                <w:sz w:val="21"/>
                <w:szCs w:val="21"/>
              </w:rPr>
              <w:t>方产生的具体损失</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（如有）。</w:t>
            </w:r>
          </w:p>
        </w:tc>
      </w:tr>
      <w:tr>
        <w:trPr>
          <w:trHeight w:val="1647"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40"/>
              <w:jc w:val="both"/>
              <w:rPr>
                <w:rFonts w:ascii="宋体" w:hAnsi="宋体" w:cs="宋体" w:eastAsia="宋体" w:hint="default"/>
                <w:sz w:val="21"/>
                <w:szCs w:val="21"/>
              </w:rPr>
            </w:pPr>
            <w:r>
              <w:rPr>
                <w:rFonts w:ascii="宋体" w:hAnsi="宋体" w:cs="宋体" w:eastAsia="宋体" w:hint="default"/>
                <w:sz w:val="21"/>
                <w:szCs w:val="21"/>
              </w:rPr>
              <w:t>沈阳市</w:t>
            </w:r>
            <w:r>
              <w:rPr>
                <w:rFonts w:ascii="宋体" w:hAnsi="宋体" w:cs="宋体" w:eastAsia="宋体" w:hint="default"/>
                <w:spacing w:val="-102"/>
                <w:sz w:val="21"/>
                <w:szCs w:val="21"/>
              </w:rPr>
              <w:t> </w:t>
            </w:r>
            <w:r>
              <w:rPr>
                <w:rFonts w:ascii="宋体" w:hAnsi="宋体" w:cs="宋体" w:eastAsia="宋体" w:hint="default"/>
                <w:sz w:val="21"/>
                <w:szCs w:val="21"/>
              </w:rPr>
              <w:t>智慧沈</w:t>
            </w:r>
            <w:r>
              <w:rPr>
                <w:rFonts w:ascii="宋体" w:hAnsi="宋体" w:cs="宋体" w:eastAsia="宋体" w:hint="default"/>
                <w:spacing w:val="-102"/>
                <w:sz w:val="21"/>
                <w:szCs w:val="21"/>
              </w:rPr>
              <w:t> </w:t>
            </w:r>
            <w:r>
              <w:rPr>
                <w:rFonts w:ascii="宋体" w:hAnsi="宋体" w:cs="宋体" w:eastAsia="宋体" w:hint="default"/>
                <w:sz w:val="21"/>
                <w:szCs w:val="21"/>
              </w:rPr>
              <w:t>北项目</w:t>
            </w:r>
            <w:r>
              <w:rPr>
                <w:rFonts w:ascii="宋体" w:hAnsi="宋体" w:cs="宋体" w:eastAsia="宋体" w:hint="default"/>
                <w:spacing w:val="-102"/>
                <w:sz w:val="21"/>
                <w:szCs w:val="21"/>
              </w:rPr>
              <w:t> </w:t>
            </w:r>
            <w:r>
              <w:rPr>
                <w:rFonts w:ascii="宋体" w:hAnsi="宋体" w:cs="宋体" w:eastAsia="宋体" w:hint="default"/>
                <w:sz w:val="21"/>
                <w:szCs w:val="21"/>
              </w:rPr>
              <w:t>共建合</w:t>
            </w:r>
            <w:r>
              <w:rPr>
                <w:rFonts w:ascii="宋体" w:hAnsi="宋体" w:cs="宋体" w:eastAsia="宋体" w:hint="default"/>
                <w:spacing w:val="-102"/>
                <w:sz w:val="21"/>
                <w:szCs w:val="21"/>
              </w:rPr>
              <w:t> </w:t>
            </w:r>
            <w:r>
              <w:rPr>
                <w:rFonts w:ascii="宋体" w:hAnsi="宋体" w:cs="宋体" w:eastAsia="宋体" w:hint="default"/>
                <w:sz w:val="21"/>
                <w:szCs w:val="21"/>
              </w:rPr>
              <w:t>同</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辽宁</w:t>
            </w:r>
          </w:p>
          <w:p>
            <w:pPr>
              <w:pStyle w:val="TableParagraph"/>
              <w:spacing w:line="237" w:lineRule="auto" w:before="2"/>
              <w:ind w:left="103" w:right="221"/>
              <w:jc w:val="both"/>
              <w:rPr>
                <w:rFonts w:ascii="宋体" w:hAnsi="宋体" w:cs="宋体" w:eastAsia="宋体" w:hint="default"/>
                <w:sz w:val="21"/>
                <w:szCs w:val="21"/>
              </w:rPr>
            </w:pPr>
            <w:r>
              <w:rPr>
                <w:rFonts w:ascii="宋体" w:hAnsi="宋体" w:cs="宋体" w:eastAsia="宋体" w:hint="default"/>
                <w:sz w:val="21"/>
                <w:szCs w:val="21"/>
              </w:rPr>
              <w:t>现代</w:t>
            </w:r>
            <w:r>
              <w:rPr>
                <w:rFonts w:ascii="宋体" w:hAnsi="宋体" w:cs="宋体" w:eastAsia="宋体" w:hint="default"/>
                <w:spacing w:val="-103"/>
                <w:sz w:val="21"/>
                <w:szCs w:val="21"/>
              </w:rPr>
              <w:t> </w:t>
            </w:r>
            <w:r>
              <w:rPr>
                <w:rFonts w:ascii="宋体" w:hAnsi="宋体" w:cs="宋体" w:eastAsia="宋体" w:hint="default"/>
                <w:sz w:val="21"/>
                <w:szCs w:val="21"/>
              </w:rPr>
              <w:t>通信</w:t>
            </w:r>
            <w:r>
              <w:rPr>
                <w:rFonts w:ascii="宋体" w:hAnsi="宋体" w:cs="宋体" w:eastAsia="宋体" w:hint="default"/>
                <w:spacing w:val="-103"/>
                <w:sz w:val="21"/>
                <w:szCs w:val="21"/>
              </w:rPr>
              <w:t> </w:t>
            </w:r>
            <w:r>
              <w:rPr>
                <w:rFonts w:ascii="宋体" w:hAnsi="宋体" w:cs="宋体" w:eastAsia="宋体" w:hint="default"/>
                <w:sz w:val="21"/>
                <w:szCs w:val="21"/>
              </w:rPr>
              <w:t>产业</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发展</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13"/>
              <w:ind w:left="100" w:right="98"/>
              <w:jc w:val="left"/>
              <w:rPr>
                <w:rFonts w:ascii="宋体" w:hAnsi="宋体" w:cs="宋体" w:eastAsia="宋体" w:hint="default"/>
                <w:sz w:val="21"/>
                <w:szCs w:val="21"/>
              </w:rPr>
            </w:pPr>
            <w:r>
              <w:rPr>
                <w:rFonts w:ascii="宋体" w:hAnsi="宋体" w:cs="宋体" w:eastAsia="宋体" w:hint="default"/>
                <w:sz w:val="21"/>
                <w:szCs w:val="21"/>
              </w:rPr>
              <w:t>与辽宁现代通讯产业投资发展有限公司通过</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PPP</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合作模式，双方出资成立项目公司负责项</w:t>
            </w:r>
            <w:r>
              <w:rPr>
                <w:rFonts w:ascii="宋体" w:hAnsi="宋体" w:cs="宋体" w:eastAsia="宋体" w:hint="default"/>
                <w:w w:val="100"/>
                <w:sz w:val="21"/>
                <w:szCs w:val="21"/>
              </w:rPr>
              <w:t> </w:t>
            </w:r>
            <w:r>
              <w:rPr>
                <w:rFonts w:ascii="宋体" w:hAnsi="宋体" w:cs="宋体" w:eastAsia="宋体" w:hint="default"/>
                <w:spacing w:val="-3"/>
                <w:sz w:val="21"/>
                <w:szCs w:val="21"/>
              </w:rPr>
              <w:t>目的建设、运营，在沈北区划定区域内建设智</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慧城市系统，具体内容包含顶层设计、</w:t>
            </w:r>
            <w:r>
              <w:rPr>
                <w:rFonts w:ascii="Times New Roman" w:hAnsi="Times New Roman" w:cs="Times New Roman" w:eastAsia="Times New Roman" w:hint="default"/>
                <w:sz w:val="21"/>
                <w:szCs w:val="21"/>
              </w:rPr>
              <w:t>ICT</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础设施、主体工程、共性平台与配套系统。</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348"/>
              <w:jc w:val="right"/>
              <w:rPr>
                <w:rFonts w:ascii="Times New Roman" w:hAnsi="Times New Roman" w:cs="Times New Roman" w:eastAsia="Times New Roman" w:hint="default"/>
                <w:sz w:val="21"/>
                <w:szCs w:val="21"/>
              </w:rPr>
            </w:pPr>
            <w:r>
              <w:rPr>
                <w:rFonts w:ascii="Times New Roman"/>
                <w:spacing w:val="-1"/>
                <w:sz w:val="21"/>
              </w:rPr>
              <w:t>150,000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2015/5/14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5"/>
              <w:jc w:val="left"/>
              <w:rPr>
                <w:rFonts w:ascii="宋体" w:hAnsi="宋体" w:cs="宋体" w:eastAsia="宋体" w:hint="default"/>
                <w:sz w:val="21"/>
                <w:szCs w:val="21"/>
              </w:rPr>
            </w:pPr>
            <w:r>
              <w:rPr>
                <w:rFonts w:ascii="宋体" w:hAnsi="宋体" w:cs="宋体" w:eastAsia="宋体" w:hint="default"/>
                <w:sz w:val="21"/>
                <w:szCs w:val="21"/>
              </w:rPr>
              <w:t>完成了</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PPP </w:t>
            </w:r>
            <w:r>
              <w:rPr>
                <w:rFonts w:ascii="宋体" w:hAnsi="宋体" w:cs="宋体" w:eastAsia="宋体" w:hint="default"/>
                <w:sz w:val="21"/>
                <w:szCs w:val="21"/>
              </w:rPr>
              <w:t>合资公司</w:t>
            </w:r>
          </w:p>
          <w:p>
            <w:pPr>
              <w:pStyle w:val="TableParagraph"/>
              <w:spacing w:line="235"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注册、项目规划设计、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深度可研编制。因受</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年非公开发行股</w:t>
            </w:r>
            <w:r>
              <w:rPr>
                <w:rFonts w:ascii="宋体" w:hAnsi="宋体" w:cs="宋体" w:eastAsia="宋体" w:hint="default"/>
                <w:w w:val="100"/>
                <w:sz w:val="21"/>
                <w:szCs w:val="21"/>
              </w:rPr>
              <w:t> </w:t>
            </w:r>
            <w:r>
              <w:rPr>
                <w:rFonts w:ascii="宋体" w:hAnsi="宋体" w:cs="宋体" w:eastAsia="宋体" w:hint="default"/>
                <w:sz w:val="21"/>
                <w:szCs w:val="21"/>
              </w:rPr>
              <w:t>票的申请未获得审核</w:t>
            </w:r>
            <w:r>
              <w:rPr>
                <w:rFonts w:ascii="宋体" w:hAnsi="宋体" w:cs="宋体" w:eastAsia="宋体" w:hint="default"/>
                <w:w w:val="100"/>
                <w:sz w:val="21"/>
                <w:szCs w:val="21"/>
              </w:rPr>
              <w:t> </w:t>
            </w:r>
            <w:r>
              <w:rPr>
                <w:rFonts w:ascii="宋体" w:hAnsi="宋体" w:cs="宋体" w:eastAsia="宋体" w:hint="default"/>
                <w:sz w:val="21"/>
                <w:szCs w:val="21"/>
              </w:rPr>
              <w:t>通过较大影响，推进</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387" w:type="dxa"/>
        <w:tblLayout w:type="fixed"/>
        <w:tblCellMar>
          <w:top w:w="0" w:type="dxa"/>
          <w:left w:w="0" w:type="dxa"/>
          <w:bottom w:w="0" w:type="dxa"/>
          <w:right w:w="0" w:type="dxa"/>
        </w:tblCellMar>
        <w:tblLook w:val="01E0"/>
      </w:tblPr>
      <w:tblGrid>
        <w:gridCol w:w="989"/>
        <w:gridCol w:w="758"/>
        <w:gridCol w:w="4390"/>
        <w:gridCol w:w="1400"/>
        <w:gridCol w:w="1663"/>
        <w:gridCol w:w="2199"/>
        <w:gridCol w:w="1971"/>
      </w:tblGrid>
      <w:tr>
        <w:trPr>
          <w:trHeight w:val="554" w:hRule="exact"/>
        </w:trPr>
        <w:tc>
          <w:tcPr>
            <w:tcW w:w="989"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278"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78"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758"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客户</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390"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主要内容</w:t>
            </w:r>
          </w:p>
        </w:tc>
        <w:tc>
          <w:tcPr>
            <w:tcW w:w="1400"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663"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签订日期</w:t>
            </w:r>
          </w:p>
        </w:tc>
        <w:tc>
          <w:tcPr>
            <w:tcW w:w="2199"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569" w:right="0"/>
              <w:jc w:val="left"/>
              <w:rPr>
                <w:rFonts w:ascii="宋体" w:hAnsi="宋体" w:cs="宋体" w:eastAsia="宋体" w:hint="default"/>
                <w:sz w:val="21"/>
                <w:szCs w:val="21"/>
              </w:rPr>
            </w:pPr>
            <w:r>
              <w:rPr>
                <w:rFonts w:ascii="宋体" w:hAnsi="宋体" w:cs="宋体" w:eastAsia="宋体" w:hint="default"/>
                <w:sz w:val="21"/>
                <w:szCs w:val="21"/>
              </w:rPr>
              <w:t>目前的执行</w:t>
            </w:r>
          </w:p>
          <w:p>
            <w:pPr>
              <w:pStyle w:val="TableParagraph"/>
              <w:spacing w:line="273" w:lineRule="exact"/>
              <w:ind w:left="569" w:right="0"/>
              <w:jc w:val="left"/>
              <w:rPr>
                <w:rFonts w:ascii="宋体" w:hAnsi="宋体" w:cs="宋体" w:eastAsia="宋体" w:hint="default"/>
                <w:sz w:val="21"/>
                <w:szCs w:val="21"/>
              </w:rPr>
            </w:pPr>
            <w:r>
              <w:rPr>
                <w:rFonts w:ascii="宋体" w:hAnsi="宋体" w:cs="宋体" w:eastAsia="宋体" w:hint="default"/>
                <w:sz w:val="21"/>
                <w:szCs w:val="21"/>
              </w:rPr>
              <w:t>及落地情况</w:t>
            </w:r>
          </w:p>
        </w:tc>
        <w:tc>
          <w:tcPr>
            <w:tcW w:w="1971"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102"/>
              <w:ind w:left="559" w:right="0"/>
              <w:jc w:val="left"/>
              <w:rPr>
                <w:rFonts w:ascii="宋体" w:hAnsi="宋体" w:cs="宋体" w:eastAsia="宋体" w:hint="default"/>
                <w:sz w:val="21"/>
                <w:szCs w:val="21"/>
              </w:rPr>
            </w:pPr>
            <w:r>
              <w:rPr>
                <w:rFonts w:ascii="宋体" w:hAnsi="宋体" w:cs="宋体" w:eastAsia="宋体" w:hint="default"/>
                <w:sz w:val="21"/>
                <w:szCs w:val="21"/>
              </w:rPr>
              <w:t>违约责任</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439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缓慢。</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27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37" w:lineRule="auto"/>
              <w:ind w:left="103" w:right="240"/>
              <w:jc w:val="both"/>
              <w:rPr>
                <w:rFonts w:ascii="Times New Roman" w:hAnsi="Times New Roman" w:cs="Times New Roman" w:eastAsia="Times New Roman" w:hint="default"/>
                <w:sz w:val="21"/>
                <w:szCs w:val="21"/>
              </w:rPr>
            </w:pPr>
            <w:r>
              <w:rPr>
                <w:rFonts w:ascii="宋体" w:hAnsi="宋体" w:cs="宋体" w:eastAsia="宋体" w:hint="default"/>
                <w:sz w:val="21"/>
                <w:szCs w:val="21"/>
              </w:rPr>
              <w:t>靖江市</w:t>
            </w:r>
            <w:r>
              <w:rPr>
                <w:rFonts w:ascii="宋体" w:hAnsi="宋体" w:cs="宋体" w:eastAsia="宋体" w:hint="default"/>
                <w:spacing w:val="-102"/>
                <w:sz w:val="21"/>
                <w:szCs w:val="21"/>
              </w:rPr>
              <w:t> </w:t>
            </w:r>
            <w:r>
              <w:rPr>
                <w:rFonts w:ascii="宋体" w:hAnsi="宋体" w:cs="宋体" w:eastAsia="宋体" w:hint="default"/>
                <w:sz w:val="21"/>
                <w:szCs w:val="21"/>
              </w:rPr>
              <w:t>智慧新</w:t>
            </w:r>
            <w:r>
              <w:rPr>
                <w:rFonts w:ascii="宋体" w:hAnsi="宋体" w:cs="宋体" w:eastAsia="宋体" w:hint="default"/>
                <w:spacing w:val="-102"/>
                <w:sz w:val="21"/>
                <w:szCs w:val="21"/>
              </w:rPr>
              <w:t> </w:t>
            </w:r>
            <w:r>
              <w:rPr>
                <w:rFonts w:ascii="宋体" w:hAnsi="宋体" w:cs="宋体" w:eastAsia="宋体" w:hint="default"/>
                <w:sz w:val="21"/>
                <w:szCs w:val="21"/>
              </w:rPr>
              <w:t>港城项</w:t>
            </w:r>
            <w:r>
              <w:rPr>
                <w:rFonts w:ascii="宋体" w:hAnsi="宋体" w:cs="宋体" w:eastAsia="宋体" w:hint="default"/>
                <w:spacing w:val="-102"/>
                <w:sz w:val="21"/>
                <w:szCs w:val="21"/>
              </w:rPr>
              <w:t> </w:t>
            </w:r>
            <w:r>
              <w:rPr>
                <w:rFonts w:ascii="宋体" w:hAnsi="宋体" w:cs="宋体" w:eastAsia="宋体" w:hint="default"/>
                <w:sz w:val="21"/>
                <w:szCs w:val="21"/>
              </w:rPr>
              <w:t>目</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PPP</w:t>
            </w:r>
          </w:p>
          <w:p>
            <w:pPr>
              <w:pStyle w:val="TableParagraph"/>
              <w:spacing w:line="274" w:lineRule="exact" w:before="7"/>
              <w:ind w:left="103" w:right="240"/>
              <w:jc w:val="both"/>
              <w:rPr>
                <w:rFonts w:ascii="宋体" w:hAnsi="宋体" w:cs="宋体" w:eastAsia="宋体" w:hint="default"/>
                <w:sz w:val="21"/>
                <w:szCs w:val="21"/>
              </w:rPr>
            </w:pPr>
            <w:r>
              <w:rPr>
                <w:rFonts w:ascii="宋体" w:hAnsi="宋体" w:cs="宋体" w:eastAsia="宋体" w:hint="default"/>
                <w:sz w:val="21"/>
                <w:szCs w:val="21"/>
              </w:rPr>
              <w:t>共建合</w:t>
            </w:r>
            <w:r>
              <w:rPr>
                <w:rFonts w:ascii="宋体" w:hAnsi="宋体" w:cs="宋体" w:eastAsia="宋体" w:hint="default"/>
                <w:spacing w:val="-102"/>
                <w:sz w:val="21"/>
                <w:szCs w:val="21"/>
              </w:rPr>
              <w:t> </w:t>
            </w:r>
            <w:r>
              <w:rPr>
                <w:rFonts w:ascii="宋体" w:hAnsi="宋体" w:cs="宋体" w:eastAsia="宋体" w:hint="default"/>
                <w:sz w:val="21"/>
                <w:szCs w:val="21"/>
              </w:rPr>
              <w:t>同</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37" w:lineRule="auto"/>
              <w:ind w:left="103" w:right="221"/>
              <w:jc w:val="both"/>
              <w:rPr>
                <w:rFonts w:ascii="宋体" w:hAnsi="宋体" w:cs="宋体" w:eastAsia="宋体" w:hint="default"/>
                <w:sz w:val="21"/>
                <w:szCs w:val="21"/>
              </w:rPr>
            </w:pPr>
            <w:r>
              <w:rPr>
                <w:rFonts w:ascii="宋体" w:hAnsi="宋体" w:cs="宋体" w:eastAsia="宋体" w:hint="default"/>
                <w:sz w:val="21"/>
                <w:szCs w:val="21"/>
              </w:rPr>
              <w:t>靖江</w:t>
            </w:r>
            <w:r>
              <w:rPr>
                <w:rFonts w:ascii="宋体" w:hAnsi="宋体" w:cs="宋体" w:eastAsia="宋体" w:hint="default"/>
                <w:spacing w:val="-103"/>
                <w:sz w:val="21"/>
                <w:szCs w:val="21"/>
              </w:rPr>
              <w:t> </w:t>
            </w:r>
            <w:r>
              <w:rPr>
                <w:rFonts w:ascii="宋体" w:hAnsi="宋体" w:cs="宋体" w:eastAsia="宋体" w:hint="default"/>
                <w:sz w:val="21"/>
                <w:szCs w:val="21"/>
              </w:rPr>
              <w:t>新港</w:t>
            </w:r>
            <w:r>
              <w:rPr>
                <w:rFonts w:ascii="宋体" w:hAnsi="宋体" w:cs="宋体" w:eastAsia="宋体" w:hint="default"/>
                <w:spacing w:val="-103"/>
                <w:sz w:val="21"/>
                <w:szCs w:val="21"/>
              </w:rPr>
              <w:t> </w:t>
            </w:r>
            <w:r>
              <w:rPr>
                <w:rFonts w:ascii="宋体" w:hAnsi="宋体" w:cs="宋体" w:eastAsia="宋体" w:hint="default"/>
                <w:sz w:val="21"/>
                <w:szCs w:val="21"/>
              </w:rPr>
              <w:t>城投</w:t>
            </w:r>
            <w:r>
              <w:rPr>
                <w:rFonts w:ascii="宋体" w:hAnsi="宋体" w:cs="宋体" w:eastAsia="宋体" w:hint="default"/>
                <w:spacing w:val="-103"/>
                <w:sz w:val="21"/>
                <w:szCs w:val="21"/>
              </w:rPr>
              <w:t> </w:t>
            </w:r>
            <w:r>
              <w:rPr>
                <w:rFonts w:ascii="宋体" w:hAnsi="宋体" w:cs="宋体" w:eastAsia="宋体" w:hint="default"/>
                <w:sz w:val="21"/>
                <w:szCs w:val="21"/>
              </w:rPr>
              <w:t>资建</w:t>
            </w:r>
            <w:r>
              <w:rPr>
                <w:rFonts w:ascii="宋体" w:hAnsi="宋体" w:cs="宋体" w:eastAsia="宋体" w:hint="default"/>
                <w:spacing w:val="-103"/>
                <w:sz w:val="21"/>
                <w:szCs w:val="21"/>
              </w:rPr>
              <w:t> </w:t>
            </w:r>
            <w:r>
              <w:rPr>
                <w:rFonts w:ascii="宋体" w:hAnsi="宋体" w:cs="宋体" w:eastAsia="宋体" w:hint="default"/>
                <w:sz w:val="21"/>
                <w:szCs w:val="21"/>
              </w:rPr>
              <w:t>设有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32" w:lineRule="auto"/>
              <w:ind w:left="100" w:right="98"/>
              <w:jc w:val="left"/>
              <w:rPr>
                <w:rFonts w:ascii="宋体" w:hAnsi="宋体" w:cs="宋体" w:eastAsia="宋体" w:hint="default"/>
                <w:sz w:val="21"/>
                <w:szCs w:val="21"/>
              </w:rPr>
            </w:pPr>
            <w:r>
              <w:rPr>
                <w:rFonts w:ascii="宋体" w:hAnsi="宋体" w:cs="宋体" w:eastAsia="宋体" w:hint="default"/>
                <w:sz w:val="21"/>
                <w:szCs w:val="21"/>
              </w:rPr>
              <w:t>与靖江新港城投资建设有限公司通过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PPP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pacing w:val="-3"/>
                <w:sz w:val="21"/>
                <w:szCs w:val="21"/>
              </w:rPr>
              <w:t>作模式，双方出资成立项目公司负责项目的建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设、运营，项目主要内容为靖江新港城内智慧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城市顶层设计、</w:t>
            </w:r>
            <w:r>
              <w:rPr>
                <w:rFonts w:ascii="Times New Roman" w:hAnsi="Times New Roman" w:cs="Times New Roman" w:eastAsia="Times New Roman" w:hint="default"/>
                <w:sz w:val="21"/>
                <w:szCs w:val="21"/>
              </w:rPr>
              <w:t>ICT</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基础设施、通信工程、智</w:t>
            </w:r>
            <w:r>
              <w:rPr>
                <w:rFonts w:ascii="宋体" w:hAnsi="宋体" w:cs="宋体" w:eastAsia="宋体" w:hint="default"/>
                <w:w w:val="100"/>
                <w:sz w:val="21"/>
                <w:szCs w:val="21"/>
              </w:rPr>
              <w:t> </w:t>
            </w:r>
            <w:r>
              <w:rPr>
                <w:rFonts w:ascii="宋体" w:hAnsi="宋体" w:cs="宋体" w:eastAsia="宋体" w:hint="default"/>
                <w:spacing w:val="-3"/>
                <w:sz w:val="21"/>
                <w:szCs w:val="21"/>
              </w:rPr>
              <w:t>慧交通系统、平安城市系统、主体工程、共性</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平台、城市智慧照明等智慧城市软硬件系统的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建设。</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401"/>
              <w:jc w:val="right"/>
              <w:rPr>
                <w:rFonts w:ascii="Times New Roman" w:hAnsi="Times New Roman" w:cs="Times New Roman" w:eastAsia="Times New Roman" w:hint="default"/>
                <w:sz w:val="21"/>
                <w:szCs w:val="21"/>
              </w:rPr>
            </w:pPr>
            <w:r>
              <w:rPr>
                <w:rFonts w:ascii="Times New Roman"/>
                <w:sz w:val="21"/>
              </w:rPr>
              <w:t>76,900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2015/8/19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PPP </w:t>
            </w:r>
            <w:r>
              <w:rPr>
                <w:rFonts w:ascii="宋体" w:hAnsi="宋体" w:cs="宋体" w:eastAsia="宋体" w:hint="default"/>
                <w:sz w:val="21"/>
                <w:szCs w:val="21"/>
              </w:rPr>
              <w:t>共建合同交</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付内容要求，</w:t>
            </w:r>
            <w:r>
              <w:rPr>
                <w:rFonts w:ascii="Times New Roman" w:hAnsi="Times New Roman" w:cs="Times New Roman" w:eastAsia="Times New Roman" w:hint="default"/>
                <w:sz w:val="21"/>
                <w:szCs w:val="21"/>
              </w:rPr>
              <w:t>15 </w:t>
            </w:r>
            <w:r>
              <w:rPr>
                <w:rFonts w:ascii="宋体" w:hAnsi="宋体" w:cs="宋体" w:eastAsia="宋体" w:hint="default"/>
                <w:spacing w:val="-3"/>
                <w:sz w:val="21"/>
                <w:szCs w:val="21"/>
              </w:rPr>
              <w:t>年年</w:t>
            </w:r>
            <w:r>
              <w:rPr>
                <w:rFonts w:ascii="宋体" w:hAnsi="宋体" w:cs="宋体" w:eastAsia="宋体" w:hint="default"/>
                <w:spacing w:val="-3"/>
                <w:w w:val="100"/>
                <w:sz w:val="21"/>
                <w:szCs w:val="21"/>
              </w:rPr>
              <w:t> </w:t>
            </w:r>
            <w:r>
              <w:rPr>
                <w:rFonts w:ascii="宋体" w:hAnsi="宋体" w:cs="宋体" w:eastAsia="宋体" w:hint="default"/>
                <w:sz w:val="21"/>
                <w:szCs w:val="21"/>
              </w:rPr>
              <w:t>底启动靖江智慧新港</w:t>
            </w:r>
            <w:r>
              <w:rPr>
                <w:rFonts w:ascii="宋体" w:hAnsi="宋体" w:cs="宋体" w:eastAsia="宋体" w:hint="default"/>
                <w:w w:val="100"/>
                <w:sz w:val="21"/>
                <w:szCs w:val="21"/>
              </w:rPr>
              <w:t> </w:t>
            </w:r>
            <w:r>
              <w:rPr>
                <w:rFonts w:ascii="宋体" w:hAnsi="宋体" w:cs="宋体" w:eastAsia="宋体" w:hint="default"/>
                <w:sz w:val="21"/>
                <w:szCs w:val="21"/>
              </w:rPr>
              <w:t>城一期顶层设计咨询</w:t>
            </w:r>
            <w:r>
              <w:rPr>
                <w:rFonts w:ascii="宋体" w:hAnsi="宋体" w:cs="宋体" w:eastAsia="宋体" w:hint="default"/>
                <w:w w:val="100"/>
                <w:sz w:val="21"/>
                <w:szCs w:val="21"/>
              </w:rPr>
              <w:t> </w:t>
            </w:r>
            <w:r>
              <w:rPr>
                <w:rFonts w:ascii="宋体" w:hAnsi="宋体" w:cs="宋体" w:eastAsia="宋体" w:hint="default"/>
                <w:sz w:val="21"/>
                <w:szCs w:val="21"/>
              </w:rPr>
              <w:t>服务的交付。目前按</w:t>
            </w:r>
            <w:r>
              <w:rPr>
                <w:rFonts w:ascii="宋体" w:hAnsi="宋体" w:cs="宋体" w:eastAsia="宋体" w:hint="default"/>
                <w:w w:val="100"/>
                <w:sz w:val="21"/>
                <w:szCs w:val="21"/>
              </w:rPr>
              <w:t> </w:t>
            </w:r>
            <w:r>
              <w:rPr>
                <w:rFonts w:ascii="宋体" w:hAnsi="宋体" w:cs="宋体" w:eastAsia="宋体" w:hint="default"/>
                <w:spacing w:val="-3"/>
                <w:sz w:val="21"/>
                <w:szCs w:val="21"/>
              </w:rPr>
              <w:t>照合同约定，在政府、</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企业、市民三大调研</w:t>
            </w:r>
            <w:r>
              <w:rPr>
                <w:rFonts w:ascii="宋体" w:hAnsi="宋体" w:cs="宋体" w:eastAsia="宋体" w:hint="default"/>
                <w:w w:val="100"/>
                <w:sz w:val="21"/>
                <w:szCs w:val="21"/>
              </w:rPr>
              <w:t> </w:t>
            </w:r>
            <w:r>
              <w:rPr>
                <w:rFonts w:ascii="宋体" w:hAnsi="宋体" w:cs="宋体" w:eastAsia="宋体" w:hint="default"/>
                <w:sz w:val="21"/>
                <w:szCs w:val="21"/>
              </w:rPr>
              <w:t>系统完成设计工作。</w:t>
            </w:r>
            <w:r>
              <w:rPr>
                <w:rFonts w:ascii="宋体" w:hAnsi="宋体" w:cs="宋体" w:eastAsia="宋体" w:hint="default"/>
                <w:w w:val="100"/>
                <w:sz w:val="21"/>
                <w:szCs w:val="21"/>
              </w:rPr>
              <w:t> </w:t>
            </w:r>
            <w:r>
              <w:rPr>
                <w:rFonts w:ascii="宋体" w:hAnsi="宋体" w:cs="宋体" w:eastAsia="宋体" w:hint="default"/>
                <w:sz w:val="21"/>
                <w:szCs w:val="21"/>
              </w:rPr>
              <w:t>并且已完成智慧新港</w:t>
            </w:r>
            <w:r>
              <w:rPr>
                <w:rFonts w:ascii="宋体" w:hAnsi="宋体" w:cs="宋体" w:eastAsia="宋体" w:hint="default"/>
                <w:w w:val="100"/>
                <w:sz w:val="21"/>
                <w:szCs w:val="21"/>
              </w:rPr>
              <w:t> </w:t>
            </w:r>
            <w:r>
              <w:rPr>
                <w:rFonts w:ascii="宋体" w:hAnsi="宋体" w:cs="宋体" w:eastAsia="宋体" w:hint="default"/>
                <w:sz w:val="21"/>
                <w:szCs w:val="21"/>
              </w:rPr>
              <w:t>城总体架构设计和重</w:t>
            </w:r>
            <w:r>
              <w:rPr>
                <w:rFonts w:ascii="宋体" w:hAnsi="宋体" w:cs="宋体" w:eastAsia="宋体" w:hint="default"/>
                <w:w w:val="100"/>
                <w:sz w:val="21"/>
                <w:szCs w:val="21"/>
              </w:rPr>
              <w:t> </w:t>
            </w:r>
            <w:r>
              <w:rPr>
                <w:rFonts w:ascii="宋体" w:hAnsi="宋体" w:cs="宋体" w:eastAsia="宋体" w:hint="default"/>
                <w:sz w:val="21"/>
                <w:szCs w:val="21"/>
              </w:rPr>
              <w:t>点实施项目规划和可</w:t>
            </w:r>
            <w:r>
              <w:rPr>
                <w:rFonts w:ascii="宋体" w:hAnsi="宋体" w:cs="宋体" w:eastAsia="宋体" w:hint="default"/>
                <w:w w:val="100"/>
                <w:sz w:val="21"/>
                <w:szCs w:val="21"/>
              </w:rPr>
              <w:t> </w:t>
            </w:r>
            <w:r>
              <w:rPr>
                <w:rFonts w:ascii="宋体" w:hAnsi="宋体" w:cs="宋体" w:eastAsia="宋体" w:hint="default"/>
                <w:sz w:val="21"/>
                <w:szCs w:val="21"/>
              </w:rPr>
              <w:t>研分析。</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034" w:hRule="exact"/>
        </w:trPr>
        <w:tc>
          <w:tcPr>
            <w:tcW w:w="989" w:type="dxa"/>
            <w:tcBorders>
              <w:top w:val="single" w:sz="4" w:space="0" w:color="000000"/>
              <w:left w:val="single" w:sz="4" w:space="0" w:color="000000"/>
              <w:bottom w:val="single" w:sz="4" w:space="0" w:color="000000"/>
              <w:right w:val="single" w:sz="4" w:space="0" w:color="000000"/>
            </w:tcBorders>
            <w:shd w:val="clear" w:color="auto" w:fill="ADAAAA"/>
          </w:tcPr>
          <w:p>
            <w:pPr/>
          </w:p>
        </w:tc>
        <w:tc>
          <w:tcPr>
            <w:tcW w:w="758"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合计</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390" w:type="dxa"/>
            <w:tcBorders>
              <w:top w:val="single" w:sz="4" w:space="0" w:color="000000"/>
              <w:left w:val="single" w:sz="4" w:space="0" w:color="000000"/>
              <w:bottom w:val="single" w:sz="4" w:space="0" w:color="000000"/>
              <w:right w:val="single" w:sz="4" w:space="0" w:color="000000"/>
            </w:tcBorders>
            <w:shd w:val="clear" w:color="auto" w:fill="ADAAAA"/>
          </w:tcPr>
          <w:p>
            <w:pPr/>
          </w:p>
        </w:tc>
        <w:tc>
          <w:tcPr>
            <w:tcW w:w="1400" w:type="dxa"/>
            <w:tcBorders>
              <w:top w:val="single" w:sz="4" w:space="0" w:color="000000"/>
              <w:left w:val="single" w:sz="4" w:space="0" w:color="000000"/>
              <w:bottom w:val="single" w:sz="4" w:space="0" w:color="000000"/>
              <w:right w:val="single" w:sz="4" w:space="0" w:color="000000"/>
            </w:tcBorders>
            <w:shd w:val="clear" w:color="auto" w:fill="ADAAAA"/>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348"/>
              <w:jc w:val="right"/>
              <w:rPr>
                <w:rFonts w:ascii="Times New Roman" w:hAnsi="Times New Roman" w:cs="Times New Roman" w:eastAsia="Times New Roman" w:hint="default"/>
                <w:sz w:val="21"/>
                <w:szCs w:val="21"/>
              </w:rPr>
            </w:pPr>
            <w:r>
              <w:rPr>
                <w:rFonts w:ascii="Times New Roman"/>
                <w:spacing w:val="-1"/>
                <w:sz w:val="21"/>
              </w:rPr>
              <w:t>408,569</w:t>
            </w:r>
          </w:p>
        </w:tc>
        <w:tc>
          <w:tcPr>
            <w:tcW w:w="1663" w:type="dxa"/>
            <w:tcBorders>
              <w:top w:val="single" w:sz="4" w:space="0" w:color="000000"/>
              <w:left w:val="single" w:sz="4" w:space="0" w:color="000000"/>
              <w:bottom w:val="single" w:sz="4" w:space="0" w:color="000000"/>
              <w:right w:val="single" w:sz="4" w:space="0" w:color="000000"/>
            </w:tcBorders>
            <w:shd w:val="clear" w:color="auto" w:fill="ADAAAA"/>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ADAAAA"/>
          </w:tcPr>
          <w:p>
            <w:pPr/>
          </w:p>
        </w:tc>
        <w:tc>
          <w:tcPr>
            <w:tcW w:w="1971" w:type="dxa"/>
            <w:tcBorders>
              <w:top w:val="single" w:sz="4" w:space="0" w:color="000000"/>
              <w:left w:val="single" w:sz="4" w:space="0" w:color="000000"/>
              <w:bottom w:val="single" w:sz="4" w:space="0" w:color="000000"/>
              <w:right w:val="single" w:sz="4" w:space="0" w:color="000000"/>
            </w:tcBorders>
            <w:shd w:val="clear" w:color="auto" w:fill="ADAAAA"/>
          </w:tcPr>
          <w:p>
            <w:pPr/>
          </w:p>
        </w:tc>
      </w:tr>
    </w:tbl>
    <w:p>
      <w:pPr>
        <w:pStyle w:val="Heading2"/>
        <w:spacing w:line="235" w:lineRule="exact"/>
        <w:ind w:right="0"/>
        <w:jc w:val="both"/>
        <w:rPr>
          <w:i w:val="0"/>
        </w:rPr>
      </w:pPr>
      <w:r>
        <w:rPr/>
        <w:t>注：</w:t>
      </w:r>
      <w:r>
        <w:rPr>
          <w:i w:val="0"/>
        </w:rPr>
      </w:r>
    </w:p>
    <w:p>
      <w:pPr>
        <w:spacing w:line="280" w:lineRule="exact" w:before="0"/>
        <w:ind w:left="140" w:right="0" w:firstLine="0"/>
        <w:jc w:val="both"/>
        <w:rPr>
          <w:rFonts w:ascii="宋体" w:hAnsi="宋体" w:cs="宋体" w:eastAsia="宋体" w:hint="default"/>
          <w:sz w:val="22"/>
          <w:szCs w:val="22"/>
        </w:rPr>
      </w:pPr>
      <w:r>
        <w:rPr>
          <w:rFonts w:ascii="Times New Roman" w:hAnsi="Times New Roman" w:cs="Times New Roman" w:eastAsia="Times New Roman" w:hint="default"/>
          <w:i/>
          <w:w w:val="95"/>
          <w:sz w:val="21"/>
          <w:szCs w:val="21"/>
        </w:rPr>
        <w:t>1.    </w:t>
      </w:r>
      <w:r>
        <w:rPr>
          <w:rFonts w:ascii="宋体" w:hAnsi="宋体" w:cs="宋体" w:eastAsia="宋体" w:hint="default"/>
          <w:i/>
          <w:spacing w:val="-3"/>
          <w:w w:val="95"/>
          <w:sz w:val="22"/>
          <w:szCs w:val="22"/>
        </w:rPr>
        <w:t>报告期内，智慧城市项目合同实现收入总计 </w:t>
      </w:r>
      <w:r>
        <w:rPr>
          <w:rFonts w:ascii="Times New Roman" w:hAnsi="Times New Roman" w:cs="Times New Roman" w:eastAsia="Times New Roman" w:hint="default"/>
          <w:i/>
          <w:w w:val="95"/>
          <w:sz w:val="21"/>
          <w:szCs w:val="21"/>
        </w:rPr>
        <w:t>12,726,572.65</w:t>
      </w:r>
      <w:r>
        <w:rPr>
          <w:rFonts w:ascii="Times New Roman" w:hAnsi="Times New Roman" w:cs="Times New Roman" w:eastAsia="Times New Roman" w:hint="default"/>
          <w:i/>
          <w:spacing w:val="2"/>
          <w:w w:val="95"/>
          <w:sz w:val="21"/>
          <w:szCs w:val="21"/>
        </w:rPr>
        <w:t> </w:t>
      </w:r>
      <w:r>
        <w:rPr>
          <w:rFonts w:ascii="宋体" w:hAnsi="宋体" w:cs="宋体" w:eastAsia="宋体" w:hint="default"/>
          <w:i/>
          <w:spacing w:val="-4"/>
          <w:w w:val="95"/>
          <w:sz w:val="22"/>
          <w:szCs w:val="22"/>
        </w:rPr>
        <w:t>元。</w:t>
      </w:r>
      <w:r>
        <w:rPr>
          <w:rFonts w:ascii="宋体" w:hAnsi="宋体" w:cs="宋体" w:eastAsia="宋体" w:hint="default"/>
          <w:sz w:val="22"/>
          <w:szCs w:val="22"/>
        </w:rPr>
      </w:r>
    </w:p>
    <w:p>
      <w:pPr>
        <w:spacing w:line="272" w:lineRule="exact" w:before="0"/>
        <w:ind w:left="140" w:right="0" w:firstLine="0"/>
        <w:jc w:val="both"/>
        <w:rPr>
          <w:rFonts w:ascii="宋体" w:hAnsi="宋体" w:cs="宋体" w:eastAsia="宋体" w:hint="default"/>
          <w:sz w:val="22"/>
          <w:szCs w:val="22"/>
        </w:rPr>
      </w:pPr>
      <w:r>
        <w:rPr>
          <w:rFonts w:ascii="Times New Roman" w:hAnsi="Times New Roman" w:cs="Times New Roman" w:eastAsia="Times New Roman" w:hint="default"/>
          <w:i/>
          <w:sz w:val="21"/>
          <w:szCs w:val="21"/>
        </w:rPr>
        <w:t>2.</w:t>
      </w:r>
      <w:r>
        <w:rPr>
          <w:rFonts w:ascii="Times New Roman" w:hAnsi="Times New Roman" w:cs="Times New Roman" w:eastAsia="Times New Roman" w:hint="default"/>
          <w:i/>
          <w:spacing w:val="8"/>
          <w:sz w:val="21"/>
          <w:szCs w:val="21"/>
        </w:rPr>
        <w:t> </w:t>
      </w:r>
      <w:r>
        <w:rPr>
          <w:rFonts w:ascii="宋体" w:hAnsi="宋体" w:cs="宋体" w:eastAsia="宋体" w:hint="default"/>
          <w:i/>
          <w:spacing w:val="-5"/>
          <w:sz w:val="22"/>
          <w:szCs w:val="22"/>
        </w:rPr>
        <w:t>根据西安市机关干部住宅智慧社区项目合同约定，</w:t>
      </w:r>
      <w:r>
        <w:rPr>
          <w:rFonts w:ascii="Times New Roman" w:hAnsi="Times New Roman" w:cs="Times New Roman" w:eastAsia="Times New Roman" w:hint="default"/>
          <w:i/>
          <w:spacing w:val="-5"/>
          <w:sz w:val="21"/>
          <w:szCs w:val="21"/>
        </w:rPr>
        <w:t>5000</w:t>
      </w:r>
      <w:r>
        <w:rPr>
          <w:rFonts w:ascii="Times New Roman" w:hAnsi="Times New Roman" w:cs="Times New Roman" w:eastAsia="Times New Roman" w:hint="default"/>
          <w:i/>
          <w:spacing w:val="-25"/>
          <w:sz w:val="21"/>
          <w:szCs w:val="21"/>
        </w:rPr>
        <w:t> </w:t>
      </w:r>
      <w:r>
        <w:rPr>
          <w:rFonts w:ascii="宋体" w:hAnsi="宋体" w:cs="宋体" w:eastAsia="宋体" w:hint="default"/>
          <w:i/>
          <w:spacing w:val="-7"/>
          <w:sz w:val="22"/>
          <w:szCs w:val="22"/>
        </w:rPr>
        <w:t>万元共建款分三期支付（</w:t>
      </w:r>
      <w:r>
        <w:rPr>
          <w:rFonts w:ascii="Times New Roman" w:hAnsi="Times New Roman" w:cs="Times New Roman" w:eastAsia="Times New Roman" w:hint="default"/>
          <w:i/>
          <w:spacing w:val="-7"/>
          <w:sz w:val="21"/>
          <w:szCs w:val="21"/>
        </w:rPr>
        <w:t>2015</w:t>
      </w:r>
      <w:r>
        <w:rPr>
          <w:rFonts w:ascii="Times New Roman" w:hAnsi="Times New Roman" w:cs="Times New Roman" w:eastAsia="Times New Roman" w:hint="default"/>
          <w:i/>
          <w:spacing w:val="-25"/>
          <w:sz w:val="21"/>
          <w:szCs w:val="21"/>
        </w:rPr>
        <w:t> </w:t>
      </w:r>
      <w:r>
        <w:rPr>
          <w:rFonts w:ascii="宋体" w:hAnsi="宋体" w:cs="宋体" w:eastAsia="宋体" w:hint="default"/>
          <w:i/>
          <w:sz w:val="22"/>
          <w:szCs w:val="22"/>
        </w:rPr>
        <w:t>年</w:t>
      </w:r>
      <w:r>
        <w:rPr>
          <w:rFonts w:ascii="宋体" w:hAnsi="宋体" w:cs="宋体" w:eastAsia="宋体" w:hint="default"/>
          <w:i/>
          <w:spacing w:val="-81"/>
          <w:sz w:val="22"/>
          <w:szCs w:val="22"/>
        </w:rPr>
        <w:t> </w:t>
      </w:r>
      <w:r>
        <w:rPr>
          <w:rFonts w:ascii="Times New Roman" w:hAnsi="Times New Roman" w:cs="Times New Roman" w:eastAsia="Times New Roman" w:hint="default"/>
          <w:i/>
          <w:sz w:val="21"/>
          <w:szCs w:val="21"/>
        </w:rPr>
        <w:t>5</w:t>
      </w:r>
      <w:r>
        <w:rPr>
          <w:rFonts w:ascii="Times New Roman" w:hAnsi="Times New Roman" w:cs="Times New Roman" w:eastAsia="Times New Roman" w:hint="default"/>
          <w:i/>
          <w:spacing w:val="-25"/>
          <w:sz w:val="21"/>
          <w:szCs w:val="21"/>
        </w:rPr>
        <w:t> </w:t>
      </w:r>
      <w:r>
        <w:rPr>
          <w:rFonts w:ascii="宋体" w:hAnsi="宋体" w:cs="宋体" w:eastAsia="宋体" w:hint="default"/>
          <w:i/>
          <w:sz w:val="22"/>
          <w:szCs w:val="22"/>
        </w:rPr>
        <w:t>月</w:t>
      </w:r>
      <w:r>
        <w:rPr>
          <w:rFonts w:ascii="宋体" w:hAnsi="宋体" w:cs="宋体" w:eastAsia="宋体" w:hint="default"/>
          <w:i/>
          <w:spacing w:val="-81"/>
          <w:sz w:val="22"/>
          <w:szCs w:val="22"/>
        </w:rPr>
        <w:t> </w:t>
      </w:r>
      <w:r>
        <w:rPr>
          <w:rFonts w:ascii="Times New Roman" w:hAnsi="Times New Roman" w:cs="Times New Roman" w:eastAsia="Times New Roman" w:hint="default"/>
          <w:i/>
          <w:sz w:val="21"/>
          <w:szCs w:val="21"/>
        </w:rPr>
        <w:t>10</w:t>
      </w:r>
      <w:r>
        <w:rPr>
          <w:rFonts w:ascii="Times New Roman" w:hAnsi="Times New Roman" w:cs="Times New Roman" w:eastAsia="Times New Roman" w:hint="default"/>
          <w:i/>
          <w:spacing w:val="-23"/>
          <w:sz w:val="21"/>
          <w:szCs w:val="21"/>
        </w:rPr>
        <w:t> </w:t>
      </w:r>
      <w:r>
        <w:rPr>
          <w:rFonts w:ascii="宋体" w:hAnsi="宋体" w:cs="宋体" w:eastAsia="宋体" w:hint="default"/>
          <w:i/>
          <w:sz w:val="22"/>
          <w:szCs w:val="22"/>
        </w:rPr>
        <w:t>日支付</w:t>
      </w:r>
      <w:r>
        <w:rPr>
          <w:rFonts w:ascii="宋体" w:hAnsi="宋体" w:cs="宋体" w:eastAsia="宋体" w:hint="default"/>
          <w:i/>
          <w:spacing w:val="-82"/>
          <w:sz w:val="22"/>
          <w:szCs w:val="22"/>
        </w:rPr>
        <w:t> </w:t>
      </w:r>
      <w:r>
        <w:rPr>
          <w:rFonts w:ascii="Times New Roman" w:hAnsi="Times New Roman" w:cs="Times New Roman" w:eastAsia="Times New Roman" w:hint="default"/>
          <w:i/>
          <w:sz w:val="21"/>
          <w:szCs w:val="21"/>
        </w:rPr>
        <w:t>1500</w:t>
      </w:r>
      <w:r>
        <w:rPr>
          <w:rFonts w:ascii="Times New Roman" w:hAnsi="Times New Roman" w:cs="Times New Roman" w:eastAsia="Times New Roman" w:hint="default"/>
          <w:i/>
          <w:spacing w:val="-24"/>
          <w:sz w:val="21"/>
          <w:szCs w:val="21"/>
        </w:rPr>
        <w:t> </w:t>
      </w:r>
      <w:r>
        <w:rPr>
          <w:rFonts w:ascii="宋体" w:hAnsi="宋体" w:cs="宋体" w:eastAsia="宋体" w:hint="default"/>
          <w:i/>
          <w:spacing w:val="-11"/>
          <w:sz w:val="22"/>
          <w:szCs w:val="22"/>
        </w:rPr>
        <w:t>万元；</w:t>
      </w:r>
      <w:r>
        <w:rPr>
          <w:rFonts w:ascii="Times New Roman" w:hAnsi="Times New Roman" w:cs="Times New Roman" w:eastAsia="Times New Roman" w:hint="default"/>
          <w:i/>
          <w:spacing w:val="-11"/>
          <w:sz w:val="21"/>
          <w:szCs w:val="21"/>
        </w:rPr>
        <w:t>2015</w:t>
      </w:r>
      <w:r>
        <w:rPr>
          <w:rFonts w:ascii="Times New Roman" w:hAnsi="Times New Roman" w:cs="Times New Roman" w:eastAsia="Times New Roman" w:hint="default"/>
          <w:i/>
          <w:spacing w:val="-25"/>
          <w:sz w:val="21"/>
          <w:szCs w:val="21"/>
        </w:rPr>
        <w:t> </w:t>
      </w:r>
      <w:r>
        <w:rPr>
          <w:rFonts w:ascii="宋体" w:hAnsi="宋体" w:cs="宋体" w:eastAsia="宋体" w:hint="default"/>
          <w:i/>
          <w:sz w:val="22"/>
          <w:szCs w:val="22"/>
        </w:rPr>
        <w:t>年</w:t>
      </w:r>
      <w:r>
        <w:rPr>
          <w:rFonts w:ascii="宋体" w:hAnsi="宋体" w:cs="宋体" w:eastAsia="宋体" w:hint="default"/>
          <w:i/>
          <w:spacing w:val="-81"/>
          <w:sz w:val="22"/>
          <w:szCs w:val="22"/>
        </w:rPr>
        <w:t> </w:t>
      </w:r>
      <w:r>
        <w:rPr>
          <w:rFonts w:ascii="Times New Roman" w:hAnsi="Times New Roman" w:cs="Times New Roman" w:eastAsia="Times New Roman" w:hint="default"/>
          <w:i/>
          <w:sz w:val="21"/>
          <w:szCs w:val="21"/>
        </w:rPr>
        <w:t>5</w:t>
      </w:r>
      <w:r>
        <w:rPr>
          <w:rFonts w:ascii="Times New Roman" w:hAnsi="Times New Roman" w:cs="Times New Roman" w:eastAsia="Times New Roman" w:hint="default"/>
          <w:i/>
          <w:spacing w:val="-25"/>
          <w:sz w:val="21"/>
          <w:szCs w:val="21"/>
        </w:rPr>
        <w:t> </w:t>
      </w:r>
      <w:r>
        <w:rPr>
          <w:rFonts w:ascii="宋体" w:hAnsi="宋体" w:cs="宋体" w:eastAsia="宋体" w:hint="default"/>
          <w:i/>
          <w:sz w:val="22"/>
          <w:szCs w:val="22"/>
        </w:rPr>
        <w:t>月</w:t>
      </w:r>
      <w:r>
        <w:rPr>
          <w:rFonts w:ascii="宋体" w:hAnsi="宋体" w:cs="宋体" w:eastAsia="宋体" w:hint="default"/>
          <w:i/>
          <w:spacing w:val="-81"/>
          <w:sz w:val="22"/>
          <w:szCs w:val="22"/>
        </w:rPr>
        <w:t> </w:t>
      </w:r>
      <w:r>
        <w:rPr>
          <w:rFonts w:ascii="Times New Roman" w:hAnsi="Times New Roman" w:cs="Times New Roman" w:eastAsia="Times New Roman" w:hint="default"/>
          <w:i/>
          <w:sz w:val="21"/>
          <w:szCs w:val="21"/>
        </w:rPr>
        <w:t>20</w:t>
      </w:r>
      <w:r>
        <w:rPr>
          <w:rFonts w:ascii="Times New Roman" w:hAnsi="Times New Roman" w:cs="Times New Roman" w:eastAsia="Times New Roman" w:hint="default"/>
          <w:i/>
          <w:spacing w:val="-25"/>
          <w:sz w:val="21"/>
          <w:szCs w:val="21"/>
        </w:rPr>
        <w:t> </w:t>
      </w:r>
      <w:r>
        <w:rPr>
          <w:rFonts w:ascii="宋体" w:hAnsi="宋体" w:cs="宋体" w:eastAsia="宋体" w:hint="default"/>
          <w:i/>
          <w:sz w:val="22"/>
          <w:szCs w:val="22"/>
        </w:rPr>
        <w:t>日支付</w:t>
      </w:r>
      <w:r>
        <w:rPr>
          <w:rFonts w:ascii="宋体" w:hAnsi="宋体" w:cs="宋体" w:eastAsia="宋体" w:hint="default"/>
          <w:i/>
          <w:spacing w:val="-81"/>
          <w:sz w:val="22"/>
          <w:szCs w:val="22"/>
        </w:rPr>
        <w:t> </w:t>
      </w:r>
      <w:r>
        <w:rPr>
          <w:rFonts w:ascii="Times New Roman" w:hAnsi="Times New Roman" w:cs="Times New Roman" w:eastAsia="Times New Roman" w:hint="default"/>
          <w:i/>
          <w:sz w:val="21"/>
          <w:szCs w:val="21"/>
        </w:rPr>
        <w:t>1500</w:t>
      </w:r>
      <w:r>
        <w:rPr>
          <w:rFonts w:ascii="Times New Roman" w:hAnsi="Times New Roman" w:cs="Times New Roman" w:eastAsia="Times New Roman" w:hint="default"/>
          <w:i/>
          <w:spacing w:val="-23"/>
          <w:sz w:val="21"/>
          <w:szCs w:val="21"/>
        </w:rPr>
        <w:t> </w:t>
      </w:r>
      <w:r>
        <w:rPr>
          <w:rFonts w:ascii="宋体" w:hAnsi="宋体" w:cs="宋体" w:eastAsia="宋体" w:hint="default"/>
          <w:i/>
          <w:sz w:val="22"/>
          <w:szCs w:val="22"/>
        </w:rPr>
        <w:t>万元；</w:t>
      </w:r>
      <w:r>
        <w:rPr>
          <w:rFonts w:ascii="宋体" w:hAnsi="宋体" w:cs="宋体" w:eastAsia="宋体" w:hint="default"/>
          <w:sz w:val="22"/>
          <w:szCs w:val="22"/>
        </w:rPr>
      </w:r>
    </w:p>
    <w:p>
      <w:pPr>
        <w:spacing w:line="271" w:lineRule="exact" w:before="0"/>
        <w:ind w:left="140" w:right="0" w:firstLine="0"/>
        <w:jc w:val="both"/>
        <w:rPr>
          <w:rFonts w:ascii="宋体" w:hAnsi="宋体" w:cs="宋体" w:eastAsia="宋体" w:hint="default"/>
          <w:sz w:val="22"/>
          <w:szCs w:val="22"/>
        </w:rPr>
      </w:pPr>
      <w:r>
        <w:rPr>
          <w:rFonts w:ascii="Times New Roman" w:hAnsi="Times New Roman" w:cs="Times New Roman" w:eastAsia="Times New Roman" w:hint="default"/>
          <w:i/>
          <w:sz w:val="21"/>
          <w:szCs w:val="21"/>
        </w:rPr>
        <w:t>2015</w:t>
      </w:r>
      <w:r>
        <w:rPr>
          <w:rFonts w:ascii="Times New Roman" w:hAnsi="Times New Roman" w:cs="Times New Roman" w:eastAsia="Times New Roman" w:hint="default"/>
          <w:i/>
          <w:spacing w:val="-14"/>
          <w:sz w:val="21"/>
          <w:szCs w:val="21"/>
        </w:rPr>
        <w:t> </w:t>
      </w:r>
      <w:r>
        <w:rPr>
          <w:rFonts w:ascii="宋体" w:hAnsi="宋体" w:cs="宋体" w:eastAsia="宋体" w:hint="default"/>
          <w:i/>
          <w:sz w:val="22"/>
          <w:szCs w:val="22"/>
        </w:rPr>
        <w:t>年</w:t>
      </w:r>
      <w:r>
        <w:rPr>
          <w:rFonts w:ascii="宋体" w:hAnsi="宋体" w:cs="宋体" w:eastAsia="宋体" w:hint="default"/>
          <w:i/>
          <w:spacing w:val="-71"/>
          <w:sz w:val="22"/>
          <w:szCs w:val="22"/>
        </w:rPr>
        <w:t> </w:t>
      </w:r>
      <w:r>
        <w:rPr>
          <w:rFonts w:ascii="Times New Roman" w:hAnsi="Times New Roman" w:cs="Times New Roman" w:eastAsia="Times New Roman" w:hint="default"/>
          <w:i/>
          <w:sz w:val="21"/>
          <w:szCs w:val="21"/>
        </w:rPr>
        <w:t>6</w:t>
      </w:r>
      <w:r>
        <w:rPr>
          <w:rFonts w:ascii="Times New Roman" w:hAnsi="Times New Roman" w:cs="Times New Roman" w:eastAsia="Times New Roman" w:hint="default"/>
          <w:i/>
          <w:spacing w:val="-15"/>
          <w:sz w:val="21"/>
          <w:szCs w:val="21"/>
        </w:rPr>
        <w:t> </w:t>
      </w:r>
      <w:r>
        <w:rPr>
          <w:rFonts w:ascii="宋体" w:hAnsi="宋体" w:cs="宋体" w:eastAsia="宋体" w:hint="default"/>
          <w:i/>
          <w:sz w:val="22"/>
          <w:szCs w:val="22"/>
        </w:rPr>
        <w:t>月</w:t>
      </w:r>
      <w:r>
        <w:rPr>
          <w:rFonts w:ascii="宋体" w:hAnsi="宋体" w:cs="宋体" w:eastAsia="宋体" w:hint="default"/>
          <w:i/>
          <w:spacing w:val="-71"/>
          <w:sz w:val="22"/>
          <w:szCs w:val="22"/>
        </w:rPr>
        <w:t> </w:t>
      </w:r>
      <w:r>
        <w:rPr>
          <w:rFonts w:ascii="Times New Roman" w:hAnsi="Times New Roman" w:cs="Times New Roman" w:eastAsia="Times New Roman" w:hint="default"/>
          <w:i/>
          <w:sz w:val="21"/>
          <w:szCs w:val="21"/>
        </w:rPr>
        <w:t>15</w:t>
      </w:r>
      <w:r>
        <w:rPr>
          <w:rFonts w:ascii="Times New Roman" w:hAnsi="Times New Roman" w:cs="Times New Roman" w:eastAsia="Times New Roman" w:hint="default"/>
          <w:i/>
          <w:spacing w:val="-15"/>
          <w:sz w:val="21"/>
          <w:szCs w:val="21"/>
        </w:rPr>
        <w:t> </w:t>
      </w:r>
      <w:r>
        <w:rPr>
          <w:rFonts w:ascii="宋体" w:hAnsi="宋体" w:cs="宋体" w:eastAsia="宋体" w:hint="default"/>
          <w:i/>
          <w:sz w:val="22"/>
          <w:szCs w:val="22"/>
        </w:rPr>
        <w:t>日支付</w:t>
      </w:r>
      <w:r>
        <w:rPr>
          <w:rFonts w:ascii="宋体" w:hAnsi="宋体" w:cs="宋体" w:eastAsia="宋体" w:hint="default"/>
          <w:i/>
          <w:spacing w:val="-71"/>
          <w:sz w:val="22"/>
          <w:szCs w:val="22"/>
        </w:rPr>
        <w:t> </w:t>
      </w:r>
      <w:r>
        <w:rPr>
          <w:rFonts w:ascii="Times New Roman" w:hAnsi="Times New Roman" w:cs="Times New Roman" w:eastAsia="Times New Roman" w:hint="default"/>
          <w:i/>
          <w:sz w:val="21"/>
          <w:szCs w:val="21"/>
        </w:rPr>
        <w:t>2000</w:t>
      </w:r>
      <w:r>
        <w:rPr>
          <w:rFonts w:ascii="Times New Roman" w:hAnsi="Times New Roman" w:cs="Times New Roman" w:eastAsia="Times New Roman" w:hint="default"/>
          <w:i/>
          <w:spacing w:val="-13"/>
          <w:sz w:val="21"/>
          <w:szCs w:val="21"/>
        </w:rPr>
        <w:t> </w:t>
      </w:r>
      <w:r>
        <w:rPr>
          <w:rFonts w:ascii="宋体" w:hAnsi="宋体" w:cs="宋体" w:eastAsia="宋体" w:hint="default"/>
          <w:i/>
          <w:sz w:val="22"/>
          <w:szCs w:val="22"/>
        </w:rPr>
        <w:t>万元）。公司已于</w:t>
      </w:r>
      <w:r>
        <w:rPr>
          <w:rFonts w:ascii="宋体" w:hAnsi="宋体" w:cs="宋体" w:eastAsia="宋体" w:hint="default"/>
          <w:i/>
          <w:spacing w:val="-72"/>
          <w:sz w:val="22"/>
          <w:szCs w:val="22"/>
        </w:rPr>
        <w:t> </w:t>
      </w:r>
      <w:r>
        <w:rPr>
          <w:rFonts w:ascii="Times New Roman" w:hAnsi="Times New Roman" w:cs="Times New Roman" w:eastAsia="Times New Roman" w:hint="default"/>
          <w:i/>
          <w:sz w:val="21"/>
          <w:szCs w:val="21"/>
        </w:rPr>
        <w:t>2015</w:t>
      </w:r>
      <w:r>
        <w:rPr>
          <w:rFonts w:ascii="Times New Roman" w:hAnsi="Times New Roman" w:cs="Times New Roman" w:eastAsia="Times New Roman" w:hint="default"/>
          <w:i/>
          <w:spacing w:val="-15"/>
          <w:sz w:val="21"/>
          <w:szCs w:val="21"/>
        </w:rPr>
        <w:t> </w:t>
      </w:r>
      <w:r>
        <w:rPr>
          <w:rFonts w:ascii="宋体" w:hAnsi="宋体" w:cs="宋体" w:eastAsia="宋体" w:hint="default"/>
          <w:i/>
          <w:sz w:val="22"/>
          <w:szCs w:val="22"/>
        </w:rPr>
        <w:t>年</w:t>
      </w:r>
      <w:r>
        <w:rPr>
          <w:rFonts w:ascii="宋体" w:hAnsi="宋体" w:cs="宋体" w:eastAsia="宋体" w:hint="default"/>
          <w:i/>
          <w:spacing w:val="-71"/>
          <w:sz w:val="22"/>
          <w:szCs w:val="22"/>
        </w:rPr>
        <w:t> </w:t>
      </w:r>
      <w:r>
        <w:rPr>
          <w:rFonts w:ascii="Times New Roman" w:hAnsi="Times New Roman" w:cs="Times New Roman" w:eastAsia="Times New Roman" w:hint="default"/>
          <w:i/>
          <w:sz w:val="21"/>
          <w:szCs w:val="21"/>
        </w:rPr>
        <w:t>5</w:t>
      </w:r>
      <w:r>
        <w:rPr>
          <w:rFonts w:ascii="Times New Roman" w:hAnsi="Times New Roman" w:cs="Times New Roman" w:eastAsia="Times New Roman" w:hint="default"/>
          <w:i/>
          <w:spacing w:val="-15"/>
          <w:sz w:val="21"/>
          <w:szCs w:val="21"/>
        </w:rPr>
        <w:t> </w:t>
      </w:r>
      <w:r>
        <w:rPr>
          <w:rFonts w:ascii="宋体" w:hAnsi="宋体" w:cs="宋体" w:eastAsia="宋体" w:hint="default"/>
          <w:i/>
          <w:sz w:val="22"/>
          <w:szCs w:val="22"/>
        </w:rPr>
        <w:t>月</w:t>
      </w:r>
      <w:r>
        <w:rPr>
          <w:rFonts w:ascii="宋体" w:hAnsi="宋体" w:cs="宋体" w:eastAsia="宋体" w:hint="default"/>
          <w:i/>
          <w:spacing w:val="-71"/>
          <w:sz w:val="22"/>
          <w:szCs w:val="22"/>
        </w:rPr>
        <w:t> </w:t>
      </w:r>
      <w:r>
        <w:rPr>
          <w:rFonts w:ascii="Times New Roman" w:hAnsi="Times New Roman" w:cs="Times New Roman" w:eastAsia="Times New Roman" w:hint="default"/>
          <w:i/>
          <w:sz w:val="21"/>
          <w:szCs w:val="21"/>
        </w:rPr>
        <w:t>8</w:t>
      </w:r>
      <w:r>
        <w:rPr>
          <w:rFonts w:ascii="Times New Roman" w:hAnsi="Times New Roman" w:cs="Times New Roman" w:eastAsia="Times New Roman" w:hint="default"/>
          <w:i/>
          <w:spacing w:val="-13"/>
          <w:sz w:val="21"/>
          <w:szCs w:val="21"/>
        </w:rPr>
        <w:t> </w:t>
      </w:r>
      <w:r>
        <w:rPr>
          <w:rFonts w:ascii="宋体" w:hAnsi="宋体" w:cs="宋体" w:eastAsia="宋体" w:hint="default"/>
          <w:i/>
          <w:sz w:val="22"/>
          <w:szCs w:val="22"/>
        </w:rPr>
        <w:t>日及</w:t>
      </w:r>
      <w:r>
        <w:rPr>
          <w:rFonts w:ascii="宋体" w:hAnsi="宋体" w:cs="宋体" w:eastAsia="宋体" w:hint="default"/>
          <w:i/>
          <w:spacing w:val="-71"/>
          <w:sz w:val="22"/>
          <w:szCs w:val="22"/>
        </w:rPr>
        <w:t> </w:t>
      </w:r>
      <w:r>
        <w:rPr>
          <w:rFonts w:ascii="Times New Roman" w:hAnsi="Times New Roman" w:cs="Times New Roman" w:eastAsia="Times New Roman" w:hint="default"/>
          <w:i/>
          <w:sz w:val="21"/>
          <w:szCs w:val="21"/>
        </w:rPr>
        <w:t>11</w:t>
      </w:r>
      <w:r>
        <w:rPr>
          <w:rFonts w:ascii="Times New Roman" w:hAnsi="Times New Roman" w:cs="Times New Roman" w:eastAsia="Times New Roman" w:hint="default"/>
          <w:i/>
          <w:spacing w:val="-13"/>
          <w:sz w:val="21"/>
          <w:szCs w:val="21"/>
        </w:rPr>
        <w:t> </w:t>
      </w:r>
      <w:r>
        <w:rPr>
          <w:rFonts w:ascii="宋体" w:hAnsi="宋体" w:cs="宋体" w:eastAsia="宋体" w:hint="default"/>
          <w:i/>
          <w:spacing w:val="-3"/>
          <w:sz w:val="22"/>
          <w:szCs w:val="22"/>
        </w:rPr>
        <w:t>日分别支付</w:t>
      </w:r>
      <w:r>
        <w:rPr>
          <w:rFonts w:ascii="宋体" w:hAnsi="宋体" w:cs="宋体" w:eastAsia="宋体" w:hint="default"/>
          <w:i/>
          <w:spacing w:val="-71"/>
          <w:sz w:val="22"/>
          <w:szCs w:val="22"/>
        </w:rPr>
        <w:t> </w:t>
      </w:r>
      <w:r>
        <w:rPr>
          <w:rFonts w:ascii="Times New Roman" w:hAnsi="Times New Roman" w:cs="Times New Roman" w:eastAsia="Times New Roman" w:hint="default"/>
          <w:i/>
          <w:sz w:val="21"/>
          <w:szCs w:val="21"/>
        </w:rPr>
        <w:t>750</w:t>
      </w:r>
      <w:r>
        <w:rPr>
          <w:rFonts w:ascii="Times New Roman" w:hAnsi="Times New Roman" w:cs="Times New Roman" w:eastAsia="Times New Roman" w:hint="default"/>
          <w:i/>
          <w:spacing w:val="-15"/>
          <w:sz w:val="21"/>
          <w:szCs w:val="21"/>
        </w:rPr>
        <w:t> </w:t>
      </w:r>
      <w:r>
        <w:rPr>
          <w:rFonts w:ascii="宋体" w:hAnsi="宋体" w:cs="宋体" w:eastAsia="宋体" w:hint="default"/>
          <w:i/>
          <w:sz w:val="22"/>
          <w:szCs w:val="22"/>
        </w:rPr>
        <w:t>万元；</w:t>
      </w:r>
      <w:r>
        <w:rPr>
          <w:rFonts w:ascii="Times New Roman" w:hAnsi="Times New Roman" w:cs="Times New Roman" w:eastAsia="Times New Roman" w:hint="default"/>
          <w:i/>
          <w:sz w:val="21"/>
          <w:szCs w:val="21"/>
        </w:rPr>
        <w:t>2015</w:t>
      </w:r>
      <w:r>
        <w:rPr>
          <w:rFonts w:ascii="Times New Roman" w:hAnsi="Times New Roman" w:cs="Times New Roman" w:eastAsia="Times New Roman" w:hint="default"/>
          <w:i/>
          <w:spacing w:val="-15"/>
          <w:sz w:val="21"/>
          <w:szCs w:val="21"/>
        </w:rPr>
        <w:t> </w:t>
      </w:r>
      <w:r>
        <w:rPr>
          <w:rFonts w:ascii="宋体" w:hAnsi="宋体" w:cs="宋体" w:eastAsia="宋体" w:hint="default"/>
          <w:i/>
          <w:sz w:val="22"/>
          <w:szCs w:val="22"/>
        </w:rPr>
        <w:t>年</w:t>
      </w:r>
      <w:r>
        <w:rPr>
          <w:rFonts w:ascii="宋体" w:hAnsi="宋体" w:cs="宋体" w:eastAsia="宋体" w:hint="default"/>
          <w:i/>
          <w:spacing w:val="-71"/>
          <w:sz w:val="22"/>
          <w:szCs w:val="22"/>
        </w:rPr>
        <w:t> </w:t>
      </w:r>
      <w:r>
        <w:rPr>
          <w:rFonts w:ascii="Times New Roman" w:hAnsi="Times New Roman" w:cs="Times New Roman" w:eastAsia="Times New Roman" w:hint="default"/>
          <w:i/>
          <w:sz w:val="21"/>
          <w:szCs w:val="21"/>
        </w:rPr>
        <w:t>5</w:t>
      </w:r>
      <w:r>
        <w:rPr>
          <w:rFonts w:ascii="Times New Roman" w:hAnsi="Times New Roman" w:cs="Times New Roman" w:eastAsia="Times New Roman" w:hint="default"/>
          <w:i/>
          <w:spacing w:val="-15"/>
          <w:sz w:val="21"/>
          <w:szCs w:val="21"/>
        </w:rPr>
        <w:t> </w:t>
      </w:r>
      <w:r>
        <w:rPr>
          <w:rFonts w:ascii="宋体" w:hAnsi="宋体" w:cs="宋体" w:eastAsia="宋体" w:hint="default"/>
          <w:i/>
          <w:sz w:val="22"/>
          <w:szCs w:val="22"/>
        </w:rPr>
        <w:t>月</w:t>
      </w:r>
      <w:r>
        <w:rPr>
          <w:rFonts w:ascii="宋体" w:hAnsi="宋体" w:cs="宋体" w:eastAsia="宋体" w:hint="default"/>
          <w:i/>
          <w:spacing w:val="-72"/>
          <w:sz w:val="22"/>
          <w:szCs w:val="22"/>
        </w:rPr>
        <w:t> </w:t>
      </w:r>
      <w:r>
        <w:rPr>
          <w:rFonts w:ascii="Times New Roman" w:hAnsi="Times New Roman" w:cs="Times New Roman" w:eastAsia="Times New Roman" w:hint="default"/>
          <w:i/>
          <w:sz w:val="21"/>
          <w:szCs w:val="21"/>
        </w:rPr>
        <w:t>25</w:t>
      </w:r>
      <w:r>
        <w:rPr>
          <w:rFonts w:ascii="Times New Roman" w:hAnsi="Times New Roman" w:cs="Times New Roman" w:eastAsia="Times New Roman" w:hint="default"/>
          <w:i/>
          <w:spacing w:val="-13"/>
          <w:sz w:val="21"/>
          <w:szCs w:val="21"/>
        </w:rPr>
        <w:t> </w:t>
      </w:r>
      <w:r>
        <w:rPr>
          <w:rFonts w:ascii="宋体" w:hAnsi="宋体" w:cs="宋体" w:eastAsia="宋体" w:hint="default"/>
          <w:i/>
          <w:sz w:val="22"/>
          <w:szCs w:val="22"/>
        </w:rPr>
        <w:t>日支付</w:t>
      </w:r>
      <w:r>
        <w:rPr>
          <w:rFonts w:ascii="宋体" w:hAnsi="宋体" w:cs="宋体" w:eastAsia="宋体" w:hint="default"/>
          <w:i/>
          <w:spacing w:val="-70"/>
          <w:sz w:val="22"/>
          <w:szCs w:val="22"/>
        </w:rPr>
        <w:t> </w:t>
      </w:r>
      <w:r>
        <w:rPr>
          <w:rFonts w:ascii="Times New Roman" w:hAnsi="Times New Roman" w:cs="Times New Roman" w:eastAsia="Times New Roman" w:hint="default"/>
          <w:i/>
          <w:sz w:val="21"/>
          <w:szCs w:val="21"/>
        </w:rPr>
        <w:t>1500</w:t>
      </w:r>
      <w:r>
        <w:rPr>
          <w:rFonts w:ascii="Times New Roman" w:hAnsi="Times New Roman" w:cs="Times New Roman" w:eastAsia="Times New Roman" w:hint="default"/>
          <w:i/>
          <w:spacing w:val="-15"/>
          <w:sz w:val="21"/>
          <w:szCs w:val="21"/>
        </w:rPr>
        <w:t> </w:t>
      </w:r>
      <w:r>
        <w:rPr>
          <w:rFonts w:ascii="宋体" w:hAnsi="宋体" w:cs="宋体" w:eastAsia="宋体" w:hint="default"/>
          <w:i/>
          <w:sz w:val="22"/>
          <w:szCs w:val="22"/>
        </w:rPr>
        <w:t>万元及</w:t>
      </w:r>
      <w:r>
        <w:rPr>
          <w:rFonts w:ascii="宋体" w:hAnsi="宋体" w:cs="宋体" w:eastAsia="宋体" w:hint="default"/>
          <w:i/>
          <w:spacing w:val="-71"/>
          <w:sz w:val="22"/>
          <w:szCs w:val="22"/>
        </w:rPr>
        <w:t> </w:t>
      </w:r>
      <w:r>
        <w:rPr>
          <w:rFonts w:ascii="Times New Roman" w:hAnsi="Times New Roman" w:cs="Times New Roman" w:eastAsia="Times New Roman" w:hint="default"/>
          <w:i/>
          <w:sz w:val="21"/>
          <w:szCs w:val="21"/>
        </w:rPr>
        <w:t>2015</w:t>
      </w:r>
      <w:r>
        <w:rPr>
          <w:rFonts w:ascii="Times New Roman" w:hAnsi="Times New Roman" w:cs="Times New Roman" w:eastAsia="Times New Roman" w:hint="default"/>
          <w:i/>
          <w:spacing w:val="-13"/>
          <w:sz w:val="21"/>
          <w:szCs w:val="21"/>
        </w:rPr>
        <w:t> </w:t>
      </w:r>
      <w:r>
        <w:rPr>
          <w:rFonts w:ascii="宋体" w:hAnsi="宋体" w:cs="宋体" w:eastAsia="宋体" w:hint="default"/>
          <w:i/>
          <w:sz w:val="22"/>
          <w:szCs w:val="22"/>
        </w:rPr>
        <w:t>年</w:t>
      </w:r>
      <w:r>
        <w:rPr>
          <w:rFonts w:ascii="宋体" w:hAnsi="宋体" w:cs="宋体" w:eastAsia="宋体" w:hint="default"/>
          <w:i/>
          <w:spacing w:val="-71"/>
          <w:sz w:val="22"/>
          <w:szCs w:val="22"/>
        </w:rPr>
        <w:t> </w:t>
      </w:r>
      <w:r>
        <w:rPr>
          <w:rFonts w:ascii="Times New Roman" w:hAnsi="Times New Roman" w:cs="Times New Roman" w:eastAsia="Times New Roman" w:hint="default"/>
          <w:i/>
          <w:sz w:val="21"/>
          <w:szCs w:val="21"/>
        </w:rPr>
        <w:t>6</w:t>
      </w:r>
      <w:r>
        <w:rPr>
          <w:rFonts w:ascii="Times New Roman" w:hAnsi="Times New Roman" w:cs="Times New Roman" w:eastAsia="Times New Roman" w:hint="default"/>
          <w:i/>
          <w:spacing w:val="-15"/>
          <w:sz w:val="21"/>
          <w:szCs w:val="21"/>
        </w:rPr>
        <w:t> </w:t>
      </w:r>
      <w:r>
        <w:rPr>
          <w:rFonts w:ascii="宋体" w:hAnsi="宋体" w:cs="宋体" w:eastAsia="宋体" w:hint="default"/>
          <w:i/>
          <w:sz w:val="22"/>
          <w:szCs w:val="22"/>
        </w:rPr>
        <w:t>月</w:t>
      </w:r>
      <w:r>
        <w:rPr>
          <w:rFonts w:ascii="宋体" w:hAnsi="宋体" w:cs="宋体" w:eastAsia="宋体" w:hint="default"/>
          <w:i/>
          <w:spacing w:val="-71"/>
          <w:sz w:val="22"/>
          <w:szCs w:val="22"/>
        </w:rPr>
        <w:t> </w:t>
      </w:r>
      <w:r>
        <w:rPr>
          <w:rFonts w:ascii="Times New Roman" w:hAnsi="Times New Roman" w:cs="Times New Roman" w:eastAsia="Times New Roman" w:hint="default"/>
          <w:i/>
          <w:sz w:val="21"/>
          <w:szCs w:val="21"/>
        </w:rPr>
        <w:t>15</w:t>
      </w:r>
      <w:r>
        <w:rPr>
          <w:rFonts w:ascii="Times New Roman" w:hAnsi="Times New Roman" w:cs="Times New Roman" w:eastAsia="Times New Roman" w:hint="default"/>
          <w:i/>
          <w:spacing w:val="-13"/>
          <w:sz w:val="21"/>
          <w:szCs w:val="21"/>
        </w:rPr>
        <w:t> </w:t>
      </w:r>
      <w:r>
        <w:rPr>
          <w:rFonts w:ascii="宋体" w:hAnsi="宋体" w:cs="宋体" w:eastAsia="宋体" w:hint="default"/>
          <w:i/>
          <w:sz w:val="22"/>
          <w:szCs w:val="22"/>
        </w:rPr>
        <w:t>日支付</w:t>
      </w:r>
      <w:r>
        <w:rPr>
          <w:rFonts w:ascii="宋体" w:hAnsi="宋体" w:cs="宋体" w:eastAsia="宋体" w:hint="default"/>
          <w:sz w:val="22"/>
          <w:szCs w:val="22"/>
        </w:rPr>
      </w:r>
    </w:p>
    <w:p>
      <w:pPr>
        <w:pStyle w:val="Heading2"/>
        <w:spacing w:line="272" w:lineRule="exact"/>
        <w:ind w:right="0"/>
        <w:jc w:val="both"/>
        <w:rPr>
          <w:i w:val="0"/>
        </w:rPr>
      </w:pPr>
      <w:r>
        <w:rPr>
          <w:rFonts w:ascii="Times New Roman" w:hAnsi="Times New Roman" w:cs="Times New Roman" w:eastAsia="Times New Roman" w:hint="default"/>
          <w:i/>
          <w:w w:val="95"/>
          <w:sz w:val="21"/>
          <w:szCs w:val="21"/>
        </w:rPr>
        <w:t>2000  </w:t>
      </w:r>
      <w:r>
        <w:rPr>
          <w:w w:val="95"/>
        </w:rPr>
        <w:t>万元，资金来源为大股东借款。虽然在首期 </w:t>
      </w:r>
      <w:r>
        <w:rPr>
          <w:rFonts w:ascii="Times New Roman" w:hAnsi="Times New Roman" w:cs="Times New Roman" w:eastAsia="Times New Roman" w:hint="default"/>
          <w:i/>
          <w:w w:val="95"/>
          <w:sz w:val="21"/>
          <w:szCs w:val="21"/>
        </w:rPr>
        <w:t>5000</w:t>
      </w:r>
      <w:r>
        <w:rPr>
          <w:rFonts w:ascii="Times New Roman" w:hAnsi="Times New Roman" w:cs="Times New Roman" w:eastAsia="Times New Roman" w:hint="default"/>
          <w:i/>
          <w:spacing w:val="-11"/>
          <w:w w:val="95"/>
          <w:sz w:val="21"/>
          <w:szCs w:val="21"/>
        </w:rPr>
        <w:t> </w:t>
      </w:r>
      <w:r>
        <w:rPr>
          <w:w w:val="95"/>
        </w:rPr>
        <w:t>万元共建款的支付过程中稍有迟延，但经双方认可同意不视为违约，故未计提违约金。该项目还</w:t>
      </w:r>
      <w:r>
        <w:rPr>
          <w:i w:val="0"/>
        </w:rPr>
      </w:r>
    </w:p>
    <w:p>
      <w:pPr>
        <w:pStyle w:val="Heading2"/>
        <w:spacing w:line="220" w:lineRule="auto" w:before="6"/>
        <w:ind w:right="124"/>
        <w:jc w:val="both"/>
        <w:rPr>
          <w:i w:val="0"/>
        </w:rPr>
      </w:pPr>
      <w:r>
        <w:rPr>
          <w:w w:val="95"/>
        </w:rPr>
        <w:t>需投入</w:t>
      </w:r>
      <w:r>
        <w:rPr>
          <w:spacing w:val="-38"/>
          <w:w w:val="95"/>
        </w:rPr>
        <w:t> </w:t>
      </w:r>
      <w:r>
        <w:rPr>
          <w:rFonts w:ascii="Times New Roman" w:hAnsi="Times New Roman" w:cs="Times New Roman" w:eastAsia="Times New Roman" w:hint="default"/>
          <w:i/>
          <w:w w:val="95"/>
          <w:sz w:val="21"/>
          <w:szCs w:val="21"/>
        </w:rPr>
        <w:t>1</w:t>
      </w:r>
      <w:r>
        <w:rPr>
          <w:rFonts w:ascii="Times New Roman" w:hAnsi="Times New Roman" w:cs="Times New Roman" w:eastAsia="Times New Roman" w:hint="default"/>
          <w:i/>
          <w:spacing w:val="16"/>
          <w:w w:val="95"/>
          <w:sz w:val="21"/>
          <w:szCs w:val="21"/>
        </w:rPr>
        <w:t> </w:t>
      </w:r>
      <w:r>
        <w:rPr>
          <w:spacing w:val="-2"/>
          <w:w w:val="95"/>
        </w:rPr>
        <w:t>亿元，且根据合同约定应于</w:t>
      </w:r>
      <w:r>
        <w:rPr>
          <w:spacing w:val="-39"/>
          <w:w w:val="95"/>
        </w:rPr>
        <w:t> </w:t>
      </w:r>
      <w:r>
        <w:rPr>
          <w:rFonts w:ascii="Times New Roman" w:hAnsi="Times New Roman" w:cs="Times New Roman" w:eastAsia="Times New Roman" w:hint="default"/>
          <w:i/>
          <w:w w:val="95"/>
          <w:sz w:val="21"/>
          <w:szCs w:val="21"/>
        </w:rPr>
        <w:t>2015</w:t>
      </w:r>
      <w:r>
        <w:rPr>
          <w:rFonts w:ascii="Times New Roman" w:hAnsi="Times New Roman" w:cs="Times New Roman" w:eastAsia="Times New Roman" w:hint="default"/>
          <w:i/>
          <w:spacing w:val="16"/>
          <w:w w:val="95"/>
          <w:sz w:val="21"/>
          <w:szCs w:val="21"/>
        </w:rPr>
        <w:t> </w:t>
      </w:r>
      <w:r>
        <w:rPr>
          <w:w w:val="95"/>
        </w:rPr>
        <w:t>年</w:t>
      </w:r>
      <w:r>
        <w:rPr>
          <w:spacing w:val="-42"/>
          <w:w w:val="95"/>
        </w:rPr>
        <w:t> </w:t>
      </w:r>
      <w:r>
        <w:rPr>
          <w:rFonts w:ascii="Times New Roman" w:hAnsi="Times New Roman" w:cs="Times New Roman" w:eastAsia="Times New Roman" w:hint="default"/>
          <w:i/>
          <w:w w:val="95"/>
          <w:sz w:val="21"/>
          <w:szCs w:val="21"/>
        </w:rPr>
        <w:t>7</w:t>
      </w:r>
      <w:r>
        <w:rPr>
          <w:rFonts w:ascii="Times New Roman" w:hAnsi="Times New Roman" w:cs="Times New Roman" w:eastAsia="Times New Roman" w:hint="default"/>
          <w:i/>
          <w:spacing w:val="16"/>
          <w:w w:val="95"/>
          <w:sz w:val="21"/>
          <w:szCs w:val="21"/>
        </w:rPr>
        <w:t> </w:t>
      </w:r>
      <w:r>
        <w:rPr>
          <w:w w:val="95"/>
        </w:rPr>
        <w:t>月</w:t>
      </w:r>
      <w:r>
        <w:rPr>
          <w:spacing w:val="-42"/>
          <w:w w:val="95"/>
        </w:rPr>
        <w:t> </w:t>
      </w:r>
      <w:r>
        <w:rPr>
          <w:rFonts w:ascii="Times New Roman" w:hAnsi="Times New Roman" w:cs="Times New Roman" w:eastAsia="Times New Roman" w:hint="default"/>
          <w:i/>
          <w:w w:val="95"/>
          <w:sz w:val="21"/>
          <w:szCs w:val="21"/>
        </w:rPr>
        <w:t>30</w:t>
      </w:r>
      <w:r>
        <w:rPr>
          <w:rFonts w:ascii="Times New Roman" w:hAnsi="Times New Roman" w:cs="Times New Roman" w:eastAsia="Times New Roman" w:hint="default"/>
          <w:i/>
          <w:spacing w:val="16"/>
          <w:w w:val="95"/>
          <w:sz w:val="21"/>
          <w:szCs w:val="21"/>
        </w:rPr>
        <w:t> </w:t>
      </w:r>
      <w:r>
        <w:rPr>
          <w:w w:val="95"/>
        </w:rPr>
        <w:t>日支付。受公司资金短缺因素影响，该笔款项至今尚未支付。公司目前正与相对方根据公司实际情</w:t>
      </w:r>
      <w:r>
        <w:rPr>
          <w:spacing w:val="-97"/>
          <w:w w:val="95"/>
        </w:rPr>
        <w:t> </w:t>
      </w:r>
      <w:r>
        <w:rPr>
          <w:spacing w:val="-97"/>
          <w:w w:val="95"/>
        </w:rPr>
      </w:r>
      <w:r>
        <w:rPr>
          <w:spacing w:val="-2"/>
          <w:w w:val="95"/>
        </w:rPr>
        <w:t>况就该笔款项实际支付期限进行协商。即便协商不成，根据合同约定的违约责任对公司也不产生违约金，故未就该笔投入款的延期支付计提违约金。尽</w:t>
      </w:r>
      <w:r>
        <w:rPr>
          <w:spacing w:val="85"/>
          <w:w w:val="95"/>
        </w:rPr>
        <w:t> </w:t>
      </w:r>
      <w:r>
        <w:rPr>
          <w:spacing w:val="85"/>
          <w:w w:val="95"/>
        </w:rPr>
      </w:r>
      <w:r>
        <w:rPr/>
        <w:t>管如此，由于项目推进缓慢，在后续履行过程中不排除出现协商不成或违约的风险。在此情况下，公司将及时根据相关规定要求进行披露。</w:t>
      </w:r>
      <w:r>
        <w:rPr>
          <w:i w:val="0"/>
        </w:rPr>
      </w:r>
    </w:p>
    <w:p>
      <w:pPr>
        <w:spacing w:after="0" w:line="220" w:lineRule="auto"/>
        <w:jc w:val="both"/>
        <w:sectPr>
          <w:pgSz w:w="16840" w:h="11910" w:orient="landscape"/>
          <w:pgMar w:header="880" w:footer="1195" w:top="1120" w:bottom="1380" w:left="1300" w:right="1400"/>
        </w:sectPr>
      </w:pPr>
    </w:p>
    <w:p>
      <w:pPr>
        <w:spacing w:line="240" w:lineRule="auto" w:before="4"/>
        <w:rPr>
          <w:rFonts w:ascii="宋体" w:hAnsi="宋体" w:cs="宋体" w:eastAsia="宋体" w:hint="default"/>
          <w:i/>
          <w:sz w:val="25"/>
          <w:szCs w:val="25"/>
        </w:rPr>
      </w:pPr>
    </w:p>
    <w:p>
      <w:pPr>
        <w:pStyle w:val="BodyText"/>
        <w:spacing w:line="232" w:lineRule="auto" w:before="43"/>
        <w:ind w:left="218" w:right="228" w:firstLine="419"/>
        <w:jc w:val="both"/>
      </w:pPr>
      <w:r>
        <w:rPr/>
        <w:t>受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spacing w:val="-5"/>
        </w:rPr>
        <w:t>年非公开发行股票的申请未获得审核通过的影响，上述若干合同虽然推进缓慢，但公</w:t>
      </w:r>
      <w:r>
        <w:rPr>
          <w:w w:val="100"/>
        </w:rPr>
        <w:t> </w:t>
      </w:r>
      <w:r>
        <w:rPr>
          <w:spacing w:val="-2"/>
        </w:rPr>
        <w:t>司与相关方就执行情况保持良好沟通的同时，积极拓展融资渠道与方式，合理分配项目资金，目</w:t>
      </w:r>
      <w:r>
        <w:rPr>
          <w:spacing w:val="-25"/>
        </w:rPr>
        <w:t> </w:t>
      </w:r>
      <w:r>
        <w:rPr>
          <w:spacing w:val="-25"/>
        </w:rPr>
      </w:r>
      <w:r>
        <w:rPr>
          <w:spacing w:val="-4"/>
        </w:rPr>
        <w:t>前尚不存在无法完工或纠纷情形。此外，公司正积极推进与上海斐讯数据通信技术有限公司（</w:t>
      </w:r>
      <w:r>
        <w:rPr>
          <w:rFonts w:ascii="Times New Roman" w:hAnsi="Times New Roman" w:cs="Times New Roman" w:eastAsia="Times New Roman" w:hint="default"/>
          <w:spacing w:val="-4"/>
        </w:rPr>
        <w:t>“</w:t>
      </w:r>
      <w:r>
        <w:rPr>
          <w:spacing w:val="-4"/>
        </w:rPr>
        <w:t>目</w:t>
      </w:r>
      <w:r>
        <w:rPr>
          <w:spacing w:val="-21"/>
        </w:rPr>
        <w:t> </w:t>
      </w:r>
      <w:r>
        <w:rPr>
          <w:spacing w:val="-4"/>
        </w:rPr>
        <w:t>标资产</w:t>
      </w:r>
      <w:r>
        <w:rPr>
          <w:rFonts w:ascii="Times New Roman" w:hAnsi="Times New Roman" w:cs="Times New Roman" w:eastAsia="Times New Roman" w:hint="default"/>
          <w:spacing w:val="-4"/>
        </w:rPr>
        <w:t>”</w:t>
      </w:r>
      <w:r>
        <w:rPr>
          <w:spacing w:val="-4"/>
        </w:rPr>
        <w:t>）的重大资产重组交易。目前仍在对目标资产进行全面的尽职调查阶段，因而该等重大资</w:t>
      </w:r>
      <w:r>
        <w:rPr>
          <w:spacing w:val="-25"/>
        </w:rPr>
        <w:t> </w:t>
      </w:r>
      <w:r>
        <w:rPr>
          <w:spacing w:val="-25"/>
        </w:rPr>
      </w:r>
      <w:r>
        <w:rPr>
          <w:spacing w:val="-2"/>
        </w:rPr>
        <w:t>产重组对上述合同的履行情况不产生任何影响。即便如此，上述协议及合同的执行能力主要受公</w:t>
      </w:r>
      <w:r>
        <w:rPr>
          <w:spacing w:val="-25"/>
        </w:rPr>
        <w:t> </w:t>
      </w:r>
      <w:r>
        <w:rPr>
          <w:spacing w:val="-25"/>
        </w:rPr>
      </w:r>
      <w:r>
        <w:rPr>
          <w:spacing w:val="-2"/>
        </w:rPr>
        <w:t>司资金及人才实力的影响，在落实执行的过程中仍存在违约风险。根据相关协议及合同所约定的</w:t>
      </w:r>
      <w:r>
        <w:rPr>
          <w:spacing w:val="-25"/>
        </w:rPr>
        <w:t> </w:t>
      </w:r>
      <w:r>
        <w:rPr>
          <w:spacing w:val="-25"/>
        </w:rPr>
      </w:r>
      <w:r>
        <w:rPr>
          <w:spacing w:val="-2"/>
        </w:rPr>
        <w:t>违约责任内容，公司整体违约责任较轻，并在签约时公司已对或有违约行为及责任进行了充分的</w:t>
      </w:r>
      <w:r>
        <w:rPr>
          <w:spacing w:val="-25"/>
        </w:rPr>
        <w:t> </w:t>
      </w:r>
      <w:r>
        <w:rPr>
          <w:spacing w:val="-25"/>
        </w:rPr>
      </w:r>
      <w:r>
        <w:rPr/>
        <w:t>评估和预计。有能力处理及承担该等协议及合同执行过程中或将出现的违约情形和责任。</w:t>
      </w:r>
    </w:p>
    <w:p>
      <w:pPr>
        <w:spacing w:line="240" w:lineRule="auto" w:before="6"/>
        <w:rPr>
          <w:rFonts w:ascii="宋体" w:hAnsi="宋体" w:cs="宋体" w:eastAsia="宋体" w:hint="default"/>
          <w:sz w:val="20"/>
          <w:szCs w:val="20"/>
        </w:rPr>
      </w:pPr>
    </w:p>
    <w:p>
      <w:pPr>
        <w:pStyle w:val="BodyText"/>
        <w:spacing w:line="272" w:lineRule="exact"/>
        <w:ind w:left="218" w:right="266" w:firstLine="419"/>
        <w:jc w:val="both"/>
      </w:pPr>
      <w:r>
        <w:rPr>
          <w:rFonts w:ascii="Times New Roman" w:hAnsi="Times New Roman" w:cs="Times New Roman" w:eastAsia="Times New Roman" w:hint="default"/>
          <w:spacing w:val="-2"/>
        </w:rPr>
        <w:t>“</w:t>
      </w:r>
      <w:r>
        <w:rPr>
          <w:spacing w:val="-2"/>
        </w:rPr>
        <w:t>以人为基础，信息技术为先导，以土地为载体，以资本为后盾</w:t>
      </w:r>
      <w:r>
        <w:rPr>
          <w:rFonts w:ascii="Times New Roman" w:hAnsi="Times New Roman" w:cs="Times New Roman" w:eastAsia="Times New Roman" w:hint="default"/>
          <w:spacing w:val="-2"/>
        </w:rPr>
        <w:t>”</w:t>
      </w:r>
      <w:r>
        <w:rPr>
          <w:spacing w:val="-2"/>
        </w:rPr>
        <w:t>是慧球智慧事业部结合政府</w:t>
      </w:r>
      <w:r>
        <w:rPr>
          <w:w w:val="100"/>
        </w:rPr>
        <w:t> </w:t>
      </w:r>
      <w:r>
        <w:rPr/>
        <w:t>十三五规划，对智慧城市理念的诠释。</w:t>
      </w:r>
    </w:p>
    <w:p>
      <w:pPr>
        <w:pStyle w:val="BodyText"/>
        <w:spacing w:line="272" w:lineRule="exact" w:before="1"/>
        <w:ind w:left="218" w:right="96" w:firstLine="419"/>
        <w:jc w:val="left"/>
      </w:pPr>
      <w:r>
        <w:rPr>
          <w:spacing w:val="-5"/>
          <w:w w:val="100"/>
        </w:rPr>
        <w:t>公司将依据行业规模和发展趋势以及自身技术优势和特点，基于</w:t>
      </w:r>
      <w:r>
        <w:rPr>
          <w:spacing w:val="-48"/>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spacing w:val="2"/>
          <w:w w:val="100"/>
        </w:rPr>
        <w:t> </w:t>
      </w:r>
      <w:r>
        <w:rPr>
          <w:spacing w:val="-11"/>
          <w:w w:val="100"/>
        </w:rPr>
        <w:t>年的基础上，不断进取。</w:t>
      </w:r>
      <w:r>
        <w:rPr>
          <w:w w:val="100"/>
        </w:rPr>
        <w:t> </w:t>
      </w:r>
      <w:r>
        <w:rPr/>
        <w:t>规划在智慧政务市场积极拓展上海、广西南宁等一、二线城市的区域性智慧政务市场。在智慧园</w:t>
      </w:r>
    </w:p>
    <w:p>
      <w:pPr>
        <w:pStyle w:val="BodyText"/>
        <w:spacing w:line="272" w:lineRule="exact" w:before="1"/>
        <w:ind w:left="218" w:right="237"/>
        <w:jc w:val="both"/>
      </w:pPr>
      <w:r>
        <w:rPr>
          <w:spacing w:val="-2"/>
        </w:rPr>
        <w:t>区市场，积极拓展上海松江、广西南宁等二、三线城市和地区的园区建设。在智慧医疗市场，我</w:t>
      </w:r>
      <w:r>
        <w:rPr>
          <w:spacing w:val="-25"/>
        </w:rPr>
        <w:t> </w:t>
      </w:r>
      <w:r>
        <w:rPr>
          <w:spacing w:val="-25"/>
        </w:rPr>
      </w:r>
      <w:r>
        <w:rPr>
          <w:spacing w:val="-2"/>
        </w:rPr>
        <w:t>司主要在第一、二和三类城市重点布局。在智慧教育市场，积极拓展一、二线城市和区域的教育</w:t>
      </w:r>
    </w:p>
    <w:p>
      <w:pPr>
        <w:pStyle w:val="BodyText"/>
        <w:spacing w:line="247" w:lineRule="exact"/>
        <w:ind w:left="218" w:right="0"/>
        <w:jc w:val="both"/>
      </w:pPr>
      <w:r>
        <w:rPr/>
        <w:t>信息化教育项目，打造具有慧球特色的智能化教育生态。目前公司智慧城市业务主要集中在华东</w:t>
      </w:r>
    </w:p>
    <w:p>
      <w:pPr>
        <w:pStyle w:val="BodyText"/>
        <w:spacing w:line="240" w:lineRule="auto"/>
        <w:ind w:left="218" w:right="237"/>
        <w:jc w:val="both"/>
      </w:pPr>
      <w:r>
        <w:rPr>
          <w:spacing w:val="-2"/>
        </w:rPr>
        <w:t>（上海、江苏、安徽、宁波及附近区域）及西南（重庆、四川及附占近区域）区域。随着业务的</w:t>
      </w:r>
      <w:r>
        <w:rPr>
          <w:spacing w:val="-25"/>
        </w:rPr>
        <w:t> </w:t>
      </w:r>
      <w:r>
        <w:rPr>
          <w:spacing w:val="-25"/>
        </w:rPr>
      </w:r>
      <w:r>
        <w:rPr/>
        <w:t>发展，将进一步拓展华南、华北、华中区域的业务。</w:t>
      </w:r>
    </w:p>
    <w:p>
      <w:pPr>
        <w:pStyle w:val="BodyText"/>
        <w:spacing w:line="237" w:lineRule="auto"/>
        <w:ind w:left="218" w:right="228" w:firstLine="419"/>
        <w:jc w:val="both"/>
      </w:pPr>
      <w:r>
        <w:rPr>
          <w:rFonts w:ascii="宋体" w:hAnsi="宋体" w:cs="宋体" w:eastAsia="宋体" w:hint="default"/>
        </w:rPr>
        <w:t>2015</w:t>
      </w:r>
      <w:r>
        <w:rPr>
          <w:rFonts w:ascii="宋体" w:hAnsi="宋体" w:cs="宋体" w:eastAsia="宋体" w:hint="default"/>
          <w:spacing w:val="-10"/>
        </w:rPr>
        <w:t> </w:t>
      </w:r>
      <w:r>
        <w:rPr>
          <w:spacing w:val="-3"/>
        </w:rPr>
        <w:t>年为公司主要业务向智慧城市相关业务转型的第一年，与主要竞争对手相比，公司尚不</w:t>
      </w:r>
      <w:r>
        <w:rPr>
          <w:w w:val="100"/>
        </w:rPr>
        <w:t> </w:t>
      </w:r>
      <w:r>
        <w:rPr>
          <w:spacing w:val="-2"/>
        </w:rPr>
        <w:t>具备明显的竞争优势。劣势在于公司智慧城市相关业务的规模较小，而业务规模及订单获取量受</w:t>
      </w:r>
      <w:r>
        <w:rPr>
          <w:spacing w:val="-25"/>
        </w:rPr>
        <w:t> </w:t>
      </w:r>
      <w:r>
        <w:rPr>
          <w:spacing w:val="-25"/>
        </w:rPr>
      </w:r>
      <w:r>
        <w:rPr>
          <w:spacing w:val="-2"/>
        </w:rPr>
        <w:t>产品认可程度、核心技术及解决方案能力、品牌知名度、成功案例积累等方面因素的影响。已签</w:t>
      </w:r>
      <w:r>
        <w:rPr>
          <w:spacing w:val="-25"/>
        </w:rPr>
        <w:t> </w:t>
      </w:r>
      <w:r>
        <w:rPr>
          <w:spacing w:val="-25"/>
        </w:rPr>
      </w:r>
      <w:r>
        <w:rPr/>
        <w:t>订的重要合同和框架协议详见表</w:t>
      </w:r>
      <w:r>
        <w:rPr>
          <w:rFonts w:ascii="宋体" w:hAnsi="宋体" w:cs="宋体" w:eastAsia="宋体" w:hint="default"/>
        </w:rPr>
        <w:t>-1</w:t>
      </w:r>
      <w:r>
        <w:rPr>
          <w:rFonts w:ascii="宋体" w:hAnsi="宋体" w:cs="宋体" w:eastAsia="宋体" w:hint="default"/>
          <w:spacing w:val="-28"/>
        </w:rPr>
        <w:t> </w:t>
      </w:r>
      <w:r>
        <w:rPr>
          <w:spacing w:val="-3"/>
        </w:rPr>
        <w:t>及表</w:t>
      </w:r>
      <w:r>
        <w:rPr>
          <w:rFonts w:ascii="宋体" w:hAnsi="宋体" w:cs="宋体" w:eastAsia="宋体" w:hint="default"/>
          <w:spacing w:val="-3"/>
        </w:rPr>
        <w:t>-2</w:t>
      </w:r>
      <w:r>
        <w:rPr>
          <w:spacing w:val="-3"/>
        </w:rPr>
        <w:t>。公司智慧城市相关业务为综合性业务，所提供的服务</w:t>
      </w:r>
      <w:r>
        <w:rPr>
          <w:spacing w:val="-95"/>
        </w:rPr>
        <w:t> </w:t>
      </w:r>
      <w:r>
        <w:rPr>
          <w:spacing w:val="-95"/>
        </w:rPr>
      </w:r>
      <w:r>
        <w:rPr>
          <w:spacing w:val="-2"/>
        </w:rPr>
        <w:t>往往具有多样性和复杂性，故该业务板块所实现的收入、成本及毛利难以根据智慧政务、智慧园</w:t>
      </w:r>
      <w:r>
        <w:rPr>
          <w:spacing w:val="-25"/>
        </w:rPr>
        <w:t> </w:t>
      </w:r>
      <w:r>
        <w:rPr>
          <w:spacing w:val="-25"/>
        </w:rPr>
      </w:r>
      <w:r>
        <w:rPr/>
        <w:t>区、智慧医疗及智慧教育进行拆分细化。</w:t>
      </w:r>
    </w:p>
    <w:p>
      <w:pPr>
        <w:spacing w:line="240" w:lineRule="auto" w:before="1"/>
        <w:rPr>
          <w:rFonts w:ascii="宋体" w:hAnsi="宋体" w:cs="宋体" w:eastAsia="宋体" w:hint="default"/>
          <w:sz w:val="19"/>
          <w:szCs w:val="19"/>
        </w:rPr>
      </w:pPr>
    </w:p>
    <w:p>
      <w:pPr>
        <w:pStyle w:val="BodyText"/>
        <w:spacing w:line="230" w:lineRule="auto"/>
        <w:ind w:left="218" w:right="228" w:firstLine="419"/>
        <w:jc w:val="both"/>
      </w:pPr>
      <w:r>
        <w:rPr>
          <w:spacing w:val="-2"/>
        </w:rPr>
        <w:t>智慧城市业务属于技术、资金密集型业务，主要面向各级政府部门，而行业中的主要模式以</w:t>
      </w:r>
      <w:r>
        <w:rPr>
          <w:w w:val="100"/>
        </w:rPr>
        <w:t> </w:t>
      </w:r>
      <w:r>
        <w:rPr/>
        <w:t>建设</w:t>
      </w:r>
      <w:r>
        <w:rPr>
          <w:rFonts w:ascii="Times New Roman" w:hAnsi="Times New Roman" w:cs="Times New Roman" w:eastAsia="Times New Roman" w:hint="default"/>
        </w:rPr>
        <w:t>-</w:t>
      </w:r>
      <w:r>
        <w:rPr/>
        <w:t>交付的</w:t>
      </w:r>
      <w:r>
        <w:rPr>
          <w:spacing w:val="-63"/>
        </w:rPr>
        <w:t> </w:t>
      </w:r>
      <w:r>
        <w:rPr>
          <w:rFonts w:ascii="Times New Roman" w:hAnsi="Times New Roman" w:cs="Times New Roman" w:eastAsia="Times New Roman" w:hint="default"/>
        </w:rPr>
        <w:t>BT</w:t>
      </w:r>
      <w:r>
        <w:rPr>
          <w:rFonts w:ascii="Times New Roman" w:hAnsi="Times New Roman" w:cs="Times New Roman" w:eastAsia="Times New Roman" w:hint="default"/>
          <w:spacing w:val="-8"/>
        </w:rPr>
        <w:t> </w:t>
      </w:r>
      <w:r>
        <w:rPr/>
        <w:t>及相关衍生模式为主，在建设前期需要承建方提前投入资金。此外，智慧城市业</w:t>
      </w:r>
      <w:r>
        <w:rPr>
          <w:w w:val="100"/>
        </w:rPr>
        <w:t> </w:t>
      </w:r>
      <w:r>
        <w:rPr/>
        <w:t>务以城市为单元，整体规模较大，周期较长，整体规划一般在</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年以上，具体项目从落地到完成</w:t>
      </w:r>
    </w:p>
    <w:p>
      <w:pPr>
        <w:pStyle w:val="BodyText"/>
        <w:spacing w:line="230" w:lineRule="auto"/>
        <w:ind w:left="218" w:right="237"/>
        <w:jc w:val="both"/>
      </w:pPr>
      <w:r>
        <w:rPr/>
        <w:t>交付以</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年居多。因此，需要承建方具备较强的资金实力及资金运转能力。尽管公司本次非公</w:t>
      </w:r>
      <w:r>
        <w:rPr>
          <w:w w:val="100"/>
        </w:rPr>
        <w:t> </w:t>
      </w:r>
      <w:r>
        <w:rPr>
          <w:spacing w:val="-2"/>
        </w:rPr>
        <w:t>开发行股票的申请未获得审核通过，但公司后续将通过贷款、股东借款等可行的融资方式解决智</w:t>
      </w:r>
      <w:r>
        <w:rPr>
          <w:spacing w:val="-25"/>
        </w:rPr>
        <w:t> </w:t>
      </w:r>
      <w:r>
        <w:rPr>
          <w:spacing w:val="-25"/>
        </w:rPr>
      </w:r>
      <w:r>
        <w:rPr/>
        <w:t>慧城市业务发展所需的资金，支持公司战略转型。</w:t>
      </w:r>
    </w:p>
    <w:p>
      <w:pPr>
        <w:pStyle w:val="BodyText"/>
        <w:spacing w:line="274" w:lineRule="exact" w:before="23"/>
        <w:ind w:left="218" w:right="237" w:firstLine="419"/>
        <w:jc w:val="both"/>
      </w:pPr>
      <w:r>
        <w:rPr>
          <w:spacing w:val="-2"/>
        </w:rPr>
        <w:t>秉承泛集成和跨界合作的模式，为打造综合，高效，安全，绿色，宜居，美丽城市群贡献慧</w:t>
      </w:r>
      <w:r>
        <w:rPr>
          <w:w w:val="100"/>
        </w:rPr>
        <w:t> </w:t>
      </w:r>
      <w:r>
        <w:rPr/>
        <w:t>球的一份力量。</w:t>
      </w:r>
    </w:p>
    <w:p>
      <w:pPr>
        <w:spacing w:line="240" w:lineRule="auto" w:before="4"/>
        <w:rPr>
          <w:rFonts w:ascii="宋体" w:hAnsi="宋体" w:cs="宋体" w:eastAsia="宋体" w:hint="default"/>
          <w:sz w:val="16"/>
          <w:szCs w:val="16"/>
        </w:rPr>
      </w:pPr>
    </w:p>
    <w:p>
      <w:pPr>
        <w:spacing w:before="0"/>
        <w:ind w:left="638" w:right="96" w:firstLine="2"/>
        <w:jc w:val="left"/>
        <w:rPr>
          <w:rFonts w:ascii="宋体" w:hAnsi="宋体" w:cs="宋体" w:eastAsia="宋体" w:hint="default"/>
          <w:sz w:val="21"/>
          <w:szCs w:val="21"/>
        </w:rPr>
      </w:pPr>
      <w:r>
        <w:rPr>
          <w:rFonts w:ascii="宋体" w:hAnsi="宋体" w:cs="宋体" w:eastAsia="宋体" w:hint="default"/>
          <w:b/>
          <w:bCs/>
          <w:sz w:val="21"/>
          <w:szCs w:val="21"/>
        </w:rPr>
        <w:t>（二）物业管理服务板块</w:t>
      </w:r>
      <w:r>
        <w:rPr>
          <w:rFonts w:ascii="宋体" w:hAnsi="宋体" w:cs="宋体" w:eastAsia="宋体" w:hint="default"/>
          <w:b/>
          <w:bCs/>
          <w:w w:val="100"/>
          <w:sz w:val="21"/>
          <w:szCs w:val="21"/>
        </w:rPr>
        <w:t> </w:t>
      </w:r>
      <w:r>
        <w:rPr>
          <w:rFonts w:ascii="宋体" w:hAnsi="宋体" w:cs="宋体" w:eastAsia="宋体" w:hint="default"/>
          <w:spacing w:val="-2"/>
          <w:sz w:val="21"/>
          <w:szCs w:val="21"/>
        </w:rPr>
        <w:t>公司物业管理服务板块业务集中于全资子公司杭州郡原物业服务有限公司。该板块营业收入</w:t>
      </w:r>
    </w:p>
    <w:p>
      <w:pPr>
        <w:pStyle w:val="BodyText"/>
        <w:spacing w:line="272" w:lineRule="exact" w:before="24"/>
        <w:ind w:left="218" w:right="237"/>
        <w:jc w:val="both"/>
      </w:pPr>
      <w:r>
        <w:rPr>
          <w:spacing w:val="-2"/>
        </w:rPr>
        <w:t>及盈利主要来源于物业管理收入，盈利规模较小。于报告期内，该板块经营平稳，营业收入与去</w:t>
      </w:r>
      <w:r>
        <w:rPr>
          <w:spacing w:val="-25"/>
        </w:rPr>
        <w:t> </w:t>
      </w:r>
      <w:r>
        <w:rPr>
          <w:spacing w:val="-25"/>
        </w:rPr>
      </w:r>
      <w:r>
        <w:rPr/>
        <w:t>年同期基本持平。</w:t>
      </w:r>
    </w:p>
    <w:p>
      <w:pPr>
        <w:spacing w:line="240" w:lineRule="auto" w:before="4"/>
        <w:rPr>
          <w:rFonts w:ascii="宋体" w:hAnsi="宋体" w:cs="宋体" w:eastAsia="宋体" w:hint="default"/>
          <w:sz w:val="23"/>
          <w:szCs w:val="23"/>
        </w:rPr>
      </w:pPr>
    </w:p>
    <w:p>
      <w:pPr>
        <w:spacing w:line="290" w:lineRule="auto" w:before="0"/>
        <w:ind w:left="638" w:right="96" w:hanging="420"/>
        <w:jc w:val="left"/>
        <w:rPr>
          <w:rFonts w:ascii="宋体" w:hAnsi="宋体" w:cs="宋体" w:eastAsia="宋体" w:hint="default"/>
          <w:sz w:val="21"/>
          <w:szCs w:val="21"/>
        </w:rPr>
      </w:pPr>
      <w:r>
        <w:rPr>
          <w:rFonts w:ascii="宋体" w:hAnsi="宋体" w:cs="宋体" w:eastAsia="宋体" w:hint="default"/>
          <w:b/>
          <w:bCs/>
          <w:sz w:val="21"/>
          <w:szCs w:val="21"/>
        </w:rPr>
        <w:t>二、报告期内主要经营情况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报告期内，在公司管理层及全体员工努力下，公司实现了营业收入、净利润等经济指标大幅</w:t>
      </w:r>
    </w:p>
    <w:p>
      <w:pPr>
        <w:pStyle w:val="BodyText"/>
        <w:spacing w:line="234" w:lineRule="exact"/>
        <w:ind w:left="218" w:right="0"/>
        <w:jc w:val="both"/>
      </w:pPr>
      <w:r>
        <w:rPr>
          <w:spacing w:val="-6"/>
        </w:rPr>
        <w:t>增长，其中，实现营业收入</w:t>
      </w:r>
      <w:r>
        <w:rPr>
          <w:spacing w:val="-42"/>
        </w:rPr>
        <w:t> </w:t>
      </w:r>
      <w:r>
        <w:rPr>
          <w:rFonts w:ascii="Times New Roman" w:hAnsi="Times New Roman" w:cs="Times New Roman" w:eastAsia="Times New Roman" w:hint="default"/>
        </w:rPr>
        <w:t>9,290.94</w:t>
      </w:r>
      <w:r>
        <w:rPr>
          <w:rFonts w:ascii="Times New Roman" w:hAnsi="Times New Roman" w:cs="Times New Roman" w:eastAsia="Times New Roman" w:hint="default"/>
          <w:spacing w:val="8"/>
        </w:rPr>
        <w:t> </w:t>
      </w:r>
      <w:r>
        <w:rPr>
          <w:spacing w:val="-5"/>
        </w:rPr>
        <w:t>万元，较上年同期增长</w:t>
      </w:r>
      <w:r>
        <w:rPr>
          <w:spacing w:val="-42"/>
        </w:rPr>
        <w:t> </w:t>
      </w:r>
      <w:r>
        <w:rPr>
          <w:rFonts w:ascii="Times New Roman" w:hAnsi="Times New Roman" w:cs="Times New Roman" w:eastAsia="Times New Roman" w:hint="default"/>
          <w:spacing w:val="-4"/>
        </w:rPr>
        <w:t>96.14%</w:t>
      </w:r>
      <w:r>
        <w:rPr>
          <w:spacing w:val="-4"/>
        </w:rPr>
        <w:t>；实现利润总额</w:t>
      </w:r>
      <w:r>
        <w:rPr>
          <w:spacing w:val="-41"/>
        </w:rPr>
        <w:t> </w:t>
      </w:r>
      <w:r>
        <w:rPr>
          <w:rFonts w:ascii="Times New Roman" w:hAnsi="Times New Roman" w:cs="Times New Roman" w:eastAsia="Times New Roman" w:hint="default"/>
        </w:rPr>
        <w:t>628.42</w:t>
      </w:r>
      <w:r>
        <w:rPr>
          <w:rFonts w:ascii="Times New Roman" w:hAnsi="Times New Roman" w:cs="Times New Roman" w:eastAsia="Times New Roman" w:hint="default"/>
          <w:spacing w:val="8"/>
        </w:rPr>
        <w:t> </w:t>
      </w:r>
      <w:r>
        <w:rPr/>
        <w:t>万元，</w:t>
      </w:r>
    </w:p>
    <w:p>
      <w:pPr>
        <w:pStyle w:val="BodyText"/>
        <w:spacing w:line="230" w:lineRule="auto" w:before="1"/>
        <w:ind w:left="218" w:right="237"/>
        <w:jc w:val="both"/>
      </w:pPr>
      <w:r>
        <w:rPr/>
        <w:t>较上年同期增长</w:t>
      </w:r>
      <w:r>
        <w:rPr>
          <w:spacing w:val="-55"/>
        </w:rPr>
        <w:t> </w:t>
      </w:r>
      <w:r>
        <w:rPr>
          <w:rFonts w:ascii="Times New Roman" w:hAnsi="Times New Roman" w:cs="Times New Roman" w:eastAsia="Times New Roman" w:hint="default"/>
        </w:rPr>
        <w:t>159.62%</w:t>
      </w:r>
      <w:r>
        <w:rPr/>
        <w:t>。营业收入及净利润较上年同期均大幅增长的主要原因在于报告期内新</w:t>
      </w:r>
      <w:r>
        <w:rPr>
          <w:w w:val="100"/>
        </w:rPr>
        <w:t> </w:t>
      </w:r>
      <w:r>
        <w:rPr>
          <w:spacing w:val="-2"/>
        </w:rPr>
        <w:t>增智慧城市相关业务板块，且该业务板块于报告期内经营情况良好，整体实现营业收入及净利润</w:t>
      </w:r>
      <w:r>
        <w:rPr>
          <w:spacing w:val="-26"/>
        </w:rPr>
        <w:t> </w:t>
      </w:r>
      <w:r>
        <w:rPr>
          <w:spacing w:val="-26"/>
        </w:rPr>
      </w:r>
      <w:r>
        <w:rPr/>
        <w:t>贡献分别为</w:t>
      </w:r>
      <w:r>
        <w:rPr>
          <w:spacing w:val="-52"/>
        </w:rPr>
        <w:t> </w:t>
      </w:r>
      <w:r>
        <w:rPr>
          <w:rFonts w:ascii="Times New Roman" w:hAnsi="Times New Roman" w:cs="Times New Roman" w:eastAsia="Times New Roman" w:hint="default"/>
        </w:rPr>
        <w:t>4,562.1</w:t>
      </w:r>
      <w:r>
        <w:rPr>
          <w:rFonts w:ascii="Times New Roman" w:hAnsi="Times New Roman" w:cs="Times New Roman" w:eastAsia="Times New Roman" w:hint="default"/>
          <w:spacing w:val="-2"/>
        </w:rPr>
        <w:t> </w:t>
      </w:r>
      <w:r>
        <w:rPr/>
        <w:t>万元及</w:t>
      </w:r>
      <w:r>
        <w:rPr>
          <w:spacing w:val="-52"/>
        </w:rPr>
        <w:t> </w:t>
      </w:r>
      <w:r>
        <w:rPr>
          <w:rFonts w:ascii="Times New Roman" w:hAnsi="Times New Roman" w:cs="Times New Roman" w:eastAsia="Times New Roman" w:hint="default"/>
        </w:rPr>
        <w:t>291</w:t>
      </w:r>
      <w:r>
        <w:rPr>
          <w:rFonts w:ascii="Times New Roman" w:hAnsi="Times New Roman" w:cs="Times New Roman" w:eastAsia="Times New Roman" w:hint="default"/>
          <w:spacing w:val="-2"/>
        </w:rPr>
        <w:t> </w:t>
      </w:r>
      <w:r>
        <w:rPr/>
        <w:t>万元。</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15"/>
          <w:footerReference w:type="default" r:id="rId16"/>
          <w:pgSz w:w="11910" w:h="16840"/>
          <w:pgMar w:header="880" w:footer="1195" w:top="1120" w:bottom="1380" w:left="1580" w:right="1040"/>
          <w:pgNumType w:start="20"/>
        </w:sectPr>
      </w:pPr>
    </w:p>
    <w:p>
      <w:pPr>
        <w:pStyle w:val="Heading3"/>
        <w:spacing w:line="240" w:lineRule="auto" w:before="36"/>
        <w:ind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Heading3"/>
        <w:spacing w:line="240" w:lineRule="auto"/>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8"/>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1855" w:space="848"/>
            <w:col w:w="4016" w:space="40"/>
            <w:col w:w="253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92,909,443.18</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47,368,751.54</w:t>
            </w:r>
            <w:r>
              <w:rPr>
                <w:rFonts w:ascii="Times New Roman"/>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sz w:val="20"/>
              </w:rPr>
              <w:t>96.14</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63,297,102.43</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32,865,558.28</w:t>
            </w:r>
            <w:r>
              <w:rPr>
                <w:rFonts w:ascii="Times New Roman"/>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92.59</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18,428,255.23</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9,299,540.00</w:t>
            </w:r>
            <w:r>
              <w:rPr>
                <w:rFonts w:ascii="Times New Roman"/>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98.16</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653,467.63</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-174,997.88</w:t>
            </w:r>
            <w:r>
              <w:rPr>
                <w:rFonts w:ascii="Times New Roman"/>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w w:val="95"/>
                <w:sz w:val="20"/>
              </w:rPr>
              <w:t>473.41</w:t>
            </w:r>
            <w:r>
              <w:rPr>
                <w:rFonts w:ascii="Times New Roman"/>
                <w:sz w:val="20"/>
              </w:rPr>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-92,438,722.02</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-2,521,865.90</w:t>
            </w:r>
            <w:r>
              <w:rPr>
                <w:rFonts w:ascii="Times New Roman"/>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-3,565.49</w:t>
            </w:r>
            <w:r>
              <w:rPr>
                <w:rFonts w:ascii="Times New Roman"/>
                <w:sz w:val="20"/>
              </w:rPr>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-901,841.07</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280,761.83</w:t>
            </w:r>
            <w:r>
              <w:rPr>
                <w:rFonts w:ascii="Times New Roman"/>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-421.21</w:t>
            </w:r>
            <w:r>
              <w:rPr>
                <w:rFonts w:ascii="Times New Roman"/>
                <w:sz w:val="20"/>
              </w:rPr>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81,177,759.00</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pStyle w:val="BodyText"/>
        <w:spacing w:line="240" w:lineRule="exact"/>
        <w:ind w:left="578" w:right="2465"/>
        <w:jc w:val="left"/>
      </w:pPr>
      <w:r>
        <w:rPr/>
        <w:t>变动原因说明：</w:t>
      </w:r>
    </w:p>
    <w:p>
      <w:pPr>
        <w:pStyle w:val="BodyText"/>
        <w:spacing w:line="237" w:lineRule="auto" w:before="2"/>
        <w:ind w:left="578" w:right="96"/>
        <w:jc w:val="left"/>
      </w:pPr>
      <w:r>
        <w:rPr/>
        <w:t>营业收入变动原因说明：本期增加了智慧城市项目。</w:t>
      </w:r>
      <w:r>
        <w:rPr>
          <w:w w:val="100"/>
        </w:rPr>
        <w:t> </w:t>
      </w:r>
      <w:r>
        <w:rPr/>
        <w:t>营业成本变动原因说明：本期增加了智慧城市项目。</w:t>
      </w:r>
      <w:r>
        <w:rPr>
          <w:w w:val="100"/>
        </w:rPr>
        <w:t> </w:t>
      </w:r>
      <w:r>
        <w:rPr/>
        <w:t>管理费用变动原因说明：本期增加了智慧城市项目。</w:t>
      </w:r>
      <w:r>
        <w:rPr>
          <w:w w:val="100"/>
        </w:rPr>
        <w:t> </w:t>
      </w:r>
      <w:r>
        <w:rPr/>
        <w:t>财务费用变动原因说明：本期增加了智慧城市项目。</w:t>
      </w:r>
      <w:r>
        <w:rPr>
          <w:w w:val="100"/>
        </w:rPr>
        <w:t> </w:t>
      </w:r>
      <w:r>
        <w:rPr>
          <w:spacing w:val="-2"/>
        </w:rPr>
        <w:t>经营活动产生的现金流量净额变动原因说明：开展智慧城市项目投入及归还郡原地产债务。</w:t>
      </w:r>
      <w:r>
        <w:rPr>
          <w:spacing w:val="-28"/>
        </w:rPr>
        <w:t> </w:t>
      </w:r>
      <w:r>
        <w:rPr>
          <w:spacing w:val="-28"/>
        </w:rPr>
      </w:r>
      <w:r>
        <w:rPr/>
        <w:t>投资活动产生的现金流量净额变动原因说明：本期公司购置固定资产增加。</w:t>
      </w:r>
      <w:r>
        <w:rPr>
          <w:w w:val="100"/>
        </w:rPr>
        <w:t> </w:t>
      </w:r>
      <w:r>
        <w:rPr/>
        <w:t>筹资活动产生的现金流量净额变动原因说明：本期公司向董事长顾国平借款。</w:t>
      </w:r>
    </w:p>
    <w:p>
      <w:pPr>
        <w:spacing w:line="240" w:lineRule="auto" w:before="2"/>
        <w:rPr>
          <w:rFonts w:ascii="宋体" w:hAnsi="宋体" w:cs="宋体" w:eastAsia="宋体" w:hint="default"/>
          <w:sz w:val="24"/>
          <w:szCs w:val="24"/>
        </w:rPr>
      </w:pPr>
    </w:p>
    <w:p>
      <w:pPr>
        <w:pStyle w:val="Heading3"/>
        <w:tabs>
          <w:tab w:pos="637" w:val="left" w:leader="none"/>
        </w:tabs>
        <w:spacing w:line="240" w:lineRule="auto"/>
        <w:ind w:right="2465"/>
        <w:jc w:val="left"/>
        <w:rPr>
          <w:b w:val="0"/>
          <w:bCs w:val="0"/>
        </w:rPr>
      </w:pPr>
      <w:r>
        <w:rPr>
          <w:rFonts w:ascii="宋体" w:hAnsi="宋体" w:cs="宋体" w:eastAsia="宋体" w:hint="default"/>
          <w:w w:val="95"/>
        </w:rPr>
        <w:t>1.</w:t>
        <w:tab/>
      </w:r>
      <w:r>
        <w:rPr/>
        <w:t>收入和成本分析</w:t>
      </w:r>
      <w:r>
        <w:rPr>
          <w:b w:val="0"/>
          <w:bCs w:val="0"/>
        </w:rPr>
      </w:r>
    </w:p>
    <w:p>
      <w:pPr>
        <w:pStyle w:val="BodyText"/>
        <w:spacing w:line="274" w:lineRule="exact" w:before="82"/>
        <w:ind w:left="218" w:right="96"/>
        <w:jc w:val="left"/>
      </w:pPr>
      <w:r>
        <w:rPr>
          <w:spacing w:val="-3"/>
        </w:rPr>
        <w:t>报告期内，公司实现营业收入</w:t>
      </w:r>
      <w:r>
        <w:rPr>
          <w:spacing w:val="-33"/>
        </w:rPr>
        <w:t> </w:t>
      </w:r>
      <w:r>
        <w:rPr>
          <w:rFonts w:ascii="Times New Roman" w:hAnsi="Times New Roman" w:cs="Times New Roman" w:eastAsia="Times New Roman" w:hint="default"/>
        </w:rPr>
        <w:t>9,290.94</w:t>
      </w:r>
      <w:r>
        <w:rPr>
          <w:rFonts w:ascii="Times New Roman" w:hAnsi="Times New Roman" w:cs="Times New Roman" w:eastAsia="Times New Roman" w:hint="default"/>
          <w:spacing w:val="20"/>
        </w:rPr>
        <w:t> </w:t>
      </w:r>
      <w:r>
        <w:rPr>
          <w:spacing w:val="-4"/>
        </w:rPr>
        <w:t>万元，比上年同期增长</w:t>
      </w:r>
      <w:r>
        <w:rPr>
          <w:spacing w:val="-33"/>
        </w:rPr>
        <w:t> </w:t>
      </w:r>
      <w:r>
        <w:rPr>
          <w:rFonts w:ascii="Times New Roman" w:hAnsi="Times New Roman" w:cs="Times New Roman" w:eastAsia="Times New Roman" w:hint="default"/>
          <w:spacing w:val="-3"/>
        </w:rPr>
        <w:t>96.14%</w:t>
      </w:r>
      <w:r>
        <w:rPr>
          <w:spacing w:val="-3"/>
        </w:rPr>
        <w:t>。增加原因是本期增加了智</w:t>
      </w:r>
      <w:r>
        <w:rPr>
          <w:spacing w:val="-98"/>
        </w:rPr>
        <w:t> </w:t>
      </w:r>
      <w:r>
        <w:rPr>
          <w:spacing w:val="-98"/>
        </w:rPr>
      </w:r>
      <w:r>
        <w:rPr/>
        <w:t>慧城市板块整体收入</w:t>
      </w:r>
      <w:r>
        <w:rPr>
          <w:spacing w:val="-55"/>
        </w:rPr>
        <w:t> </w:t>
      </w:r>
      <w:r>
        <w:rPr>
          <w:rFonts w:ascii="Times New Roman" w:hAnsi="Times New Roman" w:cs="Times New Roman" w:eastAsia="Times New Roman" w:hint="default"/>
        </w:rPr>
        <w:t>4,562.1</w:t>
      </w:r>
      <w:r>
        <w:rPr>
          <w:rFonts w:ascii="Times New Roman" w:hAnsi="Times New Roman" w:cs="Times New Roman" w:eastAsia="Times New Roman" w:hint="default"/>
          <w:spacing w:val="-2"/>
        </w:rPr>
        <w:t> </w:t>
      </w:r>
      <w:r>
        <w:rPr/>
        <w:t>万元。公司实现营业成本</w:t>
      </w:r>
      <w:r>
        <w:rPr>
          <w:spacing w:val="-55"/>
        </w:rPr>
        <w:t> </w:t>
      </w:r>
      <w:r>
        <w:rPr>
          <w:rFonts w:ascii="Times New Roman" w:hAnsi="Times New Roman" w:cs="Times New Roman" w:eastAsia="Times New Roman" w:hint="default"/>
        </w:rPr>
        <w:t>6,329.71</w:t>
      </w:r>
      <w:r>
        <w:rPr>
          <w:rFonts w:ascii="Times New Roman" w:hAnsi="Times New Roman" w:cs="Times New Roman" w:eastAsia="Times New Roman" w:hint="default"/>
          <w:spacing w:val="-5"/>
        </w:rPr>
        <w:t> </w:t>
      </w:r>
      <w:r>
        <w:rPr/>
        <w:t>万元，比上年同期增长</w:t>
      </w:r>
      <w:r>
        <w:rPr>
          <w:spacing w:val="-54"/>
        </w:rPr>
        <w:t> </w:t>
      </w:r>
      <w:r>
        <w:rPr>
          <w:rFonts w:ascii="Times New Roman" w:hAnsi="Times New Roman" w:cs="Times New Roman" w:eastAsia="Times New Roman" w:hint="default"/>
        </w:rPr>
        <w:t>92.59%</w:t>
      </w:r>
      <w:r>
        <w:rPr/>
        <w:t>。</w:t>
      </w:r>
    </w:p>
    <w:p>
      <w:pPr>
        <w:pStyle w:val="BodyText"/>
        <w:spacing w:line="262" w:lineRule="exact"/>
        <w:ind w:left="218" w:right="2465"/>
        <w:jc w:val="left"/>
      </w:pPr>
      <w:r>
        <w:rPr/>
        <w:t>增加原因是本期增加了智慧城市项目成本</w:t>
      </w:r>
      <w:r>
        <w:rPr>
          <w:spacing w:val="-54"/>
        </w:rPr>
        <w:t> </w:t>
      </w:r>
      <w:r>
        <w:rPr>
          <w:rFonts w:ascii="Times New Roman" w:hAnsi="Times New Roman" w:cs="Times New Roman" w:eastAsia="Times New Roman" w:hint="default"/>
        </w:rPr>
        <w:t>2,880</w:t>
      </w:r>
      <w:r>
        <w:rPr>
          <w:rFonts w:ascii="Times New Roman" w:hAnsi="Times New Roman" w:cs="Times New Roman" w:eastAsia="Times New Roman" w:hint="default"/>
          <w:spacing w:val="-1"/>
        </w:rPr>
        <w:t> </w:t>
      </w:r>
      <w:r>
        <w:rPr/>
        <w:t>万元。</w:t>
      </w:r>
    </w:p>
    <w:p>
      <w:pPr>
        <w:spacing w:line="240" w:lineRule="auto" w:before="3"/>
        <w:rPr>
          <w:rFonts w:ascii="宋体" w:hAnsi="宋体" w:cs="宋体" w:eastAsia="宋体" w:hint="default"/>
          <w:sz w:val="21"/>
          <w:szCs w:val="21"/>
        </w:rPr>
      </w:pPr>
    </w:p>
    <w:p>
      <w:pPr>
        <w:pStyle w:val="Heading3"/>
        <w:spacing w:line="240" w:lineRule="auto" w:before="36"/>
        <w:ind w:right="246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5"/>
        <w:gridCol w:w="1419"/>
        <w:gridCol w:w="1416"/>
        <w:gridCol w:w="1275"/>
        <w:gridCol w:w="1135"/>
        <w:gridCol w:w="1191"/>
        <w:gridCol w:w="1229"/>
      </w:tblGrid>
      <w:tr>
        <w:trPr>
          <w:trHeight w:val="28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94" w:right="13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220" w:right="168"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物业管理服务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6" w:right="0"/>
              <w:jc w:val="center"/>
              <w:rPr>
                <w:rFonts w:ascii="Times New Roman" w:hAnsi="Times New Roman" w:cs="Times New Roman" w:eastAsia="Times New Roman" w:hint="default"/>
                <w:sz w:val="20"/>
                <w:szCs w:val="20"/>
              </w:rPr>
            </w:pPr>
            <w:r>
              <w:rPr>
                <w:rFonts w:ascii="Times New Roman"/>
                <w:sz w:val="20"/>
              </w:rPr>
              <w:t>44,208,162.83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9" w:right="0"/>
              <w:jc w:val="center"/>
              <w:rPr>
                <w:rFonts w:ascii="Times New Roman" w:hAnsi="Times New Roman" w:cs="Times New Roman" w:eastAsia="Times New Roman" w:hint="default"/>
                <w:sz w:val="20"/>
                <w:szCs w:val="20"/>
              </w:rPr>
            </w:pPr>
            <w:r>
              <w:rPr>
                <w:rFonts w:ascii="Times New Roman"/>
                <w:sz w:val="20"/>
              </w:rPr>
              <w:t>33,902,877.99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0" w:right="0"/>
              <w:jc w:val="left"/>
              <w:rPr>
                <w:rFonts w:ascii="Times New Roman" w:hAnsi="Times New Roman" w:cs="Times New Roman" w:eastAsia="Times New Roman" w:hint="default"/>
                <w:sz w:val="20"/>
                <w:szCs w:val="20"/>
              </w:rPr>
            </w:pPr>
            <w:r>
              <w:rPr>
                <w:rFonts w:ascii="Times New Roman"/>
                <w:sz w:val="20"/>
              </w:rPr>
              <w:t>23.31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84" w:right="0"/>
              <w:jc w:val="left"/>
              <w:rPr>
                <w:rFonts w:ascii="Times New Roman" w:hAnsi="Times New Roman" w:cs="Times New Roman" w:eastAsia="Times New Roman" w:hint="default"/>
                <w:sz w:val="20"/>
                <w:szCs w:val="20"/>
              </w:rPr>
            </w:pPr>
            <w:r>
              <w:rPr>
                <w:rFonts w:ascii="Times New Roman"/>
                <w:sz w:val="20"/>
              </w:rPr>
              <w:t>-0.43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5.36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87" w:right="0"/>
              <w:jc w:val="left"/>
              <w:rPr>
                <w:rFonts w:ascii="Times New Roman" w:hAnsi="Times New Roman" w:cs="Times New Roman" w:eastAsia="Times New Roman" w:hint="default"/>
                <w:sz w:val="20"/>
                <w:szCs w:val="20"/>
              </w:rPr>
            </w:pPr>
            <w:r>
              <w:rPr>
                <w:rFonts w:ascii="Times New Roman"/>
                <w:sz w:val="20"/>
              </w:rPr>
              <w:t>-4.22</w:t>
            </w:r>
          </w:p>
        </w:tc>
      </w:tr>
      <w:tr>
        <w:trPr>
          <w:trHeight w:val="2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6" w:right="0"/>
              <w:jc w:val="center"/>
              <w:rPr>
                <w:rFonts w:ascii="Times New Roman" w:hAnsi="Times New Roman" w:cs="Times New Roman" w:eastAsia="Times New Roman" w:hint="default"/>
                <w:sz w:val="20"/>
                <w:szCs w:val="20"/>
              </w:rPr>
            </w:pPr>
            <w:r>
              <w:rPr>
                <w:rFonts w:ascii="Times New Roman"/>
                <w:sz w:val="20"/>
              </w:rPr>
              <w:t>41,479,334.82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9" w:right="0"/>
              <w:jc w:val="center"/>
              <w:rPr>
                <w:rFonts w:ascii="Times New Roman" w:hAnsi="Times New Roman" w:cs="Times New Roman" w:eastAsia="Times New Roman" w:hint="default"/>
                <w:sz w:val="20"/>
                <w:szCs w:val="20"/>
              </w:rPr>
            </w:pPr>
            <w:r>
              <w:rPr>
                <w:rFonts w:ascii="Times New Roman"/>
                <w:sz w:val="20"/>
              </w:rPr>
              <w:t>28,800,103.69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10" w:right="0"/>
              <w:jc w:val="left"/>
              <w:rPr>
                <w:rFonts w:ascii="Times New Roman" w:hAnsi="Times New Roman" w:cs="Times New Roman" w:eastAsia="Times New Roman" w:hint="default"/>
                <w:sz w:val="20"/>
                <w:szCs w:val="20"/>
              </w:rPr>
            </w:pPr>
            <w:r>
              <w:rPr>
                <w:rFonts w:ascii="Times New Roman"/>
                <w:sz w:val="20"/>
              </w:rPr>
              <w:t>30.57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pStyle w:val="BodyText"/>
        <w:spacing w:line="257" w:lineRule="exact"/>
        <w:ind w:left="218" w:right="96"/>
        <w:jc w:val="left"/>
      </w:pPr>
      <w:r>
        <w:rPr>
          <w:spacing w:val="-2"/>
        </w:rPr>
        <w:t>物业管理服务的毛利率比上年同期减少</w:t>
      </w:r>
      <w:r>
        <w:rPr>
          <w:spacing w:val="26"/>
        </w:rPr>
        <w:t> </w:t>
      </w:r>
      <w:r>
        <w:rPr>
          <w:rFonts w:ascii="Times New Roman" w:hAnsi="Times New Roman" w:cs="Times New Roman" w:eastAsia="Times New Roman" w:hint="default"/>
          <w:spacing w:val="-2"/>
        </w:rPr>
        <w:t>4.22%</w:t>
      </w:r>
      <w:r>
        <w:rPr>
          <w:spacing w:val="-2"/>
        </w:rPr>
        <w:t>，主要原因在于物业管理服务项目成本增加。</w:t>
      </w:r>
    </w:p>
    <w:p>
      <w:pPr>
        <w:spacing w:line="240" w:lineRule="auto" w:before="3"/>
        <w:rPr>
          <w:rFonts w:ascii="宋体" w:hAnsi="宋体" w:cs="宋体" w:eastAsia="宋体" w:hint="default"/>
          <w:sz w:val="21"/>
          <w:szCs w:val="21"/>
        </w:rPr>
      </w:pPr>
    </w:p>
    <w:p>
      <w:pPr>
        <w:pStyle w:val="Heading3"/>
        <w:spacing w:line="240" w:lineRule="auto" w:before="36"/>
        <w:ind w:right="2465"/>
        <w:jc w:val="left"/>
        <w:rPr>
          <w:b w:val="0"/>
          <w:bCs w:val="0"/>
        </w:rPr>
      </w:pPr>
      <w:r>
        <w:rPr>
          <w:rFonts w:ascii="宋体" w:hAnsi="宋体" w:cs="宋体" w:eastAsia="宋体" w:hint="default"/>
        </w:rPr>
        <w:t>(2).</w:t>
      </w:r>
      <w:r>
        <w:rPr>
          <w:rFonts w:ascii="宋体" w:hAnsi="宋体" w:cs="宋体" w:eastAsia="宋体" w:hint="default"/>
          <w:spacing w:val="39"/>
        </w:rPr>
        <w:t> </w:t>
      </w:r>
      <w:r>
        <w:rPr/>
        <w:t>成本分析表</w:t>
      </w:r>
      <w:r>
        <w:rPr>
          <w:b w:val="0"/>
          <w:bCs w:val="0"/>
        </w:rPr>
      </w:r>
    </w:p>
    <w:p>
      <w:pPr>
        <w:pStyle w:val="BodyText"/>
        <w:spacing w:line="240" w:lineRule="auto" w:before="58"/>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6"/>
        <w:gridCol w:w="1129"/>
        <w:gridCol w:w="1524"/>
        <w:gridCol w:w="1004"/>
        <w:gridCol w:w="1622"/>
        <w:gridCol w:w="932"/>
        <w:gridCol w:w="905"/>
        <w:gridCol w:w="828"/>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1"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48" w:right="135"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29" w:right="125" w:firstLine="50"/>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146"/>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32" w:right="127"/>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9" w:right="19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478"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2"/>
                <w:sz w:val="18"/>
                <w:szCs w:val="18"/>
              </w:rPr>
              <w:t>物业管理</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center"/>
              <w:rPr>
                <w:rFonts w:ascii="Times New Roman" w:hAnsi="Times New Roman" w:cs="Times New Roman" w:eastAsia="Times New Roman" w:hint="default"/>
                <w:sz w:val="21"/>
                <w:szCs w:val="21"/>
              </w:rPr>
            </w:pPr>
            <w:r>
              <w:rPr>
                <w:rFonts w:ascii="Times New Roman"/>
                <w:sz w:val="21"/>
              </w:rPr>
              <w:t>34,496,998.74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54.50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32,865,558.28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4.96</w:t>
            </w: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2"/>
                <w:sz w:val="18"/>
                <w:szCs w:val="18"/>
              </w:rPr>
              <w:t>智慧城市</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相关业务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材料、</w:t>
            </w:r>
            <w:r>
              <w:rPr>
                <w:rFonts w:ascii="宋体" w:hAnsi="宋体" w:cs="宋体" w:eastAsia="宋体" w:hint="default"/>
                <w:spacing w:val="-76"/>
                <w:sz w:val="21"/>
                <w:szCs w:val="21"/>
              </w:rPr>
              <w:t> </w:t>
            </w:r>
            <w:r>
              <w:rPr>
                <w:rFonts w:ascii="宋体" w:hAnsi="宋体" w:cs="宋体" w:eastAsia="宋体" w:hint="default"/>
                <w:sz w:val="21"/>
                <w:szCs w:val="21"/>
              </w:rPr>
              <w:t>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工费</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center"/>
              <w:rPr>
                <w:rFonts w:ascii="Times New Roman" w:hAnsi="Times New Roman" w:cs="Times New Roman" w:eastAsia="Times New Roman" w:hint="default"/>
                <w:sz w:val="21"/>
                <w:szCs w:val="21"/>
              </w:rPr>
            </w:pPr>
            <w:r>
              <w:rPr>
                <w:rFonts w:ascii="Times New Roman"/>
                <w:sz w:val="21"/>
              </w:rPr>
              <w:t>28,800,103.69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45.50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89"/>
                <w:sz w:val="21"/>
                <w:szCs w:val="21"/>
              </w:rPr>
              <w:t> </w:t>
            </w:r>
            <w:r>
              <w:rPr>
                <w:rFonts w:ascii="宋体" w:hAnsi="宋体" w:cs="宋体" w:eastAsia="宋体" w:hint="default"/>
                <w:sz w:val="21"/>
                <w:szCs w:val="21"/>
              </w:rPr>
              <w:t>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9"/>
                <w:sz w:val="21"/>
                <w:szCs w:val="21"/>
              </w:rPr>
              <w:t> </w:t>
            </w:r>
            <w:r>
              <w:rPr>
                <w:rFonts w:ascii="宋体" w:hAnsi="宋体" w:cs="宋体" w:eastAsia="宋体" w:hint="default"/>
                <w:sz w:val="21"/>
                <w:szCs w:val="21"/>
              </w:rPr>
              <w:t>增</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89"/>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板块</w:t>
            </w:r>
          </w:p>
        </w:tc>
      </w:tr>
    </w:tbl>
    <w:p>
      <w:pPr>
        <w:pStyle w:val="BodyText"/>
        <w:spacing w:line="257" w:lineRule="exact"/>
        <w:ind w:left="218" w:right="96"/>
        <w:jc w:val="left"/>
      </w:pPr>
      <w:r>
        <w:rPr>
          <w:spacing w:val="-2"/>
        </w:rPr>
        <w:t>物业管理服务板块的成本比上年同期增加</w:t>
      </w:r>
      <w:r>
        <w:rPr>
          <w:spacing w:val="28"/>
        </w:rPr>
        <w:t> </w:t>
      </w:r>
      <w:r>
        <w:rPr>
          <w:rFonts w:ascii="Times New Roman" w:hAnsi="Times New Roman" w:cs="Times New Roman" w:eastAsia="Times New Roman" w:hint="default"/>
          <w:spacing w:val="-2"/>
        </w:rPr>
        <w:t>4.96%,</w:t>
      </w:r>
      <w:r>
        <w:rPr>
          <w:spacing w:val="-2"/>
        </w:rPr>
        <w:t>主要原因是物业管理服务项目成本增加了。</w:t>
      </w:r>
    </w:p>
    <w:p>
      <w:pPr>
        <w:spacing w:after="0" w:line="257" w:lineRule="exact"/>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r>
        <w:rPr/>
        <w:pict>
          <v:group style="position:absolute;margin-left:89.183998pt;margin-top:621.099976pt;width:369.35pt;height:.5pt;mso-position-horizontal-relative:page;mso-position-vertical-relative:page;z-index:-594520" coordorigin="1784,12422" coordsize="7387,10">
            <v:shape style="position:absolute;left:1784;top:12422;width:3555;height:10" type="#_x0000_t75" stroked="false">
              <v:imagedata r:id="rId17" o:title=""/>
            </v:shape>
            <v:shape style="position:absolute;left:5334;top:12422;width:1848;height:10" type="#_x0000_t75" stroked="false">
              <v:imagedata r:id="rId18" o:title=""/>
            </v:shape>
            <v:shape style="position:absolute;left:7177;top:12422;width:1993;height:10" type="#_x0000_t75" stroked="false">
              <v:imagedata r:id="rId19" o:title=""/>
            </v:shape>
            <w10:wrap type="none"/>
          </v:group>
        </w:pict>
      </w:r>
    </w:p>
    <w:p>
      <w:pPr>
        <w:pStyle w:val="BodyText"/>
        <w:spacing w:line="240" w:lineRule="auto" w:before="36"/>
        <w:ind w:right="123"/>
        <w:jc w:val="left"/>
      </w:pPr>
      <w:r>
        <w:rPr/>
        <w:t>营业成本构成如下：</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079"/>
        <w:gridCol w:w="2081"/>
        <w:gridCol w:w="1820"/>
        <w:gridCol w:w="1822"/>
      </w:tblGrid>
      <w:tr>
        <w:trPr>
          <w:trHeight w:val="283"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营业成本构成</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智慧城市业务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sz w:val="21"/>
                <w:szCs w:val="21"/>
              </w:rPr>
              <w:t>物业管理服务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小计</w:t>
            </w:r>
          </w:p>
        </w:tc>
      </w:tr>
      <w:tr>
        <w:trPr>
          <w:trHeight w:val="427"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材料</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0"/>
              <w:jc w:val="right"/>
              <w:rPr>
                <w:rFonts w:ascii="Times New Roman" w:hAnsi="Times New Roman" w:cs="Times New Roman" w:eastAsia="Times New Roman" w:hint="default"/>
                <w:sz w:val="21"/>
                <w:szCs w:val="21"/>
              </w:rPr>
            </w:pPr>
            <w:r>
              <w:rPr>
                <w:rFonts w:ascii="Times New Roman"/>
                <w:spacing w:val="-1"/>
                <w:sz w:val="21"/>
              </w:rPr>
              <w:t>23,753,385.92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0" w:right="0"/>
              <w:jc w:val="left"/>
              <w:rPr>
                <w:rFonts w:ascii="Times New Roman" w:hAnsi="Times New Roman" w:cs="Times New Roman" w:eastAsia="Times New Roman" w:hint="default"/>
                <w:sz w:val="21"/>
                <w:szCs w:val="21"/>
              </w:rPr>
            </w:pPr>
            <w:r>
              <w:rPr>
                <w:rFonts w:ascii="Times New Roman"/>
                <w:sz w:val="21"/>
              </w:rPr>
              <w:t>6,052,700.69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86"/>
              <w:jc w:val="right"/>
              <w:rPr>
                <w:rFonts w:ascii="Times New Roman" w:hAnsi="Times New Roman" w:cs="Times New Roman" w:eastAsia="Times New Roman" w:hint="default"/>
                <w:sz w:val="21"/>
                <w:szCs w:val="21"/>
              </w:rPr>
            </w:pPr>
            <w:r>
              <w:rPr>
                <w:rFonts w:ascii="Times New Roman"/>
                <w:spacing w:val="-1"/>
                <w:sz w:val="21"/>
              </w:rPr>
              <w:t>29,806,086.61</w:t>
            </w:r>
          </w:p>
        </w:tc>
      </w:tr>
      <w:tr>
        <w:trPr>
          <w:trHeight w:val="480"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人工</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0"/>
              <w:jc w:val="right"/>
              <w:rPr>
                <w:rFonts w:ascii="Times New Roman" w:hAnsi="Times New Roman" w:cs="Times New Roman" w:eastAsia="Times New Roman" w:hint="default"/>
                <w:sz w:val="21"/>
                <w:szCs w:val="21"/>
              </w:rPr>
            </w:pPr>
            <w:r>
              <w:rPr>
                <w:rFonts w:ascii="Times New Roman"/>
                <w:spacing w:val="-1"/>
                <w:sz w:val="21"/>
              </w:rPr>
              <w:t>5,046,717.77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4" w:right="0"/>
              <w:jc w:val="left"/>
              <w:rPr>
                <w:rFonts w:ascii="Times New Roman" w:hAnsi="Times New Roman" w:cs="Times New Roman" w:eastAsia="Times New Roman" w:hint="default"/>
                <w:sz w:val="21"/>
                <w:szCs w:val="21"/>
              </w:rPr>
            </w:pPr>
            <w:r>
              <w:rPr>
                <w:rFonts w:ascii="Times New Roman"/>
                <w:sz w:val="21"/>
              </w:rPr>
              <w:t>19,417,767.79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86"/>
              <w:jc w:val="right"/>
              <w:rPr>
                <w:rFonts w:ascii="Times New Roman" w:hAnsi="Times New Roman" w:cs="Times New Roman" w:eastAsia="Times New Roman" w:hint="default"/>
                <w:sz w:val="21"/>
                <w:szCs w:val="21"/>
              </w:rPr>
            </w:pPr>
            <w:r>
              <w:rPr>
                <w:rFonts w:ascii="Times New Roman"/>
                <w:spacing w:val="-1"/>
                <w:sz w:val="21"/>
              </w:rPr>
              <w:t>24,464,485.56</w:t>
            </w:r>
          </w:p>
        </w:tc>
      </w:tr>
      <w:tr>
        <w:trPr>
          <w:trHeight w:val="480"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折旧</w:t>
            </w:r>
          </w:p>
        </w:tc>
        <w:tc>
          <w:tcPr>
            <w:tcW w:w="2081"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4" w:right="0"/>
              <w:jc w:val="left"/>
              <w:rPr>
                <w:rFonts w:ascii="Times New Roman" w:hAnsi="Times New Roman" w:cs="Times New Roman" w:eastAsia="Times New Roman" w:hint="default"/>
                <w:sz w:val="21"/>
                <w:szCs w:val="21"/>
              </w:rPr>
            </w:pPr>
            <w:r>
              <w:rPr>
                <w:rFonts w:ascii="Times New Roman"/>
                <w:sz w:val="21"/>
              </w:rPr>
              <w:t>58,854.96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3"/>
              <w:jc w:val="right"/>
              <w:rPr>
                <w:rFonts w:ascii="Times New Roman" w:hAnsi="Times New Roman" w:cs="Times New Roman" w:eastAsia="Times New Roman" w:hint="default"/>
                <w:sz w:val="21"/>
                <w:szCs w:val="21"/>
              </w:rPr>
            </w:pPr>
            <w:r>
              <w:rPr>
                <w:rFonts w:ascii="Times New Roman"/>
                <w:spacing w:val="-1"/>
                <w:sz w:val="21"/>
              </w:rPr>
              <w:t>58,854.96</w:t>
            </w:r>
          </w:p>
        </w:tc>
      </w:tr>
      <w:tr>
        <w:trPr>
          <w:trHeight w:val="482"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能源</w:t>
            </w:r>
          </w:p>
        </w:tc>
        <w:tc>
          <w:tcPr>
            <w:tcW w:w="2081"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20" w:right="0"/>
              <w:jc w:val="left"/>
              <w:rPr>
                <w:rFonts w:ascii="Times New Roman" w:hAnsi="Times New Roman" w:cs="Times New Roman" w:eastAsia="Times New Roman" w:hint="default"/>
                <w:sz w:val="21"/>
                <w:szCs w:val="21"/>
              </w:rPr>
            </w:pPr>
            <w:r>
              <w:rPr>
                <w:rFonts w:ascii="Times New Roman"/>
                <w:sz w:val="21"/>
              </w:rPr>
              <w:t>1,689,771.56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86"/>
              <w:jc w:val="right"/>
              <w:rPr>
                <w:rFonts w:ascii="Times New Roman" w:hAnsi="Times New Roman" w:cs="Times New Roman" w:eastAsia="Times New Roman" w:hint="default"/>
                <w:sz w:val="21"/>
                <w:szCs w:val="21"/>
              </w:rPr>
            </w:pPr>
            <w:r>
              <w:rPr>
                <w:rFonts w:ascii="Times New Roman"/>
                <w:spacing w:val="-1"/>
                <w:sz w:val="21"/>
              </w:rPr>
              <w:t>1,689,771.56</w:t>
            </w:r>
          </w:p>
        </w:tc>
      </w:tr>
      <w:tr>
        <w:trPr>
          <w:trHeight w:val="480"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保洁</w:t>
            </w:r>
          </w:p>
        </w:tc>
        <w:tc>
          <w:tcPr>
            <w:tcW w:w="2081"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0" w:right="0"/>
              <w:jc w:val="left"/>
              <w:rPr>
                <w:rFonts w:ascii="Times New Roman" w:hAnsi="Times New Roman" w:cs="Times New Roman" w:eastAsia="Times New Roman" w:hint="default"/>
                <w:sz w:val="21"/>
                <w:szCs w:val="21"/>
              </w:rPr>
            </w:pPr>
            <w:r>
              <w:rPr>
                <w:rFonts w:ascii="Times New Roman"/>
                <w:sz w:val="21"/>
              </w:rPr>
              <w:t>4,334,509.58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86"/>
              <w:jc w:val="right"/>
              <w:rPr>
                <w:rFonts w:ascii="Times New Roman" w:hAnsi="Times New Roman" w:cs="Times New Roman" w:eastAsia="Times New Roman" w:hint="default"/>
                <w:sz w:val="21"/>
                <w:szCs w:val="21"/>
              </w:rPr>
            </w:pPr>
            <w:r>
              <w:rPr>
                <w:rFonts w:ascii="Times New Roman"/>
                <w:spacing w:val="-1"/>
                <w:sz w:val="21"/>
              </w:rPr>
              <w:t>4,334,509.58</w:t>
            </w:r>
          </w:p>
        </w:tc>
      </w:tr>
      <w:tr>
        <w:trPr>
          <w:trHeight w:val="483"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081"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20" w:right="0"/>
              <w:jc w:val="left"/>
              <w:rPr>
                <w:rFonts w:ascii="Times New Roman" w:hAnsi="Times New Roman" w:cs="Times New Roman" w:eastAsia="Times New Roman" w:hint="default"/>
                <w:sz w:val="21"/>
                <w:szCs w:val="21"/>
              </w:rPr>
            </w:pPr>
            <w:r>
              <w:rPr>
                <w:rFonts w:ascii="Times New Roman"/>
                <w:sz w:val="21"/>
              </w:rPr>
              <w:t>2,349,273.41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86"/>
              <w:jc w:val="right"/>
              <w:rPr>
                <w:rFonts w:ascii="Times New Roman" w:hAnsi="Times New Roman" w:cs="Times New Roman" w:eastAsia="Times New Roman" w:hint="default"/>
                <w:sz w:val="21"/>
                <w:szCs w:val="21"/>
              </w:rPr>
            </w:pPr>
            <w:r>
              <w:rPr>
                <w:rFonts w:ascii="Times New Roman"/>
                <w:spacing w:val="-1"/>
                <w:sz w:val="21"/>
              </w:rPr>
              <w:t>2,349,273.41</w:t>
            </w:r>
          </w:p>
        </w:tc>
      </w:tr>
      <w:tr>
        <w:trPr>
          <w:trHeight w:val="480"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0"/>
              <w:jc w:val="right"/>
              <w:rPr>
                <w:rFonts w:ascii="Times New Roman" w:hAnsi="Times New Roman" w:cs="Times New Roman" w:eastAsia="Times New Roman" w:hint="default"/>
                <w:sz w:val="21"/>
                <w:szCs w:val="21"/>
              </w:rPr>
            </w:pPr>
            <w:r>
              <w:rPr>
                <w:rFonts w:ascii="Times New Roman"/>
                <w:spacing w:val="-1"/>
                <w:sz w:val="21"/>
              </w:rPr>
              <w:t>28,800,103.69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4" w:right="0"/>
              <w:jc w:val="left"/>
              <w:rPr>
                <w:rFonts w:ascii="Times New Roman" w:hAnsi="Times New Roman" w:cs="Times New Roman" w:eastAsia="Times New Roman" w:hint="default"/>
                <w:sz w:val="21"/>
                <w:szCs w:val="21"/>
              </w:rPr>
            </w:pPr>
            <w:r>
              <w:rPr>
                <w:rFonts w:ascii="Times New Roman"/>
                <w:sz w:val="21"/>
              </w:rPr>
              <w:t>33,902,877.99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86"/>
              <w:jc w:val="right"/>
              <w:rPr>
                <w:rFonts w:ascii="Times New Roman" w:hAnsi="Times New Roman" w:cs="Times New Roman" w:eastAsia="Times New Roman" w:hint="default"/>
                <w:sz w:val="21"/>
                <w:szCs w:val="21"/>
              </w:rPr>
            </w:pPr>
            <w:r>
              <w:rPr>
                <w:rFonts w:ascii="Times New Roman"/>
                <w:spacing w:val="-1"/>
                <w:sz w:val="21"/>
              </w:rPr>
              <w:t>62,702,981.68</w:t>
            </w:r>
          </w:p>
        </w:tc>
      </w:tr>
    </w:tbl>
    <w:p>
      <w:pPr>
        <w:spacing w:line="240" w:lineRule="auto" w:before="2"/>
        <w:rPr>
          <w:rFonts w:ascii="宋体" w:hAnsi="宋体" w:cs="宋体" w:eastAsia="宋体" w:hint="default"/>
          <w:sz w:val="13"/>
          <w:szCs w:val="13"/>
        </w:rPr>
      </w:pPr>
    </w:p>
    <w:p>
      <w:pPr>
        <w:pStyle w:val="BodyText"/>
        <w:spacing w:line="240" w:lineRule="auto" w:before="36"/>
        <w:ind w:right="123"/>
        <w:jc w:val="left"/>
      </w:pPr>
      <w:r>
        <w:rPr/>
        <w:pict>
          <v:shape style="position:absolute;margin-left:263.690002pt;margin-top:18.503679pt;width:.48001pt;height:.12pt;mso-position-horizontal-relative:page;mso-position-vertical-relative:paragraph;z-index:-594832" type="#_x0000_t75" stroked="false">
            <v:imagedata r:id="rId20" o:title=""/>
          </v:shape>
        </w:pict>
      </w:r>
      <w:r>
        <w:rPr/>
        <w:pict>
          <v:shape style="position:absolute;margin-left:359.109985pt;margin-top:18.503679pt;width:.48001pt;height:.12pt;mso-position-horizontal-relative:page;mso-position-vertical-relative:paragraph;z-index:-594808" type="#_x0000_t75" stroked="false">
            <v:imagedata r:id="rId20" o:title=""/>
          </v:shape>
        </w:pict>
      </w:r>
      <w:r>
        <w:rPr/>
        <w:pict>
          <v:group style="position:absolute;margin-left:89.183998pt;margin-top:45.863701pt;width:369.35pt;height:.5pt;mso-position-horizontal-relative:page;mso-position-vertical-relative:paragraph;z-index:-594784" coordorigin="1784,917" coordsize="7387,10">
            <v:shape style="position:absolute;left:1784;top:917;width:3490;height:10" type="#_x0000_t75" stroked="false">
              <v:imagedata r:id="rId21" o:title=""/>
            </v:shape>
            <v:shape style="position:absolute;left:5269;top:917;width:3901;height:10" type="#_x0000_t75" stroked="false">
              <v:imagedata r:id="rId22" o:title=""/>
            </v:shape>
            <w10:wrap type="none"/>
          </v:group>
        </w:pict>
      </w:r>
      <w:r>
        <w:rPr/>
        <w:pict>
          <v:group style="position:absolute;margin-left:89.183998pt;margin-top:68.783669pt;width:369.35pt;height:.5pt;mso-position-horizontal-relative:page;mso-position-vertical-relative:paragraph;z-index:-594760" coordorigin="1784,1376" coordsize="7387,10">
            <v:shape style="position:absolute;left:1784;top:1376;width:3490;height:10" type="#_x0000_t75" stroked="false">
              <v:imagedata r:id="rId21" o:title=""/>
            </v:shape>
            <v:shape style="position:absolute;left:5269;top:1376;width:3901;height:10" type="#_x0000_t75" stroked="false">
              <v:imagedata r:id="rId22" o:title=""/>
            </v:shape>
            <w10:wrap type="none"/>
          </v:group>
        </w:pict>
      </w:r>
      <w:r>
        <w:rPr/>
        <w:pict>
          <v:group style="position:absolute;margin-left:89.183998pt;margin-top:92.903671pt;width:369.35pt;height:.5pt;mso-position-horizontal-relative:page;mso-position-vertical-relative:paragraph;z-index:-594736" coordorigin="1784,1858" coordsize="7387,10">
            <v:shape style="position:absolute;left:1784;top:1858;width:3490;height:10" type="#_x0000_t75" stroked="false">
              <v:imagedata r:id="rId21" o:title=""/>
            </v:shape>
            <v:shape style="position:absolute;left:5269;top:1858;width:3901;height:10" type="#_x0000_t75" stroked="false">
              <v:imagedata r:id="rId22" o:title=""/>
            </v:shape>
            <w10:wrap type="none"/>
          </v:group>
        </w:pict>
      </w:r>
      <w:r>
        <w:rPr/>
        <w:t>前五大销售客户</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509"/>
        <w:gridCol w:w="1908"/>
        <w:gridCol w:w="1983"/>
      </w:tblGrid>
      <w:tr>
        <w:trPr>
          <w:trHeight w:val="574" w:hRule="exact"/>
        </w:trPr>
        <w:tc>
          <w:tcPr>
            <w:tcW w:w="3509" w:type="dxa"/>
            <w:tcBorders>
              <w:top w:val="single" w:sz="12" w:space="0" w:color="000000"/>
              <w:left w:val="nil" w:sz="6" w:space="0" w:color="auto"/>
              <w:bottom w:val="nil" w:sz="6" w:space="0" w:color="auto"/>
              <w:right w:val="single" w:sz="4" w:space="0" w:color="000000"/>
            </w:tcBorders>
          </w:tcPr>
          <w:p>
            <w:pPr>
              <w:pStyle w:val="TableParagraph"/>
              <w:spacing w:line="240" w:lineRule="auto" w:before="111"/>
              <w:ind w:left="20"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90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1"/>
              <w:ind w:left="316"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1983" w:type="dxa"/>
            <w:tcBorders>
              <w:top w:val="single" w:sz="12" w:space="0" w:color="000000"/>
              <w:left w:val="single" w:sz="4" w:space="0" w:color="000000"/>
              <w:bottom w:val="nil" w:sz="6" w:space="0" w:color="auto"/>
              <w:right w:val="nil" w:sz="6" w:space="0" w:color="auto"/>
            </w:tcBorders>
          </w:tcPr>
          <w:p>
            <w:pPr>
              <w:pStyle w:val="TableParagraph"/>
              <w:spacing w:line="272" w:lineRule="exact" w:before="2"/>
              <w:ind w:left="407" w:right="149" w:hanging="264"/>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占公司全部营业收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入的比例</w:t>
            </w:r>
            <w:r>
              <w:rPr>
                <w:rFonts w:ascii="Times New Roman" w:hAnsi="Times New Roman" w:cs="Times New Roman" w:eastAsia="Times New Roman" w:hint="default"/>
                <w:sz w:val="21"/>
                <w:szCs w:val="21"/>
              </w:rPr>
              <w:t>(%)</w:t>
            </w:r>
          </w:p>
        </w:tc>
      </w:tr>
      <w:tr>
        <w:trPr>
          <w:trHeight w:val="407" w:hRule="exact"/>
        </w:trPr>
        <w:tc>
          <w:tcPr>
            <w:tcW w:w="3509"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22" w:right="0"/>
              <w:jc w:val="left"/>
              <w:rPr>
                <w:rFonts w:ascii="宋体" w:hAnsi="宋体" w:cs="宋体" w:eastAsia="宋体" w:hint="default"/>
                <w:sz w:val="21"/>
                <w:szCs w:val="21"/>
              </w:rPr>
            </w:pPr>
            <w:r>
              <w:rPr>
                <w:rFonts w:ascii="宋体" w:hAnsi="宋体" w:cs="宋体" w:eastAsia="宋体" w:hint="default"/>
                <w:sz w:val="21"/>
                <w:szCs w:val="21"/>
              </w:rPr>
              <w:t>上海共联通信信息发展有限公司</w:t>
            </w:r>
          </w:p>
        </w:tc>
        <w:tc>
          <w:tcPr>
            <w:tcW w:w="1908"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16,020,061.55</w:t>
            </w:r>
          </w:p>
        </w:tc>
        <w:tc>
          <w:tcPr>
            <w:tcW w:w="1983"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z w:val="21"/>
              </w:rPr>
              <w:t>17.24</w:t>
            </w:r>
          </w:p>
        </w:tc>
      </w:tr>
      <w:tr>
        <w:trPr>
          <w:trHeight w:val="434" w:hRule="exact"/>
        </w:trPr>
        <w:tc>
          <w:tcPr>
            <w:tcW w:w="3509"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21"/>
                <w:szCs w:val="21"/>
              </w:rPr>
            </w:pPr>
            <w:r>
              <w:rPr>
                <w:rFonts w:ascii="宋体" w:hAnsi="宋体" w:cs="宋体" w:eastAsia="宋体" w:hint="default"/>
                <w:sz w:val="21"/>
                <w:szCs w:val="21"/>
              </w:rPr>
              <w:t>泰兴市中泰城市建设投资有限公司</w:t>
            </w:r>
          </w:p>
        </w:tc>
        <w:tc>
          <w:tcPr>
            <w:tcW w:w="190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8,301,886.56</w:t>
            </w:r>
          </w:p>
        </w:tc>
        <w:tc>
          <w:tcPr>
            <w:tcW w:w="1983" w:type="dxa"/>
            <w:tcBorders>
              <w:top w:val="nil" w:sz="6" w:space="0" w:color="auto"/>
              <w:left w:val="single" w:sz="4" w:space="0" w:color="000000"/>
              <w:bottom w:val="nil" w:sz="6" w:space="0" w:color="auto"/>
              <w:right w:val="nil" w:sz="6" w:space="0" w:color="auto"/>
            </w:tcBorders>
          </w:tcPr>
          <w:p>
            <w:pPr>
              <w:pStyle w:val="TableParagraph"/>
              <w:spacing w:line="240" w:lineRule="auto" w:before="77"/>
              <w:ind w:right="104"/>
              <w:jc w:val="right"/>
              <w:rPr>
                <w:rFonts w:ascii="Times New Roman" w:hAnsi="Times New Roman" w:cs="Times New Roman" w:eastAsia="Times New Roman" w:hint="default"/>
                <w:sz w:val="21"/>
                <w:szCs w:val="21"/>
              </w:rPr>
            </w:pPr>
            <w:r>
              <w:rPr>
                <w:rFonts w:ascii="Times New Roman"/>
                <w:sz w:val="21"/>
              </w:rPr>
              <w:t>8.94</w:t>
            </w:r>
          </w:p>
        </w:tc>
      </w:tr>
      <w:tr>
        <w:trPr>
          <w:trHeight w:val="480" w:hRule="exact"/>
        </w:trPr>
        <w:tc>
          <w:tcPr>
            <w:tcW w:w="3509" w:type="dxa"/>
            <w:tcBorders>
              <w:top w:val="nil" w:sz="6" w:space="0" w:color="auto"/>
              <w:left w:val="nil" w:sz="6" w:space="0" w:color="auto"/>
              <w:bottom w:val="nil" w:sz="6" w:space="0" w:color="auto"/>
              <w:right w:val="single" w:sz="4"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上海普天邮通科技股份有限公司</w:t>
            </w:r>
          </w:p>
        </w:tc>
        <w:tc>
          <w:tcPr>
            <w:tcW w:w="1908"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8,032,317.33</w:t>
            </w:r>
          </w:p>
        </w:tc>
        <w:tc>
          <w:tcPr>
            <w:tcW w:w="1983"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4"/>
              <w:jc w:val="right"/>
              <w:rPr>
                <w:rFonts w:ascii="Times New Roman" w:hAnsi="Times New Roman" w:cs="Times New Roman" w:eastAsia="Times New Roman" w:hint="default"/>
                <w:sz w:val="21"/>
                <w:szCs w:val="21"/>
              </w:rPr>
            </w:pPr>
            <w:r>
              <w:rPr>
                <w:rFonts w:ascii="Times New Roman"/>
                <w:sz w:val="21"/>
              </w:rPr>
              <w:t>8.65</w:t>
            </w:r>
          </w:p>
        </w:tc>
      </w:tr>
      <w:tr>
        <w:trPr>
          <w:trHeight w:val="481" w:hRule="exact"/>
        </w:trPr>
        <w:tc>
          <w:tcPr>
            <w:tcW w:w="3509" w:type="dxa"/>
            <w:tcBorders>
              <w:top w:val="nil" w:sz="6" w:space="0" w:color="auto"/>
              <w:left w:val="nil" w:sz="6" w:space="0" w:color="auto"/>
              <w:bottom w:val="nil" w:sz="6" w:space="0" w:color="auto"/>
              <w:right w:val="single" w:sz="4"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南宁绿地颖恺投资有限公司</w:t>
            </w:r>
          </w:p>
        </w:tc>
        <w:tc>
          <w:tcPr>
            <w:tcW w:w="1908"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7,260,417.98</w:t>
            </w:r>
          </w:p>
        </w:tc>
        <w:tc>
          <w:tcPr>
            <w:tcW w:w="1983"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4"/>
              <w:jc w:val="right"/>
              <w:rPr>
                <w:rFonts w:ascii="Times New Roman" w:hAnsi="Times New Roman" w:cs="Times New Roman" w:eastAsia="Times New Roman" w:hint="default"/>
                <w:sz w:val="21"/>
                <w:szCs w:val="21"/>
              </w:rPr>
            </w:pPr>
            <w:r>
              <w:rPr>
                <w:rFonts w:ascii="Times New Roman"/>
                <w:sz w:val="21"/>
              </w:rPr>
              <w:t>7.81</w:t>
            </w:r>
          </w:p>
        </w:tc>
      </w:tr>
      <w:tr>
        <w:trPr>
          <w:trHeight w:val="481" w:hRule="exact"/>
        </w:trPr>
        <w:tc>
          <w:tcPr>
            <w:tcW w:w="3509"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贵州中科建设有限公司</w:t>
            </w:r>
          </w:p>
        </w:tc>
        <w:tc>
          <w:tcPr>
            <w:tcW w:w="1908"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21"/>
                <w:szCs w:val="21"/>
              </w:rPr>
            </w:pPr>
            <w:r>
              <w:rPr>
                <w:rFonts w:ascii="Times New Roman"/>
                <w:spacing w:val="-1"/>
                <w:sz w:val="21"/>
              </w:rPr>
              <w:t>4,141,667.00</w:t>
            </w:r>
          </w:p>
        </w:tc>
        <w:tc>
          <w:tcPr>
            <w:tcW w:w="1983"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21"/>
                <w:szCs w:val="21"/>
              </w:rPr>
            </w:pPr>
            <w:r>
              <w:rPr>
                <w:rFonts w:ascii="Times New Roman"/>
                <w:sz w:val="21"/>
              </w:rPr>
              <w:t>4.46</w:t>
            </w:r>
          </w:p>
        </w:tc>
      </w:tr>
      <w:tr>
        <w:trPr>
          <w:trHeight w:val="584" w:hRule="exact"/>
        </w:trPr>
        <w:tc>
          <w:tcPr>
            <w:tcW w:w="3509" w:type="dxa"/>
            <w:tcBorders>
              <w:top w:val="nil" w:sz="6" w:space="0" w:color="auto"/>
              <w:left w:val="nil" w:sz="6" w:space="0" w:color="auto"/>
              <w:bottom w:val="single" w:sz="12" w:space="0" w:color="000000"/>
              <w:right w:val="single" w:sz="4" w:space="0" w:color="000000"/>
            </w:tcBorders>
          </w:tcPr>
          <w:p>
            <w:pPr>
              <w:pStyle w:val="TableParagraph"/>
              <w:spacing w:line="240" w:lineRule="auto" w:before="69"/>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43,756,350.42</w:t>
            </w:r>
          </w:p>
        </w:tc>
        <w:tc>
          <w:tcPr>
            <w:tcW w:w="1983" w:type="dxa"/>
            <w:tcBorders>
              <w:top w:val="nil" w:sz="6" w:space="0" w:color="auto"/>
              <w:left w:val="single" w:sz="4" w:space="0" w:color="000000"/>
              <w:bottom w:val="single" w:sz="12" w:space="0" w:color="000000"/>
              <w:right w:val="nil" w:sz="6" w:space="0" w:color="auto"/>
            </w:tcBorders>
          </w:tcPr>
          <w:p>
            <w:pPr>
              <w:pStyle w:val="TableParagraph"/>
              <w:spacing w:line="240" w:lineRule="auto" w:before="123"/>
              <w:ind w:right="104"/>
              <w:jc w:val="right"/>
              <w:rPr>
                <w:rFonts w:ascii="Times New Roman" w:hAnsi="Times New Roman" w:cs="Times New Roman" w:eastAsia="Times New Roman" w:hint="default"/>
                <w:sz w:val="21"/>
                <w:szCs w:val="21"/>
              </w:rPr>
            </w:pPr>
            <w:r>
              <w:rPr>
                <w:rFonts w:ascii="Times New Roman"/>
                <w:sz w:val="21"/>
              </w:rPr>
              <w:t>47.1</w:t>
            </w:r>
          </w:p>
        </w:tc>
      </w:tr>
    </w:tbl>
    <w:p>
      <w:pPr>
        <w:pStyle w:val="Heading2"/>
        <w:spacing w:line="272" w:lineRule="exact"/>
        <w:ind w:left="138" w:right="123"/>
        <w:jc w:val="left"/>
        <w:rPr>
          <w:i w:val="0"/>
        </w:rPr>
      </w:pPr>
      <w:r>
        <w:rPr/>
        <w:pict>
          <v:group style="position:absolute;margin-left:89.183998pt;margin-top:-73.380013pt;width:369.35pt;height:.5pt;mso-position-horizontal-relative:page;mso-position-vertical-relative:paragraph;z-index:-594712" coordorigin="1784,-1468" coordsize="7387,10">
            <v:shape style="position:absolute;left:1784;top:-1468;width:3490;height:10" type="#_x0000_t75" stroked="false">
              <v:imagedata r:id="rId21" o:title=""/>
            </v:shape>
            <v:shape style="position:absolute;left:5269;top:-1468;width:3901;height:10" type="#_x0000_t75" stroked="false">
              <v:imagedata r:id="rId22" o:title=""/>
            </v:shape>
            <w10:wrap type="none"/>
          </v:group>
        </w:pict>
      </w:r>
      <w:r>
        <w:rPr/>
        <w:pict>
          <v:group style="position:absolute;margin-left:89.183998pt;margin-top:-49.240009pt;width:369.35pt;height:.5pt;mso-position-horizontal-relative:page;mso-position-vertical-relative:paragraph;z-index:-594688" coordorigin="1784,-985" coordsize="7387,10">
            <v:shape style="position:absolute;left:1784;top:-985;width:3490;height:10" type="#_x0000_t75" stroked="false">
              <v:imagedata r:id="rId21" o:title=""/>
            </v:shape>
            <v:shape style="position:absolute;left:5269;top:-985;width:3901;height:10" type="#_x0000_t75" stroked="false">
              <v:imagedata r:id="rId23" o:title=""/>
            </v:shape>
            <w10:wrap type="none"/>
          </v:group>
        </w:pict>
      </w:r>
      <w:r>
        <w:rPr/>
        <w:pict>
          <v:group style="position:absolute;margin-left:89.183998pt;margin-top:-25.240009pt;width:369.35pt;height:.5pt;mso-position-horizontal-relative:page;mso-position-vertical-relative:paragraph;z-index:-594664" coordorigin="1784,-505" coordsize="7387,10">
            <v:shape style="position:absolute;left:1784;top:-505;width:3490;height:10" type="#_x0000_t75" stroked="false">
              <v:imagedata r:id="rId21" o:title=""/>
            </v:shape>
            <v:shape style="position:absolute;left:5269;top:-505;width:3901;height:10" type="#_x0000_t75" stroked="false">
              <v:imagedata r:id="rId23" o:title=""/>
            </v:shape>
            <w10:wrap type="none"/>
          </v:group>
        </w:pict>
      </w:r>
      <w:r>
        <w:rPr>
          <w:spacing w:val="-2"/>
          <w:w w:val="95"/>
        </w:rPr>
        <w:t>注：前五大销售客户均属智慧城市相关业务。虽然智慧城市框架协议及项目合同签约方多为政府</w:t>
      </w:r>
      <w:r>
        <w:rPr>
          <w:spacing w:val="18"/>
          <w:w w:val="95"/>
        </w:rPr>
        <w:t> </w:t>
      </w:r>
      <w:r>
        <w:rPr>
          <w:spacing w:val="18"/>
          <w:w w:val="95"/>
        </w:rPr>
      </w:r>
      <w:r>
        <w:rPr/>
        <w:t>机构，在具体项目实施过程中一般由其指定企事业单位或其子公司总包或分包进行。</w:t>
      </w:r>
      <w:r>
        <w:rPr>
          <w:i w:val="0"/>
        </w:rPr>
      </w:r>
    </w:p>
    <w:p>
      <w:pPr>
        <w:spacing w:line="240" w:lineRule="auto" w:before="5"/>
        <w:rPr>
          <w:rFonts w:ascii="宋体" w:hAnsi="宋体" w:cs="宋体" w:eastAsia="宋体" w:hint="default"/>
          <w:i/>
          <w:sz w:val="16"/>
          <w:szCs w:val="16"/>
        </w:rPr>
      </w:pPr>
    </w:p>
    <w:p>
      <w:pPr>
        <w:pStyle w:val="BodyText"/>
        <w:spacing w:line="240" w:lineRule="auto"/>
        <w:ind w:right="123"/>
        <w:jc w:val="left"/>
      </w:pPr>
      <w:r>
        <w:rPr/>
        <w:pict>
          <v:shape style="position:absolute;margin-left:266.929993pt;margin-top:16.823683pt;width:.47998pt;height:.12pt;mso-position-horizontal-relative:page;mso-position-vertical-relative:paragraph;z-index:-594640" type="#_x0000_t75" stroked="false">
            <v:imagedata r:id="rId24" o:title=""/>
          </v:shape>
        </w:pict>
      </w:r>
      <w:r>
        <w:rPr/>
        <w:pict>
          <v:shape style="position:absolute;margin-left:359.109985pt;margin-top:16.823683pt;width:.48001pt;height:.12pt;mso-position-horizontal-relative:page;mso-position-vertical-relative:paragraph;z-index:-594616" type="#_x0000_t75" stroked="false">
            <v:imagedata r:id="rId24" o:title=""/>
          </v:shape>
        </w:pict>
      </w:r>
      <w:r>
        <w:rPr/>
        <w:pict>
          <v:group style="position:absolute;margin-left:89.183998pt;margin-top:39.983662pt;width:369.35pt;height:5.2pt;mso-position-horizontal-relative:page;mso-position-vertical-relative:paragraph;z-index:-594592" coordorigin="1784,800" coordsize="7387,104">
            <v:shape style="position:absolute;left:1784;top:800;width:3574;height:103" type="#_x0000_t75" stroked="false">
              <v:imagedata r:id="rId25" o:title=""/>
            </v:shape>
            <v:shape style="position:absolute;left:5334;top:893;width:1848;height:10" type="#_x0000_t75" stroked="false">
              <v:imagedata r:id="rId18" o:title=""/>
            </v:shape>
            <v:shape style="position:absolute;left:7177;top:893;width:1993;height:10" type="#_x0000_t75" stroked="false">
              <v:imagedata r:id="rId19" o:title=""/>
            </v:shape>
            <w10:wrap type="none"/>
          </v:group>
        </w:pict>
      </w:r>
      <w:r>
        <w:rPr/>
        <w:pict>
          <v:group style="position:absolute;margin-left:89.183998pt;margin-top:61.463722pt;width:369.35pt;height:5.1pt;mso-position-horizontal-relative:page;mso-position-vertical-relative:paragraph;z-index:-594568" coordorigin="1784,1229" coordsize="7387,102">
            <v:shape style="position:absolute;left:1784;top:1229;width:3574;height:101" type="#_x0000_t75" stroked="false">
              <v:imagedata r:id="rId26" o:title=""/>
            </v:shape>
            <v:shape style="position:absolute;left:5334;top:1321;width:1848;height:10" type="#_x0000_t75" stroked="false">
              <v:imagedata r:id="rId18" o:title=""/>
            </v:shape>
            <v:shape style="position:absolute;left:7177;top:1321;width:1993;height:10" type="#_x0000_t75" stroked="false">
              <v:imagedata r:id="rId19" o:title=""/>
            </v:shape>
            <w10:wrap type="none"/>
          </v:group>
        </w:pict>
      </w:r>
      <w:r>
        <w:rPr/>
        <w:pict>
          <v:group style="position:absolute;margin-left:89.183998pt;margin-top:90.053703pt;width:369.35pt;height:.5pt;mso-position-horizontal-relative:page;mso-position-vertical-relative:paragraph;z-index:-594544" coordorigin="1784,1801" coordsize="7387,10">
            <v:shape style="position:absolute;left:1784;top:1801;width:3555;height:10" type="#_x0000_t75" stroked="false">
              <v:imagedata r:id="rId17" o:title=""/>
            </v:shape>
            <v:shape style="position:absolute;left:5334;top:1801;width:1848;height:10" type="#_x0000_t75" stroked="false">
              <v:imagedata r:id="rId18" o:title=""/>
            </v:shape>
            <v:shape style="position:absolute;left:7177;top:1801;width:1993;height:10" type="#_x0000_t75" stroked="false">
              <v:imagedata r:id="rId19" o:title=""/>
            </v:shape>
            <w10:wrap type="none"/>
          </v:group>
        </w:pict>
      </w:r>
      <w:r>
        <w:rPr/>
        <w:t>前五大供应商情况</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574"/>
        <w:gridCol w:w="1844"/>
        <w:gridCol w:w="1983"/>
      </w:tblGrid>
      <w:tr>
        <w:trPr>
          <w:trHeight w:val="478" w:hRule="exact"/>
        </w:trPr>
        <w:tc>
          <w:tcPr>
            <w:tcW w:w="3574" w:type="dxa"/>
            <w:tcBorders>
              <w:top w:val="single" w:sz="12" w:space="0" w:color="000000"/>
              <w:left w:val="nil" w:sz="6" w:space="0" w:color="auto"/>
              <w:bottom w:val="nil" w:sz="6" w:space="0" w:color="auto"/>
              <w:right w:val="single" w:sz="4" w:space="0" w:color="000000"/>
            </w:tcBorders>
          </w:tcPr>
          <w:p>
            <w:pPr>
              <w:pStyle w:val="TableParagraph"/>
              <w:spacing w:line="240" w:lineRule="auto" w:before="107"/>
              <w:ind w:left="18"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184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7"/>
              <w:ind w:left="494" w:right="0"/>
              <w:jc w:val="left"/>
              <w:rPr>
                <w:rFonts w:ascii="宋体" w:hAnsi="宋体" w:cs="宋体" w:eastAsia="宋体" w:hint="default"/>
                <w:sz w:val="21"/>
                <w:szCs w:val="21"/>
              </w:rPr>
            </w:pPr>
            <w:r>
              <w:rPr>
                <w:rFonts w:ascii="宋体" w:hAnsi="宋体" w:cs="宋体" w:eastAsia="宋体" w:hint="default"/>
                <w:sz w:val="21"/>
                <w:szCs w:val="21"/>
              </w:rPr>
              <w:t>采购成本</w:t>
            </w:r>
          </w:p>
        </w:tc>
        <w:tc>
          <w:tcPr>
            <w:tcW w:w="1983" w:type="dxa"/>
            <w:tcBorders>
              <w:top w:val="single" w:sz="12" w:space="0" w:color="000000"/>
              <w:left w:val="single" w:sz="4" w:space="0" w:color="000000"/>
              <w:bottom w:val="nil" w:sz="6" w:space="0" w:color="auto"/>
              <w:right w:val="nil" w:sz="6" w:space="0" w:color="auto"/>
            </w:tcBorders>
          </w:tcPr>
          <w:p>
            <w:pPr>
              <w:pStyle w:val="TableParagraph"/>
              <w:spacing w:line="240" w:lineRule="auto" w:before="107"/>
              <w:ind w:right="149"/>
              <w:jc w:val="right"/>
              <w:rPr>
                <w:rFonts w:ascii="宋体" w:hAnsi="宋体" w:cs="宋体" w:eastAsia="宋体" w:hint="default"/>
                <w:sz w:val="21"/>
                <w:szCs w:val="21"/>
              </w:rPr>
            </w:pPr>
            <w:r>
              <w:rPr>
                <w:rFonts w:ascii="宋体" w:hAnsi="宋体" w:cs="宋体" w:eastAsia="宋体" w:hint="default"/>
                <w:spacing w:val="-2"/>
                <w:sz w:val="21"/>
                <w:szCs w:val="21"/>
              </w:rPr>
              <w:t>占总采购成本比重</w:t>
            </w:r>
          </w:p>
        </w:tc>
      </w:tr>
      <w:tr>
        <w:trPr>
          <w:trHeight w:val="531"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上海元视科技有限公司</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7,920,512.82</w:t>
            </w:r>
          </w:p>
        </w:tc>
        <w:tc>
          <w:tcPr>
            <w:tcW w:w="1983"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21"/>
                <w:szCs w:val="21"/>
              </w:rPr>
            </w:pPr>
            <w:r>
              <w:rPr>
                <w:rFonts w:ascii="Times New Roman"/>
                <w:sz w:val="21"/>
              </w:rPr>
              <w:t>26.39%</w:t>
            </w:r>
          </w:p>
        </w:tc>
      </w:tr>
      <w:tr>
        <w:trPr>
          <w:trHeight w:val="383"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上海赞禾英太信息科技有限公司</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5,148,034.19</w:t>
            </w:r>
          </w:p>
        </w:tc>
        <w:tc>
          <w:tcPr>
            <w:tcW w:w="1983"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z w:val="21"/>
              </w:rPr>
              <w:t>17.15%</w:t>
            </w:r>
          </w:p>
        </w:tc>
      </w:tr>
      <w:tr>
        <w:trPr>
          <w:trHeight w:val="481"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上海协庆贸易有限公司</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4,022,735.04</w:t>
            </w:r>
          </w:p>
        </w:tc>
        <w:tc>
          <w:tcPr>
            <w:tcW w:w="1983"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3"/>
              <w:jc w:val="right"/>
              <w:rPr>
                <w:rFonts w:ascii="Times New Roman" w:hAnsi="Times New Roman" w:cs="Times New Roman" w:eastAsia="Times New Roman" w:hint="default"/>
                <w:sz w:val="21"/>
                <w:szCs w:val="21"/>
              </w:rPr>
            </w:pPr>
            <w:r>
              <w:rPr>
                <w:rFonts w:ascii="Times New Roman"/>
                <w:sz w:val="21"/>
              </w:rPr>
              <w:t>13.40%</w:t>
            </w:r>
          </w:p>
        </w:tc>
      </w:tr>
      <w:tr>
        <w:trPr>
          <w:trHeight w:val="1043" w:hRule="exact"/>
        </w:trPr>
        <w:tc>
          <w:tcPr>
            <w:tcW w:w="3574" w:type="dxa"/>
            <w:tcBorders>
              <w:top w:val="nil" w:sz="6" w:space="0" w:color="auto"/>
              <w:left w:val="nil" w:sz="6" w:space="0" w:color="auto"/>
              <w:bottom w:val="single" w:sz="4" w:space="0" w:color="000000"/>
              <w:right w:val="single" w:sz="4" w:space="0" w:color="000000"/>
            </w:tcBorders>
          </w:tcPr>
          <w:p>
            <w:pPr>
              <w:pStyle w:val="TableParagraph"/>
              <w:spacing w:line="388" w:lineRule="auto" w:before="63"/>
              <w:ind w:left="122" w:right="96"/>
              <w:jc w:val="left"/>
              <w:rPr>
                <w:rFonts w:ascii="宋体" w:hAnsi="宋体" w:cs="宋体" w:eastAsia="宋体" w:hint="default"/>
                <w:sz w:val="21"/>
                <w:szCs w:val="21"/>
              </w:rPr>
            </w:pPr>
            <w:r>
              <w:rPr>
                <w:rFonts w:ascii="宋体" w:hAnsi="宋体" w:cs="宋体" w:eastAsia="宋体" w:hint="default"/>
                <w:spacing w:val="5"/>
                <w:sz w:val="21"/>
                <w:szCs w:val="21"/>
              </w:rPr>
              <w:t>南宁市翔域网络科技有限公司</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主合</w:t>
            </w:r>
            <w:r>
              <w:rPr>
                <w:rFonts w:ascii="宋体" w:hAnsi="宋体" w:cs="宋体" w:eastAsia="宋体" w:hint="default"/>
                <w:spacing w:val="-61"/>
                <w:sz w:val="21"/>
                <w:szCs w:val="21"/>
              </w:rPr>
              <w:t> </w:t>
            </w:r>
            <w:r>
              <w:rPr>
                <w:rFonts w:ascii="宋体" w:hAnsi="宋体" w:cs="宋体" w:eastAsia="宋体" w:hint="default"/>
                <w:sz w:val="21"/>
                <w:szCs w:val="21"/>
              </w:rPr>
              <w:t>同</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1,699,500.00</w:t>
            </w:r>
          </w:p>
        </w:tc>
        <w:tc>
          <w:tcPr>
            <w:tcW w:w="1983" w:type="dxa"/>
            <w:tcBorders>
              <w:top w:val="nil" w:sz="6" w:space="0" w:color="auto"/>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5.66%</w:t>
            </w:r>
          </w:p>
        </w:tc>
      </w:tr>
      <w:tr>
        <w:trPr>
          <w:trHeight w:val="389" w:hRule="exact"/>
        </w:trPr>
        <w:tc>
          <w:tcPr>
            <w:tcW w:w="3574"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南宁一控智能科技有限公司</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1,490,794.87</w:t>
            </w:r>
          </w:p>
        </w:tc>
        <w:tc>
          <w:tcPr>
            <w:tcW w:w="1983" w:type="dxa"/>
            <w:tcBorders>
              <w:top w:val="single" w:sz="4" w:space="0" w:color="000000"/>
              <w:left w:val="single" w:sz="4" w:space="0" w:color="000000"/>
              <w:bottom w:val="nil" w:sz="6" w:space="0" w:color="auto"/>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z w:val="21"/>
              </w:rPr>
              <w:t>4.97%</w:t>
            </w:r>
          </w:p>
        </w:tc>
      </w:tr>
      <w:tr>
        <w:trPr>
          <w:trHeight w:val="583" w:hRule="exact"/>
        </w:trPr>
        <w:tc>
          <w:tcPr>
            <w:tcW w:w="3574" w:type="dxa"/>
            <w:tcBorders>
              <w:top w:val="nil" w:sz="6" w:space="0" w:color="auto"/>
              <w:left w:val="nil" w:sz="6" w:space="0" w:color="auto"/>
              <w:bottom w:val="single" w:sz="12" w:space="0" w:color="000000"/>
              <w:right w:val="single" w:sz="4" w:space="0" w:color="000000"/>
            </w:tcBorders>
          </w:tcPr>
          <w:p>
            <w:pPr>
              <w:pStyle w:val="TableParagraph"/>
              <w:tabs>
                <w:tab w:pos="544" w:val="left" w:leader="none"/>
              </w:tabs>
              <w:spacing w:line="240" w:lineRule="auto" w:before="63"/>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20,281,576.92</w:t>
            </w:r>
          </w:p>
        </w:tc>
        <w:tc>
          <w:tcPr>
            <w:tcW w:w="1983" w:type="dxa"/>
            <w:tcBorders>
              <w:top w:val="nil" w:sz="6" w:space="0" w:color="auto"/>
              <w:left w:val="single" w:sz="4" w:space="0" w:color="000000"/>
              <w:bottom w:val="single" w:sz="12" w:space="0" w:color="000000"/>
              <w:right w:val="nil" w:sz="6" w:space="0" w:color="auto"/>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z w:val="21"/>
              </w:rPr>
              <w:t>67.56%</w:t>
            </w:r>
          </w:p>
        </w:tc>
      </w:tr>
    </w:tbl>
    <w:p>
      <w:pPr>
        <w:spacing w:line="240" w:lineRule="auto" w:before="2"/>
        <w:rPr>
          <w:rFonts w:ascii="宋体" w:hAnsi="宋体" w:cs="宋体" w:eastAsia="宋体" w:hint="default"/>
          <w:sz w:val="20"/>
          <w:szCs w:val="20"/>
        </w:rPr>
      </w:pPr>
    </w:p>
    <w:p>
      <w:pPr>
        <w:pStyle w:val="Heading3"/>
        <w:tabs>
          <w:tab w:pos="557" w:val="left" w:leader="none"/>
        </w:tabs>
        <w:spacing w:line="240" w:lineRule="auto" w:before="36"/>
        <w:ind w:left="138" w:right="123"/>
        <w:jc w:val="left"/>
        <w:rPr>
          <w:b w:val="0"/>
          <w:bCs w:val="0"/>
        </w:rPr>
      </w:pPr>
      <w:r>
        <w:rPr/>
        <w:pict>
          <v:shape style="position:absolute;margin-left:266.809998pt;margin-top:-62.756306pt;width:.120005pt;height:.48pt;mso-position-horizontal-relative:page;mso-position-vertical-relative:paragraph;z-index:-594496" type="#_x0000_t75" stroked="false">
            <v:imagedata r:id="rId27" o:title=""/>
          </v:shape>
        </w:pict>
      </w:r>
      <w:r>
        <w:rPr/>
        <w:pict>
          <v:group style="position:absolute;margin-left:89.183998pt;margin-top:-38.636303pt;width:369.35pt;height:.5pt;mso-position-horizontal-relative:page;mso-position-vertical-relative:paragraph;z-index:-594472" coordorigin="1784,-773" coordsize="7387,10">
            <v:shape style="position:absolute;left:1784;top:-773;width:3555;height:10" type="#_x0000_t75" stroked="false">
              <v:imagedata r:id="rId17" o:title=""/>
            </v:shape>
            <v:shape style="position:absolute;left:5334;top:-773;width:1848;height:10" type="#_x0000_t75" stroked="false">
              <v:imagedata r:id="rId18" o:title=""/>
            </v:shape>
            <v:shape style="position:absolute;left:7177;top:-773;width:1993;height:10" type="#_x0000_t75" stroked="false">
              <v:imagedata r:id="rId19" o:title=""/>
            </v:shape>
            <w10:wrap type="none"/>
          </v:group>
        </w:pict>
      </w:r>
      <w:r>
        <w:rPr>
          <w:rFonts w:ascii="宋体" w:hAnsi="宋体" w:cs="宋体" w:eastAsia="宋体" w:hint="default"/>
          <w:w w:val="95"/>
        </w:rPr>
        <w:t>2.</w:t>
        <w:tab/>
      </w:r>
      <w:r>
        <w:rPr/>
        <w:t>费用</w:t>
      </w:r>
      <w:r>
        <w:rPr>
          <w:b w:val="0"/>
          <w:bCs w:val="0"/>
        </w:rPr>
      </w:r>
    </w:p>
    <w:p>
      <w:pPr>
        <w:pStyle w:val="BodyText"/>
        <w:spacing w:line="240" w:lineRule="auto" w:before="56"/>
        <w:ind w:left="5236" w:right="123"/>
        <w:jc w:val="left"/>
      </w:pPr>
      <w:r>
        <w:rPr/>
        <w:t>单位：元</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98" w:type="dxa"/>
        <w:tblLayout w:type="fixed"/>
        <w:tblCellMar>
          <w:top w:w="0" w:type="dxa"/>
          <w:left w:w="0" w:type="dxa"/>
          <w:bottom w:w="0" w:type="dxa"/>
          <w:right w:w="0" w:type="dxa"/>
        </w:tblCellMar>
        <w:tblLook w:val="01E0"/>
      </w:tblPr>
      <w:tblGrid>
        <w:gridCol w:w="1759"/>
        <w:gridCol w:w="1366"/>
        <w:gridCol w:w="1265"/>
        <w:gridCol w:w="1630"/>
      </w:tblGrid>
      <w:tr>
        <w:trPr>
          <w:trHeight w:val="351" w:hRule="exact"/>
        </w:trPr>
        <w:tc>
          <w:tcPr>
            <w:tcW w:w="1759"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35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right="91"/>
              <w:jc w:val="right"/>
              <w:rPr>
                <w:rFonts w:ascii="宋体" w:hAnsi="宋体" w:cs="宋体" w:eastAsia="宋体" w:hint="default"/>
                <w:sz w:val="21"/>
                <w:szCs w:val="21"/>
              </w:rPr>
            </w:pPr>
            <w:r>
              <w:rPr>
                <w:rFonts w:ascii="宋体" w:hAnsi="宋体" w:cs="宋体" w:eastAsia="宋体" w:hint="default"/>
                <w:spacing w:val="-1"/>
                <w:sz w:val="21"/>
                <w:szCs w:val="21"/>
              </w:rPr>
              <w:t>上年同期数</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59"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r>
      <w:tr>
        <w:trPr>
          <w:trHeight w:val="350" w:hRule="exact"/>
        </w:trPr>
        <w:tc>
          <w:tcPr>
            <w:tcW w:w="175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w w:val="95"/>
                <w:sz w:val="20"/>
              </w:rPr>
              <w:t>18,428,255.23</w:t>
            </w:r>
            <w:r>
              <w:rPr>
                <w:rFonts w:ascii="Times New Roman"/>
                <w:sz w:val="20"/>
              </w:rPr>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94"/>
              <w:jc w:val="right"/>
              <w:rPr>
                <w:rFonts w:ascii="Times New Roman" w:hAnsi="Times New Roman" w:cs="Times New Roman" w:eastAsia="Times New Roman" w:hint="default"/>
                <w:sz w:val="20"/>
                <w:szCs w:val="20"/>
              </w:rPr>
            </w:pPr>
            <w:r>
              <w:rPr>
                <w:rFonts w:ascii="Times New Roman"/>
                <w:w w:val="95"/>
                <w:sz w:val="20"/>
              </w:rPr>
              <w:t>9,299,540.00</w:t>
            </w:r>
            <w:r>
              <w:rPr>
                <w:rFonts w:ascii="Times New Roman"/>
                <w:sz w:val="20"/>
              </w:rPr>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96"/>
              <w:jc w:val="right"/>
              <w:rPr>
                <w:rFonts w:ascii="Times New Roman" w:hAnsi="Times New Roman" w:cs="Times New Roman" w:eastAsia="Times New Roman" w:hint="default"/>
                <w:sz w:val="20"/>
                <w:szCs w:val="20"/>
              </w:rPr>
            </w:pPr>
            <w:r>
              <w:rPr>
                <w:rFonts w:ascii="Times New Roman"/>
                <w:sz w:val="20"/>
              </w:rPr>
              <w:t>98.16</w:t>
            </w:r>
          </w:p>
        </w:tc>
      </w:tr>
      <w:tr>
        <w:trPr>
          <w:trHeight w:val="350" w:hRule="exact"/>
        </w:trPr>
        <w:tc>
          <w:tcPr>
            <w:tcW w:w="1759"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w w:val="95"/>
                <w:sz w:val="20"/>
              </w:rPr>
              <w:t>653,467.63</w:t>
            </w:r>
            <w:r>
              <w:rPr>
                <w:rFonts w:ascii="Times New Roman"/>
                <w:sz w:val="20"/>
              </w:rPr>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4"/>
              <w:jc w:val="right"/>
              <w:rPr>
                <w:rFonts w:ascii="Times New Roman" w:hAnsi="Times New Roman" w:cs="Times New Roman" w:eastAsia="Times New Roman" w:hint="default"/>
                <w:sz w:val="20"/>
                <w:szCs w:val="20"/>
              </w:rPr>
            </w:pPr>
            <w:r>
              <w:rPr>
                <w:rFonts w:ascii="Times New Roman"/>
                <w:w w:val="95"/>
                <w:sz w:val="20"/>
              </w:rPr>
              <w:t>-174,997.88</w:t>
            </w:r>
            <w:r>
              <w:rPr>
                <w:rFonts w:ascii="Times New Roman"/>
                <w:sz w:val="20"/>
              </w:rPr>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8"/>
              <w:jc w:val="right"/>
              <w:rPr>
                <w:rFonts w:ascii="Times New Roman" w:hAnsi="Times New Roman" w:cs="Times New Roman" w:eastAsia="Times New Roman" w:hint="default"/>
                <w:sz w:val="20"/>
                <w:szCs w:val="20"/>
              </w:rPr>
            </w:pPr>
            <w:r>
              <w:rPr>
                <w:rFonts w:ascii="Times New Roman"/>
                <w:w w:val="95"/>
                <w:sz w:val="20"/>
              </w:rPr>
              <w:t>473.41</w:t>
            </w:r>
            <w:r>
              <w:rPr>
                <w:rFonts w:ascii="Times New Roman"/>
                <w:sz w:val="20"/>
              </w:rPr>
            </w:r>
          </w:p>
        </w:tc>
      </w:tr>
      <w:tr>
        <w:trPr>
          <w:trHeight w:val="350" w:hRule="exact"/>
        </w:trPr>
        <w:tc>
          <w:tcPr>
            <w:tcW w:w="1759"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1,157,728.28</w:t>
            </w:r>
            <w:r>
              <w:rPr>
                <w:rFonts w:ascii="Times New Roman"/>
                <w:sz w:val="20"/>
              </w:rPr>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4"/>
              <w:jc w:val="right"/>
              <w:rPr>
                <w:rFonts w:ascii="Times New Roman" w:hAnsi="Times New Roman" w:cs="Times New Roman" w:eastAsia="Times New Roman" w:hint="default"/>
                <w:sz w:val="20"/>
                <w:szCs w:val="20"/>
              </w:rPr>
            </w:pPr>
            <w:r>
              <w:rPr>
                <w:rFonts w:ascii="Times New Roman"/>
                <w:w w:val="95"/>
                <w:sz w:val="20"/>
              </w:rPr>
              <w:t>1,813,769.29</w:t>
            </w:r>
            <w:r>
              <w:rPr>
                <w:rFonts w:ascii="Times New Roman"/>
                <w:sz w:val="20"/>
              </w:rPr>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8"/>
              <w:jc w:val="right"/>
              <w:rPr>
                <w:rFonts w:ascii="Times New Roman" w:hAnsi="Times New Roman" w:cs="Times New Roman" w:eastAsia="Times New Roman" w:hint="default"/>
                <w:sz w:val="20"/>
                <w:szCs w:val="20"/>
              </w:rPr>
            </w:pPr>
            <w:r>
              <w:rPr>
                <w:rFonts w:ascii="Times New Roman"/>
                <w:w w:val="95"/>
                <w:sz w:val="20"/>
              </w:rPr>
              <w:t>-36.17</w:t>
            </w:r>
            <w:r>
              <w:rPr>
                <w:rFonts w:ascii="Times New Roman"/>
                <w:sz w:val="20"/>
              </w:rPr>
            </w:r>
          </w:p>
        </w:tc>
      </w:tr>
    </w:tbl>
    <w:p>
      <w:pPr>
        <w:spacing w:line="240" w:lineRule="auto" w:before="7"/>
        <w:rPr>
          <w:rFonts w:ascii="宋体" w:hAnsi="宋体" w:cs="宋体" w:eastAsia="宋体" w:hint="default"/>
          <w:sz w:val="15"/>
          <w:szCs w:val="15"/>
        </w:rPr>
      </w:pPr>
    </w:p>
    <w:p>
      <w:pPr>
        <w:pStyle w:val="BodyText"/>
        <w:spacing w:line="273" w:lineRule="exact" w:before="36"/>
        <w:ind w:left="218" w:right="2465"/>
        <w:jc w:val="left"/>
      </w:pPr>
      <w:r>
        <w:rPr/>
        <w:t>变动原因：</w:t>
      </w:r>
    </w:p>
    <w:p>
      <w:pPr>
        <w:pStyle w:val="BodyText"/>
        <w:tabs>
          <w:tab w:pos="577" w:val="left" w:leader="none"/>
        </w:tabs>
        <w:spacing w:line="280" w:lineRule="exact"/>
        <w:ind w:left="218" w:right="96"/>
        <w:jc w:val="left"/>
      </w:pPr>
      <w:r>
        <w:rPr>
          <w:rFonts w:ascii="Times New Roman" w:hAnsi="Times New Roman" w:cs="Times New Roman" w:eastAsia="Times New Roman" w:hint="default"/>
        </w:rPr>
        <w:t>1.</w:t>
        <w:tab/>
      </w:r>
      <w:r>
        <w:rPr>
          <w:spacing w:val="-2"/>
        </w:rPr>
        <w:t>管理费用比上年同期增加了</w:t>
      </w:r>
      <w:r>
        <w:rPr>
          <w:spacing w:val="16"/>
        </w:rPr>
        <w:t> </w:t>
      </w:r>
      <w:r>
        <w:rPr>
          <w:rFonts w:ascii="Times New Roman" w:hAnsi="Times New Roman" w:cs="Times New Roman" w:eastAsia="Times New Roman" w:hint="default"/>
          <w:spacing w:val="-2"/>
        </w:rPr>
        <w:t>98.16%</w:t>
      </w:r>
      <w:r>
        <w:rPr>
          <w:spacing w:val="-2"/>
        </w:rPr>
        <w:t>，主要原因是本期增加了智慧城市项目。</w:t>
      </w:r>
    </w:p>
    <w:p>
      <w:pPr>
        <w:pStyle w:val="BodyText"/>
        <w:tabs>
          <w:tab w:pos="577" w:val="left" w:leader="none"/>
        </w:tabs>
        <w:spacing w:line="272" w:lineRule="exact"/>
        <w:ind w:left="218" w:right="96"/>
        <w:jc w:val="left"/>
      </w:pPr>
      <w:r>
        <w:rPr>
          <w:rFonts w:ascii="Times New Roman" w:hAnsi="Times New Roman" w:cs="Times New Roman" w:eastAsia="Times New Roman" w:hint="default"/>
        </w:rPr>
        <w:t>2.</w:t>
        <w:tab/>
      </w:r>
      <w:r>
        <w:rPr/>
        <w:t>财务费用比上年同期增加了</w:t>
      </w:r>
      <w:r>
        <w:rPr>
          <w:spacing w:val="-8"/>
        </w:rPr>
        <w:t> </w:t>
      </w:r>
      <w:r>
        <w:rPr>
          <w:rFonts w:ascii="Times New Roman" w:hAnsi="Times New Roman" w:cs="Times New Roman" w:eastAsia="Times New Roman" w:hint="default"/>
          <w:spacing w:val="-6"/>
        </w:rPr>
        <w:t>473.41</w:t>
      </w:r>
      <w:r>
        <w:rPr>
          <w:spacing w:val="-6"/>
        </w:rPr>
        <w:t>，主要原因公司向董事长顾国平借款，相应利息支出增加。</w:t>
      </w:r>
    </w:p>
    <w:p>
      <w:pPr>
        <w:pStyle w:val="BodyText"/>
        <w:tabs>
          <w:tab w:pos="577" w:val="left" w:leader="none"/>
        </w:tabs>
        <w:spacing w:line="281" w:lineRule="exact"/>
        <w:ind w:left="218" w:right="96"/>
        <w:jc w:val="left"/>
      </w:pPr>
      <w:r>
        <w:rPr>
          <w:rFonts w:ascii="Times New Roman" w:hAnsi="Times New Roman" w:cs="Times New Roman" w:eastAsia="Times New Roman" w:hint="default"/>
        </w:rPr>
        <w:t>3.</w:t>
        <w:tab/>
      </w:r>
      <w:r>
        <w:rPr>
          <w:spacing w:val="-2"/>
        </w:rPr>
        <w:t>所得税费用比上年同期减少了</w:t>
      </w:r>
      <w:r>
        <w:rPr>
          <w:spacing w:val="27"/>
        </w:rPr>
        <w:t> </w:t>
      </w:r>
      <w:r>
        <w:rPr>
          <w:rFonts w:ascii="Times New Roman" w:hAnsi="Times New Roman" w:cs="Times New Roman" w:eastAsia="Times New Roman" w:hint="default"/>
          <w:spacing w:val="-2"/>
        </w:rPr>
        <w:t>36.17%</w:t>
      </w:r>
      <w:r>
        <w:rPr>
          <w:spacing w:val="-2"/>
        </w:rPr>
        <w:t>，主要原因是本期物业管理服务利润总额比上期减少。</w:t>
      </w:r>
    </w:p>
    <w:p>
      <w:pPr>
        <w:spacing w:line="240" w:lineRule="auto" w:before="0"/>
        <w:rPr>
          <w:rFonts w:ascii="宋体" w:hAnsi="宋体" w:cs="宋体" w:eastAsia="宋体" w:hint="default"/>
          <w:sz w:val="24"/>
          <w:szCs w:val="24"/>
        </w:rPr>
      </w:pPr>
    </w:p>
    <w:p>
      <w:pPr>
        <w:pStyle w:val="Heading3"/>
        <w:tabs>
          <w:tab w:pos="637" w:val="left" w:leader="none"/>
        </w:tabs>
        <w:spacing w:line="240" w:lineRule="auto"/>
        <w:ind w:right="2465"/>
        <w:jc w:val="left"/>
        <w:rPr>
          <w:b w:val="0"/>
          <w:bCs w:val="0"/>
        </w:rPr>
      </w:pPr>
      <w:r>
        <w:rPr>
          <w:rFonts w:ascii="宋体" w:hAnsi="宋体" w:cs="宋体" w:eastAsia="宋体" w:hint="default"/>
          <w:w w:val="95"/>
        </w:rPr>
        <w:t>3.</w:t>
        <w:tab/>
      </w:r>
      <w:r>
        <w:rPr/>
        <w:t>现金流</w:t>
      </w:r>
      <w:r>
        <w:rPr>
          <w:b w:val="0"/>
          <w:bCs w:val="0"/>
        </w:rPr>
      </w:r>
    </w:p>
    <w:p>
      <w:pPr>
        <w:spacing w:line="240" w:lineRule="auto" w:before="11"/>
        <w:rPr>
          <w:rFonts w:ascii="宋体" w:hAnsi="宋体" w:cs="宋体" w:eastAsia="宋体" w:hint="default"/>
          <w:b/>
          <w:bCs/>
          <w:sz w:val="27"/>
          <w:szCs w:val="27"/>
        </w:rPr>
      </w:pPr>
    </w:p>
    <w:tbl>
      <w:tblPr>
        <w:tblW w:w="0" w:type="auto"/>
        <w:jc w:val="left"/>
        <w:tblInd w:w="198" w:type="dxa"/>
        <w:tblLayout w:type="fixed"/>
        <w:tblCellMar>
          <w:top w:w="0" w:type="dxa"/>
          <w:left w:w="0" w:type="dxa"/>
          <w:bottom w:w="0" w:type="dxa"/>
          <w:right w:w="0" w:type="dxa"/>
        </w:tblCellMar>
        <w:tblLook w:val="01E0"/>
      </w:tblPr>
      <w:tblGrid>
        <w:gridCol w:w="2845"/>
        <w:gridCol w:w="2136"/>
        <w:gridCol w:w="1901"/>
        <w:gridCol w:w="1899"/>
      </w:tblGrid>
      <w:tr>
        <w:trPr>
          <w:trHeight w:val="362" w:hRule="exact"/>
        </w:trPr>
        <w:tc>
          <w:tcPr>
            <w:tcW w:w="284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0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9"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221"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62" w:hRule="exact"/>
        </w:trPr>
        <w:tc>
          <w:tcPr>
            <w:tcW w:w="2845"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27" w:right="0"/>
              <w:jc w:val="center"/>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7"/>
              <w:jc w:val="right"/>
              <w:rPr>
                <w:rFonts w:ascii="Times New Roman" w:hAnsi="Times New Roman" w:cs="Times New Roman" w:eastAsia="Times New Roman" w:hint="default"/>
                <w:sz w:val="20"/>
                <w:szCs w:val="20"/>
              </w:rPr>
            </w:pPr>
            <w:r>
              <w:rPr>
                <w:rFonts w:ascii="Times New Roman"/>
                <w:w w:val="95"/>
                <w:sz w:val="20"/>
              </w:rPr>
              <w:t>-92,438,722.02</w:t>
            </w:r>
            <w:r>
              <w:rPr>
                <w:rFonts w:ascii="Times New Roman"/>
                <w:sz w:val="20"/>
              </w:rPr>
            </w:r>
          </w:p>
        </w:tc>
        <w:tc>
          <w:tcPr>
            <w:tcW w:w="1901"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7"/>
              <w:jc w:val="right"/>
              <w:rPr>
                <w:rFonts w:ascii="Times New Roman" w:hAnsi="Times New Roman" w:cs="Times New Roman" w:eastAsia="Times New Roman" w:hint="default"/>
                <w:sz w:val="20"/>
                <w:szCs w:val="20"/>
              </w:rPr>
            </w:pPr>
            <w:r>
              <w:rPr>
                <w:rFonts w:ascii="Times New Roman"/>
                <w:w w:val="95"/>
                <w:sz w:val="20"/>
              </w:rPr>
              <w:t>-2,521,865.90</w:t>
            </w:r>
            <w:r>
              <w:rPr>
                <w:rFonts w:ascii="Times New Roman"/>
                <w:sz w:val="20"/>
              </w:rPr>
            </w:r>
          </w:p>
        </w:tc>
        <w:tc>
          <w:tcPr>
            <w:tcW w:w="1899"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6"/>
              <w:jc w:val="right"/>
              <w:rPr>
                <w:rFonts w:ascii="Times New Roman" w:hAnsi="Times New Roman" w:cs="Times New Roman" w:eastAsia="Times New Roman" w:hint="default"/>
                <w:sz w:val="20"/>
                <w:szCs w:val="20"/>
              </w:rPr>
            </w:pPr>
            <w:r>
              <w:rPr>
                <w:rFonts w:ascii="Times New Roman"/>
                <w:sz w:val="20"/>
              </w:rPr>
              <w:t>-3565.49</w:t>
            </w:r>
          </w:p>
        </w:tc>
      </w:tr>
      <w:tr>
        <w:trPr>
          <w:trHeight w:val="360" w:hRule="exact"/>
        </w:trPr>
        <w:tc>
          <w:tcPr>
            <w:tcW w:w="2845"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27" w:right="0"/>
              <w:jc w:val="center"/>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7"/>
              <w:jc w:val="right"/>
              <w:rPr>
                <w:rFonts w:ascii="Times New Roman" w:hAnsi="Times New Roman" w:cs="Times New Roman" w:eastAsia="Times New Roman" w:hint="default"/>
                <w:sz w:val="20"/>
                <w:szCs w:val="20"/>
              </w:rPr>
            </w:pPr>
            <w:r>
              <w:rPr>
                <w:rFonts w:ascii="Times New Roman"/>
                <w:w w:val="95"/>
                <w:sz w:val="20"/>
              </w:rPr>
              <w:t>-901,841.07</w:t>
            </w:r>
            <w:r>
              <w:rPr>
                <w:rFonts w:ascii="Times New Roman"/>
                <w:sz w:val="20"/>
              </w:rPr>
            </w:r>
          </w:p>
        </w:tc>
        <w:tc>
          <w:tcPr>
            <w:tcW w:w="1901"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6"/>
              <w:jc w:val="right"/>
              <w:rPr>
                <w:rFonts w:ascii="Times New Roman" w:hAnsi="Times New Roman" w:cs="Times New Roman" w:eastAsia="Times New Roman" w:hint="default"/>
                <w:sz w:val="20"/>
                <w:szCs w:val="20"/>
              </w:rPr>
            </w:pPr>
            <w:r>
              <w:rPr>
                <w:rFonts w:ascii="Times New Roman"/>
                <w:w w:val="95"/>
                <w:sz w:val="20"/>
              </w:rPr>
              <w:t>280,761.83</w:t>
            </w:r>
            <w:r>
              <w:rPr>
                <w:rFonts w:ascii="Times New Roman"/>
                <w:sz w:val="20"/>
              </w:rPr>
            </w:r>
          </w:p>
        </w:tc>
        <w:tc>
          <w:tcPr>
            <w:tcW w:w="1899"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6"/>
              <w:jc w:val="right"/>
              <w:rPr>
                <w:rFonts w:ascii="Times New Roman" w:hAnsi="Times New Roman" w:cs="Times New Roman" w:eastAsia="Times New Roman" w:hint="default"/>
                <w:sz w:val="20"/>
                <w:szCs w:val="20"/>
              </w:rPr>
            </w:pPr>
            <w:r>
              <w:rPr>
                <w:rFonts w:ascii="Times New Roman"/>
                <w:w w:val="95"/>
                <w:sz w:val="20"/>
              </w:rPr>
              <w:t>-421.21</w:t>
            </w:r>
            <w:r>
              <w:rPr>
                <w:rFonts w:ascii="Times New Roman"/>
                <w:sz w:val="20"/>
              </w:rPr>
            </w:r>
          </w:p>
        </w:tc>
      </w:tr>
      <w:tr>
        <w:trPr>
          <w:trHeight w:val="365" w:hRule="exact"/>
        </w:trPr>
        <w:tc>
          <w:tcPr>
            <w:tcW w:w="284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27" w:right="0"/>
              <w:jc w:val="center"/>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97"/>
              <w:jc w:val="right"/>
              <w:rPr>
                <w:rFonts w:ascii="Times New Roman" w:hAnsi="Times New Roman" w:cs="Times New Roman" w:eastAsia="Times New Roman" w:hint="default"/>
                <w:sz w:val="20"/>
                <w:szCs w:val="20"/>
              </w:rPr>
            </w:pPr>
            <w:r>
              <w:rPr>
                <w:rFonts w:ascii="Times New Roman"/>
                <w:w w:val="95"/>
                <w:sz w:val="20"/>
              </w:rPr>
              <w:t>81,177,759.00</w:t>
            </w:r>
            <w:r>
              <w:rPr>
                <w:rFonts w:ascii="Times New Roman"/>
                <w:sz w:val="20"/>
              </w:rPr>
            </w:r>
          </w:p>
        </w:tc>
        <w:tc>
          <w:tcPr>
            <w:tcW w:w="1901"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97"/>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899"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tabs>
          <w:tab w:pos="577" w:val="left" w:leader="none"/>
        </w:tabs>
        <w:spacing w:line="240" w:lineRule="exact" w:before="120"/>
        <w:ind w:left="578" w:right="236" w:hanging="36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w w:val="95"/>
          <w:sz w:val="20"/>
          <w:szCs w:val="20"/>
        </w:rPr>
        <w:t>公司经营活动产生的现金流量净额较上年同期下降   </w:t>
      </w:r>
      <w:r>
        <w:rPr>
          <w:rFonts w:ascii="宋体" w:hAnsi="宋体" w:cs="宋体" w:eastAsia="宋体" w:hint="default"/>
          <w:spacing w:val="42"/>
          <w:w w:val="95"/>
          <w:sz w:val="20"/>
          <w:szCs w:val="20"/>
        </w:rPr>
        <w:t> </w:t>
      </w:r>
      <w:r>
        <w:rPr>
          <w:rFonts w:ascii="Times New Roman" w:hAnsi="Times New Roman" w:cs="Times New Roman" w:eastAsia="Times New Roman" w:hint="default"/>
          <w:w w:val="95"/>
          <w:sz w:val="20"/>
          <w:szCs w:val="20"/>
        </w:rPr>
        <w:t>3,565.49%</w:t>
      </w:r>
      <w:r>
        <w:rPr>
          <w:rFonts w:ascii="宋体" w:hAnsi="宋体" w:cs="宋体" w:eastAsia="宋体" w:hint="default"/>
          <w:w w:val="95"/>
          <w:sz w:val="20"/>
          <w:szCs w:val="20"/>
        </w:rPr>
        <w:t>，主要原因是：开展智慧城市项目投</w:t>
      </w:r>
      <w:r>
        <w:rPr>
          <w:rFonts w:ascii="宋体" w:hAnsi="宋体" w:cs="宋体" w:eastAsia="宋体" w:hint="default"/>
          <w:w w:val="99"/>
          <w:sz w:val="20"/>
          <w:szCs w:val="20"/>
        </w:rPr>
        <w:t> </w:t>
      </w:r>
      <w:r>
        <w:rPr>
          <w:rFonts w:ascii="宋体" w:hAnsi="宋体" w:cs="宋体" w:eastAsia="宋体" w:hint="default"/>
          <w:sz w:val="20"/>
          <w:szCs w:val="20"/>
        </w:rPr>
        <w:t>入及归还郡原地产债务。</w:t>
      </w:r>
    </w:p>
    <w:p>
      <w:pPr>
        <w:tabs>
          <w:tab w:pos="577" w:val="left" w:leader="none"/>
        </w:tabs>
        <w:spacing w:line="240" w:lineRule="exact" w:before="120"/>
        <w:ind w:left="578" w:right="236" w:hanging="36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tab/>
      </w:r>
      <w:r>
        <w:rPr>
          <w:rFonts w:ascii="宋体" w:hAnsi="宋体" w:cs="宋体" w:eastAsia="宋体" w:hint="default"/>
          <w:sz w:val="20"/>
          <w:szCs w:val="20"/>
        </w:rPr>
        <w:t>公司投资活动产生的现金流量净额较上年同期下降</w:t>
      </w:r>
      <w:r>
        <w:rPr>
          <w:rFonts w:ascii="宋体" w:hAnsi="宋体" w:cs="宋体" w:eastAsia="宋体" w:hint="default"/>
          <w:spacing w:val="-56"/>
          <w:sz w:val="20"/>
          <w:szCs w:val="20"/>
        </w:rPr>
        <w:t> </w:t>
      </w:r>
      <w:r>
        <w:rPr>
          <w:rFonts w:ascii="Times New Roman" w:hAnsi="Times New Roman" w:cs="Times New Roman" w:eastAsia="Times New Roman" w:hint="default"/>
          <w:spacing w:val="-4"/>
          <w:sz w:val="20"/>
          <w:szCs w:val="20"/>
        </w:rPr>
        <w:t>421.21%</w:t>
      </w:r>
      <w:r>
        <w:rPr>
          <w:rFonts w:ascii="宋体" w:hAnsi="宋体" w:cs="宋体" w:eastAsia="宋体" w:hint="default"/>
          <w:spacing w:val="-4"/>
          <w:sz w:val="20"/>
          <w:szCs w:val="20"/>
        </w:rPr>
        <w:t>，主要原因是：本期公司购置固定资产</w:t>
      </w:r>
      <w:r>
        <w:rPr>
          <w:rFonts w:ascii="宋体" w:hAnsi="宋体" w:cs="宋体" w:eastAsia="宋体" w:hint="default"/>
          <w:w w:val="99"/>
          <w:sz w:val="20"/>
          <w:szCs w:val="20"/>
        </w:rPr>
        <w:t> </w:t>
      </w:r>
      <w:r>
        <w:rPr>
          <w:rFonts w:ascii="宋体" w:hAnsi="宋体" w:cs="宋体" w:eastAsia="宋体" w:hint="default"/>
          <w:sz w:val="20"/>
          <w:szCs w:val="20"/>
        </w:rPr>
        <w:t>增加。</w:t>
      </w:r>
    </w:p>
    <w:p>
      <w:pPr>
        <w:tabs>
          <w:tab w:pos="577" w:val="left" w:leader="none"/>
        </w:tabs>
        <w:spacing w:line="240" w:lineRule="exact" w:before="120"/>
        <w:ind w:left="578" w:right="235" w:hanging="36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tab/>
      </w:r>
      <w:r>
        <w:rPr>
          <w:rFonts w:ascii="宋体" w:hAnsi="宋体" w:cs="宋体" w:eastAsia="宋体" w:hint="default"/>
          <w:w w:val="95"/>
          <w:sz w:val="20"/>
          <w:szCs w:val="20"/>
        </w:rPr>
        <w:t>公司筹资活动产生的现金流量净额较上年同期增长   </w:t>
      </w:r>
      <w:r>
        <w:rPr>
          <w:rFonts w:ascii="宋体" w:hAnsi="宋体" w:cs="宋体" w:eastAsia="宋体" w:hint="default"/>
          <w:spacing w:val="42"/>
          <w:w w:val="95"/>
          <w:sz w:val="20"/>
          <w:szCs w:val="20"/>
        </w:rPr>
        <w:t> </w:t>
      </w:r>
      <w:r>
        <w:rPr>
          <w:rFonts w:ascii="Times New Roman" w:hAnsi="Times New Roman" w:cs="Times New Roman" w:eastAsia="Times New Roman" w:hint="default"/>
          <w:w w:val="95"/>
          <w:sz w:val="20"/>
          <w:szCs w:val="20"/>
        </w:rPr>
        <w:t>100%</w:t>
      </w:r>
      <w:r>
        <w:rPr>
          <w:rFonts w:ascii="宋体" w:hAnsi="宋体" w:cs="宋体" w:eastAsia="宋体" w:hint="default"/>
          <w:w w:val="95"/>
          <w:sz w:val="20"/>
          <w:szCs w:val="20"/>
        </w:rPr>
        <w:t>，主要原因是：本期公司向董事长顾国平</w:t>
      </w:r>
      <w:r>
        <w:rPr>
          <w:rFonts w:ascii="宋体" w:hAnsi="宋体" w:cs="宋体" w:eastAsia="宋体" w:hint="default"/>
          <w:w w:val="99"/>
          <w:sz w:val="20"/>
          <w:szCs w:val="20"/>
        </w:rPr>
        <w:t> </w:t>
      </w:r>
      <w:r>
        <w:rPr>
          <w:rFonts w:ascii="宋体" w:hAnsi="宋体" w:cs="宋体" w:eastAsia="宋体" w:hint="default"/>
          <w:sz w:val="20"/>
          <w:szCs w:val="20"/>
        </w:rPr>
        <w:t>借款。</w:t>
      </w:r>
    </w:p>
    <w:p>
      <w:pPr>
        <w:spacing w:line="240" w:lineRule="auto" w:before="9"/>
        <w:rPr>
          <w:rFonts w:ascii="宋体" w:hAnsi="宋体" w:cs="宋体" w:eastAsia="宋体" w:hint="default"/>
          <w:sz w:val="22"/>
          <w:szCs w:val="22"/>
        </w:rPr>
      </w:pPr>
    </w:p>
    <w:p>
      <w:pPr>
        <w:pStyle w:val="Heading3"/>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40" w:lineRule="auto" w:before="32"/>
        <w:ind w:left="218" w:right="2465"/>
        <w:jc w:val="left"/>
      </w:pPr>
      <w:r>
        <w:rPr/>
        <w:t>□适用</w:t>
      </w:r>
      <w:r>
        <w:rPr>
          <w:spacing w:val="-1"/>
        </w:rPr>
        <w:t> </w:t>
      </w:r>
      <w:r>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3"/>
        <w:spacing w:line="240" w:lineRule="auto" w:before="36"/>
        <w:ind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3"/>
        <w:spacing w:line="240" w:lineRule="auto"/>
        <w:ind w:right="-17"/>
        <w:jc w:val="left"/>
        <w:rPr>
          <w:b w:val="0"/>
          <w:bCs w:val="0"/>
        </w:rPr>
      </w:pP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218" w:right="0"/>
        <w:jc w:val="left"/>
      </w:pPr>
      <w:r>
        <w:rPr/>
        <w:t>单位：元</w:t>
      </w:r>
    </w:p>
    <w:p>
      <w:pPr>
        <w:spacing w:after="0" w:line="240" w:lineRule="auto"/>
        <w:jc w:val="left"/>
        <w:sectPr>
          <w:type w:val="continuous"/>
          <w:pgSz w:w="11910" w:h="16840"/>
          <w:pgMar w:top="1120" w:bottom="1380" w:left="1580" w:right="1040"/>
          <w:cols w:num="3" w:equalWidth="0">
            <w:col w:w="2539" w:space="1138"/>
            <w:col w:w="1697" w:space="2619"/>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1534"/>
        <w:gridCol w:w="1210"/>
        <w:gridCol w:w="1623"/>
        <w:gridCol w:w="1166"/>
        <w:gridCol w:w="1124"/>
        <w:gridCol w:w="866"/>
      </w:tblGrid>
      <w:tr>
        <w:trPr>
          <w:trHeight w:val="130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7"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61" w:right="0"/>
              <w:jc w:val="left"/>
              <w:rPr>
                <w:rFonts w:ascii="宋体" w:hAnsi="宋体" w:cs="宋体" w:eastAsia="宋体" w:hint="default"/>
                <w:sz w:val="20"/>
                <w:szCs w:val="20"/>
              </w:rPr>
            </w:pPr>
            <w:r>
              <w:rPr>
                <w:rFonts w:ascii="宋体" w:hAnsi="宋体" w:cs="宋体" w:eastAsia="宋体" w:hint="default"/>
                <w:sz w:val="20"/>
                <w:szCs w:val="20"/>
              </w:rPr>
              <w:t>本期期末数</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99" w:right="203"/>
              <w:jc w:val="both"/>
              <w:rPr>
                <w:rFonts w:ascii="宋体" w:hAnsi="宋体" w:cs="宋体" w:eastAsia="宋体" w:hint="default"/>
                <w:sz w:val="20"/>
                <w:szCs w:val="20"/>
              </w:rPr>
            </w:pPr>
            <w:r>
              <w:rPr>
                <w:rFonts w:ascii="宋体" w:hAnsi="宋体" w:cs="宋体" w:eastAsia="宋体" w:hint="default"/>
                <w:sz w:val="20"/>
                <w:szCs w:val="20"/>
              </w:rPr>
              <w:t>本期期末</w:t>
            </w:r>
            <w:r>
              <w:rPr>
                <w:rFonts w:ascii="宋体" w:hAnsi="宋体" w:cs="宋体" w:eastAsia="宋体" w:hint="default"/>
                <w:w w:val="99"/>
                <w:sz w:val="20"/>
                <w:szCs w:val="20"/>
              </w:rPr>
              <w:t> </w:t>
            </w:r>
            <w:r>
              <w:rPr>
                <w:rFonts w:ascii="宋体" w:hAnsi="宋体" w:cs="宋体" w:eastAsia="宋体" w:hint="default"/>
                <w:sz w:val="20"/>
                <w:szCs w:val="20"/>
              </w:rPr>
              <w:t>数占总资</w:t>
            </w:r>
            <w:r>
              <w:rPr>
                <w:rFonts w:ascii="宋体" w:hAnsi="宋体" w:cs="宋体" w:eastAsia="宋体" w:hint="default"/>
                <w:w w:val="99"/>
                <w:sz w:val="20"/>
                <w:szCs w:val="20"/>
              </w:rPr>
              <w:t> </w:t>
            </w:r>
            <w:r>
              <w:rPr>
                <w:rFonts w:ascii="宋体" w:hAnsi="宋体" w:cs="宋体" w:eastAsia="宋体" w:hint="default"/>
                <w:sz w:val="20"/>
                <w:szCs w:val="20"/>
              </w:rPr>
              <w:t>产的比例</w:t>
            </w:r>
          </w:p>
          <w:p>
            <w:pPr>
              <w:pStyle w:val="TableParagraph"/>
              <w:spacing w:line="275" w:lineRule="exact"/>
              <w:ind w:left="316"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sz w:val="20"/>
                <w:szCs w:val="20"/>
              </w:rPr>
              <w:t>上期期末数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77" w:right="180"/>
              <w:jc w:val="both"/>
              <w:rPr>
                <w:rFonts w:ascii="宋体" w:hAnsi="宋体" w:cs="宋体" w:eastAsia="宋体" w:hint="default"/>
                <w:sz w:val="20"/>
                <w:szCs w:val="20"/>
              </w:rPr>
            </w:pPr>
            <w:r>
              <w:rPr>
                <w:rFonts w:ascii="宋体" w:hAnsi="宋体" w:cs="宋体" w:eastAsia="宋体" w:hint="default"/>
                <w:sz w:val="20"/>
                <w:szCs w:val="20"/>
              </w:rPr>
              <w:t>上期期末</w:t>
            </w:r>
            <w:r>
              <w:rPr>
                <w:rFonts w:ascii="宋体" w:hAnsi="宋体" w:cs="宋体" w:eastAsia="宋体" w:hint="default"/>
                <w:w w:val="99"/>
                <w:sz w:val="20"/>
                <w:szCs w:val="20"/>
              </w:rPr>
              <w:t> </w:t>
            </w:r>
            <w:r>
              <w:rPr>
                <w:rFonts w:ascii="宋体" w:hAnsi="宋体" w:cs="宋体" w:eastAsia="宋体" w:hint="default"/>
                <w:sz w:val="20"/>
                <w:szCs w:val="20"/>
              </w:rPr>
              <w:t>数占总资</w:t>
            </w:r>
            <w:r>
              <w:rPr>
                <w:rFonts w:ascii="宋体" w:hAnsi="宋体" w:cs="宋体" w:eastAsia="宋体" w:hint="default"/>
                <w:w w:val="99"/>
                <w:sz w:val="20"/>
                <w:szCs w:val="20"/>
              </w:rPr>
              <w:t> </w:t>
            </w:r>
            <w:r>
              <w:rPr>
                <w:rFonts w:ascii="宋体" w:hAnsi="宋体" w:cs="宋体" w:eastAsia="宋体" w:hint="default"/>
                <w:sz w:val="20"/>
                <w:szCs w:val="20"/>
              </w:rPr>
              <w:t>产的比例</w:t>
            </w:r>
          </w:p>
          <w:p>
            <w:pPr>
              <w:pStyle w:val="TableParagraph"/>
              <w:spacing w:line="275" w:lineRule="exact"/>
              <w:ind w:left="295"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6" w:right="0"/>
              <w:jc w:val="both"/>
              <w:rPr>
                <w:rFonts w:ascii="宋体" w:hAnsi="宋体" w:cs="宋体" w:eastAsia="宋体" w:hint="default"/>
                <w:sz w:val="20"/>
                <w:szCs w:val="20"/>
              </w:rPr>
            </w:pPr>
            <w:r>
              <w:rPr>
                <w:rFonts w:ascii="宋体" w:hAnsi="宋体" w:cs="宋体" w:eastAsia="宋体" w:hint="default"/>
                <w:sz w:val="20"/>
                <w:szCs w:val="20"/>
              </w:rPr>
              <w:t>本期期末</w:t>
            </w:r>
          </w:p>
          <w:p>
            <w:pPr>
              <w:pStyle w:val="TableParagraph"/>
              <w:spacing w:line="237" w:lineRule="auto" w:before="1"/>
              <w:ind w:left="156" w:right="158"/>
              <w:jc w:val="both"/>
              <w:rPr>
                <w:rFonts w:ascii="宋体" w:hAnsi="宋体" w:cs="宋体" w:eastAsia="宋体" w:hint="default"/>
                <w:sz w:val="20"/>
                <w:szCs w:val="20"/>
              </w:rPr>
            </w:pPr>
            <w:r>
              <w:rPr>
                <w:rFonts w:ascii="宋体" w:hAnsi="宋体" w:cs="宋体" w:eastAsia="宋体" w:hint="default"/>
                <w:sz w:val="20"/>
                <w:szCs w:val="20"/>
              </w:rPr>
              <w:t>金额较上</w:t>
            </w:r>
            <w:r>
              <w:rPr>
                <w:rFonts w:ascii="宋体" w:hAnsi="宋体" w:cs="宋体" w:eastAsia="宋体" w:hint="default"/>
                <w:w w:val="99"/>
                <w:sz w:val="20"/>
                <w:szCs w:val="20"/>
              </w:rPr>
              <w:t> </w:t>
            </w:r>
            <w:r>
              <w:rPr>
                <w:rFonts w:ascii="宋体" w:hAnsi="宋体" w:cs="宋体" w:eastAsia="宋体" w:hint="default"/>
                <w:sz w:val="20"/>
                <w:szCs w:val="20"/>
              </w:rPr>
              <w:t>期期末变</w:t>
            </w:r>
            <w:r>
              <w:rPr>
                <w:rFonts w:ascii="宋体" w:hAnsi="宋体" w:cs="宋体" w:eastAsia="宋体" w:hint="default"/>
                <w:w w:val="99"/>
                <w:sz w:val="20"/>
                <w:szCs w:val="20"/>
              </w:rPr>
              <w:t> </w:t>
            </w:r>
            <w:r>
              <w:rPr>
                <w:rFonts w:ascii="宋体" w:hAnsi="宋体" w:cs="宋体" w:eastAsia="宋体" w:hint="default"/>
                <w:sz w:val="20"/>
                <w:szCs w:val="20"/>
              </w:rPr>
              <w:t>动比例</w:t>
            </w:r>
          </w:p>
          <w:p>
            <w:pPr>
              <w:pStyle w:val="TableParagraph"/>
              <w:spacing w:line="275" w:lineRule="exact"/>
              <w:ind w:right="1"/>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328" w:right="131" w:hanging="202"/>
              <w:jc w:val="left"/>
              <w:rPr>
                <w:rFonts w:ascii="宋体" w:hAnsi="宋体" w:cs="宋体" w:eastAsia="宋体" w:hint="default"/>
                <w:sz w:val="20"/>
                <w:szCs w:val="20"/>
              </w:rPr>
            </w:pPr>
            <w:r>
              <w:rPr>
                <w:rFonts w:ascii="宋体" w:hAnsi="宋体" w:cs="宋体" w:eastAsia="宋体" w:hint="default"/>
                <w:sz w:val="20"/>
                <w:szCs w:val="20"/>
              </w:rPr>
              <w:t>情况说</w:t>
            </w:r>
            <w:r>
              <w:rPr>
                <w:rFonts w:ascii="宋体" w:hAnsi="宋体" w:cs="宋体" w:eastAsia="宋体" w:hint="default"/>
                <w:w w:val="99"/>
                <w:sz w:val="20"/>
                <w:szCs w:val="20"/>
              </w:rPr>
              <w:t> </w:t>
            </w:r>
            <w:r>
              <w:rPr>
                <w:rFonts w:ascii="宋体" w:hAnsi="宋体" w:cs="宋体" w:eastAsia="宋体" w:hint="default"/>
                <w:sz w:val="20"/>
                <w:szCs w:val="20"/>
              </w:rPr>
              <w:t>明</w:t>
            </w:r>
          </w:p>
        </w:tc>
      </w:tr>
      <w:tr>
        <w:trPr>
          <w:trHeight w:val="27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57"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w w:val="95"/>
                <w:sz w:val="20"/>
              </w:rPr>
              <w:t>34,889,587.29</w:t>
            </w:r>
            <w:r>
              <w:rPr>
                <w:rFonts w:ascii="Times New Roman"/>
                <w:sz w:val="20"/>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8"/>
              <w:jc w:val="right"/>
              <w:rPr>
                <w:rFonts w:ascii="Times New Roman" w:hAnsi="Times New Roman" w:cs="Times New Roman" w:eastAsia="Times New Roman" w:hint="default"/>
                <w:sz w:val="20"/>
                <w:szCs w:val="20"/>
              </w:rPr>
            </w:pPr>
            <w:r>
              <w:rPr>
                <w:rFonts w:ascii="Times New Roman"/>
                <w:sz w:val="20"/>
              </w:rPr>
              <w:t>28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30,730,150.38</w:t>
            </w:r>
            <w:r>
              <w:rPr>
                <w:rFonts w:ascii="Times New Roman"/>
                <w:sz w:val="20"/>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sz w:val="20"/>
              </w:rPr>
              <w:t>56.41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sz w:val="20"/>
              </w:rPr>
              <w:t>13.54</w:t>
            </w: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57"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22,951,524.24</w:t>
            </w:r>
            <w:r>
              <w:rPr>
                <w:rFonts w:ascii="Times New Roman"/>
                <w:sz w:val="20"/>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18.42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5,493,086.91</w:t>
            </w:r>
            <w:r>
              <w:rPr>
                <w:rFonts w:ascii="Times New Roman"/>
                <w:sz w:val="20"/>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10.08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317.83</w:t>
            </w:r>
            <w:r>
              <w:rPr>
                <w:rFonts w:ascii="Times New Roman"/>
                <w:sz w:val="20"/>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pacing w:val="17"/>
                <w:sz w:val="20"/>
                <w:szCs w:val="20"/>
              </w:rPr>
              <w:t>智慧城</w:t>
            </w:r>
            <w:r>
              <w:rPr>
                <w:rFonts w:ascii="宋体" w:hAnsi="宋体" w:cs="宋体" w:eastAsia="宋体" w:hint="default"/>
                <w:spacing w:val="-74"/>
                <w:sz w:val="20"/>
                <w:szCs w:val="20"/>
              </w:rPr>
              <w:t> </w:t>
            </w:r>
            <w:r>
              <w:rPr>
                <w:rFonts w:ascii="宋体" w:hAnsi="宋体" w:cs="宋体" w:eastAsia="宋体" w:hint="default"/>
                <w:sz w:val="20"/>
                <w:szCs w:val="20"/>
              </w:rPr>
            </w:r>
          </w:p>
          <w:p>
            <w:pPr>
              <w:pStyle w:val="TableParagraph"/>
              <w:spacing w:line="260" w:lineRule="exact" w:before="24"/>
              <w:ind w:left="103" w:right="74"/>
              <w:jc w:val="both"/>
              <w:rPr>
                <w:rFonts w:ascii="宋体" w:hAnsi="宋体" w:cs="宋体" w:eastAsia="宋体" w:hint="default"/>
                <w:sz w:val="20"/>
                <w:szCs w:val="20"/>
              </w:rPr>
            </w:pPr>
            <w:r>
              <w:rPr>
                <w:rFonts w:ascii="宋体" w:hAnsi="宋体" w:cs="宋体" w:eastAsia="宋体" w:hint="default"/>
                <w:spacing w:val="17"/>
                <w:sz w:val="20"/>
                <w:szCs w:val="20"/>
              </w:rPr>
              <w:t>市及物</w:t>
            </w:r>
            <w:r>
              <w:rPr>
                <w:rFonts w:ascii="宋体" w:hAnsi="宋体" w:cs="宋体" w:eastAsia="宋体" w:hint="default"/>
                <w:spacing w:val="-74"/>
                <w:sz w:val="20"/>
                <w:szCs w:val="20"/>
              </w:rPr>
              <w:t> </w:t>
            </w:r>
            <w:r>
              <w:rPr>
                <w:rFonts w:ascii="宋体" w:hAnsi="宋体" w:cs="宋体" w:eastAsia="宋体" w:hint="default"/>
                <w:spacing w:val="17"/>
                <w:sz w:val="20"/>
                <w:szCs w:val="20"/>
              </w:rPr>
              <w:t>业费收</w:t>
            </w:r>
            <w:r>
              <w:rPr>
                <w:rFonts w:ascii="宋体" w:hAnsi="宋体" w:cs="宋体" w:eastAsia="宋体" w:hint="default"/>
                <w:spacing w:val="-74"/>
                <w:sz w:val="20"/>
                <w:szCs w:val="20"/>
              </w:rPr>
              <w:t> </w:t>
            </w:r>
            <w:r>
              <w:rPr>
                <w:rFonts w:ascii="宋体" w:hAnsi="宋体" w:cs="宋体" w:eastAsia="宋体" w:hint="default"/>
                <w:sz w:val="20"/>
                <w:szCs w:val="20"/>
              </w:rPr>
              <w:t>入增加</w:t>
            </w:r>
          </w:p>
        </w:tc>
      </w:tr>
      <w:tr>
        <w:trPr>
          <w:trHeight w:val="79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57"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60" w:right="0"/>
              <w:jc w:val="left"/>
              <w:rPr>
                <w:rFonts w:ascii="Times New Roman" w:hAnsi="Times New Roman" w:cs="Times New Roman" w:eastAsia="Times New Roman" w:hint="default"/>
                <w:sz w:val="20"/>
                <w:szCs w:val="20"/>
              </w:rPr>
            </w:pPr>
            <w:r>
              <w:rPr>
                <w:rFonts w:ascii="Times New Roman"/>
                <w:sz w:val="20"/>
              </w:rPr>
              <w:t>1,353,025.57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1.09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622,922.39</w:t>
            </w:r>
            <w:r>
              <w:rPr>
                <w:rFonts w:ascii="Times New Roman"/>
                <w:sz w:val="20"/>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1.14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pacing w:val="-1"/>
                <w:w w:val="95"/>
                <w:sz w:val="20"/>
              </w:rPr>
              <w:t>117.21</w:t>
            </w:r>
            <w:r>
              <w:rPr>
                <w:rFonts w:ascii="Times New Roman"/>
                <w:spacing w:val="-1"/>
                <w:sz w:val="20"/>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7"/>
                <w:sz w:val="20"/>
                <w:szCs w:val="20"/>
              </w:rPr>
              <w:t>智慧城</w:t>
            </w:r>
            <w:r>
              <w:rPr>
                <w:rFonts w:ascii="宋体" w:hAnsi="宋体" w:cs="宋体" w:eastAsia="宋体" w:hint="default"/>
                <w:spacing w:val="-74"/>
                <w:sz w:val="20"/>
                <w:szCs w:val="20"/>
              </w:rPr>
              <w:t> </w:t>
            </w:r>
            <w:r>
              <w:rPr>
                <w:rFonts w:ascii="宋体" w:hAnsi="宋体" w:cs="宋体" w:eastAsia="宋体" w:hint="default"/>
                <w:sz w:val="20"/>
                <w:szCs w:val="20"/>
              </w:rPr>
            </w:r>
          </w:p>
          <w:p>
            <w:pPr>
              <w:pStyle w:val="TableParagraph"/>
              <w:spacing w:line="260" w:lineRule="exact" w:before="24"/>
              <w:ind w:left="103" w:right="74"/>
              <w:jc w:val="left"/>
              <w:rPr>
                <w:rFonts w:ascii="宋体" w:hAnsi="宋体" w:cs="宋体" w:eastAsia="宋体" w:hint="default"/>
                <w:sz w:val="20"/>
                <w:szCs w:val="20"/>
              </w:rPr>
            </w:pPr>
            <w:r>
              <w:rPr>
                <w:rFonts w:ascii="宋体" w:hAnsi="宋体" w:cs="宋体" w:eastAsia="宋体" w:hint="default"/>
                <w:spacing w:val="17"/>
                <w:sz w:val="20"/>
                <w:szCs w:val="20"/>
              </w:rPr>
              <w:t>市项目</w:t>
            </w:r>
            <w:r>
              <w:rPr>
                <w:rFonts w:ascii="宋体" w:hAnsi="宋体" w:cs="宋体" w:eastAsia="宋体" w:hint="default"/>
                <w:spacing w:val="-74"/>
                <w:sz w:val="20"/>
                <w:szCs w:val="20"/>
              </w:rPr>
              <w:t> </w:t>
            </w:r>
            <w:r>
              <w:rPr>
                <w:rFonts w:ascii="宋体" w:hAnsi="宋体" w:cs="宋体" w:eastAsia="宋体" w:hint="default"/>
                <w:sz w:val="20"/>
                <w:szCs w:val="20"/>
              </w:rPr>
              <w:t>预付款</w:t>
            </w:r>
          </w:p>
        </w:tc>
      </w:tr>
      <w:tr>
        <w:trPr>
          <w:trHeight w:val="104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3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13,072,298.07</w:t>
            </w:r>
            <w:r>
              <w:rPr>
                <w:rFonts w:ascii="Times New Roman"/>
                <w:sz w:val="20"/>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10.49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1,885,013.06</w:t>
            </w:r>
            <w:r>
              <w:rPr>
                <w:rFonts w:ascii="Times New Roman"/>
                <w:sz w:val="20"/>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3.46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593.49</w:t>
            </w:r>
            <w:r>
              <w:rPr>
                <w:rFonts w:ascii="Times New Roman"/>
                <w:sz w:val="20"/>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pacing w:val="17"/>
                <w:sz w:val="20"/>
                <w:szCs w:val="20"/>
              </w:rPr>
              <w:t>关联方</w:t>
            </w:r>
            <w:r>
              <w:rPr>
                <w:rFonts w:ascii="宋体" w:hAnsi="宋体" w:cs="宋体" w:eastAsia="宋体" w:hint="default"/>
                <w:spacing w:val="-74"/>
                <w:sz w:val="20"/>
                <w:szCs w:val="20"/>
              </w:rPr>
              <w:t> </w:t>
            </w:r>
            <w:r>
              <w:rPr>
                <w:rFonts w:ascii="宋体" w:hAnsi="宋体" w:cs="宋体" w:eastAsia="宋体" w:hint="default"/>
                <w:sz w:val="20"/>
                <w:szCs w:val="20"/>
              </w:rPr>
            </w:r>
          </w:p>
          <w:p>
            <w:pPr>
              <w:pStyle w:val="TableParagraph"/>
              <w:spacing w:line="260" w:lineRule="exact" w:before="24"/>
              <w:ind w:left="103" w:right="74"/>
              <w:jc w:val="both"/>
              <w:rPr>
                <w:rFonts w:ascii="宋体" w:hAnsi="宋体" w:cs="宋体" w:eastAsia="宋体" w:hint="default"/>
                <w:sz w:val="20"/>
                <w:szCs w:val="20"/>
              </w:rPr>
            </w:pPr>
            <w:r>
              <w:rPr>
                <w:rFonts w:ascii="宋体" w:hAnsi="宋体" w:cs="宋体" w:eastAsia="宋体" w:hint="default"/>
                <w:spacing w:val="17"/>
                <w:sz w:val="20"/>
                <w:szCs w:val="20"/>
              </w:rPr>
              <w:t>往来款</w:t>
            </w:r>
            <w:r>
              <w:rPr>
                <w:rFonts w:ascii="宋体" w:hAnsi="宋体" w:cs="宋体" w:eastAsia="宋体" w:hint="default"/>
                <w:spacing w:val="-74"/>
                <w:sz w:val="20"/>
                <w:szCs w:val="20"/>
              </w:rPr>
              <w:t> </w:t>
            </w:r>
            <w:r>
              <w:rPr>
                <w:rFonts w:ascii="宋体" w:hAnsi="宋体" w:cs="宋体" w:eastAsia="宋体" w:hint="default"/>
                <w:spacing w:val="17"/>
                <w:sz w:val="20"/>
                <w:szCs w:val="20"/>
              </w:rPr>
              <w:t>项尚未</w:t>
            </w:r>
            <w:r>
              <w:rPr>
                <w:rFonts w:ascii="宋体" w:hAnsi="宋体" w:cs="宋体" w:eastAsia="宋体" w:hint="default"/>
                <w:spacing w:val="-74"/>
                <w:sz w:val="20"/>
                <w:szCs w:val="20"/>
              </w:rPr>
              <w:t> </w:t>
            </w:r>
            <w:r>
              <w:rPr>
                <w:rFonts w:ascii="宋体" w:hAnsi="宋体" w:cs="宋体" w:eastAsia="宋体" w:hint="default"/>
                <w:sz w:val="20"/>
                <w:szCs w:val="20"/>
              </w:rPr>
              <w:t>归还</w:t>
            </w:r>
          </w:p>
        </w:tc>
      </w:tr>
    </w:tbl>
    <w:p>
      <w:pPr>
        <w:spacing w:after="0" w:line="260" w:lineRule="exact"/>
        <w:jc w:val="both"/>
        <w:rPr>
          <w:rFonts w:ascii="宋体" w:hAnsi="宋体" w:cs="宋体" w:eastAsia="宋体" w:hint="default"/>
          <w:sz w:val="20"/>
          <w:szCs w:val="20"/>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26"/>
        <w:gridCol w:w="1534"/>
        <w:gridCol w:w="1210"/>
        <w:gridCol w:w="1623"/>
        <w:gridCol w:w="1166"/>
        <w:gridCol w:w="1124"/>
        <w:gridCol w:w="866"/>
      </w:tblGrid>
      <w:tr>
        <w:trPr>
          <w:trHeight w:val="104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58"/>
              <w:jc w:val="right"/>
              <w:rPr>
                <w:rFonts w:ascii="宋体" w:hAnsi="宋体" w:cs="宋体" w:eastAsia="宋体" w:hint="default"/>
                <w:sz w:val="20"/>
                <w:szCs w:val="20"/>
              </w:rPr>
            </w:pPr>
            <w:r>
              <w:rPr>
                <w:rFonts w:ascii="宋体" w:hAnsi="宋体" w:cs="宋体" w:eastAsia="宋体" w:hint="default"/>
                <w:w w:val="95"/>
                <w:sz w:val="20"/>
                <w:szCs w:val="20"/>
              </w:rPr>
              <w:t>其他流动资产</w:t>
            </w:r>
            <w:r>
              <w:rPr>
                <w:rFonts w:ascii="宋体" w:hAnsi="宋体" w:cs="宋体" w:eastAsia="宋体" w:hint="default"/>
                <w:sz w:val="20"/>
                <w:szCs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w w:val="95"/>
                <w:sz w:val="20"/>
              </w:rPr>
              <w:t>50,727,868.97</w:t>
            </w:r>
            <w:r>
              <w:rPr>
                <w:rFonts w:ascii="Times New Roman"/>
                <w:sz w:val="20"/>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sz w:val="20"/>
              </w:rPr>
              <w:t>40.71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sz w:val="20"/>
              </w:rPr>
              <w:t>27.54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w w:val="95"/>
                <w:sz w:val="20"/>
              </w:rPr>
              <w:t>238.19</w:t>
            </w:r>
            <w:r>
              <w:rPr>
                <w:rFonts w:ascii="Times New Roman"/>
                <w:sz w:val="20"/>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both"/>
              <w:rPr>
                <w:rFonts w:ascii="宋体" w:hAnsi="宋体" w:cs="宋体" w:eastAsia="宋体" w:hint="default"/>
                <w:sz w:val="20"/>
                <w:szCs w:val="20"/>
              </w:rPr>
            </w:pPr>
            <w:r>
              <w:rPr>
                <w:rFonts w:ascii="宋体" w:hAnsi="宋体" w:cs="宋体" w:eastAsia="宋体" w:hint="default"/>
                <w:spacing w:val="17"/>
                <w:sz w:val="20"/>
                <w:szCs w:val="20"/>
              </w:rPr>
              <w:t>关联方</w:t>
            </w:r>
            <w:r>
              <w:rPr>
                <w:rFonts w:ascii="宋体" w:hAnsi="宋体" w:cs="宋体" w:eastAsia="宋体" w:hint="default"/>
                <w:spacing w:val="-74"/>
                <w:sz w:val="20"/>
                <w:szCs w:val="20"/>
              </w:rPr>
              <w:t> </w:t>
            </w:r>
            <w:r>
              <w:rPr>
                <w:rFonts w:ascii="宋体" w:hAnsi="宋体" w:cs="宋体" w:eastAsia="宋体" w:hint="default"/>
                <w:sz w:val="20"/>
                <w:szCs w:val="20"/>
              </w:rPr>
            </w:r>
          </w:p>
          <w:p>
            <w:pPr>
              <w:pStyle w:val="TableParagraph"/>
              <w:spacing w:line="260" w:lineRule="exact" w:before="24"/>
              <w:ind w:left="103" w:right="74"/>
              <w:jc w:val="both"/>
              <w:rPr>
                <w:rFonts w:ascii="宋体" w:hAnsi="宋体" w:cs="宋体" w:eastAsia="宋体" w:hint="default"/>
                <w:sz w:val="20"/>
                <w:szCs w:val="20"/>
              </w:rPr>
            </w:pPr>
            <w:r>
              <w:rPr>
                <w:rFonts w:ascii="宋体" w:hAnsi="宋体" w:cs="宋体" w:eastAsia="宋体" w:hint="default"/>
                <w:spacing w:val="17"/>
                <w:sz w:val="20"/>
                <w:szCs w:val="20"/>
              </w:rPr>
              <w:t>往来款</w:t>
            </w:r>
            <w:r>
              <w:rPr>
                <w:rFonts w:ascii="宋体" w:hAnsi="宋体" w:cs="宋体" w:eastAsia="宋体" w:hint="default"/>
                <w:spacing w:val="-74"/>
                <w:sz w:val="20"/>
                <w:szCs w:val="20"/>
              </w:rPr>
              <w:t> </w:t>
            </w:r>
            <w:r>
              <w:rPr>
                <w:rFonts w:ascii="宋体" w:hAnsi="宋体" w:cs="宋体" w:eastAsia="宋体" w:hint="default"/>
                <w:spacing w:val="17"/>
                <w:sz w:val="20"/>
                <w:szCs w:val="20"/>
              </w:rPr>
              <w:t>项尚未</w:t>
            </w:r>
            <w:r>
              <w:rPr>
                <w:rFonts w:ascii="宋体" w:hAnsi="宋体" w:cs="宋体" w:eastAsia="宋体" w:hint="default"/>
                <w:spacing w:val="-74"/>
                <w:sz w:val="20"/>
                <w:szCs w:val="20"/>
              </w:rPr>
              <w:t> </w:t>
            </w:r>
            <w:r>
              <w:rPr>
                <w:rFonts w:ascii="宋体" w:hAnsi="宋体" w:cs="宋体" w:eastAsia="宋体" w:hint="default"/>
                <w:sz w:val="20"/>
                <w:szCs w:val="20"/>
              </w:rPr>
              <w:t>归还</w:t>
            </w:r>
          </w:p>
        </w:tc>
      </w:tr>
      <w:tr>
        <w:trPr>
          <w:trHeight w:val="5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递延所得税资</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产</w:t>
            </w:r>
            <w:r>
              <w:rPr>
                <w:rFonts w:ascii="宋体" w:hAnsi="宋体" w:cs="宋体" w:eastAsia="宋体" w:hint="default"/>
                <w:sz w:val="20"/>
                <w:szCs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w w:val="95"/>
                <w:sz w:val="20"/>
              </w:rPr>
              <w:t>213,320.31</w:t>
            </w:r>
            <w:r>
              <w:rPr>
                <w:rFonts w:ascii="Times New Roman"/>
                <w:sz w:val="20"/>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0.17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91,484.33</w:t>
            </w:r>
            <w:r>
              <w:rPr>
                <w:rFonts w:ascii="Times New Roman"/>
                <w:sz w:val="20"/>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0.17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133.18</w:t>
            </w:r>
            <w:r>
              <w:rPr>
                <w:rFonts w:ascii="Times New Roman"/>
                <w:sz w:val="20"/>
              </w:rPr>
            </w: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3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pacing w:val="-1"/>
                <w:w w:val="95"/>
                <w:sz w:val="20"/>
              </w:rPr>
              <w:t>1,334,811.00</w:t>
            </w:r>
            <w:r>
              <w:rPr>
                <w:rFonts w:ascii="Times New Roman"/>
                <w:spacing w:val="-1"/>
                <w:sz w:val="20"/>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1.07</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3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w w:val="95"/>
                <w:sz w:val="20"/>
              </w:rPr>
              <w:t>2,030,439.80</w:t>
            </w:r>
            <w:r>
              <w:rPr>
                <w:rFonts w:ascii="Times New Roman"/>
                <w:sz w:val="20"/>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sz w:val="20"/>
              </w:rPr>
              <w:t>1.63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444,963.53</w:t>
            </w:r>
            <w:r>
              <w:rPr>
                <w:rFonts w:ascii="Times New Roman"/>
                <w:sz w:val="20"/>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sz w:val="20"/>
              </w:rPr>
              <w:t>0.82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w w:val="95"/>
                <w:sz w:val="20"/>
              </w:rPr>
              <w:t>356.32</w:t>
            </w:r>
            <w:r>
              <w:rPr>
                <w:rFonts w:ascii="Times New Roman"/>
                <w:sz w:val="20"/>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both"/>
              <w:rPr>
                <w:rFonts w:ascii="宋体" w:hAnsi="宋体" w:cs="宋体" w:eastAsia="宋体" w:hint="default"/>
                <w:sz w:val="20"/>
                <w:szCs w:val="20"/>
              </w:rPr>
            </w:pPr>
            <w:r>
              <w:rPr>
                <w:rFonts w:ascii="宋体" w:hAnsi="宋体" w:cs="宋体" w:eastAsia="宋体" w:hint="default"/>
                <w:spacing w:val="17"/>
                <w:sz w:val="20"/>
                <w:szCs w:val="20"/>
              </w:rPr>
              <w:t>智慧城</w:t>
            </w:r>
            <w:r>
              <w:rPr>
                <w:rFonts w:ascii="宋体" w:hAnsi="宋体" w:cs="宋体" w:eastAsia="宋体" w:hint="default"/>
                <w:spacing w:val="-74"/>
                <w:sz w:val="20"/>
                <w:szCs w:val="20"/>
              </w:rPr>
              <w:t> </w:t>
            </w:r>
            <w:r>
              <w:rPr>
                <w:rFonts w:ascii="宋体" w:hAnsi="宋体" w:cs="宋体" w:eastAsia="宋体" w:hint="default"/>
                <w:sz w:val="20"/>
                <w:szCs w:val="20"/>
              </w:rPr>
            </w:r>
          </w:p>
          <w:p>
            <w:pPr>
              <w:pStyle w:val="TableParagraph"/>
              <w:spacing w:line="260" w:lineRule="exact" w:before="24"/>
              <w:ind w:left="103" w:right="74"/>
              <w:jc w:val="both"/>
              <w:rPr>
                <w:rFonts w:ascii="宋体" w:hAnsi="宋体" w:cs="宋体" w:eastAsia="宋体" w:hint="default"/>
                <w:sz w:val="20"/>
                <w:szCs w:val="20"/>
              </w:rPr>
            </w:pPr>
            <w:r>
              <w:rPr>
                <w:rFonts w:ascii="宋体" w:hAnsi="宋体" w:cs="宋体" w:eastAsia="宋体" w:hint="default"/>
                <w:spacing w:val="17"/>
                <w:sz w:val="20"/>
                <w:szCs w:val="20"/>
              </w:rPr>
              <w:t>市工程</w:t>
            </w:r>
            <w:r>
              <w:rPr>
                <w:rFonts w:ascii="宋体" w:hAnsi="宋体" w:cs="宋体" w:eastAsia="宋体" w:hint="default"/>
                <w:spacing w:val="-74"/>
                <w:sz w:val="20"/>
                <w:szCs w:val="20"/>
              </w:rPr>
              <w:t> </w:t>
            </w:r>
            <w:r>
              <w:rPr>
                <w:rFonts w:ascii="宋体" w:hAnsi="宋体" w:cs="宋体" w:eastAsia="宋体" w:hint="default"/>
                <w:spacing w:val="17"/>
                <w:sz w:val="20"/>
                <w:szCs w:val="20"/>
              </w:rPr>
              <w:t>材料增</w:t>
            </w:r>
            <w:r>
              <w:rPr>
                <w:rFonts w:ascii="宋体" w:hAnsi="宋体" w:cs="宋体" w:eastAsia="宋体" w:hint="default"/>
                <w:spacing w:val="-74"/>
                <w:sz w:val="20"/>
                <w:szCs w:val="20"/>
              </w:rPr>
              <w:t> </w:t>
            </w:r>
            <w:r>
              <w:rPr>
                <w:rFonts w:ascii="宋体" w:hAnsi="宋体" w:cs="宋体" w:eastAsia="宋体" w:hint="default"/>
                <w:sz w:val="20"/>
                <w:szCs w:val="20"/>
              </w:rPr>
              <w:t>加</w:t>
            </w:r>
          </w:p>
        </w:tc>
      </w:tr>
      <w:tr>
        <w:trPr>
          <w:trHeight w:val="78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3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5,443,164.34</w:t>
            </w:r>
            <w:r>
              <w:rPr>
                <w:rFonts w:ascii="Times New Roman"/>
                <w:sz w:val="20"/>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4.37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3,844,308.85</w:t>
            </w:r>
            <w:r>
              <w:rPr>
                <w:rFonts w:ascii="Times New Roman"/>
                <w:sz w:val="20"/>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7.06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41.59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7"/>
                <w:sz w:val="20"/>
                <w:szCs w:val="20"/>
              </w:rPr>
              <w:t>物业费</w:t>
            </w:r>
            <w:r>
              <w:rPr>
                <w:rFonts w:ascii="宋体" w:hAnsi="宋体" w:cs="宋体" w:eastAsia="宋体" w:hint="default"/>
                <w:spacing w:val="-74"/>
                <w:sz w:val="20"/>
                <w:szCs w:val="20"/>
              </w:rPr>
              <w:t> </w:t>
            </w:r>
            <w:r>
              <w:rPr>
                <w:rFonts w:ascii="宋体" w:hAnsi="宋体" w:cs="宋体" w:eastAsia="宋体" w:hint="default"/>
                <w:sz w:val="20"/>
                <w:szCs w:val="20"/>
              </w:rPr>
            </w:r>
          </w:p>
          <w:p>
            <w:pPr>
              <w:pStyle w:val="TableParagraph"/>
              <w:spacing w:line="260" w:lineRule="exact" w:before="24"/>
              <w:ind w:left="103" w:right="74"/>
              <w:jc w:val="left"/>
              <w:rPr>
                <w:rFonts w:ascii="宋体" w:hAnsi="宋体" w:cs="宋体" w:eastAsia="宋体" w:hint="default"/>
                <w:sz w:val="20"/>
                <w:szCs w:val="20"/>
              </w:rPr>
            </w:pPr>
            <w:r>
              <w:rPr>
                <w:rFonts w:ascii="宋体" w:hAnsi="宋体" w:cs="宋体" w:eastAsia="宋体" w:hint="default"/>
                <w:spacing w:val="17"/>
                <w:sz w:val="20"/>
                <w:szCs w:val="20"/>
              </w:rPr>
              <w:t>收入增</w:t>
            </w:r>
            <w:r>
              <w:rPr>
                <w:rFonts w:ascii="宋体" w:hAnsi="宋体" w:cs="宋体" w:eastAsia="宋体" w:hint="default"/>
                <w:spacing w:val="-74"/>
                <w:sz w:val="20"/>
                <w:szCs w:val="20"/>
              </w:rPr>
              <w:t> </w:t>
            </w:r>
            <w:r>
              <w:rPr>
                <w:rFonts w:ascii="宋体" w:hAnsi="宋体" w:cs="宋体" w:eastAsia="宋体" w:hint="default"/>
                <w:sz w:val="20"/>
                <w:szCs w:val="20"/>
              </w:rPr>
              <w:t>加</w:t>
            </w:r>
          </w:p>
        </w:tc>
      </w:tr>
      <w:tr>
        <w:trPr>
          <w:trHeight w:val="53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33" w:right="0"/>
              <w:jc w:val="left"/>
              <w:rPr>
                <w:rFonts w:ascii="宋体" w:hAnsi="宋体" w:cs="宋体" w:eastAsia="宋体" w:hint="default"/>
                <w:sz w:val="20"/>
                <w:szCs w:val="20"/>
              </w:rPr>
            </w:pPr>
            <w:r>
              <w:rPr>
                <w:rFonts w:ascii="宋体" w:hAnsi="宋体" w:cs="宋体" w:eastAsia="宋体" w:hint="default"/>
                <w:sz w:val="20"/>
                <w:szCs w:val="20"/>
              </w:rPr>
              <w:t>应付职工薪</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酬</w:t>
            </w:r>
            <w:r>
              <w:rPr>
                <w:rFonts w:ascii="宋体" w:hAnsi="宋体" w:cs="宋体" w:eastAsia="宋体" w:hint="default"/>
                <w:sz w:val="20"/>
                <w:szCs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1,951,144.42</w:t>
            </w:r>
            <w:r>
              <w:rPr>
                <w:rFonts w:ascii="Times New Roman"/>
                <w:sz w:val="20"/>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1.57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501,549.26</w:t>
            </w:r>
            <w:r>
              <w:rPr>
                <w:rFonts w:ascii="Times New Roman"/>
                <w:sz w:val="20"/>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0.92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289.02</w:t>
            </w:r>
            <w:r>
              <w:rPr>
                <w:rFonts w:ascii="Times New Roman"/>
                <w:sz w:val="20"/>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7"/>
                <w:sz w:val="20"/>
                <w:szCs w:val="20"/>
              </w:rPr>
              <w:t>员工增</w:t>
            </w:r>
            <w:r>
              <w:rPr>
                <w:rFonts w:ascii="宋体" w:hAnsi="宋体" w:cs="宋体" w:eastAsia="宋体" w:hint="default"/>
                <w:spacing w:val="-74"/>
                <w:sz w:val="20"/>
                <w:szCs w:val="20"/>
              </w:rPr>
              <w:t> </w:t>
            </w:r>
            <w:r>
              <w:rPr>
                <w:rFonts w:ascii="宋体" w:hAnsi="宋体" w:cs="宋体" w:eastAsia="宋体" w:hint="default"/>
                <w:sz w:val="20"/>
                <w:szCs w:val="20"/>
              </w:rPr>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t>加</w:t>
            </w:r>
            <w:r>
              <w:rPr>
                <w:rFonts w:ascii="宋体" w:hAnsi="宋体" w:cs="宋体" w:eastAsia="宋体" w:hint="default"/>
                <w:sz w:val="20"/>
                <w:szCs w:val="20"/>
              </w:rPr>
            </w:r>
          </w:p>
        </w:tc>
      </w:tr>
      <w:tr>
        <w:trPr>
          <w:trHeight w:val="130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85"/>
              <w:jc w:val="right"/>
              <w:rPr>
                <w:rFonts w:ascii="宋体" w:hAnsi="宋体" w:cs="宋体" w:eastAsia="宋体" w:hint="default"/>
                <w:sz w:val="20"/>
                <w:szCs w:val="20"/>
              </w:rPr>
            </w:pPr>
            <w:r>
              <w:rPr>
                <w:rFonts w:ascii="宋体" w:hAnsi="宋体" w:cs="宋体" w:eastAsia="宋体" w:hint="default"/>
                <w:w w:val="95"/>
                <w:sz w:val="20"/>
                <w:szCs w:val="20"/>
              </w:rPr>
              <w:t>其他应付款</w:t>
            </w:r>
            <w:r>
              <w:rPr>
                <w:rFonts w:ascii="宋体" w:hAnsi="宋体" w:cs="宋体" w:eastAsia="宋体" w:hint="default"/>
                <w:sz w:val="20"/>
                <w:szCs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76,147,810.87</w:t>
            </w:r>
            <w:r>
              <w:rPr>
                <w:rFonts w:ascii="Times New Roman"/>
                <w:sz w:val="20"/>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pacing w:val="-2"/>
                <w:sz w:val="20"/>
              </w:rPr>
              <w:t>61.11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43,337,187.92</w:t>
            </w:r>
            <w:r>
              <w:rPr>
                <w:rFonts w:ascii="Times New Roman"/>
                <w:sz w:val="20"/>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79.56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75.71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pacing w:val="17"/>
                <w:sz w:val="20"/>
                <w:szCs w:val="20"/>
              </w:rPr>
              <w:t>向本公</w:t>
            </w:r>
            <w:r>
              <w:rPr>
                <w:rFonts w:ascii="宋体" w:hAnsi="宋体" w:cs="宋体" w:eastAsia="宋体" w:hint="default"/>
                <w:spacing w:val="-74"/>
                <w:sz w:val="20"/>
                <w:szCs w:val="20"/>
              </w:rPr>
              <w:t> </w:t>
            </w:r>
            <w:r>
              <w:rPr>
                <w:rFonts w:ascii="宋体" w:hAnsi="宋体" w:cs="宋体" w:eastAsia="宋体" w:hint="default"/>
                <w:sz w:val="20"/>
                <w:szCs w:val="20"/>
              </w:rPr>
            </w:r>
          </w:p>
          <w:p>
            <w:pPr>
              <w:pStyle w:val="TableParagraph"/>
              <w:spacing w:line="260" w:lineRule="exact" w:before="24"/>
              <w:ind w:left="103" w:right="74"/>
              <w:jc w:val="both"/>
              <w:rPr>
                <w:rFonts w:ascii="宋体" w:hAnsi="宋体" w:cs="宋体" w:eastAsia="宋体" w:hint="default"/>
                <w:sz w:val="20"/>
                <w:szCs w:val="20"/>
              </w:rPr>
            </w:pPr>
            <w:r>
              <w:rPr>
                <w:rFonts w:ascii="宋体" w:hAnsi="宋体" w:cs="宋体" w:eastAsia="宋体" w:hint="default"/>
                <w:spacing w:val="17"/>
                <w:sz w:val="20"/>
                <w:szCs w:val="20"/>
              </w:rPr>
              <w:t>司董事</w:t>
            </w:r>
            <w:r>
              <w:rPr>
                <w:rFonts w:ascii="宋体" w:hAnsi="宋体" w:cs="宋体" w:eastAsia="宋体" w:hint="default"/>
                <w:spacing w:val="-74"/>
                <w:sz w:val="20"/>
                <w:szCs w:val="20"/>
              </w:rPr>
              <w:t> </w:t>
            </w:r>
            <w:r>
              <w:rPr>
                <w:rFonts w:ascii="宋体" w:hAnsi="宋体" w:cs="宋体" w:eastAsia="宋体" w:hint="default"/>
                <w:spacing w:val="17"/>
                <w:sz w:val="20"/>
                <w:szCs w:val="20"/>
              </w:rPr>
              <w:t>长顾国</w:t>
            </w:r>
            <w:r>
              <w:rPr>
                <w:rFonts w:ascii="宋体" w:hAnsi="宋体" w:cs="宋体" w:eastAsia="宋体" w:hint="default"/>
                <w:spacing w:val="-74"/>
                <w:sz w:val="20"/>
                <w:szCs w:val="20"/>
              </w:rPr>
              <w:t> </w:t>
            </w:r>
            <w:r>
              <w:rPr>
                <w:rFonts w:ascii="宋体" w:hAnsi="宋体" w:cs="宋体" w:eastAsia="宋体" w:hint="default"/>
                <w:spacing w:val="17"/>
                <w:sz w:val="20"/>
                <w:szCs w:val="20"/>
              </w:rPr>
              <w:t>平的借</w:t>
            </w:r>
            <w:r>
              <w:rPr>
                <w:rFonts w:ascii="宋体" w:hAnsi="宋体" w:cs="宋体" w:eastAsia="宋体" w:hint="default"/>
                <w:spacing w:val="-74"/>
                <w:sz w:val="20"/>
                <w:szCs w:val="20"/>
              </w:rPr>
              <w:t> </w:t>
            </w:r>
            <w:r>
              <w:rPr>
                <w:rFonts w:ascii="宋体" w:hAnsi="宋体" w:cs="宋体" w:eastAsia="宋体" w:hint="default"/>
                <w:sz w:val="20"/>
                <w:szCs w:val="20"/>
              </w:rPr>
              <w:t>款</w:t>
            </w:r>
          </w:p>
        </w:tc>
      </w:tr>
    </w:tbl>
    <w:p>
      <w:pPr>
        <w:spacing w:line="240" w:lineRule="auto" w:before="2"/>
        <w:rPr>
          <w:rFonts w:ascii="宋体" w:hAnsi="宋体" w:cs="宋体" w:eastAsia="宋体" w:hint="default"/>
          <w:sz w:val="20"/>
          <w:szCs w:val="20"/>
        </w:rPr>
      </w:pPr>
    </w:p>
    <w:p>
      <w:pPr>
        <w:spacing w:line="264" w:lineRule="auto" w:before="36"/>
        <w:ind w:left="218" w:right="246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行业经营性信息分析</w:t>
      </w:r>
      <w:r>
        <w:rPr>
          <w:rFonts w:ascii="宋体" w:hAnsi="宋体" w:cs="宋体" w:eastAsia="宋体" w:hint="default"/>
          <w:b/>
          <w:bCs/>
          <w:spacing w:val="-101"/>
          <w:sz w:val="21"/>
          <w:szCs w:val="21"/>
        </w:rPr>
        <w:t> </w:t>
      </w:r>
      <w:r>
        <w:rPr>
          <w:rFonts w:ascii="宋体" w:hAnsi="宋体" w:cs="宋体" w:eastAsia="宋体" w:hint="default"/>
          <w:spacing w:val="-2"/>
          <w:sz w:val="21"/>
          <w:szCs w:val="21"/>
        </w:rPr>
        <w:t>详见第三节“公司业务概要”及第四节“管理层讨论与分析”。</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spacing w:line="290" w:lineRule="auto" w:before="32"/>
        <w:ind w:left="638" w:right="96"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对外股权投资总体分析</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报告期内，公司设立了六家子公司与孙公司，并完成了工商注册登记。具体情况如下：</w:t>
      </w:r>
    </w:p>
    <w:p>
      <w:pPr>
        <w:pStyle w:val="BodyText"/>
        <w:spacing w:line="228" w:lineRule="exact"/>
        <w:ind w:left="638" w:right="96"/>
        <w:jc w:val="left"/>
      </w:pPr>
      <w:r>
        <w:rPr>
          <w:rFonts w:ascii="宋体" w:hAnsi="宋体" w:cs="宋体" w:eastAsia="宋体" w:hint="default"/>
        </w:rPr>
        <w:t>2015</w:t>
      </w:r>
      <w:r>
        <w:rPr>
          <w:rFonts w:ascii="宋体" w:hAnsi="宋体" w:cs="宋体" w:eastAsia="宋体" w:hint="default"/>
          <w:spacing w:val="-44"/>
        </w:rPr>
        <w:t> </w:t>
      </w:r>
      <w:r>
        <w:rPr/>
        <w:t>年</w:t>
      </w:r>
      <w:r>
        <w:rPr>
          <w:spacing w:val="-41"/>
        </w:rPr>
        <w:t> </w:t>
      </w:r>
      <w:r>
        <w:rPr>
          <w:rFonts w:ascii="宋体" w:hAnsi="宋体" w:cs="宋体" w:eastAsia="宋体" w:hint="default"/>
        </w:rPr>
        <w:t>4</w:t>
      </w:r>
      <w:r>
        <w:rPr>
          <w:rFonts w:ascii="宋体" w:hAnsi="宋体" w:cs="宋体" w:eastAsia="宋体" w:hint="default"/>
          <w:spacing w:val="-44"/>
        </w:rPr>
        <w:t> </w:t>
      </w:r>
      <w:r>
        <w:rPr/>
        <w:t>月</w:t>
      </w:r>
      <w:r>
        <w:rPr>
          <w:spacing w:val="-41"/>
        </w:rPr>
        <w:t> </w:t>
      </w:r>
      <w:r>
        <w:rPr>
          <w:rFonts w:ascii="宋体" w:hAnsi="宋体" w:cs="宋体" w:eastAsia="宋体" w:hint="default"/>
        </w:rPr>
        <w:t>2</w:t>
      </w:r>
      <w:r>
        <w:rPr>
          <w:rFonts w:ascii="宋体" w:hAnsi="宋体" w:cs="宋体" w:eastAsia="宋体" w:hint="default"/>
          <w:spacing w:val="-44"/>
        </w:rPr>
        <w:t> </w:t>
      </w:r>
      <w:r>
        <w:rPr>
          <w:spacing w:val="-3"/>
        </w:rPr>
        <w:t>日，公司设立了全资子公司上海慧球通信科技有限公司，注册地为上海市，注</w:t>
      </w:r>
    </w:p>
    <w:p>
      <w:pPr>
        <w:pStyle w:val="BodyText"/>
        <w:spacing w:line="237" w:lineRule="auto"/>
        <w:ind w:left="218" w:right="228"/>
        <w:jc w:val="both"/>
      </w:pPr>
      <w:r>
        <w:rPr/>
        <w:t>册资本为人民币</w:t>
      </w:r>
      <w:r>
        <w:rPr>
          <w:spacing w:val="-22"/>
        </w:rPr>
        <w:t> </w:t>
      </w:r>
      <w:r>
        <w:rPr>
          <w:rFonts w:ascii="宋体" w:hAnsi="宋体" w:cs="宋体" w:eastAsia="宋体" w:hint="default"/>
        </w:rPr>
        <w:t>10</w:t>
      </w:r>
      <w:r>
        <w:rPr>
          <w:rFonts w:ascii="宋体" w:hAnsi="宋体" w:cs="宋体" w:eastAsia="宋体" w:hint="default"/>
          <w:spacing w:val="-25"/>
        </w:rPr>
        <w:t> </w:t>
      </w:r>
      <w:r>
        <w:rPr>
          <w:spacing w:val="-5"/>
        </w:rPr>
        <w:t>万元，经营范围：通信技术、信息科技、计算机技术、电子科技领域内的技术</w:t>
      </w:r>
      <w:r>
        <w:rPr>
          <w:spacing w:val="-94"/>
        </w:rPr>
        <w:t> </w:t>
      </w:r>
      <w:r>
        <w:rPr>
          <w:spacing w:val="-94"/>
        </w:rPr>
      </w:r>
      <w:r>
        <w:rPr>
          <w:spacing w:val="-2"/>
        </w:rPr>
        <w:t>开发、技术咨询、技术服务</w:t>
      </w:r>
      <w:r>
        <w:rPr>
          <w:rFonts w:ascii="宋体" w:hAnsi="宋体" w:cs="宋体" w:eastAsia="宋体" w:hint="default"/>
          <w:spacing w:val="-2"/>
        </w:rPr>
        <w:t>,</w:t>
      </w:r>
      <w:r>
        <w:rPr>
          <w:spacing w:val="-2"/>
        </w:rPr>
        <w:t>计算机网络工程</w:t>
      </w:r>
      <w:r>
        <w:rPr>
          <w:rFonts w:ascii="宋体" w:hAnsi="宋体" w:cs="宋体" w:eastAsia="宋体" w:hint="default"/>
          <w:spacing w:val="-2"/>
        </w:rPr>
        <w:t>,</w:t>
      </w:r>
      <w:r>
        <w:rPr>
          <w:spacing w:val="-2"/>
        </w:rPr>
        <w:t>通讯器材、自动化控制系统的销售、设计、上门安</w:t>
      </w:r>
      <w:r>
        <w:rPr>
          <w:spacing w:val="-24"/>
        </w:rPr>
        <w:t> </w:t>
      </w:r>
      <w:r>
        <w:rPr>
          <w:spacing w:val="-24"/>
        </w:rPr>
      </w:r>
      <w:r>
        <w:rPr/>
        <w:t>装及售后服务。（依法须经批准的项目，经相关部门批准后方可开展经营活动。）</w:t>
      </w:r>
    </w:p>
    <w:p>
      <w:pPr>
        <w:pStyle w:val="BodyText"/>
        <w:spacing w:line="272" w:lineRule="exact"/>
        <w:ind w:left="638" w:right="96"/>
        <w:jc w:val="left"/>
      </w:pPr>
      <w:r>
        <w:rPr>
          <w:rFonts w:ascii="宋体" w:hAnsi="宋体" w:cs="宋体" w:eastAsia="宋体" w:hint="default"/>
        </w:rPr>
        <w:t>2015</w:t>
      </w:r>
      <w:r>
        <w:rPr>
          <w:rFonts w:ascii="宋体" w:hAnsi="宋体" w:cs="宋体" w:eastAsia="宋体" w:hint="default"/>
          <w:spacing w:val="-43"/>
        </w:rPr>
        <w:t> </w:t>
      </w:r>
      <w:r>
        <w:rPr/>
        <w:t>年</w:t>
      </w:r>
      <w:r>
        <w:rPr>
          <w:spacing w:val="-41"/>
        </w:rPr>
        <w:t> </w:t>
      </w:r>
      <w:r>
        <w:rPr>
          <w:rFonts w:ascii="宋体" w:hAnsi="宋体" w:cs="宋体" w:eastAsia="宋体" w:hint="default"/>
        </w:rPr>
        <w:t>4</w:t>
      </w:r>
      <w:r>
        <w:rPr>
          <w:rFonts w:ascii="宋体" w:hAnsi="宋体" w:cs="宋体" w:eastAsia="宋体" w:hint="default"/>
          <w:spacing w:val="-43"/>
        </w:rPr>
        <w:t> </w:t>
      </w:r>
      <w:r>
        <w:rPr/>
        <w:t>月</w:t>
      </w:r>
      <w:r>
        <w:rPr>
          <w:spacing w:val="-41"/>
        </w:rPr>
        <w:t> </w:t>
      </w:r>
      <w:r>
        <w:rPr>
          <w:rFonts w:ascii="宋体" w:hAnsi="宋体" w:cs="宋体" w:eastAsia="宋体" w:hint="default"/>
        </w:rPr>
        <w:t>8</w:t>
      </w:r>
      <w:r>
        <w:rPr>
          <w:rFonts w:ascii="宋体" w:hAnsi="宋体" w:cs="宋体" w:eastAsia="宋体" w:hint="default"/>
          <w:spacing w:val="-43"/>
        </w:rPr>
        <w:t> </w:t>
      </w:r>
      <w:r>
        <w:rPr>
          <w:spacing w:val="-3"/>
        </w:rPr>
        <w:t>日，公司第八届董事会第四次会议审议通过了《关于投资设立徐州全资孙公司</w:t>
      </w:r>
    </w:p>
    <w:p>
      <w:pPr>
        <w:pStyle w:val="BodyText"/>
        <w:spacing w:line="271" w:lineRule="exact"/>
        <w:ind w:left="218" w:right="0"/>
        <w:jc w:val="both"/>
        <w:rPr>
          <w:rFonts w:ascii="宋体" w:hAnsi="宋体" w:cs="宋体" w:eastAsia="宋体" w:hint="default"/>
        </w:rPr>
      </w:pPr>
      <w:r>
        <w:rPr/>
        <w:t>的议案》，并经</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日召开的公司</w:t>
      </w:r>
      <w:r>
        <w:rPr>
          <w:spacing w:val="-55"/>
        </w:rPr>
        <w:t> </w:t>
      </w:r>
      <w:r>
        <w:rPr>
          <w:rFonts w:ascii="宋体" w:hAnsi="宋体" w:cs="宋体" w:eastAsia="宋体" w:hint="default"/>
        </w:rPr>
        <w:t>2015</w:t>
      </w:r>
      <w:r>
        <w:rPr>
          <w:rFonts w:ascii="宋体" w:hAnsi="宋体" w:cs="宋体" w:eastAsia="宋体" w:hint="default"/>
          <w:spacing w:val="-55"/>
        </w:rPr>
        <w:t> </w:t>
      </w:r>
      <w:r>
        <w:rPr/>
        <w:t>年第一次临时股东大会审议通过。</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5</w:t>
      </w:r>
    </w:p>
    <w:p>
      <w:pPr>
        <w:pStyle w:val="BodyText"/>
        <w:spacing w:line="272" w:lineRule="exact"/>
        <w:ind w:left="218" w:right="0"/>
        <w:jc w:val="both"/>
      </w:pPr>
      <w:r>
        <w:rPr/>
        <w:t>月 </w:t>
      </w:r>
      <w:r>
        <w:rPr>
          <w:rFonts w:ascii="宋体" w:hAnsi="宋体" w:cs="宋体" w:eastAsia="宋体" w:hint="default"/>
        </w:rPr>
        <w:t>14</w:t>
      </w:r>
      <w:r>
        <w:rPr>
          <w:rFonts w:ascii="宋体" w:hAnsi="宋体" w:cs="宋体" w:eastAsia="宋体" w:hint="default"/>
          <w:spacing w:val="-45"/>
        </w:rPr>
        <w:t> </w:t>
      </w:r>
      <w:r>
        <w:rPr>
          <w:spacing w:val="-4"/>
        </w:rPr>
        <w:t>日，公司设立了全资孙公司智诚合讯信息技术（徐州）有限公司，注册地为江苏省沛县，注</w:t>
      </w:r>
    </w:p>
    <w:p>
      <w:pPr>
        <w:pStyle w:val="BodyText"/>
        <w:spacing w:line="237" w:lineRule="auto" w:before="2"/>
        <w:ind w:left="218" w:right="230"/>
        <w:jc w:val="both"/>
      </w:pPr>
      <w:r>
        <w:rPr/>
        <w:t>册资本为人民币</w:t>
      </w:r>
      <w:r>
        <w:rPr>
          <w:spacing w:val="-29"/>
        </w:rPr>
        <w:t> </w:t>
      </w:r>
      <w:r>
        <w:rPr>
          <w:rFonts w:ascii="宋体" w:hAnsi="宋体" w:cs="宋体" w:eastAsia="宋体" w:hint="default"/>
        </w:rPr>
        <w:t>5000</w:t>
      </w:r>
      <w:r>
        <w:rPr>
          <w:rFonts w:ascii="宋体" w:hAnsi="宋体" w:cs="宋体" w:eastAsia="宋体" w:hint="default"/>
          <w:spacing w:val="-29"/>
        </w:rPr>
        <w:t> </w:t>
      </w:r>
      <w:r>
        <w:rPr>
          <w:spacing w:val="-5"/>
        </w:rPr>
        <w:t>万元，经营范围：计算机、电子技术开发、技术服务、技术咨询，计算机网</w:t>
      </w:r>
      <w:r>
        <w:rPr>
          <w:spacing w:val="-95"/>
        </w:rPr>
        <w:t> </w:t>
      </w:r>
      <w:r>
        <w:rPr>
          <w:spacing w:val="-95"/>
        </w:rPr>
      </w:r>
      <w:r>
        <w:rPr>
          <w:spacing w:val="-2"/>
        </w:rPr>
        <w:t>络工程，计算机软硬件的开发；信息科技技术开发、技术服务、技术咨询；通信系统技术开发、</w:t>
      </w:r>
      <w:r>
        <w:rPr>
          <w:spacing w:val="-25"/>
        </w:rPr>
        <w:t> </w:t>
      </w:r>
      <w:r>
        <w:rPr>
          <w:spacing w:val="-25"/>
        </w:rPr>
      </w:r>
      <w:r>
        <w:rPr>
          <w:spacing w:val="-2"/>
        </w:rPr>
        <w:t>技术服务、技术咨询，通信系统自动化软硬件的开发，通信网络工程，通信系统设备的销售、安</w:t>
      </w:r>
      <w:r>
        <w:rPr>
          <w:spacing w:val="-25"/>
        </w:rPr>
        <w:t> </w:t>
      </w:r>
      <w:r>
        <w:rPr>
          <w:spacing w:val="-25"/>
        </w:rPr>
      </w:r>
      <w:r>
        <w:rPr>
          <w:spacing w:val="-2"/>
        </w:rPr>
        <w:t>装、调试、维护；智能系统工程的设计、安装、调试、维护。（依法须经批准的项目，经相关部</w:t>
      </w:r>
      <w:r>
        <w:rPr>
          <w:spacing w:val="-25"/>
        </w:rPr>
        <w:t> </w:t>
      </w:r>
      <w:r>
        <w:rPr>
          <w:spacing w:val="-25"/>
        </w:rPr>
      </w:r>
      <w:r>
        <w:rPr/>
        <w:t>门批准后方可开展经营活动）</w:t>
      </w:r>
    </w:p>
    <w:p>
      <w:pPr>
        <w:pStyle w:val="BodyText"/>
        <w:spacing w:line="271" w:lineRule="exact"/>
        <w:ind w:left="638" w:right="96"/>
        <w:jc w:val="left"/>
      </w:pPr>
      <w:r>
        <w:rPr>
          <w:rFonts w:ascii="宋体" w:hAnsi="宋体" w:cs="宋体" w:eastAsia="宋体" w:hint="default"/>
        </w:rPr>
        <w:t>2015</w:t>
      </w:r>
      <w:r>
        <w:rPr>
          <w:rFonts w:ascii="宋体" w:hAnsi="宋体" w:cs="宋体" w:eastAsia="宋体" w:hint="default"/>
          <w:spacing w:val="-43"/>
        </w:rPr>
        <w:t> </w:t>
      </w:r>
      <w:r>
        <w:rPr/>
        <w:t>年</w:t>
      </w:r>
      <w:r>
        <w:rPr>
          <w:spacing w:val="-41"/>
        </w:rPr>
        <w:t> </w:t>
      </w:r>
      <w:r>
        <w:rPr>
          <w:rFonts w:ascii="宋体" w:hAnsi="宋体" w:cs="宋体" w:eastAsia="宋体" w:hint="default"/>
        </w:rPr>
        <w:t>4</w:t>
      </w:r>
      <w:r>
        <w:rPr>
          <w:rFonts w:ascii="宋体" w:hAnsi="宋体" w:cs="宋体" w:eastAsia="宋体" w:hint="default"/>
          <w:spacing w:val="-43"/>
        </w:rPr>
        <w:t> </w:t>
      </w:r>
      <w:r>
        <w:rPr/>
        <w:t>月</w:t>
      </w:r>
      <w:r>
        <w:rPr>
          <w:spacing w:val="-41"/>
        </w:rPr>
        <w:t> </w:t>
      </w:r>
      <w:r>
        <w:rPr>
          <w:rFonts w:ascii="宋体" w:hAnsi="宋体" w:cs="宋体" w:eastAsia="宋体" w:hint="default"/>
        </w:rPr>
        <w:t>8</w:t>
      </w:r>
      <w:r>
        <w:rPr>
          <w:rFonts w:ascii="宋体" w:hAnsi="宋体" w:cs="宋体" w:eastAsia="宋体" w:hint="default"/>
          <w:spacing w:val="-43"/>
        </w:rPr>
        <w:t> </w:t>
      </w:r>
      <w:r>
        <w:rPr>
          <w:spacing w:val="-3"/>
        </w:rPr>
        <w:t>日，公司第八届董事会第四次会议审议通过了《关于投资设立淮南全资子公司</w:t>
      </w:r>
    </w:p>
    <w:p>
      <w:pPr>
        <w:pStyle w:val="BodyText"/>
        <w:spacing w:line="272" w:lineRule="exact"/>
        <w:ind w:left="218" w:right="0"/>
        <w:jc w:val="both"/>
        <w:rPr>
          <w:rFonts w:ascii="宋体" w:hAnsi="宋体" w:cs="宋体" w:eastAsia="宋体" w:hint="default"/>
        </w:rPr>
      </w:pPr>
      <w:r>
        <w:rPr/>
        <w:t>的议案》，并经</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日召开的公司</w:t>
      </w:r>
      <w:r>
        <w:rPr>
          <w:spacing w:val="-55"/>
        </w:rPr>
        <w:t> </w:t>
      </w:r>
      <w:r>
        <w:rPr>
          <w:rFonts w:ascii="宋体" w:hAnsi="宋体" w:cs="宋体" w:eastAsia="宋体" w:hint="default"/>
        </w:rPr>
        <w:t>2015</w:t>
      </w:r>
      <w:r>
        <w:rPr>
          <w:rFonts w:ascii="宋体" w:hAnsi="宋体" w:cs="宋体" w:eastAsia="宋体" w:hint="default"/>
          <w:spacing w:val="-55"/>
        </w:rPr>
        <w:t> </w:t>
      </w:r>
      <w:r>
        <w:rPr/>
        <w:t>年第一次临时股东大会审议通过。</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5</w:t>
      </w:r>
    </w:p>
    <w:p>
      <w:pPr>
        <w:pStyle w:val="BodyText"/>
        <w:spacing w:line="272" w:lineRule="exact"/>
        <w:ind w:left="218" w:right="0"/>
        <w:jc w:val="both"/>
      </w:pPr>
      <w:r>
        <w:rPr/>
        <w:t>月 </w:t>
      </w:r>
      <w:r>
        <w:rPr>
          <w:rFonts w:ascii="宋体" w:hAnsi="宋体" w:cs="宋体" w:eastAsia="宋体" w:hint="default"/>
        </w:rPr>
        <w:t>22</w:t>
      </w:r>
      <w:r>
        <w:rPr>
          <w:rFonts w:ascii="宋体" w:hAnsi="宋体" w:cs="宋体" w:eastAsia="宋体" w:hint="default"/>
          <w:spacing w:val="-48"/>
        </w:rPr>
        <w:t> </w:t>
      </w:r>
      <w:r>
        <w:rPr>
          <w:spacing w:val="-4"/>
        </w:rPr>
        <w:t>日，公司设立了全资子公司淮南市慧球科技有限公司，注册地为安徽省淮南市，注册资本为</w:t>
      </w:r>
    </w:p>
    <w:p>
      <w:pPr>
        <w:pStyle w:val="BodyText"/>
        <w:spacing w:line="237" w:lineRule="auto" w:before="2"/>
        <w:ind w:left="218" w:right="124"/>
        <w:jc w:val="left"/>
      </w:pPr>
      <w:r>
        <w:rPr/>
        <w:t>人民币</w:t>
      </w:r>
      <w:r>
        <w:rPr>
          <w:spacing w:val="-53"/>
        </w:rPr>
        <w:t> </w:t>
      </w:r>
      <w:r>
        <w:rPr>
          <w:rFonts w:ascii="宋体" w:hAnsi="宋体" w:cs="宋体" w:eastAsia="宋体" w:hint="default"/>
        </w:rPr>
        <w:t>2000</w:t>
      </w:r>
      <w:r>
        <w:rPr>
          <w:rFonts w:ascii="宋体" w:hAnsi="宋体" w:cs="宋体" w:eastAsia="宋体" w:hint="default"/>
          <w:spacing w:val="-53"/>
        </w:rPr>
        <w:t> </w:t>
      </w:r>
      <w:r>
        <w:rPr/>
        <w:t>万元，经营范围：通信技术、信息科技、计算机、电子科技的技术开发、技术服务、</w:t>
      </w:r>
      <w:r>
        <w:rPr>
          <w:w w:val="100"/>
        </w:rPr>
        <w:t> </w:t>
      </w:r>
      <w:r>
        <w:rPr/>
        <w:t>技术咨询，计算机网络工程，计算机软硬件开发，通讯器材、自动化控制系统的销售、设计、安</w:t>
      </w:r>
      <w:r>
        <w:rPr>
          <w:w w:val="100"/>
        </w:rPr>
        <w:t> </w:t>
      </w:r>
      <w:r>
        <w:rPr/>
        <w:t>装及售后服务（以上项目不含互联网上网服务）。（依法须经批准的项目，经相关部门批准后方</w:t>
      </w:r>
      <w:r>
        <w:rPr>
          <w:w w:val="100"/>
        </w:rPr>
        <w:t> </w:t>
      </w:r>
      <w:r>
        <w:rPr/>
        <w:t>可开展经营活动）</w:t>
      </w:r>
    </w:p>
    <w:p>
      <w:pPr>
        <w:pStyle w:val="BodyText"/>
        <w:spacing w:line="272" w:lineRule="exact"/>
        <w:ind w:left="638" w:right="96"/>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日，公司第八届董事会第五次会议审议通过了《关于投资设立重庆子公司的</w:t>
      </w:r>
    </w:p>
    <w:p>
      <w:pPr>
        <w:pStyle w:val="BodyText"/>
        <w:spacing w:line="273" w:lineRule="exact"/>
        <w:ind w:left="218" w:right="0"/>
        <w:jc w:val="both"/>
      </w:pPr>
      <w:r>
        <w:rPr/>
        <w:t>议案》，并经</w:t>
      </w:r>
      <w:r>
        <w:rPr>
          <w:spacing w:val="-52"/>
        </w:rPr>
        <w:t> </w:t>
      </w:r>
      <w:r>
        <w:rPr>
          <w:rFonts w:ascii="宋体" w:hAnsi="宋体" w:cs="宋体" w:eastAsia="宋体" w:hint="default"/>
        </w:rPr>
        <w:t>2015</w:t>
      </w:r>
      <w:r>
        <w:rPr>
          <w:rFonts w:ascii="宋体" w:hAnsi="宋体" w:cs="宋体" w:eastAsia="宋体" w:hint="default"/>
          <w:spacing w:val="-55"/>
        </w:rPr>
        <w:t> </w:t>
      </w:r>
      <w:r>
        <w:rPr/>
        <w:t>年</w:t>
      </w:r>
      <w:r>
        <w:rPr>
          <w:spacing w:val="-51"/>
        </w:rPr>
        <w:t> </w:t>
      </w:r>
      <w:r>
        <w:rPr>
          <w:rFonts w:ascii="宋体" w:hAnsi="宋体" w:cs="宋体" w:eastAsia="宋体" w:hint="default"/>
        </w:rPr>
        <w:t>4</w:t>
      </w:r>
      <w:r>
        <w:rPr>
          <w:rFonts w:ascii="宋体" w:hAnsi="宋体" w:cs="宋体" w:eastAsia="宋体" w:hint="default"/>
          <w:spacing w:val="-55"/>
        </w:rPr>
        <w:t> </w:t>
      </w:r>
      <w:r>
        <w:rPr/>
        <w:t>月</w:t>
      </w:r>
      <w:r>
        <w:rPr>
          <w:spacing w:val="-52"/>
        </w:rPr>
        <w:t> </w:t>
      </w:r>
      <w:r>
        <w:rPr>
          <w:rFonts w:ascii="宋体" w:hAnsi="宋体" w:cs="宋体" w:eastAsia="宋体" w:hint="default"/>
        </w:rPr>
        <w:t>24</w:t>
      </w:r>
      <w:r>
        <w:rPr>
          <w:rFonts w:ascii="宋体" w:hAnsi="宋体" w:cs="宋体" w:eastAsia="宋体" w:hint="default"/>
          <w:spacing w:val="-55"/>
        </w:rPr>
        <w:t> </w:t>
      </w:r>
      <w:r>
        <w:rPr/>
        <w:t>日召开的公司</w:t>
      </w:r>
      <w:r>
        <w:rPr>
          <w:spacing w:val="-55"/>
        </w:rPr>
        <w:t> </w:t>
      </w:r>
      <w:r>
        <w:rPr>
          <w:rFonts w:ascii="宋体" w:hAnsi="宋体" w:cs="宋体" w:eastAsia="宋体" w:hint="default"/>
        </w:rPr>
        <w:t>2015</w:t>
      </w:r>
      <w:r>
        <w:rPr>
          <w:rFonts w:ascii="宋体" w:hAnsi="宋体" w:cs="宋体" w:eastAsia="宋体" w:hint="default"/>
          <w:spacing w:val="-55"/>
        </w:rPr>
        <w:t> </w:t>
      </w:r>
      <w:r>
        <w:rPr/>
        <w:t>年第一次临时股东大会审议通过。</w:t>
      </w:r>
      <w:r>
        <w:rPr>
          <w:rFonts w:ascii="宋体" w:hAnsi="宋体" w:cs="宋体" w:eastAsia="宋体" w:hint="default"/>
        </w:rPr>
        <w:t>2015</w:t>
      </w:r>
      <w:r>
        <w:rPr>
          <w:rFonts w:ascii="宋体" w:hAnsi="宋体" w:cs="宋体" w:eastAsia="宋体" w:hint="default"/>
          <w:spacing w:val="-55"/>
        </w:rPr>
        <w:t> </w:t>
      </w:r>
      <w:r>
        <w:rPr/>
        <w:t>年</w:t>
      </w:r>
      <w:r>
        <w:rPr>
          <w:spacing w:val="-52"/>
        </w:rPr>
        <w:t> </w:t>
      </w:r>
      <w:r>
        <w:rPr>
          <w:rFonts w:ascii="宋体" w:hAnsi="宋体" w:cs="宋体" w:eastAsia="宋体" w:hint="default"/>
        </w:rPr>
        <w:t>5</w:t>
      </w:r>
      <w:r>
        <w:rPr>
          <w:rFonts w:ascii="宋体" w:hAnsi="宋体" w:cs="宋体" w:eastAsia="宋体" w:hint="default"/>
          <w:spacing w:val="-55"/>
        </w:rPr>
        <w:t> </w:t>
      </w:r>
      <w:r>
        <w:rPr/>
        <w:t>月</w:t>
      </w:r>
    </w:p>
    <w:p>
      <w:pPr>
        <w:pStyle w:val="BodyText"/>
        <w:spacing w:line="274" w:lineRule="exact"/>
        <w:ind w:left="218" w:right="0"/>
        <w:jc w:val="both"/>
      </w:pPr>
      <w:r>
        <w:rPr>
          <w:rFonts w:ascii="宋体" w:hAnsi="宋体" w:cs="宋体" w:eastAsia="宋体" w:hint="default"/>
        </w:rPr>
        <w:t>13</w:t>
      </w:r>
      <w:r>
        <w:rPr>
          <w:rFonts w:ascii="宋体" w:hAnsi="宋体" w:cs="宋体" w:eastAsia="宋体" w:hint="default"/>
          <w:spacing w:val="16"/>
        </w:rPr>
        <w:t> </w:t>
      </w:r>
      <w:r>
        <w:rPr>
          <w:spacing w:val="-3"/>
        </w:rPr>
        <w:t>日，公司设立了控股子公司慧球科技（重庆）有限公司，注册地为重庆市，注册资本为人民币</w:t>
      </w:r>
    </w:p>
    <w:p>
      <w:pPr>
        <w:spacing w:after="0" w:line="274" w:lineRule="exact"/>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37" w:lineRule="auto" w:before="38"/>
        <w:ind w:right="128"/>
        <w:jc w:val="both"/>
      </w:pPr>
      <w:r>
        <w:rPr>
          <w:rFonts w:ascii="宋体" w:hAnsi="宋体" w:cs="宋体" w:eastAsia="宋体" w:hint="default"/>
        </w:rPr>
        <w:t>8750</w:t>
      </w:r>
      <w:r>
        <w:rPr>
          <w:rFonts w:ascii="宋体" w:hAnsi="宋体" w:cs="宋体" w:eastAsia="宋体" w:hint="default"/>
          <w:spacing w:val="-42"/>
        </w:rPr>
        <w:t> </w:t>
      </w:r>
      <w:r>
        <w:rPr>
          <w:spacing w:val="-3"/>
        </w:rPr>
        <w:t>万元，其中公司以货币出资人民币</w:t>
      </w:r>
      <w:r>
        <w:rPr>
          <w:spacing w:val="-39"/>
        </w:rPr>
        <w:t> </w:t>
      </w:r>
      <w:r>
        <w:rPr>
          <w:rFonts w:ascii="宋体" w:hAnsi="宋体" w:cs="宋体" w:eastAsia="宋体" w:hint="default"/>
        </w:rPr>
        <w:t>7000</w:t>
      </w:r>
      <w:r>
        <w:rPr>
          <w:rFonts w:ascii="宋体" w:hAnsi="宋体" w:cs="宋体" w:eastAsia="宋体" w:hint="default"/>
          <w:spacing w:val="-42"/>
        </w:rPr>
        <w:t> </w:t>
      </w:r>
      <w:r>
        <w:rPr>
          <w:spacing w:val="-4"/>
        </w:rPr>
        <w:t>万元，占该公司股比</w:t>
      </w:r>
      <w:r>
        <w:rPr>
          <w:spacing w:val="-39"/>
        </w:rPr>
        <w:t> </w:t>
      </w:r>
      <w:r>
        <w:rPr>
          <w:rFonts w:ascii="宋体" w:hAnsi="宋体" w:cs="宋体" w:eastAsia="宋体" w:hint="default"/>
          <w:spacing w:val="-5"/>
        </w:rPr>
        <w:t>80%</w:t>
      </w:r>
      <w:r>
        <w:rPr>
          <w:spacing w:val="-5"/>
        </w:rPr>
        <w:t>，经营范围：计算机系统集</w:t>
      </w:r>
      <w:r>
        <w:rPr>
          <w:spacing w:val="-100"/>
        </w:rPr>
        <w:t> </w:t>
      </w:r>
      <w:r>
        <w:rPr>
          <w:spacing w:val="-100"/>
        </w:rPr>
      </w:r>
      <w:r>
        <w:rPr>
          <w:spacing w:val="-2"/>
        </w:rPr>
        <w:t>成，数据处理，通信技术、信息技术的技术咨询、技术服务，计算机软硬件开发；通讯器材（不</w:t>
      </w:r>
      <w:r>
        <w:rPr>
          <w:spacing w:val="-25"/>
        </w:rPr>
        <w:t> </w:t>
      </w:r>
      <w:r>
        <w:rPr>
          <w:spacing w:val="-25"/>
        </w:rPr>
      </w:r>
      <w:r>
        <w:rPr>
          <w:spacing w:val="-2"/>
        </w:rPr>
        <w:t>含无线电地面接收和发射设备）、自动化控制系统的销售、设计、安装、及售后服务。（法律、</w:t>
      </w:r>
      <w:r>
        <w:rPr>
          <w:spacing w:val="-25"/>
        </w:rPr>
        <w:t> </w:t>
      </w:r>
      <w:r>
        <w:rPr>
          <w:spacing w:val="-25"/>
        </w:rPr>
      </w:r>
      <w:r>
        <w:rPr/>
        <w:t>法规禁止的，不得从事经营；法律、法规限制的，取得相关许可或审批后，方可从事经营）</w:t>
      </w:r>
    </w:p>
    <w:p>
      <w:pPr>
        <w:pStyle w:val="BodyText"/>
        <w:spacing w:line="271" w:lineRule="exact"/>
        <w:ind w:left="558" w:right="0"/>
        <w:jc w:val="left"/>
      </w:pPr>
      <w:r>
        <w:rPr>
          <w:rFonts w:ascii="宋体" w:hAnsi="宋体" w:cs="宋体" w:eastAsia="宋体" w:hint="default"/>
        </w:rPr>
        <w:t>2015</w:t>
      </w:r>
      <w:r>
        <w:rPr>
          <w:rFonts w:ascii="宋体" w:hAnsi="宋体" w:cs="宋体" w:eastAsia="宋体" w:hint="default"/>
          <w:spacing w:val="-43"/>
        </w:rPr>
        <w:t> </w:t>
      </w:r>
      <w:r>
        <w:rPr/>
        <w:t>年</w:t>
      </w:r>
      <w:r>
        <w:rPr>
          <w:spacing w:val="-41"/>
        </w:rPr>
        <w:t> </w:t>
      </w:r>
      <w:r>
        <w:rPr>
          <w:rFonts w:ascii="宋体" w:hAnsi="宋体" w:cs="宋体" w:eastAsia="宋体" w:hint="default"/>
        </w:rPr>
        <w:t>4</w:t>
      </w:r>
      <w:r>
        <w:rPr>
          <w:rFonts w:ascii="宋体" w:hAnsi="宋体" w:cs="宋体" w:eastAsia="宋体" w:hint="default"/>
          <w:spacing w:val="-43"/>
        </w:rPr>
        <w:t> </w:t>
      </w:r>
      <w:r>
        <w:rPr/>
        <w:t>月</w:t>
      </w:r>
      <w:r>
        <w:rPr>
          <w:spacing w:val="-41"/>
        </w:rPr>
        <w:t> </w:t>
      </w:r>
      <w:r>
        <w:rPr>
          <w:rFonts w:ascii="宋体" w:hAnsi="宋体" w:cs="宋体" w:eastAsia="宋体" w:hint="default"/>
        </w:rPr>
        <w:t>8</w:t>
      </w:r>
      <w:r>
        <w:rPr>
          <w:rFonts w:ascii="宋体" w:hAnsi="宋体" w:cs="宋体" w:eastAsia="宋体" w:hint="default"/>
          <w:spacing w:val="-43"/>
        </w:rPr>
        <w:t> </w:t>
      </w:r>
      <w:r>
        <w:rPr>
          <w:spacing w:val="-3"/>
        </w:rPr>
        <w:t>日，公司第八届董事会第四次会议审议通过了《关于投资设立宁波全资子公司</w:t>
      </w:r>
    </w:p>
    <w:p>
      <w:pPr>
        <w:pStyle w:val="BodyText"/>
        <w:spacing w:line="272" w:lineRule="exact"/>
        <w:ind w:right="0"/>
        <w:jc w:val="both"/>
        <w:rPr>
          <w:rFonts w:ascii="宋体" w:hAnsi="宋体" w:cs="宋体" w:eastAsia="宋体" w:hint="default"/>
        </w:rPr>
      </w:pPr>
      <w:r>
        <w:rPr/>
        <w:t>的议案》，并经</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日召开的公司</w:t>
      </w:r>
      <w:r>
        <w:rPr>
          <w:spacing w:val="-55"/>
        </w:rPr>
        <w:t> </w:t>
      </w:r>
      <w:r>
        <w:rPr>
          <w:rFonts w:ascii="宋体" w:hAnsi="宋体" w:cs="宋体" w:eastAsia="宋体" w:hint="default"/>
        </w:rPr>
        <w:t>2015</w:t>
      </w:r>
      <w:r>
        <w:rPr>
          <w:rFonts w:ascii="宋体" w:hAnsi="宋体" w:cs="宋体" w:eastAsia="宋体" w:hint="default"/>
          <w:spacing w:val="-55"/>
        </w:rPr>
        <w:t> </w:t>
      </w:r>
      <w:r>
        <w:rPr/>
        <w:t>年第一次临时股东大会审议通过。</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10</w:t>
      </w:r>
    </w:p>
    <w:p>
      <w:pPr>
        <w:pStyle w:val="BodyText"/>
        <w:spacing w:line="272" w:lineRule="exact"/>
        <w:ind w:right="0"/>
        <w:jc w:val="both"/>
      </w:pPr>
      <w:r>
        <w:rPr/>
        <w:t>月 </w:t>
      </w:r>
      <w:r>
        <w:rPr>
          <w:rFonts w:ascii="宋体" w:hAnsi="宋体" w:cs="宋体" w:eastAsia="宋体" w:hint="default"/>
        </w:rPr>
        <w:t>12</w:t>
      </w:r>
      <w:r>
        <w:rPr>
          <w:rFonts w:ascii="宋体" w:hAnsi="宋体" w:cs="宋体" w:eastAsia="宋体" w:hint="default"/>
          <w:spacing w:val="-48"/>
        </w:rPr>
        <w:t> </w:t>
      </w:r>
      <w:r>
        <w:rPr>
          <w:spacing w:val="-4"/>
        </w:rPr>
        <w:t>日，公司设立了慧球智慧科技（宁波）有限公司，注册地为浙江省宁波市，注册资本为人民</w:t>
      </w:r>
    </w:p>
    <w:p>
      <w:pPr>
        <w:pStyle w:val="BodyText"/>
        <w:spacing w:line="237" w:lineRule="auto" w:before="2"/>
        <w:ind w:right="128"/>
        <w:jc w:val="both"/>
      </w:pPr>
      <w:r>
        <w:rPr/>
        <w:t>币</w:t>
      </w:r>
      <w:r>
        <w:rPr>
          <w:spacing w:val="-34"/>
        </w:rPr>
        <w:t> </w:t>
      </w:r>
      <w:r>
        <w:rPr>
          <w:rFonts w:ascii="宋体" w:hAnsi="宋体" w:cs="宋体" w:eastAsia="宋体" w:hint="default"/>
        </w:rPr>
        <w:t>3000</w:t>
      </w:r>
      <w:r>
        <w:rPr>
          <w:rFonts w:ascii="宋体" w:hAnsi="宋体" w:cs="宋体" w:eastAsia="宋体" w:hint="default"/>
          <w:spacing w:val="-34"/>
        </w:rPr>
        <w:t> </w:t>
      </w:r>
      <w:r>
        <w:rPr>
          <w:spacing w:val="-4"/>
        </w:rPr>
        <w:t>万元，经营范围：通信技术、信息科技、计算机、电子科技的技术开发、技术服务、技术</w:t>
      </w:r>
      <w:r>
        <w:rPr>
          <w:spacing w:val="-95"/>
        </w:rPr>
        <w:t> </w:t>
      </w:r>
      <w:r>
        <w:rPr>
          <w:spacing w:val="-95"/>
        </w:rPr>
      </w:r>
      <w:r>
        <w:rPr>
          <w:spacing w:val="-2"/>
        </w:rPr>
        <w:t>咨询，计算机网络工程，计算机软硬件开发，通讯器材、自动化控制系统的销售、设计、安装及</w:t>
      </w:r>
      <w:r>
        <w:rPr>
          <w:spacing w:val="-25"/>
        </w:rPr>
        <w:t> </w:t>
      </w:r>
      <w:r>
        <w:rPr>
          <w:spacing w:val="-25"/>
        </w:rPr>
      </w:r>
      <w:r>
        <w:rPr/>
        <w:t>售后服务。（依法须经批准的项目，经相关部门批准后方可开展经营活动）</w:t>
      </w:r>
    </w:p>
    <w:p>
      <w:pPr>
        <w:pStyle w:val="BodyText"/>
        <w:spacing w:line="271" w:lineRule="exact"/>
        <w:ind w:left="558" w:right="0"/>
        <w:jc w:val="left"/>
      </w:pPr>
      <w:r>
        <w:rPr>
          <w:rFonts w:ascii="宋体" w:hAnsi="宋体" w:cs="宋体" w:eastAsia="宋体" w:hint="default"/>
        </w:rPr>
        <w:t>2015</w:t>
      </w:r>
      <w:r>
        <w:rPr>
          <w:rFonts w:ascii="宋体" w:hAnsi="宋体" w:cs="宋体" w:eastAsia="宋体" w:hint="default"/>
          <w:spacing w:val="-43"/>
        </w:rPr>
        <w:t> </w:t>
      </w:r>
      <w:r>
        <w:rPr/>
        <w:t>年</w:t>
      </w:r>
      <w:r>
        <w:rPr>
          <w:spacing w:val="-41"/>
        </w:rPr>
        <w:t> </w:t>
      </w:r>
      <w:r>
        <w:rPr>
          <w:rFonts w:ascii="宋体" w:hAnsi="宋体" w:cs="宋体" w:eastAsia="宋体" w:hint="default"/>
        </w:rPr>
        <w:t>8</w:t>
      </w:r>
      <w:r>
        <w:rPr>
          <w:rFonts w:ascii="宋体" w:hAnsi="宋体" w:cs="宋体" w:eastAsia="宋体" w:hint="default"/>
          <w:spacing w:val="-43"/>
        </w:rPr>
        <w:t> </w:t>
      </w:r>
      <w:r>
        <w:rPr/>
        <w:t>月</w:t>
      </w:r>
      <w:r>
        <w:rPr>
          <w:spacing w:val="-41"/>
        </w:rPr>
        <w:t> </w:t>
      </w:r>
      <w:r>
        <w:rPr>
          <w:rFonts w:ascii="宋体" w:hAnsi="宋体" w:cs="宋体" w:eastAsia="宋体" w:hint="default"/>
        </w:rPr>
        <w:t>7</w:t>
      </w:r>
      <w:r>
        <w:rPr>
          <w:rFonts w:ascii="宋体" w:hAnsi="宋体" w:cs="宋体" w:eastAsia="宋体" w:hint="default"/>
          <w:spacing w:val="-43"/>
        </w:rPr>
        <w:t> </w:t>
      </w:r>
      <w:r>
        <w:rPr>
          <w:spacing w:val="-3"/>
        </w:rPr>
        <w:t>日，公司第八届董事会第十一次会议审议通过了《关于投资设立华容子公司的</w:t>
      </w:r>
    </w:p>
    <w:p>
      <w:pPr>
        <w:pStyle w:val="BodyText"/>
        <w:spacing w:line="273" w:lineRule="exact"/>
        <w:ind w:right="0"/>
        <w:jc w:val="both"/>
      </w:pPr>
      <w:r>
        <w:rPr>
          <w:spacing w:val="-6"/>
        </w:rPr>
        <w:t>议案》，并经</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3"/>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24</w:t>
      </w:r>
      <w:r>
        <w:rPr>
          <w:rFonts w:ascii="宋体" w:hAnsi="宋体" w:cs="宋体" w:eastAsia="宋体" w:hint="default"/>
          <w:spacing w:val="-54"/>
        </w:rPr>
        <w:t> </w:t>
      </w:r>
      <w:r>
        <w:rPr/>
        <w:t>日召开的公司</w:t>
      </w:r>
      <w:r>
        <w:rPr>
          <w:spacing w:val="-54"/>
        </w:rPr>
        <w:t> </w:t>
      </w:r>
      <w:r>
        <w:rPr>
          <w:rFonts w:ascii="宋体" w:hAnsi="宋体" w:cs="宋体" w:eastAsia="宋体" w:hint="default"/>
        </w:rPr>
        <w:t>2015</w:t>
      </w:r>
      <w:r>
        <w:rPr>
          <w:rFonts w:ascii="宋体" w:hAnsi="宋体" w:cs="宋体" w:eastAsia="宋体" w:hint="default"/>
          <w:spacing w:val="-54"/>
        </w:rPr>
        <w:t> </w:t>
      </w:r>
      <w:r>
        <w:rPr/>
        <w:t>年第二次临时股东大会审议通过。</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p>
    <w:p>
      <w:pPr>
        <w:pStyle w:val="BodyText"/>
        <w:spacing w:line="273" w:lineRule="exact"/>
        <w:ind w:right="0"/>
        <w:jc w:val="both"/>
      </w:pPr>
      <w:r>
        <w:rPr>
          <w:rFonts w:ascii="宋体" w:hAnsi="宋体" w:cs="宋体" w:eastAsia="宋体" w:hint="default"/>
        </w:rPr>
        <w:t>22</w:t>
      </w:r>
      <w:r>
        <w:rPr>
          <w:rFonts w:ascii="宋体" w:hAnsi="宋体" w:cs="宋体" w:eastAsia="宋体" w:hint="default"/>
          <w:spacing w:val="19"/>
        </w:rPr>
        <w:t> </w:t>
      </w:r>
      <w:r>
        <w:rPr>
          <w:spacing w:val="-3"/>
        </w:rPr>
        <w:t>日，公司设立了慧球科技（华容）有限公司，注册地为湖南省华容县三封工业园，注册资本为</w:t>
      </w:r>
    </w:p>
    <w:p>
      <w:pPr>
        <w:pStyle w:val="BodyText"/>
        <w:spacing w:line="237" w:lineRule="auto" w:before="2"/>
        <w:ind w:right="128"/>
        <w:jc w:val="both"/>
      </w:pPr>
      <w:r>
        <w:rPr/>
        <w:t>人民币</w:t>
      </w:r>
      <w:r>
        <w:rPr>
          <w:spacing w:val="-22"/>
        </w:rPr>
        <w:t> </w:t>
      </w:r>
      <w:r>
        <w:rPr>
          <w:rFonts w:ascii="宋体" w:hAnsi="宋体" w:cs="宋体" w:eastAsia="宋体" w:hint="default"/>
        </w:rPr>
        <w:t>1600</w:t>
      </w:r>
      <w:r>
        <w:rPr>
          <w:rFonts w:ascii="宋体" w:hAnsi="宋体" w:cs="宋体" w:eastAsia="宋体" w:hint="default"/>
          <w:spacing w:val="-22"/>
        </w:rPr>
        <w:t> </w:t>
      </w:r>
      <w:r>
        <w:rPr>
          <w:spacing w:val="-5"/>
        </w:rPr>
        <w:t>万，经营范围：通信技术、信息科技、计算机、电子科技的技术开发、技术服务、技</w:t>
      </w:r>
      <w:r>
        <w:rPr>
          <w:spacing w:val="-90"/>
        </w:rPr>
        <w:t> </w:t>
      </w:r>
      <w:r>
        <w:rPr>
          <w:spacing w:val="-90"/>
        </w:rPr>
      </w:r>
      <w:r>
        <w:rPr>
          <w:spacing w:val="-2"/>
        </w:rPr>
        <w:t>术咨询，计算机网络工程，计算机软硬件开发，通讯器材、自动化控制系统的销售、设计、安装</w:t>
      </w:r>
      <w:r>
        <w:rPr>
          <w:spacing w:val="-25"/>
        </w:rPr>
        <w:t> </w:t>
      </w:r>
      <w:r>
        <w:rPr>
          <w:spacing w:val="-25"/>
        </w:rPr>
      </w:r>
      <w:r>
        <w:rPr>
          <w:spacing w:val="-2"/>
        </w:rPr>
        <w:t>及售后服务（以上项目不含互联网上网服务）。（依法须经批准的项目，经相关部门批准后方可</w:t>
      </w:r>
      <w:r>
        <w:rPr>
          <w:spacing w:val="-25"/>
        </w:rPr>
        <w:t> </w:t>
      </w:r>
      <w:r>
        <w:rPr>
          <w:spacing w:val="-25"/>
        </w:rPr>
      </w:r>
      <w:r>
        <w:rPr/>
        <w:t>开展经营活动）</w:t>
      </w:r>
    </w:p>
    <w:p>
      <w:pPr>
        <w:pStyle w:val="BodyText"/>
        <w:spacing w:line="272" w:lineRule="exact"/>
        <w:ind w:left="558" w:right="123"/>
        <w:jc w:val="left"/>
      </w:pPr>
      <w:r>
        <w:rPr/>
        <w:t>报告期内，公司向两家子公司进行了增资。具体情况如下：</w:t>
      </w:r>
    </w:p>
    <w:p>
      <w:pPr>
        <w:pStyle w:val="BodyText"/>
        <w:spacing w:line="271" w:lineRule="exact"/>
        <w:ind w:left="558" w:right="0"/>
        <w:jc w:val="left"/>
      </w:pPr>
      <w:r>
        <w:rPr>
          <w:rFonts w:ascii="宋体" w:hAnsi="宋体" w:cs="宋体" w:eastAsia="宋体" w:hint="default"/>
        </w:rPr>
        <w:t>2015</w:t>
      </w:r>
      <w:r>
        <w:rPr>
          <w:rFonts w:ascii="宋体" w:hAnsi="宋体" w:cs="宋体" w:eastAsia="宋体" w:hint="default"/>
          <w:spacing w:val="-43"/>
        </w:rPr>
        <w:t> </w:t>
      </w:r>
      <w:r>
        <w:rPr/>
        <w:t>年</w:t>
      </w:r>
      <w:r>
        <w:rPr>
          <w:spacing w:val="-41"/>
        </w:rPr>
        <w:t> </w:t>
      </w:r>
      <w:r>
        <w:rPr>
          <w:rFonts w:ascii="宋体" w:hAnsi="宋体" w:cs="宋体" w:eastAsia="宋体" w:hint="default"/>
        </w:rPr>
        <w:t>8</w:t>
      </w:r>
      <w:r>
        <w:rPr>
          <w:rFonts w:ascii="宋体" w:hAnsi="宋体" w:cs="宋体" w:eastAsia="宋体" w:hint="default"/>
          <w:spacing w:val="-43"/>
        </w:rPr>
        <w:t> </w:t>
      </w:r>
      <w:r>
        <w:rPr/>
        <w:t>月</w:t>
      </w:r>
      <w:r>
        <w:rPr>
          <w:spacing w:val="-41"/>
        </w:rPr>
        <w:t> </w:t>
      </w:r>
      <w:r>
        <w:rPr>
          <w:rFonts w:ascii="宋体" w:hAnsi="宋体" w:cs="宋体" w:eastAsia="宋体" w:hint="default"/>
        </w:rPr>
        <w:t>7</w:t>
      </w:r>
      <w:r>
        <w:rPr>
          <w:rFonts w:ascii="宋体" w:hAnsi="宋体" w:cs="宋体" w:eastAsia="宋体" w:hint="default"/>
          <w:spacing w:val="-43"/>
        </w:rPr>
        <w:t> </w:t>
      </w:r>
      <w:r>
        <w:rPr>
          <w:spacing w:val="-3"/>
        </w:rPr>
        <w:t>日，公司第八届董事会第十一次会议审议通过了《关于向全资子公司智诚合讯</w:t>
      </w:r>
    </w:p>
    <w:p>
      <w:pPr>
        <w:pStyle w:val="BodyText"/>
        <w:spacing w:line="272" w:lineRule="exact"/>
        <w:ind w:right="0"/>
        <w:jc w:val="both"/>
      </w:pPr>
      <w:r>
        <w:rPr>
          <w:spacing w:val="-8"/>
        </w:rPr>
        <w:t>增资的议案》，并经</w:t>
      </w:r>
      <w:r>
        <w:rPr>
          <w:spacing w:val="-47"/>
        </w:rPr>
        <w:t> </w:t>
      </w:r>
      <w:r>
        <w:rPr>
          <w:rFonts w:ascii="宋体" w:hAnsi="宋体" w:cs="宋体" w:eastAsia="宋体" w:hint="default"/>
        </w:rPr>
        <w:t>2015</w:t>
      </w:r>
      <w:r>
        <w:rPr>
          <w:rFonts w:ascii="宋体" w:hAnsi="宋体" w:cs="宋体" w:eastAsia="宋体" w:hint="default"/>
          <w:spacing w:val="-50"/>
        </w:rPr>
        <w:t> </w:t>
      </w:r>
      <w:r>
        <w:rPr/>
        <w:t>年</w:t>
      </w:r>
      <w:r>
        <w:rPr>
          <w:spacing w:val="-47"/>
        </w:rPr>
        <w:t> </w:t>
      </w:r>
      <w:r>
        <w:rPr>
          <w:rFonts w:ascii="宋体" w:hAnsi="宋体" w:cs="宋体" w:eastAsia="宋体" w:hint="default"/>
        </w:rPr>
        <w:t>8</w:t>
      </w:r>
      <w:r>
        <w:rPr>
          <w:rFonts w:ascii="宋体" w:hAnsi="宋体" w:cs="宋体" w:eastAsia="宋体" w:hint="default"/>
          <w:spacing w:val="-50"/>
        </w:rPr>
        <w:t> </w:t>
      </w:r>
      <w:r>
        <w:rPr/>
        <w:t>月</w:t>
      </w:r>
      <w:r>
        <w:rPr>
          <w:spacing w:val="-47"/>
        </w:rPr>
        <w:t> </w:t>
      </w:r>
      <w:r>
        <w:rPr>
          <w:rFonts w:ascii="宋体" w:hAnsi="宋体" w:cs="宋体" w:eastAsia="宋体" w:hint="default"/>
        </w:rPr>
        <w:t>24</w:t>
      </w:r>
      <w:r>
        <w:rPr>
          <w:rFonts w:ascii="宋体" w:hAnsi="宋体" w:cs="宋体" w:eastAsia="宋体" w:hint="default"/>
          <w:spacing w:val="-50"/>
        </w:rPr>
        <w:t> </w:t>
      </w:r>
      <w:r>
        <w:rPr/>
        <w:t>日</w:t>
      </w:r>
      <w:r>
        <w:rPr>
          <w:spacing w:val="-47"/>
        </w:rPr>
        <w:t> </w:t>
      </w:r>
      <w:r>
        <w:rPr>
          <w:rFonts w:ascii="宋体" w:hAnsi="宋体" w:cs="宋体" w:eastAsia="宋体" w:hint="default"/>
        </w:rPr>
        <w:t>2015</w:t>
      </w:r>
      <w:r>
        <w:rPr>
          <w:rFonts w:ascii="宋体" w:hAnsi="宋体" w:cs="宋体" w:eastAsia="宋体" w:hint="default"/>
          <w:spacing w:val="-47"/>
        </w:rPr>
        <w:t> </w:t>
      </w:r>
      <w:r>
        <w:rPr>
          <w:spacing w:val="-3"/>
        </w:rPr>
        <w:t>年临时股东大会审议通过。广西慧球科技股份有限公</w:t>
      </w:r>
    </w:p>
    <w:p>
      <w:pPr>
        <w:pStyle w:val="BodyText"/>
        <w:spacing w:line="272" w:lineRule="exact" w:before="27"/>
        <w:ind w:right="137"/>
        <w:jc w:val="both"/>
      </w:pPr>
      <w:r>
        <w:rPr/>
        <w:t>司拟向智诚合讯以货币增资人民币</w:t>
      </w:r>
      <w:r>
        <w:rPr>
          <w:spacing w:val="-54"/>
        </w:rPr>
        <w:t> </w:t>
      </w:r>
      <w:r>
        <w:rPr>
          <w:rFonts w:ascii="宋体" w:hAnsi="宋体" w:cs="宋体" w:eastAsia="宋体" w:hint="default"/>
        </w:rPr>
        <w:t>1</w:t>
      </w:r>
      <w:r>
        <w:rPr>
          <w:rFonts w:ascii="宋体" w:hAnsi="宋体" w:cs="宋体" w:eastAsia="宋体" w:hint="default"/>
          <w:spacing w:val="-56"/>
        </w:rPr>
        <w:t> </w:t>
      </w:r>
      <w:r>
        <w:rPr/>
        <w:t>亿元，增资完成后智诚合讯注册资本变更为人民币</w:t>
      </w:r>
      <w:r>
        <w:rPr>
          <w:spacing w:val="-53"/>
        </w:rPr>
        <w:t> </w:t>
      </w:r>
      <w:r>
        <w:rPr>
          <w:rFonts w:ascii="宋体" w:hAnsi="宋体" w:cs="宋体" w:eastAsia="宋体" w:hint="default"/>
        </w:rPr>
        <w:t>11000</w:t>
      </w:r>
      <w:r>
        <w:rPr>
          <w:rFonts w:ascii="宋体" w:hAnsi="宋体" w:cs="宋体" w:eastAsia="宋体" w:hint="default"/>
          <w:spacing w:val="-54"/>
        </w:rPr>
        <w:t> </w:t>
      </w:r>
      <w:r>
        <w:rPr/>
        <w:t>万</w:t>
      </w:r>
      <w:r>
        <w:rPr>
          <w:w w:val="100"/>
        </w:rPr>
        <w:t> </w:t>
      </w:r>
      <w:r>
        <w:rPr/>
        <w:t>元。</w:t>
      </w:r>
    </w:p>
    <w:p>
      <w:pPr>
        <w:pStyle w:val="BodyText"/>
        <w:spacing w:line="247" w:lineRule="exact"/>
        <w:ind w:left="558" w:right="0"/>
        <w:jc w:val="left"/>
      </w:pPr>
      <w:r>
        <w:rPr>
          <w:rFonts w:ascii="宋体" w:hAnsi="宋体" w:cs="宋体" w:eastAsia="宋体" w:hint="default"/>
        </w:rPr>
        <w:t>2015</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15</w:t>
      </w:r>
      <w:r>
        <w:rPr>
          <w:rFonts w:ascii="宋体" w:hAnsi="宋体" w:cs="宋体" w:eastAsia="宋体" w:hint="default"/>
          <w:spacing w:val="-42"/>
        </w:rPr>
        <w:t> </w:t>
      </w:r>
      <w:r>
        <w:rPr>
          <w:spacing w:val="-3"/>
        </w:rPr>
        <w:t>日，公司第八届董事会第十八次会议审议通过了《关于向全资子公司上海慧</w:t>
      </w:r>
    </w:p>
    <w:p>
      <w:pPr>
        <w:pStyle w:val="BodyText"/>
        <w:spacing w:line="273" w:lineRule="exact"/>
        <w:ind w:right="0"/>
        <w:jc w:val="both"/>
      </w:pPr>
      <w:r>
        <w:rPr/>
        <w:t>球增资的议案》，并经</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w:t>
      </w:r>
      <w:r>
        <w:rPr>
          <w:spacing w:val="-54"/>
        </w:rPr>
        <w:t> </w:t>
      </w:r>
      <w:r>
        <w:rPr>
          <w:rFonts w:ascii="宋体" w:hAnsi="宋体" w:cs="宋体" w:eastAsia="宋体" w:hint="default"/>
        </w:rPr>
        <w:t>2015</w:t>
      </w:r>
      <w:r>
        <w:rPr>
          <w:rFonts w:ascii="宋体" w:hAnsi="宋体" w:cs="宋体" w:eastAsia="宋体" w:hint="default"/>
          <w:spacing w:val="-54"/>
        </w:rPr>
        <w:t> </w:t>
      </w:r>
      <w:r>
        <w:rPr/>
        <w:t>年第三次临时股东大会审议通过。广西慧球科技</w:t>
      </w:r>
    </w:p>
    <w:p>
      <w:pPr>
        <w:pStyle w:val="BodyText"/>
        <w:spacing w:line="273" w:lineRule="exact"/>
        <w:ind w:right="0"/>
        <w:jc w:val="both"/>
      </w:pPr>
      <w:r>
        <w:rPr>
          <w:w w:val="100"/>
        </w:rPr>
        <w:t>股份</w:t>
      </w:r>
      <w:r>
        <w:rPr>
          <w:spacing w:val="-3"/>
          <w:w w:val="100"/>
        </w:rPr>
        <w:t>有</w:t>
      </w:r>
      <w:r>
        <w:rPr>
          <w:w w:val="100"/>
        </w:rPr>
        <w:t>限</w:t>
      </w:r>
      <w:r>
        <w:rPr>
          <w:spacing w:val="-3"/>
          <w:w w:val="100"/>
        </w:rPr>
        <w:t>公</w:t>
      </w:r>
      <w:r>
        <w:rPr>
          <w:w w:val="100"/>
        </w:rPr>
        <w:t>司</w:t>
      </w:r>
      <w:r>
        <w:rPr>
          <w:spacing w:val="-3"/>
          <w:w w:val="100"/>
        </w:rPr>
        <w:t>拟</w:t>
      </w:r>
      <w:r>
        <w:rPr>
          <w:w w:val="100"/>
        </w:rPr>
        <w:t>向</w:t>
      </w:r>
      <w:r>
        <w:rPr>
          <w:spacing w:val="-3"/>
          <w:w w:val="100"/>
        </w:rPr>
        <w:t>上</w:t>
      </w:r>
      <w:r>
        <w:rPr>
          <w:w w:val="100"/>
        </w:rPr>
        <w:t>海</w:t>
      </w:r>
      <w:r>
        <w:rPr>
          <w:spacing w:val="-3"/>
          <w:w w:val="100"/>
        </w:rPr>
        <w:t>慧</w:t>
      </w:r>
      <w:r>
        <w:rPr>
          <w:w w:val="100"/>
        </w:rPr>
        <w:t>球以</w:t>
      </w:r>
      <w:r>
        <w:rPr>
          <w:spacing w:val="-3"/>
          <w:w w:val="100"/>
        </w:rPr>
        <w:t>货</w:t>
      </w:r>
      <w:r>
        <w:rPr>
          <w:w w:val="100"/>
        </w:rPr>
        <w:t>币</w:t>
      </w:r>
      <w:r>
        <w:rPr>
          <w:spacing w:val="-3"/>
          <w:w w:val="100"/>
        </w:rPr>
        <w:t>增</w:t>
      </w:r>
      <w:r>
        <w:rPr>
          <w:w w:val="100"/>
        </w:rPr>
        <w:t>资</w:t>
      </w:r>
      <w:r>
        <w:rPr>
          <w:spacing w:val="-3"/>
          <w:w w:val="100"/>
        </w:rPr>
        <w:t>人民</w:t>
      </w:r>
      <w:r>
        <w:rPr>
          <w:w w:val="100"/>
        </w:rPr>
        <w:t>币</w:t>
      </w:r>
      <w:r>
        <w:rPr>
          <w:spacing w:val="-53"/>
        </w:rPr>
        <w:t> </w:t>
      </w:r>
      <w:r>
        <w:rPr>
          <w:rFonts w:ascii="宋体" w:hAnsi="宋体" w:cs="宋体" w:eastAsia="宋体" w:hint="default"/>
          <w:w w:val="100"/>
        </w:rPr>
        <w:t>99</w:t>
      </w:r>
      <w:r>
        <w:rPr>
          <w:rFonts w:ascii="宋体" w:hAnsi="宋体" w:cs="宋体" w:eastAsia="宋体" w:hint="default"/>
          <w:spacing w:val="-3"/>
          <w:w w:val="100"/>
        </w:rPr>
        <w:t>9</w:t>
      </w:r>
      <w:r>
        <w:rPr>
          <w:rFonts w:ascii="宋体" w:hAnsi="宋体" w:cs="宋体" w:eastAsia="宋体" w:hint="default"/>
          <w:w w:val="100"/>
        </w:rPr>
        <w:t>0</w:t>
      </w:r>
      <w:r>
        <w:rPr>
          <w:rFonts w:ascii="宋体" w:hAnsi="宋体" w:cs="宋体" w:eastAsia="宋体" w:hint="default"/>
          <w:spacing w:val="-55"/>
        </w:rPr>
        <w:t> </w:t>
      </w:r>
      <w:r>
        <w:rPr>
          <w:w w:val="100"/>
        </w:rPr>
        <w:t>万</w:t>
      </w:r>
      <w:r>
        <w:rPr>
          <w:spacing w:val="-3"/>
          <w:w w:val="100"/>
        </w:rPr>
        <w:t>元</w:t>
      </w:r>
      <w:r>
        <w:rPr>
          <w:spacing w:val="-92"/>
          <w:w w:val="100"/>
        </w:rPr>
        <w:t>，</w:t>
      </w:r>
      <w:r>
        <w:rPr>
          <w:spacing w:val="-3"/>
          <w:w w:val="100"/>
        </w:rPr>
        <w:t>增</w:t>
      </w:r>
      <w:r>
        <w:rPr>
          <w:w w:val="100"/>
        </w:rPr>
        <w:t>资</w:t>
      </w:r>
      <w:r>
        <w:rPr>
          <w:spacing w:val="-3"/>
          <w:w w:val="100"/>
        </w:rPr>
        <w:t>完</w:t>
      </w:r>
      <w:r>
        <w:rPr>
          <w:w w:val="100"/>
        </w:rPr>
        <w:t>成</w:t>
      </w:r>
      <w:r>
        <w:rPr>
          <w:spacing w:val="-3"/>
          <w:w w:val="100"/>
        </w:rPr>
        <w:t>后</w:t>
      </w:r>
      <w:r>
        <w:rPr>
          <w:w w:val="100"/>
        </w:rPr>
        <w:t>上</w:t>
      </w:r>
      <w:r>
        <w:rPr>
          <w:spacing w:val="-3"/>
          <w:w w:val="100"/>
        </w:rPr>
        <w:t>海</w:t>
      </w:r>
      <w:r>
        <w:rPr>
          <w:w w:val="100"/>
        </w:rPr>
        <w:t>慧</w:t>
      </w:r>
      <w:r>
        <w:rPr>
          <w:spacing w:val="-3"/>
          <w:w w:val="100"/>
        </w:rPr>
        <w:t>球</w:t>
      </w:r>
      <w:r>
        <w:rPr>
          <w:w w:val="100"/>
        </w:rPr>
        <w:t>注册</w:t>
      </w:r>
      <w:r>
        <w:rPr>
          <w:spacing w:val="-3"/>
          <w:w w:val="100"/>
        </w:rPr>
        <w:t>资</w:t>
      </w:r>
      <w:r>
        <w:rPr>
          <w:w w:val="100"/>
        </w:rPr>
        <w:t>本</w:t>
      </w:r>
      <w:r>
        <w:rPr>
          <w:spacing w:val="-3"/>
          <w:w w:val="100"/>
        </w:rPr>
        <w:t>变</w:t>
      </w:r>
      <w:r>
        <w:rPr>
          <w:w w:val="100"/>
        </w:rPr>
        <w:t>更</w:t>
      </w:r>
      <w:r>
        <w:rPr>
          <w:spacing w:val="-3"/>
          <w:w w:val="100"/>
        </w:rPr>
        <w:t>为</w:t>
      </w:r>
      <w:r>
        <w:rPr>
          <w:w w:val="100"/>
        </w:rPr>
        <w:t>人</w:t>
      </w:r>
    </w:p>
    <w:p>
      <w:pPr>
        <w:pStyle w:val="BodyText"/>
        <w:spacing w:line="273" w:lineRule="exact"/>
        <w:ind w:right="0"/>
        <w:jc w:val="both"/>
      </w:pPr>
      <w:r>
        <w:rPr/>
        <w:t>民币</w:t>
      </w:r>
      <w:r>
        <w:rPr>
          <w:spacing w:val="-52"/>
        </w:rPr>
        <w:t> </w:t>
      </w:r>
      <w:r>
        <w:rPr>
          <w:rFonts w:ascii="宋体" w:hAnsi="宋体" w:cs="宋体" w:eastAsia="宋体" w:hint="default"/>
        </w:rPr>
        <w:t>10000</w:t>
      </w:r>
      <w:r>
        <w:rPr>
          <w:rFonts w:ascii="宋体" w:hAnsi="宋体" w:cs="宋体" w:eastAsia="宋体" w:hint="default"/>
          <w:spacing w:val="-54"/>
        </w:rPr>
        <w:t> </w:t>
      </w:r>
      <w:r>
        <w:rPr/>
        <w:t>万元。</w:t>
      </w:r>
    </w:p>
    <w:p>
      <w:pPr>
        <w:spacing w:after="0" w:line="273" w:lineRule="exact"/>
        <w:jc w:val="both"/>
        <w:sectPr>
          <w:pgSz w:w="11910" w:h="16840"/>
          <w:pgMar w:header="880" w:footer="1195" w:top="1120" w:bottom="1380" w:left="1660" w:right="1140"/>
        </w:sectPr>
      </w:pPr>
    </w:p>
    <w:p>
      <w:pPr>
        <w:spacing w:before="17"/>
        <w:ind w:left="0" w:right="561" w:firstLine="0"/>
        <w:jc w:val="righ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5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1"/>
        <w:ind w:left="540" w:right="8576"/>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0"/>
        </w:rPr>
        <w:t> </w:t>
      </w:r>
      <w:r>
        <w:rPr/>
        <w:t>主要控股参股公司分析</w:t>
      </w:r>
      <w:r>
        <w:rPr>
          <w:b w:val="0"/>
          <w:bCs w:val="0"/>
        </w:rPr>
      </w:r>
    </w:p>
    <w:p>
      <w:pPr>
        <w:spacing w:line="240" w:lineRule="auto" w:before="10"/>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1"/>
        <w:gridCol w:w="751"/>
        <w:gridCol w:w="794"/>
        <w:gridCol w:w="2986"/>
        <w:gridCol w:w="1580"/>
        <w:gridCol w:w="1440"/>
        <w:gridCol w:w="1486"/>
        <w:gridCol w:w="1469"/>
        <w:gridCol w:w="1435"/>
        <w:gridCol w:w="1416"/>
      </w:tblGrid>
      <w:tr>
        <w:trPr>
          <w:trHeight w:val="78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32" w:lineRule="exact"/>
              <w:ind w:left="189" w:right="191"/>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32" w:lineRule="exact"/>
              <w:ind w:left="302" w:right="120" w:hanging="180"/>
              <w:jc w:val="left"/>
              <w:rPr>
                <w:rFonts w:ascii="宋体" w:hAnsi="宋体" w:cs="宋体" w:eastAsia="宋体" w:hint="default"/>
                <w:sz w:val="18"/>
                <w:szCs w:val="18"/>
              </w:rPr>
            </w:pPr>
            <w:r>
              <w:rPr>
                <w:rFonts w:ascii="宋体" w:hAnsi="宋体" w:cs="宋体" w:eastAsia="宋体" w:hint="default"/>
                <w:sz w:val="18"/>
                <w:szCs w:val="18"/>
              </w:rPr>
              <w:t>所处行 业</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856"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87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177"/>
              <w:jc w:val="left"/>
              <w:rPr>
                <w:rFonts w:ascii="宋体" w:hAnsi="宋体" w:cs="宋体" w:eastAsia="宋体" w:hint="default"/>
                <w:sz w:val="18"/>
                <w:szCs w:val="18"/>
              </w:rPr>
            </w:pPr>
            <w:r>
              <w:rPr>
                <w:rFonts w:ascii="宋体" w:hAnsi="宋体" w:cs="宋体" w:eastAsia="宋体" w:hint="default"/>
                <w:sz w:val="18"/>
                <w:szCs w:val="18"/>
              </w:rPr>
              <w:t>建德郡原物业 服务有限公司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0"/>
              <w:ind w:left="189" w:right="191"/>
              <w:jc w:val="both"/>
              <w:rPr>
                <w:rFonts w:ascii="宋体" w:hAnsi="宋体" w:cs="宋体" w:eastAsia="宋体" w:hint="default"/>
                <w:sz w:val="18"/>
                <w:szCs w:val="18"/>
              </w:rPr>
            </w:pPr>
            <w:r>
              <w:rPr>
                <w:rFonts w:ascii="宋体" w:hAnsi="宋体" w:cs="宋体" w:eastAsia="宋体" w:hint="default"/>
                <w:sz w:val="18"/>
                <w:szCs w:val="18"/>
              </w:rPr>
              <w:t>全资 孙公 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11" w:right="120" w:hanging="89"/>
              <w:jc w:val="left"/>
              <w:rPr>
                <w:rFonts w:ascii="宋体" w:hAnsi="宋体" w:cs="宋体" w:eastAsia="宋体" w:hint="default"/>
                <w:sz w:val="18"/>
                <w:szCs w:val="18"/>
              </w:rPr>
            </w:pPr>
            <w:r>
              <w:rPr>
                <w:rFonts w:ascii="宋体" w:hAnsi="宋体" w:cs="宋体" w:eastAsia="宋体" w:hint="default"/>
                <w:sz w:val="18"/>
                <w:szCs w:val="18"/>
              </w:rPr>
              <w:t>物业服 务业</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物业管理服务、居家生活服务等</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1"/>
              <w:jc w:val="right"/>
              <w:rPr>
                <w:rFonts w:ascii="Times New Roman" w:hAnsi="Times New Roman" w:cs="Times New Roman" w:eastAsia="Times New Roman" w:hint="default"/>
                <w:sz w:val="20"/>
                <w:szCs w:val="20"/>
              </w:rPr>
            </w:pPr>
            <w:r>
              <w:rPr>
                <w:rFonts w:ascii="Times New Roman"/>
                <w:w w:val="95"/>
                <w:sz w:val="20"/>
              </w:rPr>
              <w:t>600,000.00</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Times New Roman" w:hAnsi="Times New Roman" w:cs="Times New Roman" w:eastAsia="Times New Roman" w:hint="default"/>
                <w:sz w:val="20"/>
                <w:szCs w:val="20"/>
              </w:rPr>
            </w:pPr>
            <w:r>
              <w:rPr>
                <w:rFonts w:ascii="Times New Roman"/>
                <w:sz w:val="20"/>
              </w:rPr>
              <w:t>2,287,208.28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472" w:right="0"/>
              <w:jc w:val="left"/>
              <w:rPr>
                <w:rFonts w:ascii="Times New Roman" w:hAnsi="Times New Roman" w:cs="Times New Roman" w:eastAsia="Times New Roman" w:hint="default"/>
                <w:sz w:val="20"/>
                <w:szCs w:val="20"/>
              </w:rPr>
            </w:pPr>
            <w:r>
              <w:rPr>
                <w:rFonts w:ascii="Times New Roman"/>
                <w:sz w:val="20"/>
              </w:rPr>
              <w:t>855,269.85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Times New Roman" w:hAnsi="Times New Roman" w:cs="Times New Roman" w:eastAsia="Times New Roman" w:hint="default"/>
                <w:sz w:val="20"/>
                <w:szCs w:val="20"/>
              </w:rPr>
            </w:pPr>
            <w:r>
              <w:rPr>
                <w:rFonts w:ascii="Times New Roman"/>
                <w:sz w:val="20"/>
              </w:rPr>
              <w:t>3,120,557.99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Times New Roman" w:hAnsi="Times New Roman" w:cs="Times New Roman" w:eastAsia="Times New Roman" w:hint="default"/>
                <w:sz w:val="20"/>
                <w:szCs w:val="20"/>
              </w:rPr>
            </w:pPr>
            <w:r>
              <w:rPr>
                <w:rFonts w:ascii="Times New Roman"/>
                <w:sz w:val="20"/>
              </w:rPr>
              <w:t>376,352.67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Times New Roman" w:hAnsi="Times New Roman" w:cs="Times New Roman" w:eastAsia="Times New Roman" w:hint="default"/>
                <w:sz w:val="20"/>
                <w:szCs w:val="20"/>
              </w:rPr>
            </w:pPr>
            <w:r>
              <w:rPr>
                <w:rFonts w:ascii="Times New Roman"/>
                <w:sz w:val="20"/>
              </w:rPr>
              <w:t>402,526.14</w:t>
            </w:r>
          </w:p>
        </w:tc>
      </w:tr>
      <w:tr>
        <w:trPr>
          <w:trHeight w:val="87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177"/>
              <w:jc w:val="left"/>
              <w:rPr>
                <w:rFonts w:ascii="宋体" w:hAnsi="宋体" w:cs="宋体" w:eastAsia="宋体" w:hint="default"/>
                <w:sz w:val="18"/>
                <w:szCs w:val="18"/>
              </w:rPr>
            </w:pPr>
            <w:r>
              <w:rPr>
                <w:rFonts w:ascii="宋体" w:hAnsi="宋体" w:cs="宋体" w:eastAsia="宋体" w:hint="default"/>
                <w:sz w:val="18"/>
                <w:szCs w:val="18"/>
              </w:rPr>
              <w:t>杭州郡原物业 服务有限公司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0"/>
              <w:ind w:left="189" w:right="191"/>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32" w:lineRule="exact"/>
              <w:ind w:left="211" w:right="120" w:hanging="89"/>
              <w:jc w:val="left"/>
              <w:rPr>
                <w:rFonts w:ascii="宋体" w:hAnsi="宋体" w:cs="宋体" w:eastAsia="宋体" w:hint="default"/>
                <w:sz w:val="18"/>
                <w:szCs w:val="18"/>
              </w:rPr>
            </w:pPr>
            <w:r>
              <w:rPr>
                <w:rFonts w:ascii="宋体" w:hAnsi="宋体" w:cs="宋体" w:eastAsia="宋体" w:hint="default"/>
                <w:sz w:val="18"/>
                <w:szCs w:val="18"/>
              </w:rPr>
              <w:t>物业服 务业</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物业管理服务、居家生活服务等</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2"/>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0"/>
                <w:szCs w:val="20"/>
              </w:rPr>
            </w:pPr>
            <w:r>
              <w:rPr>
                <w:rFonts w:ascii="Times New Roman"/>
                <w:sz w:val="20"/>
              </w:rPr>
              <w:t>25,847,430.03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0"/>
                <w:szCs w:val="20"/>
              </w:rPr>
            </w:pPr>
            <w:r>
              <w:rPr>
                <w:rFonts w:ascii="Times New Roman"/>
                <w:sz w:val="20"/>
              </w:rPr>
              <w:t>20,236,804.81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0"/>
                <w:szCs w:val="20"/>
              </w:rPr>
            </w:pPr>
            <w:r>
              <w:rPr>
                <w:rFonts w:ascii="Times New Roman"/>
                <w:sz w:val="20"/>
              </w:rPr>
              <w:t>17,526,987.92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0"/>
                <w:szCs w:val="20"/>
              </w:rPr>
            </w:pPr>
            <w:r>
              <w:rPr>
                <w:rFonts w:ascii="Times New Roman"/>
                <w:sz w:val="20"/>
              </w:rPr>
              <w:t>2,542,916.16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0"/>
                <w:szCs w:val="20"/>
              </w:rPr>
            </w:pPr>
            <w:r>
              <w:rPr>
                <w:rFonts w:ascii="Times New Roman"/>
                <w:sz w:val="20"/>
              </w:rPr>
              <w:t>1,948,205.93</w:t>
            </w:r>
          </w:p>
        </w:tc>
      </w:tr>
      <w:tr>
        <w:trPr>
          <w:trHeight w:val="155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0"/>
              <w:ind w:left="103" w:right="177"/>
              <w:jc w:val="both"/>
              <w:rPr>
                <w:rFonts w:ascii="宋体" w:hAnsi="宋体" w:cs="宋体" w:eastAsia="宋体" w:hint="default"/>
                <w:sz w:val="18"/>
                <w:szCs w:val="18"/>
              </w:rPr>
            </w:pPr>
            <w:r>
              <w:rPr>
                <w:rFonts w:ascii="宋体" w:hAnsi="宋体" w:cs="宋体" w:eastAsia="宋体" w:hint="default"/>
                <w:sz w:val="18"/>
                <w:szCs w:val="18"/>
              </w:rPr>
              <w:t>南宁市智诚合 讯信息技术有 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0"/>
              <w:ind w:left="189" w:right="191"/>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0"/>
              <w:ind w:left="122" w:right="120"/>
              <w:jc w:val="center"/>
              <w:rPr>
                <w:rFonts w:ascii="宋体" w:hAnsi="宋体" w:cs="宋体" w:eastAsia="宋体" w:hint="default"/>
                <w:sz w:val="18"/>
                <w:szCs w:val="18"/>
              </w:rPr>
            </w:pPr>
            <w:r>
              <w:rPr>
                <w:rFonts w:ascii="宋体" w:hAnsi="宋体" w:cs="宋体" w:eastAsia="宋体" w:hint="default"/>
                <w:sz w:val="18"/>
                <w:szCs w:val="18"/>
              </w:rPr>
              <w:t>信息技 术服务 业</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0"/>
              <w:ind w:left="103" w:right="171"/>
              <w:jc w:val="both"/>
              <w:rPr>
                <w:rFonts w:ascii="宋体" w:hAnsi="宋体" w:cs="宋体" w:eastAsia="宋体" w:hint="default"/>
                <w:sz w:val="18"/>
                <w:szCs w:val="18"/>
              </w:rPr>
            </w:pPr>
            <w:r>
              <w:rPr>
                <w:rFonts w:ascii="宋体" w:hAnsi="宋体" w:cs="宋体" w:eastAsia="宋体" w:hint="default"/>
                <w:sz w:val="18"/>
                <w:szCs w:val="18"/>
              </w:rPr>
              <w:t>计算机、信息科技、通信系统的技 术开发、服务、咨询，通信系统设 备、智能系统工程的设计、安装、 调试、维护；自营和代理一般经营 项目商品和技术的进出口业务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0"/>
                <w:szCs w:val="20"/>
              </w:rPr>
            </w:pPr>
            <w:r>
              <w:rPr>
                <w:rFonts w:ascii="Times New Roman"/>
                <w:sz w:val="20"/>
              </w:rPr>
              <w:t>110,000,000.00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0"/>
                <w:szCs w:val="20"/>
              </w:rPr>
            </w:pPr>
            <w:r>
              <w:rPr>
                <w:rFonts w:ascii="Times New Roman"/>
                <w:sz w:val="20"/>
              </w:rPr>
              <w:t>87,797,547.27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0"/>
                <w:szCs w:val="20"/>
              </w:rPr>
            </w:pPr>
            <w:r>
              <w:rPr>
                <w:rFonts w:ascii="Times New Roman"/>
                <w:sz w:val="20"/>
              </w:rPr>
              <w:t>83,781,475.47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0"/>
                <w:szCs w:val="20"/>
              </w:rPr>
            </w:pPr>
            <w:r>
              <w:rPr>
                <w:rFonts w:ascii="Times New Roman"/>
                <w:sz w:val="20"/>
              </w:rPr>
              <w:t>33,130,278.45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0"/>
                <w:szCs w:val="20"/>
              </w:rPr>
            </w:pPr>
            <w:r>
              <w:rPr>
                <w:rFonts w:ascii="Times New Roman"/>
                <w:sz w:val="20"/>
              </w:rPr>
              <w:t>2,309,758.99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0"/>
                <w:szCs w:val="20"/>
              </w:rPr>
            </w:pPr>
            <w:r>
              <w:rPr>
                <w:rFonts w:ascii="Times New Roman"/>
                <w:sz w:val="20"/>
              </w:rPr>
              <w:t>1,787,246.57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before="0"/>
        <w:ind w:left="6714" w:right="6718" w:firstLine="0"/>
        <w:jc w:val="center"/>
        <w:rPr>
          <w:rFonts w:ascii="Calibri" w:hAnsi="Calibri" w:cs="Calibri" w:eastAsia="Calibri" w:hint="default"/>
          <w:sz w:val="18"/>
          <w:szCs w:val="18"/>
        </w:rPr>
      </w:pPr>
      <w:r>
        <w:rPr>
          <w:rFonts w:ascii="Calibri"/>
          <w:b/>
          <w:sz w:val="18"/>
        </w:rPr>
        <w:t>26 </w:t>
      </w:r>
      <w:r>
        <w:rPr>
          <w:rFonts w:ascii="Calibri"/>
          <w:sz w:val="18"/>
        </w:rPr>
        <w:t>/</w:t>
      </w:r>
      <w:r>
        <w:rPr>
          <w:rFonts w:ascii="Calibri"/>
          <w:spacing w:val="-4"/>
          <w:sz w:val="18"/>
        </w:rPr>
        <w:t> </w:t>
      </w:r>
      <w:r>
        <w:rPr>
          <w:rFonts w:ascii="Calibri"/>
          <w:b/>
          <w:sz w:val="18"/>
        </w:rPr>
        <w:t>130</w:t>
      </w:r>
      <w:r>
        <w:rPr>
          <w:rFonts w:ascii="Calibri"/>
          <w:sz w:val="18"/>
        </w:rPr>
      </w:r>
    </w:p>
    <w:p>
      <w:pPr>
        <w:spacing w:after="0"/>
        <w:jc w:val="center"/>
        <w:rPr>
          <w:rFonts w:ascii="Calibri" w:hAnsi="Calibri" w:cs="Calibri" w:eastAsia="Calibri" w:hint="default"/>
          <w:sz w:val="18"/>
          <w:szCs w:val="18"/>
        </w:rPr>
        <w:sectPr>
          <w:headerReference w:type="default" r:id="rId28"/>
          <w:footerReference w:type="default" r:id="rId29"/>
          <w:pgSz w:w="16840" w:h="11910" w:orient="landscape"/>
          <w:pgMar w:header="0" w:footer="0" w:top="800" w:bottom="280" w:left="900" w:right="9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17"/>
          <w:szCs w:val="17"/>
        </w:rPr>
      </w:pPr>
    </w:p>
    <w:p>
      <w:pPr>
        <w:pStyle w:val="Heading3"/>
        <w:spacing w:line="278" w:lineRule="auto"/>
        <w:ind w:left="138" w:right="4869"/>
        <w:jc w:val="left"/>
        <w:rPr>
          <w:rFonts w:ascii="宋体" w:hAnsi="宋体" w:cs="宋体" w:eastAsia="宋体" w:hint="default"/>
          <w:b w:val="0"/>
          <w:bCs w:val="0"/>
        </w:rPr>
      </w:pPr>
      <w:r>
        <w:rPr>
          <w:spacing w:val="-1"/>
        </w:rPr>
        <w:t>三、公司关于公司未来发展的讨论与分析</w:t>
      </w:r>
      <w:r>
        <w:rPr>
          <w:spacing w:val="-88"/>
        </w:rPr>
        <w:t> </w:t>
      </w:r>
      <w:r>
        <w:rPr>
          <w:spacing w:val="-88"/>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行业竞争格局和发展趋势</w:t>
      </w:r>
      <w:r>
        <w:rPr>
          <w:spacing w:val="-103"/>
        </w:rPr>
        <w:t> </w:t>
      </w:r>
      <w:r>
        <w:rPr>
          <w:spacing w:val="-103"/>
        </w:rPr>
      </w:r>
      <w:r>
        <w:rPr>
          <w:rFonts w:ascii="宋体" w:hAnsi="宋体" w:cs="宋体" w:eastAsia="宋体" w:hint="default"/>
          <w:b w:val="0"/>
          <w:bCs w:val="0"/>
        </w:rPr>
        <w:t>1</w:t>
      </w:r>
      <w:r>
        <w:rPr>
          <w:rFonts w:ascii="宋体" w:hAnsi="宋体" w:cs="宋体" w:eastAsia="宋体" w:hint="default"/>
          <w:b w:val="0"/>
          <w:bCs w:val="0"/>
        </w:rPr>
        <w:t>、行业竞争格局</w:t>
      </w:r>
    </w:p>
    <w:p>
      <w:pPr>
        <w:pStyle w:val="BodyText"/>
        <w:spacing w:line="237" w:lineRule="exact"/>
        <w:ind w:left="558" w:right="123"/>
        <w:jc w:val="left"/>
      </w:pPr>
      <w:r>
        <w:rPr/>
        <w:t>（</w:t>
      </w:r>
      <w:r>
        <w:rPr>
          <w:rFonts w:ascii="宋体" w:hAnsi="宋体" w:cs="宋体" w:eastAsia="宋体" w:hint="default"/>
        </w:rPr>
        <w:t>1</w:t>
      </w:r>
      <w:r>
        <w:rPr/>
        <w:t>）行业集中度</w:t>
      </w:r>
    </w:p>
    <w:p>
      <w:pPr>
        <w:pStyle w:val="BodyText"/>
        <w:spacing w:line="237" w:lineRule="auto" w:before="2"/>
        <w:ind w:right="137" w:firstLine="419"/>
        <w:jc w:val="both"/>
      </w:pPr>
      <w:r>
        <w:rPr>
          <w:spacing w:val="-2"/>
        </w:rPr>
        <w:t>由于智慧城市建设涉及领域众多，各地特色与经济发展水平各不相同，国家标准体系虽初步</w:t>
      </w:r>
      <w:r>
        <w:rPr>
          <w:w w:val="100"/>
        </w:rPr>
        <w:t> </w:t>
      </w:r>
      <w:r>
        <w:rPr>
          <w:spacing w:val="-2"/>
        </w:rPr>
        <w:t>形成，但因城市发展需求、业态不断革新，标准还未完全统一，参与竞争的企业较多。随着核心</w:t>
      </w:r>
      <w:r>
        <w:rPr>
          <w:spacing w:val="-25"/>
        </w:rPr>
        <w:t> </w:t>
      </w:r>
      <w:r>
        <w:rPr>
          <w:spacing w:val="-25"/>
        </w:rPr>
      </w:r>
      <w:r>
        <w:rPr>
          <w:spacing w:val="-2"/>
        </w:rPr>
        <w:t>技术储备不断强化、商业模式逐步完善、行业投资额加大，前期通过总包框架协议取得的项目资</w:t>
      </w:r>
      <w:r>
        <w:rPr>
          <w:spacing w:val="-25"/>
        </w:rPr>
        <w:t> </w:t>
      </w:r>
      <w:r>
        <w:rPr>
          <w:spacing w:val="-25"/>
        </w:rPr>
      </w:r>
      <w:r>
        <w:rPr>
          <w:spacing w:val="-2"/>
        </w:rPr>
        <w:t>源逐步落地、实施，研发技术储备、资金实力和大项目经验将提升行业壁垒，行业集中度有望逐</w:t>
      </w:r>
      <w:r>
        <w:rPr>
          <w:spacing w:val="-25"/>
        </w:rPr>
        <w:t> </w:t>
      </w:r>
      <w:r>
        <w:rPr>
          <w:spacing w:val="-25"/>
        </w:rPr>
      </w:r>
      <w:r>
        <w:rPr>
          <w:spacing w:val="-2"/>
        </w:rPr>
        <w:t>步提升，尤其是具备技术核心竞争力、资金实力、区域资源的上市公司，在市场拓展及项目落地</w:t>
      </w:r>
      <w:r>
        <w:rPr>
          <w:spacing w:val="-25"/>
        </w:rPr>
        <w:t> </w:t>
      </w:r>
      <w:r>
        <w:rPr>
          <w:spacing w:val="-25"/>
        </w:rPr>
      </w:r>
      <w:r>
        <w:rPr/>
        <w:t>能力上预计将显著高于行业平均水平。</w:t>
      </w:r>
    </w:p>
    <w:p>
      <w:pPr>
        <w:pStyle w:val="BodyText"/>
        <w:spacing w:line="272" w:lineRule="exact" w:before="27"/>
        <w:ind w:left="558" w:right="123"/>
        <w:jc w:val="left"/>
      </w:pPr>
      <w:r>
        <w:rPr/>
        <w:t>（</w:t>
      </w:r>
      <w:r>
        <w:rPr>
          <w:rFonts w:ascii="宋体" w:hAnsi="宋体" w:cs="宋体" w:eastAsia="宋体" w:hint="default"/>
        </w:rPr>
        <w:t>2</w:t>
      </w:r>
      <w:r>
        <w:rPr/>
        <w:t>）行业壁垒</w:t>
      </w:r>
      <w:r>
        <w:rPr>
          <w:w w:val="100"/>
        </w:rPr>
        <w:t> </w:t>
      </w:r>
      <w:r>
        <w:rPr>
          <w:spacing w:val="-2"/>
        </w:rPr>
        <w:t>智慧城市涉及产业环节众多，而随着智慧城市建设的横向试点推广及纵向领域渗透，总包再</w:t>
      </w:r>
    </w:p>
    <w:p>
      <w:pPr>
        <w:pStyle w:val="BodyText"/>
        <w:spacing w:line="247" w:lineRule="exact"/>
        <w:ind w:right="0"/>
        <w:jc w:val="both"/>
      </w:pPr>
      <w:r>
        <w:rPr/>
        <w:t>细化行业落地的模式不断完善，经验、资金、项目资源壁垒将利于行业集中度的提升。</w:t>
      </w:r>
    </w:p>
    <w:p>
      <w:pPr>
        <w:pStyle w:val="BodyText"/>
        <w:spacing w:line="240" w:lineRule="auto"/>
        <w:ind w:left="558" w:right="123"/>
        <w:jc w:val="left"/>
      </w:pPr>
      <w:r>
        <w:rPr/>
        <w:t>①行业经验壁垒</w:t>
      </w:r>
      <w:r>
        <w:rPr>
          <w:spacing w:val="-103"/>
        </w:rPr>
        <w:t> </w:t>
      </w:r>
      <w:r>
        <w:rPr>
          <w:spacing w:val="-103"/>
        </w:rPr>
      </w:r>
      <w:r>
        <w:rPr>
          <w:spacing w:val="-2"/>
        </w:rPr>
        <w:t>智慧城市建设是一项非常庞大的系统工程，涉及众多信息化领域、技术环节，需要具备专业</w:t>
      </w:r>
    </w:p>
    <w:p>
      <w:pPr>
        <w:pStyle w:val="BodyText"/>
        <w:spacing w:line="237" w:lineRule="auto"/>
        <w:ind w:right="127"/>
        <w:jc w:val="both"/>
      </w:pPr>
      <w:r>
        <w:rPr>
          <w:spacing w:val="-2"/>
        </w:rPr>
        <w:t>经验的团队进行规划设计、项目管理以及实施和维护服务。在技术储备阶段，随着国家标准的政</w:t>
      </w:r>
      <w:r>
        <w:rPr>
          <w:spacing w:val="-25"/>
        </w:rPr>
        <w:t> </w:t>
      </w:r>
      <w:r>
        <w:rPr>
          <w:spacing w:val="-25"/>
        </w:rPr>
      </w:r>
      <w:r>
        <w:rPr>
          <w:spacing w:val="-2"/>
        </w:rPr>
        <w:t>策、标准的不断出台，具备能够解读政府发展政策、应用需求并实现规划、应用的技术团队，并</w:t>
      </w:r>
      <w:r>
        <w:rPr>
          <w:spacing w:val="-25"/>
        </w:rPr>
        <w:t> </w:t>
      </w:r>
      <w:r>
        <w:rPr>
          <w:spacing w:val="-25"/>
        </w:rPr>
      </w:r>
      <w:r>
        <w:rPr>
          <w:spacing w:val="-2"/>
        </w:rPr>
        <w:t>具有一定的专利储备，将在业务开拓中形成核心竞争力；在项目落地实施时，涉及软件开发、系</w:t>
      </w:r>
      <w:r>
        <w:rPr>
          <w:spacing w:val="-25"/>
        </w:rPr>
        <w:t> </w:t>
      </w:r>
      <w:r>
        <w:rPr>
          <w:spacing w:val="-25"/>
        </w:rPr>
      </w:r>
      <w:r>
        <w:rPr>
          <w:spacing w:val="-3"/>
        </w:rPr>
        <w:t>统集成、</w:t>
      </w:r>
      <w:r>
        <w:rPr>
          <w:rFonts w:ascii="宋体" w:hAnsi="宋体" w:cs="宋体" w:eastAsia="宋体" w:hint="default"/>
          <w:spacing w:val="-3"/>
        </w:rPr>
        <w:t>IT </w:t>
      </w:r>
      <w:r>
        <w:rPr>
          <w:spacing w:val="-3"/>
        </w:rPr>
        <w:t>运维服务等多方面的技术环节，因此实施团队的行业经验、技术水平以及持续的技术</w:t>
      </w:r>
      <w:r>
        <w:rPr>
          <w:spacing w:val="-75"/>
        </w:rPr>
        <w:t> </w:t>
      </w:r>
      <w:r>
        <w:rPr>
          <w:spacing w:val="-75"/>
        </w:rPr>
      </w:r>
      <w:r>
        <w:rPr/>
        <w:t>研发能力是保障项目实施效果的关键。</w:t>
      </w:r>
    </w:p>
    <w:p>
      <w:pPr>
        <w:pStyle w:val="BodyText"/>
        <w:spacing w:line="271" w:lineRule="exact"/>
        <w:ind w:left="558" w:right="123"/>
        <w:jc w:val="left"/>
      </w:pPr>
      <w:r>
        <w:rPr/>
        <w:t>②资金实力壁垒</w:t>
      </w:r>
    </w:p>
    <w:p>
      <w:pPr>
        <w:pStyle w:val="BodyText"/>
        <w:spacing w:line="237" w:lineRule="auto" w:before="2"/>
        <w:ind w:right="137" w:firstLine="419"/>
        <w:jc w:val="both"/>
        <w:rPr>
          <w:rFonts w:ascii="宋体" w:hAnsi="宋体" w:cs="宋体" w:eastAsia="宋体" w:hint="default"/>
        </w:rPr>
      </w:pPr>
      <w:r>
        <w:rPr/>
        <w:t>智慧城市面向的对象主要为各级政府，即</w:t>
      </w:r>
      <w:r>
        <w:rPr>
          <w:spacing w:val="-54"/>
        </w:rPr>
        <w:t> </w:t>
      </w:r>
      <w:r>
        <w:rPr>
          <w:rFonts w:ascii="宋体" w:hAnsi="宋体" w:cs="宋体" w:eastAsia="宋体" w:hint="default"/>
        </w:rPr>
        <w:t>B2G</w:t>
      </w:r>
      <w:r>
        <w:rPr/>
        <w:t>（企业对政府）模式，即使在试点阶段的中小</w:t>
      </w:r>
      <w:r>
        <w:rPr>
          <w:w w:val="100"/>
        </w:rPr>
        <w:t> </w:t>
      </w:r>
      <w:r>
        <w:rPr>
          <w:spacing w:val="-2"/>
        </w:rPr>
        <w:t>城市或片区，其项目规模均达亿元级别。而在整个实施过程中，由于涉及基础设施集成建设等工</w:t>
      </w:r>
      <w:r>
        <w:rPr>
          <w:spacing w:val="-25"/>
        </w:rPr>
        <w:t> </w:t>
      </w:r>
      <w:r>
        <w:rPr>
          <w:spacing w:val="-25"/>
        </w:rPr>
      </w:r>
      <w:r>
        <w:rPr/>
        <w:t>程项目，目前主流的无论</w:t>
      </w:r>
      <w:r>
        <w:rPr>
          <w:spacing w:val="-60"/>
        </w:rPr>
        <w:t> </w:t>
      </w:r>
      <w:r>
        <w:rPr>
          <w:rFonts w:ascii="宋体" w:hAnsi="宋体" w:cs="宋体" w:eastAsia="宋体" w:hint="default"/>
        </w:rPr>
        <w:t>BT</w:t>
      </w:r>
      <w:r>
        <w:rPr/>
        <w:t>（建设</w:t>
      </w:r>
      <w:r>
        <w:rPr>
          <w:rFonts w:ascii="宋体" w:hAnsi="宋体" w:cs="宋体" w:eastAsia="宋体" w:hint="default"/>
        </w:rPr>
        <w:t>-</w:t>
      </w:r>
      <w:r>
        <w:rPr/>
        <w:t>移交）模式、</w:t>
      </w:r>
      <w:r>
        <w:rPr>
          <w:rFonts w:ascii="宋体" w:hAnsi="宋体" w:cs="宋体" w:eastAsia="宋体" w:hint="default"/>
        </w:rPr>
        <w:t>EPC</w:t>
      </w:r>
      <w:r>
        <w:rPr/>
        <w:t>（设计</w:t>
      </w:r>
      <w:r>
        <w:rPr>
          <w:rFonts w:ascii="宋体" w:hAnsi="宋体" w:cs="宋体" w:eastAsia="宋体" w:hint="default"/>
        </w:rPr>
        <w:t>-</w:t>
      </w:r>
      <w:r>
        <w:rPr/>
        <w:t>采购－建造）模式或衍生出的</w:t>
      </w:r>
      <w:r>
        <w:rPr>
          <w:spacing w:val="-58"/>
        </w:rPr>
        <w:t> </w:t>
      </w:r>
      <w:r>
        <w:rPr>
          <w:rFonts w:ascii="宋体" w:hAnsi="宋体" w:cs="宋体" w:eastAsia="宋体" w:hint="default"/>
        </w:rPr>
        <w:t>BOT</w:t>
      </w:r>
    </w:p>
    <w:p>
      <w:pPr>
        <w:pStyle w:val="BodyText"/>
        <w:spacing w:line="237" w:lineRule="auto"/>
        <w:ind w:right="137"/>
        <w:jc w:val="both"/>
      </w:pPr>
      <w:r>
        <w:rPr>
          <w:spacing w:val="-2"/>
        </w:rPr>
        <w:t>（建设</w:t>
      </w:r>
      <w:r>
        <w:rPr>
          <w:rFonts w:ascii="宋体" w:hAnsi="宋体" w:cs="宋体" w:eastAsia="宋体" w:hint="default"/>
          <w:spacing w:val="-2"/>
        </w:rPr>
        <w:t>-</w:t>
      </w:r>
      <w:r>
        <w:rPr>
          <w:spacing w:val="-2"/>
        </w:rPr>
        <w:t>运营</w:t>
      </w:r>
      <w:r>
        <w:rPr>
          <w:rFonts w:ascii="宋体" w:hAnsi="宋体" w:cs="宋体" w:eastAsia="宋体" w:hint="default"/>
          <w:spacing w:val="-2"/>
        </w:rPr>
        <w:t>-</w:t>
      </w:r>
      <w:r>
        <w:rPr>
          <w:spacing w:val="-2"/>
        </w:rPr>
        <w:t>移交）、</w:t>
      </w:r>
      <w:r>
        <w:rPr>
          <w:rFonts w:ascii="宋体" w:hAnsi="宋体" w:cs="宋体" w:eastAsia="宋体" w:hint="default"/>
          <w:spacing w:val="-2"/>
        </w:rPr>
        <w:t>BLT</w:t>
      </w:r>
      <w:r>
        <w:rPr>
          <w:spacing w:val="-2"/>
        </w:rPr>
        <w:t>（建设</w:t>
      </w:r>
      <w:r>
        <w:rPr>
          <w:rFonts w:ascii="宋体" w:hAnsi="宋体" w:cs="宋体" w:eastAsia="宋体" w:hint="default"/>
          <w:spacing w:val="-2"/>
        </w:rPr>
        <w:t>-</w:t>
      </w:r>
      <w:r>
        <w:rPr>
          <w:spacing w:val="-2"/>
        </w:rPr>
        <w:t>租赁</w:t>
      </w:r>
      <w:r>
        <w:rPr>
          <w:rFonts w:ascii="宋体" w:hAnsi="宋体" w:cs="宋体" w:eastAsia="宋体" w:hint="default"/>
          <w:spacing w:val="-2"/>
        </w:rPr>
        <w:t>-</w:t>
      </w:r>
      <w:r>
        <w:rPr>
          <w:spacing w:val="-2"/>
        </w:rPr>
        <w:t>转让）、</w:t>
      </w:r>
      <w:r>
        <w:rPr>
          <w:rFonts w:ascii="宋体" w:hAnsi="宋体" w:cs="宋体" w:eastAsia="宋体" w:hint="default"/>
          <w:spacing w:val="-2"/>
        </w:rPr>
        <w:t>PPP</w:t>
      </w:r>
      <w:r>
        <w:rPr>
          <w:spacing w:val="-2"/>
        </w:rPr>
        <w:t>（公私合作）等模式，对业务承接方的资金</w:t>
      </w:r>
      <w:r>
        <w:rPr>
          <w:spacing w:val="-22"/>
        </w:rPr>
        <w:t> </w:t>
      </w:r>
      <w:r>
        <w:rPr>
          <w:spacing w:val="-22"/>
        </w:rPr>
      </w:r>
      <w:r>
        <w:rPr>
          <w:spacing w:val="-2"/>
        </w:rPr>
        <w:t>储备和运转能力均存在较大考验。因而，具备丰厚的资金实力，并能够借助上市公司平台的多种</w:t>
      </w:r>
      <w:r>
        <w:rPr>
          <w:spacing w:val="-25"/>
        </w:rPr>
        <w:t> </w:t>
      </w:r>
      <w:r>
        <w:rPr>
          <w:spacing w:val="-25"/>
        </w:rPr>
      </w:r>
      <w:r>
        <w:rPr/>
        <w:t>融资渠道为资金运转提供保证的公司，将在后续智慧城市建设推进中获得更多业务机会。</w:t>
      </w:r>
    </w:p>
    <w:p>
      <w:pPr>
        <w:pStyle w:val="BodyText"/>
        <w:spacing w:line="272" w:lineRule="exact" w:before="26"/>
        <w:ind w:left="558" w:right="123"/>
        <w:jc w:val="left"/>
      </w:pPr>
      <w:r>
        <w:rPr/>
        <w:t>③项目资源壁垒</w:t>
      </w:r>
      <w:r>
        <w:rPr>
          <w:spacing w:val="-103"/>
        </w:rPr>
        <w:t> </w:t>
      </w:r>
      <w:r>
        <w:rPr>
          <w:spacing w:val="-103"/>
        </w:rPr>
      </w:r>
      <w:r>
        <w:rPr>
          <w:spacing w:val="-2"/>
        </w:rPr>
        <w:t>智慧城市涉及城市建设的方方面面，因此从规划设计开始，即为需与各级政府层面直接对接</w:t>
      </w:r>
    </w:p>
    <w:p>
      <w:pPr>
        <w:pStyle w:val="BodyText"/>
        <w:spacing w:line="272" w:lineRule="exact" w:before="1"/>
        <w:ind w:right="137"/>
        <w:jc w:val="both"/>
      </w:pPr>
      <w:r>
        <w:rPr>
          <w:spacing w:val="-2"/>
        </w:rPr>
        <w:t>的项目。由于政府在我国城市规划和经济发展中扮演的特殊角色，决定了智慧城市相关项目的主</w:t>
      </w:r>
      <w:r>
        <w:rPr>
          <w:spacing w:val="-25"/>
        </w:rPr>
        <w:t> </w:t>
      </w:r>
      <w:r>
        <w:rPr>
          <w:spacing w:val="-25"/>
        </w:rPr>
      </w:r>
      <w:r>
        <w:rPr>
          <w:spacing w:val="-2"/>
        </w:rPr>
        <w:t>导方为各级政府机关，因而在项目资源上会形成一定壁垒。在试点阶段，智慧城市服务商主要以</w:t>
      </w:r>
    </w:p>
    <w:p>
      <w:pPr>
        <w:pStyle w:val="BodyText"/>
        <w:spacing w:line="272" w:lineRule="exact" w:before="1"/>
        <w:ind w:right="137"/>
        <w:jc w:val="both"/>
      </w:pPr>
      <w:r>
        <w:rPr>
          <w:spacing w:val="-2"/>
        </w:rPr>
        <w:t>规划咨询切入，为各级政府部门提供顶层设计，后续通过框架协议确定整体方案，并进一步在各</w:t>
      </w:r>
      <w:r>
        <w:rPr>
          <w:spacing w:val="-25"/>
        </w:rPr>
        <w:t> </w:t>
      </w:r>
      <w:r>
        <w:rPr>
          <w:spacing w:val="-25"/>
        </w:rPr>
      </w:r>
      <w:r>
        <w:rPr>
          <w:spacing w:val="-2"/>
        </w:rPr>
        <w:t>细分行业具体项目落地中以招投标的形式取得具体项目的实施、服务等业务。能够在试点阶段完</w:t>
      </w:r>
    </w:p>
    <w:p>
      <w:pPr>
        <w:pStyle w:val="BodyText"/>
        <w:spacing w:line="272" w:lineRule="exact" w:before="1"/>
        <w:ind w:right="137"/>
        <w:jc w:val="both"/>
      </w:pPr>
      <w:r>
        <w:rPr>
          <w:spacing w:val="-2"/>
        </w:rPr>
        <w:t>成一定的咨询规划方案，签订框架协议、提供各项支持服务并进一步落地细分行业项目资源及经</w:t>
      </w:r>
      <w:r>
        <w:rPr>
          <w:spacing w:val="-25"/>
        </w:rPr>
        <w:t> </w:t>
      </w:r>
      <w:r>
        <w:rPr>
          <w:spacing w:val="-25"/>
        </w:rPr>
      </w:r>
      <w:r>
        <w:rPr/>
        <w:t>验，在城市整体及细分行业中形成壁垒，利于后续业务的持续开拓与实施。</w:t>
      </w:r>
    </w:p>
    <w:p>
      <w:pPr>
        <w:pStyle w:val="BodyText"/>
        <w:spacing w:line="247" w:lineRule="exact"/>
        <w:ind w:left="558" w:right="123"/>
        <w:jc w:val="left"/>
      </w:pPr>
      <w:r>
        <w:rPr/>
        <w:t>（</w:t>
      </w:r>
      <w:r>
        <w:rPr>
          <w:rFonts w:ascii="宋体" w:hAnsi="宋体" w:cs="宋体" w:eastAsia="宋体" w:hint="default"/>
        </w:rPr>
        <w:t>3</w:t>
      </w:r>
      <w:r>
        <w:rPr/>
        <w:t>）竞争格局</w:t>
      </w:r>
    </w:p>
    <w:p>
      <w:pPr>
        <w:pStyle w:val="BodyText"/>
        <w:spacing w:line="273" w:lineRule="exact"/>
        <w:ind w:left="562" w:right="123"/>
        <w:jc w:val="left"/>
      </w:pPr>
      <w:r>
        <w:rPr/>
        <w:t>①主要竞争对手</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378"/>
        <w:gridCol w:w="3313"/>
        <w:gridCol w:w="3675"/>
      </w:tblGrid>
      <w:tr>
        <w:trPr>
          <w:trHeight w:val="406"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主要竞争对手</w:t>
            </w:r>
            <w:r>
              <w:rPr>
                <w:rFonts w:ascii="宋体" w:hAnsi="宋体" w:cs="宋体" w:eastAsia="宋体" w:hint="default"/>
                <w:sz w:val="21"/>
                <w:szCs w:val="21"/>
              </w:rPr>
            </w:r>
          </w:p>
        </w:tc>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2015</w:t>
            </w:r>
            <w:r>
              <w:rPr>
                <w:rFonts w:ascii="宋体" w:hAnsi="宋体" w:cs="宋体" w:eastAsia="宋体" w:hint="default"/>
                <w:b/>
                <w:bCs/>
                <w:sz w:val="21"/>
                <w:szCs w:val="21"/>
              </w:rPr>
              <w:t>年智慧城市相关业务收入</w:t>
            </w:r>
            <w:r>
              <w:rPr>
                <w:rFonts w:ascii="宋体" w:hAnsi="宋体" w:cs="宋体" w:eastAsia="宋体" w:hint="default"/>
                <w:sz w:val="21"/>
                <w:szCs w:val="21"/>
              </w:rPr>
            </w:r>
          </w:p>
        </w:tc>
      </w:tr>
      <w:tr>
        <w:trPr>
          <w:trHeight w:val="408"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w w:val="100"/>
                <w:sz w:val="21"/>
              </w:rPr>
              <w:t>1</w:t>
            </w: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中兴通讯</w:t>
            </w:r>
          </w:p>
        </w:tc>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105</w:t>
            </w:r>
            <w:r>
              <w:rPr>
                <w:rFonts w:ascii="宋体" w:hAnsi="宋体" w:cs="宋体" w:eastAsia="宋体" w:hint="default"/>
                <w:sz w:val="21"/>
                <w:szCs w:val="21"/>
              </w:rPr>
              <w:t>亿元</w:t>
            </w:r>
          </w:p>
        </w:tc>
      </w:tr>
      <w:tr>
        <w:trPr>
          <w:trHeight w:val="406"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2</w:t>
            </w: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神州数码</w:t>
            </w:r>
          </w:p>
        </w:tc>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45.54</w:t>
            </w:r>
            <w:r>
              <w:rPr>
                <w:rFonts w:ascii="宋体" w:hAnsi="宋体" w:cs="宋体" w:eastAsia="宋体" w:hint="default"/>
                <w:sz w:val="21"/>
                <w:szCs w:val="21"/>
              </w:rPr>
              <w:t>亿元</w:t>
            </w:r>
          </w:p>
        </w:tc>
      </w:tr>
      <w:tr>
        <w:trPr>
          <w:trHeight w:val="408"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w w:val="100"/>
                <w:sz w:val="21"/>
              </w:rPr>
              <w:t>3</w:t>
            </w: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万达信息</w:t>
            </w:r>
          </w:p>
        </w:tc>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17.74</w:t>
            </w:r>
            <w:r>
              <w:rPr>
                <w:rFonts w:ascii="宋体" w:hAnsi="宋体" w:cs="宋体" w:eastAsia="宋体" w:hint="default"/>
                <w:sz w:val="21"/>
                <w:szCs w:val="21"/>
              </w:rPr>
              <w:t>亿元</w:t>
            </w:r>
          </w:p>
        </w:tc>
      </w:tr>
      <w:tr>
        <w:trPr>
          <w:trHeight w:val="408"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4</w:t>
            </w: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易华录</w:t>
            </w:r>
          </w:p>
        </w:tc>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16.13</w:t>
            </w:r>
            <w:r>
              <w:rPr>
                <w:rFonts w:ascii="宋体" w:hAnsi="宋体" w:cs="宋体" w:eastAsia="宋体" w:hint="default"/>
                <w:sz w:val="21"/>
                <w:szCs w:val="21"/>
              </w:rPr>
              <w:t>亿元</w:t>
            </w:r>
          </w:p>
        </w:tc>
      </w:tr>
    </w:tbl>
    <w:p>
      <w:pPr>
        <w:pStyle w:val="BodyText"/>
        <w:spacing w:line="239" w:lineRule="exact"/>
        <w:ind w:left="562" w:right="123"/>
        <w:jc w:val="left"/>
      </w:pPr>
      <w:r>
        <w:rPr/>
        <w:t>②市场地位和份额</w:t>
      </w:r>
    </w:p>
    <w:p>
      <w:pPr>
        <w:pStyle w:val="BodyText"/>
        <w:spacing w:line="237" w:lineRule="auto"/>
        <w:ind w:right="128" w:firstLine="424"/>
        <w:jc w:val="both"/>
      </w:pPr>
      <w:r>
        <w:rPr>
          <w:spacing w:val="-2"/>
        </w:rPr>
        <w:t>就各竞争对手市场地位及份额而言目前难以形成权威的评价体系，主要原因在于智慧城市是</w:t>
      </w:r>
      <w:r>
        <w:rPr>
          <w:w w:val="100"/>
        </w:rPr>
        <w:t> </w:t>
      </w:r>
      <w:r>
        <w:rPr>
          <w:spacing w:val="-6"/>
        </w:rPr>
        <w:t>一个复杂的系统工程，属于综合性较强业务，涉及设计咨询、城市基建、软件平台搭建和维护等，</w:t>
      </w:r>
      <w:r>
        <w:rPr>
          <w:spacing w:val="-53"/>
        </w:rPr>
        <w:t> </w:t>
      </w:r>
      <w:r>
        <w:rPr>
          <w:spacing w:val="-53"/>
        </w:rPr>
      </w:r>
      <w:r>
        <w:rPr/>
        <w:t>市场参与者所从事的细分领域与侧重也各不相同。</w:t>
      </w:r>
    </w:p>
    <w:p>
      <w:pPr>
        <w:spacing w:after="0" w:line="237" w:lineRule="auto"/>
        <w:jc w:val="both"/>
        <w:sectPr>
          <w:footerReference w:type="default" r:id="rId30"/>
          <w:pgSz w:w="11910" w:h="16840"/>
          <w:pgMar w:footer="1195" w:header="0" w:top="1120" w:bottom="1380" w:left="1660" w:right="1140"/>
          <w:pgNumType w:start="27"/>
        </w:sectPr>
      </w:pPr>
    </w:p>
    <w:p>
      <w:pPr>
        <w:spacing w:line="240" w:lineRule="auto" w:before="4"/>
        <w:rPr>
          <w:rFonts w:ascii="宋体" w:hAnsi="宋体" w:cs="宋体" w:eastAsia="宋体" w:hint="default"/>
          <w:sz w:val="25"/>
          <w:szCs w:val="25"/>
        </w:rPr>
      </w:pPr>
    </w:p>
    <w:p>
      <w:pPr>
        <w:pStyle w:val="BodyText"/>
        <w:spacing w:line="240" w:lineRule="auto" w:before="36"/>
        <w:ind w:left="562" w:right="327"/>
        <w:jc w:val="left"/>
      </w:pPr>
      <w:r>
        <w:rPr/>
        <w:t>③同行业比较竞争优势及劣势</w:t>
      </w:r>
      <w:r>
        <w:rPr>
          <w:w w:val="100"/>
        </w:rPr>
        <w:t> </w:t>
      </w:r>
      <w:r>
        <w:rPr/>
        <w:t>从营业收入的角度看，公司目前智慧城市相关业务板块主营业务收入为</w:t>
      </w:r>
      <w:r>
        <w:rPr>
          <w:spacing w:val="-50"/>
        </w:rPr>
        <w:t> </w:t>
      </w:r>
      <w:r>
        <w:rPr>
          <w:rFonts w:ascii="宋体" w:hAnsi="宋体" w:cs="宋体" w:eastAsia="宋体" w:hint="default"/>
        </w:rPr>
        <w:t>41,479,334.82</w:t>
      </w:r>
      <w:r>
        <w:rPr>
          <w:rFonts w:ascii="宋体" w:hAnsi="宋体" w:cs="宋体" w:eastAsia="宋体" w:hint="default"/>
          <w:spacing w:val="-52"/>
        </w:rPr>
        <w:t> </w:t>
      </w:r>
      <w:r>
        <w:rPr>
          <w:spacing w:val="-3"/>
        </w:rPr>
        <w:t>元，</w:t>
      </w:r>
      <w:r>
        <w:rPr/>
      </w:r>
    </w:p>
    <w:p>
      <w:pPr>
        <w:pStyle w:val="BodyText"/>
        <w:spacing w:line="237" w:lineRule="auto"/>
        <w:ind w:right="328"/>
        <w:jc w:val="both"/>
      </w:pPr>
      <w:r>
        <w:rPr>
          <w:spacing w:val="-5"/>
          <w:w w:val="100"/>
        </w:rPr>
        <w:t>与该等竞争对手仍存在较大差距。造成该等差距的主要原因在于</w:t>
      </w:r>
      <w:r>
        <w:rPr>
          <w:spacing w:val="-47"/>
          <w:w w:val="100"/>
        </w:rPr>
        <w:t> </w:t>
      </w:r>
      <w:r>
        <w:rPr>
          <w:rFonts w:ascii="宋体" w:hAnsi="宋体" w:cs="宋体" w:eastAsia="宋体" w:hint="default"/>
          <w:spacing w:val="-1"/>
          <w:w w:val="100"/>
        </w:rPr>
        <w:t>2015</w:t>
      </w:r>
      <w:r>
        <w:rPr>
          <w:rFonts w:ascii="宋体" w:hAnsi="宋体" w:cs="宋体" w:eastAsia="宋体" w:hint="default"/>
          <w:spacing w:val="-47"/>
          <w:w w:val="100"/>
        </w:rPr>
        <w:t> </w:t>
      </w:r>
      <w:r>
        <w:rPr>
          <w:spacing w:val="-2"/>
          <w:w w:val="100"/>
        </w:rPr>
        <w:t>年为公司主营业务转型的第</w:t>
      </w:r>
      <w:r>
        <w:rPr>
          <w:spacing w:val="-103"/>
          <w:w w:val="100"/>
        </w:rPr>
        <w:t> </w:t>
      </w:r>
      <w:r>
        <w:rPr>
          <w:spacing w:val="-103"/>
          <w:w w:val="100"/>
        </w:rPr>
      </w:r>
      <w:r>
        <w:rPr>
          <w:spacing w:val="-1"/>
        </w:rPr>
        <w:t>一年，公司智慧城市相关业务的规模较小，而业务规模及订单获取量受产品认可程度、核心技术</w:t>
      </w:r>
      <w:r>
        <w:rPr>
          <w:spacing w:val="-55"/>
        </w:rPr>
        <w:t> </w:t>
      </w:r>
      <w:r>
        <w:rPr>
          <w:spacing w:val="-55"/>
        </w:rPr>
      </w:r>
      <w:r>
        <w:rPr/>
        <w:t>及解决方案能力、品牌知名度、成功案例积累等方面因素的影响。</w:t>
      </w:r>
    </w:p>
    <w:p>
      <w:pPr>
        <w:pStyle w:val="Heading2"/>
        <w:spacing w:line="275" w:lineRule="exact"/>
        <w:ind w:left="562" w:right="327"/>
        <w:jc w:val="left"/>
        <w:rPr>
          <w:i w:val="0"/>
        </w:rPr>
      </w:pPr>
      <w:r>
        <w:rPr>
          <w:w w:val="95"/>
        </w:rPr>
        <w:t>（注：为便于比较，此处所指“智慧城市相关业务”与相关年报所载名称及归类有所不同）</w:t>
      </w:r>
      <w:r>
        <w:rPr>
          <w:i w:val="0"/>
        </w:rPr>
      </w:r>
    </w:p>
    <w:p>
      <w:pPr>
        <w:spacing w:line="240" w:lineRule="auto" w:before="7"/>
        <w:rPr>
          <w:rFonts w:ascii="宋体" w:hAnsi="宋体" w:cs="宋体" w:eastAsia="宋体" w:hint="default"/>
          <w:i/>
          <w:sz w:val="20"/>
          <w:szCs w:val="20"/>
        </w:rPr>
      </w:pPr>
    </w:p>
    <w:p>
      <w:pPr>
        <w:pStyle w:val="BodyText"/>
        <w:spacing w:line="273" w:lineRule="exact"/>
        <w:ind w:left="558" w:right="327"/>
        <w:jc w:val="left"/>
      </w:pPr>
      <w:r>
        <w:rPr>
          <w:rFonts w:ascii="宋体" w:hAnsi="宋体" w:cs="宋体" w:eastAsia="宋体" w:hint="default"/>
        </w:rPr>
        <w:t>2</w:t>
      </w:r>
      <w:r>
        <w:rPr/>
        <w:t>、行业发展趋势</w:t>
      </w:r>
    </w:p>
    <w:p>
      <w:pPr>
        <w:pStyle w:val="BodyText"/>
        <w:spacing w:line="237" w:lineRule="auto"/>
        <w:ind w:right="220" w:firstLine="419"/>
        <w:jc w:val="left"/>
      </w:pPr>
      <w:r>
        <w:rPr/>
        <w:t>目前我国有约</w:t>
      </w:r>
      <w:r>
        <w:rPr>
          <w:spacing w:val="-54"/>
        </w:rPr>
        <w:t> </w:t>
      </w:r>
      <w:r>
        <w:rPr>
          <w:rFonts w:ascii="宋体" w:hAnsi="宋体" w:cs="宋体" w:eastAsia="宋体" w:hint="default"/>
        </w:rPr>
        <w:t>500</w:t>
      </w:r>
      <w:r>
        <w:rPr>
          <w:rFonts w:ascii="宋体" w:hAnsi="宋体" w:cs="宋体" w:eastAsia="宋体" w:hint="default"/>
          <w:spacing w:val="-53"/>
        </w:rPr>
        <w:t> </w:t>
      </w:r>
      <w:r>
        <w:rPr/>
        <w:t>个城市进行智慧城市试点，“十三五”规划涉及对智慧城市建设的投资总</w:t>
      </w:r>
      <w:r>
        <w:rPr>
          <w:w w:val="100"/>
        </w:rPr>
        <w:t> 规模将逾</w:t>
      </w:r>
      <w:r>
        <w:rPr>
          <w:spacing w:val="-69"/>
          <w:w w:val="100"/>
        </w:rPr>
        <w:t> </w:t>
      </w:r>
      <w:r>
        <w:rPr>
          <w:rFonts w:ascii="宋体" w:hAnsi="宋体" w:cs="宋体" w:eastAsia="宋体" w:hint="default"/>
          <w:w w:val="100"/>
        </w:rPr>
        <w:t>5000</w:t>
      </w:r>
      <w:r>
        <w:rPr>
          <w:rFonts w:ascii="宋体" w:hAnsi="宋体" w:cs="宋体" w:eastAsia="宋体" w:hint="default"/>
          <w:spacing w:val="-66"/>
          <w:w w:val="100"/>
        </w:rPr>
        <w:t> </w:t>
      </w:r>
      <w:r>
        <w:rPr>
          <w:spacing w:val="-23"/>
          <w:w w:val="100"/>
        </w:rPr>
        <w:t>亿元，撬动</w:t>
      </w:r>
      <w:r>
        <w:rPr>
          <w:spacing w:val="-68"/>
          <w:w w:val="100"/>
        </w:rPr>
        <w:t> </w:t>
      </w:r>
      <w:r>
        <w:rPr>
          <w:rFonts w:ascii="宋体" w:hAnsi="宋体" w:cs="宋体" w:eastAsia="宋体" w:hint="default"/>
          <w:w w:val="100"/>
        </w:rPr>
        <w:t>4</w:t>
      </w:r>
      <w:r>
        <w:rPr>
          <w:rFonts w:ascii="宋体" w:hAnsi="宋体" w:cs="宋体" w:eastAsia="宋体" w:hint="default"/>
          <w:spacing w:val="-66"/>
          <w:w w:val="100"/>
        </w:rPr>
        <w:t> </w:t>
      </w:r>
      <w:r>
        <w:rPr>
          <w:spacing w:val="-8"/>
          <w:w w:val="100"/>
        </w:rPr>
        <w:t>万亿产业机会。</w:t>
      </w:r>
      <w:r>
        <w:rPr>
          <w:rFonts w:ascii="宋体" w:hAnsi="宋体" w:cs="宋体" w:eastAsia="宋体" w:hint="default"/>
          <w:spacing w:val="-8"/>
          <w:w w:val="100"/>
        </w:rPr>
        <w:t>2015-2020</w:t>
      </w:r>
      <w:r>
        <w:rPr>
          <w:rFonts w:ascii="宋体" w:hAnsi="宋体" w:cs="宋体" w:eastAsia="宋体" w:hint="default"/>
          <w:spacing w:val="-66"/>
          <w:w w:val="100"/>
        </w:rPr>
        <w:t> </w:t>
      </w:r>
      <w:r>
        <w:rPr>
          <w:spacing w:val="-2"/>
          <w:w w:val="100"/>
        </w:rPr>
        <w:t>年智慧城市市场复合增长率预计高达</w:t>
      </w:r>
      <w:r>
        <w:rPr>
          <w:spacing w:val="-66"/>
          <w:w w:val="100"/>
        </w:rPr>
        <w:t> </w:t>
      </w:r>
      <w:r>
        <w:rPr>
          <w:rFonts w:ascii="宋体" w:hAnsi="宋体" w:cs="宋体" w:eastAsia="宋体" w:hint="default"/>
          <w:spacing w:val="-1"/>
          <w:w w:val="100"/>
        </w:rPr>
        <w:t>23.2%</w:t>
      </w:r>
      <w:r>
        <w:rPr>
          <w:spacing w:val="-1"/>
          <w:w w:val="100"/>
        </w:rPr>
        <w:t>，</w:t>
      </w:r>
      <w:r>
        <w:rPr>
          <w:spacing w:val="-104"/>
          <w:w w:val="100"/>
        </w:rPr>
        <w:t> </w:t>
      </w:r>
      <w:r>
        <w:rPr/>
        <w:t>近年增长稳定在</w:t>
      </w:r>
      <w:r>
        <w:rPr>
          <w:spacing w:val="-55"/>
        </w:rPr>
        <w:t> </w:t>
      </w:r>
      <w:r>
        <w:rPr>
          <w:rFonts w:ascii="宋体" w:hAnsi="宋体" w:cs="宋体" w:eastAsia="宋体" w:hint="default"/>
        </w:rPr>
        <w:t>20%</w:t>
      </w:r>
      <w:r>
        <w:rPr/>
        <w:t>以上。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3030" w:right="327"/>
        <w:jc w:val="left"/>
        <w:rPr>
          <w:rFonts w:ascii="宋体" w:hAnsi="宋体" w:cs="宋体" w:eastAsia="宋体" w:hint="default"/>
        </w:rPr>
      </w:pPr>
      <w:r>
        <w:rPr>
          <w:rFonts w:ascii="宋体" w:hAnsi="宋体" w:cs="宋体" w:eastAsia="宋体" w:hint="default"/>
        </w:rPr>
        <w:t>中国智慧城市市场规模（</w:t>
      </w:r>
      <w:r>
        <w:rPr>
          <w:rFonts w:ascii="宋体" w:hAnsi="宋体" w:cs="宋体" w:eastAsia="宋体" w:hint="default"/>
        </w:rPr>
        <w:t>2015-2020</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3346" w:lineRule="exact"/>
        <w:ind w:left="55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5488696" cy="2124837"/>
            <wp:effectExtent l="0" t="0" r="0" b="0"/>
            <wp:docPr id="1" name="image12.png" descr=""/>
            <wp:cNvGraphicFramePr>
              <a:graphicFrameLocks noChangeAspect="1"/>
            </wp:cNvGraphicFramePr>
            <a:graphic>
              <a:graphicData uri="http://schemas.openxmlformats.org/drawingml/2006/picture">
                <pic:pic>
                  <pic:nvPicPr>
                    <pic:cNvPr id="2" name="image12.png"/>
                    <pic:cNvPicPr/>
                  </pic:nvPicPr>
                  <pic:blipFill>
                    <a:blip r:embed="rId31" cstate="print"/>
                    <a:stretch>
                      <a:fillRect/>
                    </a:stretch>
                  </pic:blipFill>
                  <pic:spPr>
                    <a:xfrm>
                      <a:off x="0" y="0"/>
                      <a:ext cx="5488696" cy="2124837"/>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0"/>
        <w:rPr>
          <w:rFonts w:ascii="宋体" w:hAnsi="宋体" w:cs="宋体" w:eastAsia="宋体" w:hint="default"/>
          <w:sz w:val="20"/>
          <w:szCs w:val="20"/>
        </w:rPr>
      </w:pPr>
    </w:p>
    <w:p>
      <w:pPr>
        <w:pStyle w:val="BodyText"/>
        <w:spacing w:line="240" w:lineRule="auto" w:before="144"/>
        <w:ind w:left="558" w:right="327"/>
        <w:jc w:val="left"/>
      </w:pPr>
      <w:r>
        <w:rPr/>
        <w:t>（</w:t>
      </w:r>
      <w:r>
        <w:rPr>
          <w:rFonts w:ascii="宋体" w:hAnsi="宋体" w:cs="宋体" w:eastAsia="宋体" w:hint="default"/>
        </w:rPr>
        <w:t>1</w:t>
      </w:r>
      <w:r>
        <w:rPr/>
        <w:t>）技术特征</w:t>
      </w:r>
      <w:r>
        <w:rPr>
          <w:w w:val="100"/>
        </w:rPr>
        <w:t> </w:t>
      </w:r>
      <w:r>
        <w:rPr>
          <w:spacing w:val="-2"/>
        </w:rPr>
        <w:t>总体来看，智慧城市建设是一项庞大、长久的系统工程，具有跨部门、跨行业、跨平台等特</w:t>
      </w:r>
    </w:p>
    <w:p>
      <w:pPr>
        <w:pStyle w:val="BodyText"/>
        <w:spacing w:line="274" w:lineRule="exact" w:before="22"/>
        <w:ind w:right="337"/>
        <w:jc w:val="both"/>
      </w:pPr>
      <w:r>
        <w:rPr>
          <w:spacing w:val="-2"/>
        </w:rPr>
        <w:t>点。项目具体实施建设没有特定模式可依，没有特定规律可循，没有现成的经验可以借鉴，同时</w:t>
      </w:r>
      <w:r>
        <w:rPr>
          <w:spacing w:val="-25"/>
        </w:rPr>
        <w:t> </w:t>
      </w:r>
      <w:r>
        <w:rPr>
          <w:spacing w:val="-25"/>
        </w:rPr>
      </w:r>
      <w:r>
        <w:rPr/>
        <w:t>又需要形成能适合系统长期有效发展的运营模式，以保证系统的稳定性和效果。</w:t>
      </w:r>
    </w:p>
    <w:p>
      <w:pPr>
        <w:pStyle w:val="BodyText"/>
        <w:spacing w:line="246" w:lineRule="exact"/>
        <w:ind w:left="558" w:right="327"/>
        <w:jc w:val="left"/>
      </w:pPr>
      <w:r>
        <w:rPr/>
        <w:t>①城市信息基础设施全面升级，通信网络技术发展促进智慧城市基础建设</w:t>
      </w:r>
    </w:p>
    <w:p>
      <w:pPr>
        <w:pStyle w:val="BodyText"/>
        <w:spacing w:line="237" w:lineRule="auto" w:before="2"/>
        <w:ind w:right="220" w:firstLine="419"/>
        <w:jc w:val="left"/>
      </w:pPr>
      <w:r>
        <w:rPr/>
        <w:t>伴随着“宽带中国”战略的落实，我国宽带网络覆盖范围不断扩大，传输和接入能力不断增</w:t>
      </w:r>
      <w:r>
        <w:rPr>
          <w:w w:val="100"/>
        </w:rPr>
        <w:t> </w:t>
      </w:r>
      <w:r>
        <w:rPr>
          <w:spacing w:val="-6"/>
        </w:rPr>
        <w:t>强，无线通信网络覆盖率显著提升，三网融合取得显著进展，为智慧城市建设奠定了坚实的基础，</w:t>
      </w:r>
      <w:r>
        <w:rPr>
          <w:spacing w:val="-54"/>
        </w:rPr>
        <w:t> </w:t>
      </w:r>
      <w:r>
        <w:rPr>
          <w:spacing w:val="-54"/>
        </w:rPr>
      </w:r>
      <w:r>
        <w:rPr/>
        <w:t>带动各产业发展，预备成为新经济模式下的标杆。运营商积极落实宽带提速降费、固定网络加速</w:t>
      </w:r>
      <w:r>
        <w:rPr>
          <w:w w:val="100"/>
        </w:rPr>
        <w:t> </w:t>
      </w:r>
      <w:r>
        <w:rPr>
          <w:spacing w:val="-12"/>
          <w:w w:val="100"/>
        </w:rPr>
        <w:t>向光纤宽带升级、</w:t>
      </w:r>
      <w:r>
        <w:rPr>
          <w:rFonts w:ascii="宋体" w:hAnsi="宋体" w:cs="宋体" w:eastAsia="宋体" w:hint="default"/>
          <w:spacing w:val="-12"/>
          <w:w w:val="100"/>
        </w:rPr>
        <w:t>4G</w:t>
      </w:r>
      <w:r>
        <w:rPr>
          <w:rFonts w:ascii="宋体" w:hAnsi="宋体" w:cs="宋体" w:eastAsia="宋体" w:hint="default"/>
          <w:spacing w:val="-43"/>
          <w:w w:val="100"/>
        </w:rPr>
        <w:t> </w:t>
      </w:r>
      <w:r>
        <w:rPr>
          <w:spacing w:val="-8"/>
          <w:w w:val="100"/>
        </w:rPr>
        <w:t>移动通信网络全面推进、</w:t>
      </w:r>
      <w:r>
        <w:rPr>
          <w:rFonts w:ascii="宋体" w:hAnsi="宋体" w:cs="宋体" w:eastAsia="宋体" w:hint="default"/>
          <w:spacing w:val="-8"/>
          <w:w w:val="100"/>
        </w:rPr>
        <w:t>WiFi</w:t>
      </w:r>
      <w:r>
        <w:rPr>
          <w:rFonts w:ascii="宋体" w:hAnsi="宋体" w:cs="宋体" w:eastAsia="宋体" w:hint="default"/>
          <w:spacing w:val="-46"/>
          <w:w w:val="100"/>
        </w:rPr>
        <w:t> </w:t>
      </w:r>
      <w:r>
        <w:rPr>
          <w:spacing w:val="-2"/>
          <w:w w:val="100"/>
        </w:rPr>
        <w:t>成为智慧城市重点基础项目数据中心向规模化、</w:t>
      </w:r>
      <w:r>
        <w:rPr>
          <w:spacing w:val="-102"/>
          <w:w w:val="100"/>
        </w:rPr>
        <w:t> </w:t>
      </w:r>
      <w:r>
        <w:rPr>
          <w:spacing w:val="-102"/>
          <w:w w:val="100"/>
        </w:rPr>
      </w:r>
      <w:r>
        <w:rPr/>
        <w:t>集中化演进，都将在基础信息通信层面为智慧城市服务的更稳、更快、更高效提供稳定基础。当</w:t>
      </w:r>
      <w:r>
        <w:rPr>
          <w:w w:val="100"/>
        </w:rPr>
        <w:t> </w:t>
      </w:r>
      <w:r>
        <w:rPr>
          <w:spacing w:val="-3"/>
        </w:rPr>
        <w:t>手机、电脑、</w:t>
      </w:r>
      <w:r>
        <w:rPr>
          <w:rFonts w:ascii="宋体" w:hAnsi="宋体" w:cs="宋体" w:eastAsia="宋体" w:hint="default"/>
          <w:spacing w:val="-3"/>
        </w:rPr>
        <w:t>iPhone</w:t>
      </w:r>
      <w:r>
        <w:rPr>
          <w:spacing w:val="-3"/>
        </w:rPr>
        <w:t>、</w:t>
      </w:r>
      <w:r>
        <w:rPr>
          <w:rFonts w:ascii="宋体" w:hAnsi="宋体" w:cs="宋体" w:eastAsia="宋体" w:hint="default"/>
          <w:spacing w:val="-3"/>
        </w:rPr>
        <w:t>iPad</w:t>
      </w:r>
      <w:r>
        <w:rPr>
          <w:rFonts w:ascii="宋体" w:hAnsi="宋体" w:cs="宋体" w:eastAsia="宋体" w:hint="default"/>
          <w:spacing w:val="-53"/>
        </w:rPr>
        <w:t> </w:t>
      </w:r>
      <w:r>
        <w:rPr/>
        <w:t>因为网络而无时无刻不在分享信息，通信网络的无形力量将成倍影响</w:t>
      </w:r>
      <w:r>
        <w:rPr>
          <w:w w:val="100"/>
        </w:rPr>
        <w:t> </w:t>
      </w:r>
      <w:r>
        <w:rPr/>
        <w:t>人们的生活方式，当交通、医疗、教育、家居、公共事业、工业监测等所有生活、农业、工业、</w:t>
      </w:r>
      <w:r>
        <w:rPr>
          <w:w w:val="100"/>
        </w:rPr>
        <w:t> </w:t>
      </w:r>
      <w:r>
        <w:rPr/>
        <w:t>军事等领域都被通信网络技术所涵盖，“智慧城市”的构想将逐步成为现实应用。</w:t>
      </w:r>
    </w:p>
    <w:p>
      <w:pPr>
        <w:pStyle w:val="BodyText"/>
        <w:spacing w:line="272" w:lineRule="exact" w:before="26"/>
        <w:ind w:left="558" w:right="327"/>
        <w:jc w:val="left"/>
      </w:pPr>
      <w:r>
        <w:rPr/>
        <w:t>②大数据技术助推智慧城市的建设</w:t>
      </w:r>
      <w:r>
        <w:rPr>
          <w:w w:val="100"/>
        </w:rPr>
        <w:t> </w:t>
      </w:r>
      <w:r>
        <w:rPr>
          <w:spacing w:val="-7"/>
        </w:rPr>
        <w:t>随着互联网、物联网、云计算等新一代信息技术的蓬勃发展，大数据已从概念走向实际应用。</w:t>
      </w:r>
    </w:p>
    <w:p>
      <w:pPr>
        <w:pStyle w:val="BodyText"/>
        <w:spacing w:line="272" w:lineRule="exact" w:before="1"/>
        <w:ind w:right="327"/>
        <w:jc w:val="both"/>
      </w:pPr>
      <w:r>
        <w:rPr>
          <w:spacing w:val="-3"/>
        </w:rPr>
        <w:t>尤其是智慧城市建设带来数据量的爆发式增长，使大数据的应用价值日益凸显。 </w:t>
      </w:r>
      <w:r>
        <w:rPr/>
        <w:t>智慧城市是城市</w:t>
      </w:r>
      <w:r>
        <w:rPr>
          <w:spacing w:val="-97"/>
        </w:rPr>
        <w:t> </w:t>
      </w:r>
      <w:r>
        <w:rPr>
          <w:spacing w:val="-97"/>
        </w:rPr>
      </w:r>
      <w:r>
        <w:rPr>
          <w:spacing w:val="-2"/>
        </w:rPr>
        <w:t>信息化向智慧化发展的必经阶段，由城市数字化到城市智慧化，关键是要实现对数字信息的智慧</w:t>
      </w:r>
    </w:p>
    <w:p>
      <w:pPr>
        <w:pStyle w:val="BodyText"/>
        <w:spacing w:line="249" w:lineRule="exact"/>
        <w:ind w:right="0"/>
        <w:jc w:val="both"/>
      </w:pPr>
      <w:r>
        <w:rPr/>
        <w:t>处理，其核心是引入大数据处理技术，不仅要对海量存储数据进行管理，还要对这些数据进行智</w:t>
      </w:r>
    </w:p>
    <w:p>
      <w:pPr>
        <w:spacing w:after="0" w:line="249" w:lineRule="exact"/>
        <w:jc w:val="both"/>
        <w:sectPr>
          <w:pgSz w:w="11910" w:h="16840"/>
          <w:pgMar w:header="0" w:footer="1195" w:top="1120" w:bottom="1380" w:left="1660" w:right="940"/>
        </w:sectPr>
      </w:pPr>
    </w:p>
    <w:p>
      <w:pPr>
        <w:spacing w:line="240" w:lineRule="auto" w:before="4"/>
        <w:rPr>
          <w:rFonts w:ascii="宋体" w:hAnsi="宋体" w:cs="宋体" w:eastAsia="宋体" w:hint="default"/>
          <w:sz w:val="25"/>
          <w:szCs w:val="25"/>
        </w:rPr>
      </w:pPr>
    </w:p>
    <w:p>
      <w:pPr>
        <w:pStyle w:val="BodyText"/>
        <w:spacing w:line="240" w:lineRule="auto" w:before="36"/>
        <w:ind w:right="217"/>
        <w:jc w:val="both"/>
      </w:pPr>
      <w:r>
        <w:rPr>
          <w:spacing w:val="-2"/>
        </w:rPr>
        <w:t>能分析和处理。大数据遍布智慧城市的方方面面，从政府决策与服务到人们的衣食住行和商业往</w:t>
      </w:r>
      <w:r>
        <w:rPr>
          <w:spacing w:val="-25"/>
        </w:rPr>
        <w:t> </w:t>
      </w:r>
      <w:r>
        <w:rPr>
          <w:spacing w:val="-25"/>
        </w:rPr>
      </w:r>
      <w:r>
        <w:rPr>
          <w:spacing w:val="-2"/>
        </w:rPr>
        <w:t>来，从城市的产业布局和土地规划到城市的运营和管理，都将在大数据支撑下走向“智慧化”。</w:t>
      </w:r>
    </w:p>
    <w:p>
      <w:pPr>
        <w:pStyle w:val="BodyText"/>
        <w:spacing w:line="274" w:lineRule="exact" w:before="22"/>
        <w:ind w:left="558" w:right="97"/>
        <w:jc w:val="left"/>
      </w:pPr>
      <w:r>
        <w:rPr/>
        <w:t>（</w:t>
      </w:r>
      <w:r>
        <w:rPr>
          <w:rFonts w:ascii="宋体" w:hAnsi="宋体" w:cs="宋体" w:eastAsia="宋体" w:hint="default"/>
        </w:rPr>
        <w:t>2</w:t>
      </w:r>
      <w:r>
        <w:rPr/>
        <w:t>）经营模式特点</w:t>
      </w:r>
      <w:r>
        <w:rPr>
          <w:w w:val="100"/>
        </w:rPr>
        <w:t> </w:t>
      </w:r>
      <w:r>
        <w:rPr>
          <w:spacing w:val="-7"/>
          <w:w w:val="100"/>
        </w:rPr>
        <w:t>智慧城市建设的商业模式，应该是多种商业模式并存，并呈现出以其中一种或两种模式为主、</w:t>
      </w:r>
    </w:p>
    <w:p>
      <w:pPr>
        <w:pStyle w:val="BodyText"/>
        <w:spacing w:line="245" w:lineRule="exact"/>
        <w:ind w:right="0"/>
        <w:jc w:val="both"/>
      </w:pPr>
      <w:r>
        <w:rPr/>
        <w:t>其他几种模式为辅的多元化运作形式，其中，项目类型是决定商业模式的主要因素。目前公益型</w:t>
      </w:r>
    </w:p>
    <w:p>
      <w:pPr>
        <w:pStyle w:val="BodyText"/>
        <w:spacing w:line="237" w:lineRule="auto" w:before="2"/>
        <w:ind w:right="217"/>
        <w:jc w:val="both"/>
      </w:pPr>
      <w:r>
        <w:rPr>
          <w:spacing w:val="-2"/>
        </w:rPr>
        <w:t>的项目、涉密型的项目、政务类的项目需要政府主导和投资，倾向于由政府主导的模式；投资规</w:t>
      </w:r>
      <w:r>
        <w:rPr>
          <w:spacing w:val="-25"/>
        </w:rPr>
        <w:t> </w:t>
      </w:r>
      <w:r>
        <w:rPr>
          <w:spacing w:val="-25"/>
        </w:rPr>
      </w:r>
      <w:r>
        <w:rPr>
          <w:spacing w:val="-2"/>
        </w:rPr>
        <w:t>模大、专业跨度大、共享性要求高、专业涉及类别多的项目适合采用联合建设的模式，不适合政</w:t>
      </w:r>
      <w:r>
        <w:rPr>
          <w:spacing w:val="-25"/>
        </w:rPr>
        <w:t> </w:t>
      </w:r>
      <w:r>
        <w:rPr>
          <w:spacing w:val="-25"/>
        </w:rPr>
      </w:r>
      <w:r>
        <w:rPr/>
        <w:t>府投资建设运营和运营商第三方独立建设运营。</w:t>
      </w:r>
    </w:p>
    <w:p>
      <w:pPr>
        <w:pStyle w:val="BodyText"/>
        <w:spacing w:line="237" w:lineRule="auto"/>
        <w:ind w:right="216" w:firstLine="419"/>
        <w:jc w:val="left"/>
      </w:pPr>
      <w:r>
        <w:rPr/>
        <w:t>目前由于政府资金紧张和建设资金需求的矛盾仍旧突出，因此国内智慧城市建设以</w:t>
      </w:r>
      <w:r>
        <w:rPr>
          <w:spacing w:val="-53"/>
        </w:rPr>
        <w:t> </w:t>
      </w:r>
      <w:r>
        <w:rPr>
          <w:rFonts w:ascii="宋体" w:hAnsi="宋体" w:cs="宋体" w:eastAsia="宋体" w:hint="default"/>
        </w:rPr>
        <w:t>BOT/BT</w:t>
      </w:r>
      <w:r>
        <w:rPr>
          <w:rFonts w:ascii="宋体" w:hAnsi="宋体" w:cs="宋体" w:eastAsia="宋体" w:hint="default"/>
          <w:w w:val="100"/>
        </w:rPr>
        <w:t> </w:t>
      </w:r>
      <w:r>
        <w:rPr>
          <w:spacing w:val="-2"/>
        </w:rPr>
        <w:t>模式为主，需要建设方提前垫资。且越来越多的智慧城市项目建设模式逐步从政府主导单一模式</w:t>
      </w:r>
      <w:r>
        <w:rPr>
          <w:spacing w:val="-25"/>
        </w:rPr>
        <w:t> </w:t>
      </w:r>
      <w:r>
        <w:rPr>
          <w:spacing w:val="-25"/>
        </w:rPr>
      </w:r>
      <w:r>
        <w:rPr/>
        <w:t>向政府企业共同参与、企业联合建设运营的</w:t>
      </w:r>
      <w:r>
        <w:rPr>
          <w:spacing w:val="-54"/>
        </w:rPr>
        <w:t> </w:t>
      </w:r>
      <w:r>
        <w:rPr>
          <w:rFonts w:ascii="宋体" w:hAnsi="宋体" w:cs="宋体" w:eastAsia="宋体" w:hint="default"/>
        </w:rPr>
        <w:t>PPP</w:t>
      </w:r>
      <w:r>
        <w:rPr>
          <w:rFonts w:ascii="宋体" w:hAnsi="宋体" w:cs="宋体" w:eastAsia="宋体" w:hint="default"/>
          <w:spacing w:val="-54"/>
        </w:rPr>
        <w:t> </w:t>
      </w:r>
      <w:r>
        <w:rPr/>
        <w:t>模式等多元化模式转变。无论是直接</w:t>
      </w:r>
      <w:r>
        <w:rPr>
          <w:spacing w:val="-53"/>
        </w:rPr>
        <w:t> </w:t>
      </w:r>
      <w:r>
        <w:rPr>
          <w:rFonts w:ascii="宋体" w:hAnsi="宋体" w:cs="宋体" w:eastAsia="宋体" w:hint="default"/>
        </w:rPr>
        <w:t>BT</w:t>
      </w:r>
      <w:r>
        <w:rPr>
          <w:rFonts w:ascii="宋体" w:hAnsi="宋体" w:cs="宋体" w:eastAsia="宋体" w:hint="default"/>
          <w:spacing w:val="-2"/>
        </w:rPr>
        <w:t> </w:t>
      </w:r>
      <w:r>
        <w:rPr/>
        <w:t>模式、</w:t>
      </w:r>
      <w:r>
        <w:rPr>
          <w:w w:val="100"/>
        </w:rPr>
        <w:t> </w:t>
      </w:r>
      <w:r>
        <w:rPr>
          <w:rFonts w:ascii="宋体" w:hAnsi="宋体" w:cs="宋体" w:eastAsia="宋体" w:hint="default"/>
        </w:rPr>
        <w:t>BOT</w:t>
      </w:r>
      <w:r>
        <w:rPr>
          <w:rFonts w:ascii="宋体" w:hAnsi="宋体" w:cs="宋体" w:eastAsia="宋体" w:hint="default"/>
          <w:spacing w:val="-3"/>
        </w:rPr>
        <w:t> </w:t>
      </w:r>
      <w:r>
        <w:rPr/>
        <w:t>模式还是</w:t>
      </w:r>
      <w:r>
        <w:rPr>
          <w:spacing w:val="-55"/>
        </w:rPr>
        <w:t> </w:t>
      </w:r>
      <w:r>
        <w:rPr>
          <w:rFonts w:ascii="宋体" w:hAnsi="宋体" w:cs="宋体" w:eastAsia="宋体" w:hint="default"/>
        </w:rPr>
        <w:t>PPP</w:t>
      </w:r>
      <w:r>
        <w:rPr>
          <w:rFonts w:ascii="宋体" w:hAnsi="宋体" w:cs="宋体" w:eastAsia="宋体" w:hint="default"/>
          <w:spacing w:val="-55"/>
        </w:rPr>
        <w:t> </w:t>
      </w:r>
      <w:r>
        <w:rPr/>
        <w:t>模式，都在一定程度上缓解了智慧建设需求旺盛和政府资金相对缺乏的矛盾问</w:t>
      </w:r>
      <w:r>
        <w:rPr>
          <w:w w:val="100"/>
        </w:rPr>
        <w:t> </w:t>
      </w:r>
      <w:r>
        <w:rPr>
          <w:spacing w:val="-2"/>
        </w:rPr>
        <w:t>题。然而，这些模式的广泛应用却提高了对企业的资金、细分行业经营能力的要求，这使得资金</w:t>
      </w:r>
      <w:r>
        <w:rPr>
          <w:spacing w:val="-25"/>
        </w:rPr>
        <w:t> </w:t>
      </w:r>
      <w:r>
        <w:rPr>
          <w:spacing w:val="-25"/>
        </w:rPr>
      </w:r>
      <w:r>
        <w:rPr>
          <w:spacing w:val="-2"/>
        </w:rPr>
        <w:t>实力突出、有国资背景、有细分行业经营能力及资源的企业获得大项目机会更多，承接大项目的</w:t>
      </w:r>
      <w:r>
        <w:rPr>
          <w:spacing w:val="-25"/>
        </w:rPr>
        <w:t> </w:t>
      </w:r>
      <w:r>
        <w:rPr>
          <w:spacing w:val="-25"/>
        </w:rPr>
      </w:r>
      <w:r>
        <w:rPr/>
        <w:t>能力更强，最终在市场竞争胜出的概率也越高。</w:t>
      </w:r>
    </w:p>
    <w:p>
      <w:pPr>
        <w:pStyle w:val="BodyText"/>
        <w:spacing w:line="272" w:lineRule="exact" w:before="26"/>
        <w:ind w:left="558" w:right="97"/>
        <w:jc w:val="left"/>
      </w:pPr>
      <w:r>
        <w:rPr/>
        <w:t>（</w:t>
      </w:r>
      <w:r>
        <w:rPr>
          <w:rFonts w:ascii="宋体" w:hAnsi="宋体" w:cs="宋体" w:eastAsia="宋体" w:hint="default"/>
        </w:rPr>
        <w:t>3</w:t>
      </w:r>
      <w:r>
        <w:rPr/>
        <w:t>）行业的周期性、区域性特征</w:t>
      </w:r>
      <w:r>
        <w:rPr>
          <w:w w:val="100"/>
        </w:rPr>
        <w:t> </w:t>
      </w:r>
      <w:r>
        <w:rPr>
          <w:spacing w:val="-2"/>
        </w:rPr>
        <w:t>近年来，我国东、中、西部的各级城市掀起了智慧城市建设高潮，纷纷提出智慧城市发展规</w:t>
      </w:r>
    </w:p>
    <w:p>
      <w:pPr>
        <w:pStyle w:val="BodyText"/>
        <w:spacing w:line="272" w:lineRule="exact" w:before="1"/>
        <w:ind w:right="217"/>
        <w:jc w:val="both"/>
      </w:pPr>
      <w:r>
        <w:rPr>
          <w:spacing w:val="-2"/>
        </w:rPr>
        <w:t>划，涉及社会管理、应用服务、基础设施、智慧产业、安全保障、建设模式、标准体系等内容。</w:t>
      </w:r>
      <w:r>
        <w:rPr>
          <w:spacing w:val="-25"/>
        </w:rPr>
        <w:t> </w:t>
      </w:r>
      <w:r>
        <w:rPr>
          <w:spacing w:val="-25"/>
        </w:rPr>
      </w:r>
      <w:r>
        <w:rPr>
          <w:spacing w:val="-2"/>
        </w:rPr>
        <w:t>而我国的智慧城市建设多以政府为主导，企业科研单位参与建设，政府作为主要发起人通过发展</w:t>
      </w:r>
      <w:r>
        <w:rPr>
          <w:spacing w:val="-25"/>
        </w:rPr>
        <w:t> </w:t>
      </w:r>
      <w:r>
        <w:rPr>
          <w:spacing w:val="-25"/>
        </w:rPr>
      </w:r>
      <w:r>
        <w:rPr>
          <w:spacing w:val="-2"/>
        </w:rPr>
        <w:t>规划、法规政策与法律环境引导智慧城市的建设。依据经济发展水平、人口数量、相关产业基础</w:t>
      </w:r>
    </w:p>
    <w:p>
      <w:pPr>
        <w:pStyle w:val="BodyText"/>
        <w:spacing w:line="272" w:lineRule="exact" w:before="1"/>
        <w:ind w:right="221"/>
        <w:jc w:val="both"/>
      </w:pPr>
      <w:r>
        <w:rPr/>
        <w:t>等因素将我国的城市分成三级，其中一级城市共有</w:t>
      </w:r>
      <w:r>
        <w:rPr>
          <w:spacing w:val="-57"/>
        </w:rPr>
        <w:t> </w:t>
      </w:r>
      <w:r>
        <w:rPr>
          <w:rFonts w:ascii="宋体" w:hAnsi="宋体" w:cs="宋体" w:eastAsia="宋体" w:hint="default"/>
        </w:rPr>
        <w:t>3</w:t>
      </w:r>
      <w:r>
        <w:rPr>
          <w:rFonts w:ascii="宋体" w:hAnsi="宋体" w:cs="宋体" w:eastAsia="宋体" w:hint="default"/>
          <w:spacing w:val="-55"/>
        </w:rPr>
        <w:t> </w:t>
      </w:r>
      <w:r>
        <w:rPr/>
        <w:t>个，分别是北京、上海、广州，这三个城市</w:t>
      </w:r>
      <w:r>
        <w:rPr>
          <w:w w:val="100"/>
        </w:rPr>
        <w:t> </w:t>
      </w:r>
      <w:r>
        <w:rPr/>
        <w:t>都在开展智慧城市的建设，智慧城市的覆盖率为</w:t>
      </w:r>
      <w:r>
        <w:rPr>
          <w:spacing w:val="-56"/>
        </w:rPr>
        <w:t> </w:t>
      </w:r>
      <w:r>
        <w:rPr>
          <w:rFonts w:ascii="宋体" w:hAnsi="宋体" w:cs="宋体" w:eastAsia="宋体" w:hint="default"/>
        </w:rPr>
        <w:t>100%</w:t>
      </w:r>
      <w:r>
        <w:rPr/>
        <w:t>；二级城市一共有</w:t>
      </w:r>
      <w:r>
        <w:rPr>
          <w:spacing w:val="-56"/>
        </w:rPr>
        <w:t> </w:t>
      </w:r>
      <w:r>
        <w:rPr>
          <w:rFonts w:ascii="宋体" w:hAnsi="宋体" w:cs="宋体" w:eastAsia="宋体" w:hint="default"/>
        </w:rPr>
        <w:t>31</w:t>
      </w:r>
      <w:r>
        <w:rPr>
          <w:rFonts w:ascii="宋体" w:hAnsi="宋体" w:cs="宋体" w:eastAsia="宋体" w:hint="default"/>
          <w:spacing w:val="-58"/>
        </w:rPr>
        <w:t> </w:t>
      </w:r>
      <w:r>
        <w:rPr/>
        <w:t>个，其中开展智慧城</w:t>
      </w:r>
    </w:p>
    <w:p>
      <w:pPr>
        <w:pStyle w:val="BodyText"/>
        <w:spacing w:line="272" w:lineRule="exact" w:before="1"/>
        <w:ind w:right="275"/>
        <w:jc w:val="both"/>
      </w:pPr>
      <w:r>
        <w:rPr/>
        <w:t>市建设的城市数量为</w:t>
      </w:r>
      <w:r>
        <w:rPr>
          <w:spacing w:val="-55"/>
        </w:rPr>
        <w:t> </w:t>
      </w:r>
      <w:r>
        <w:rPr>
          <w:rFonts w:ascii="宋体" w:hAnsi="宋体" w:cs="宋体" w:eastAsia="宋体" w:hint="default"/>
        </w:rPr>
        <w:t>23</w:t>
      </w:r>
      <w:r>
        <w:rPr>
          <w:rFonts w:ascii="宋体" w:hAnsi="宋体" w:cs="宋体" w:eastAsia="宋体" w:hint="default"/>
          <w:spacing w:val="-56"/>
        </w:rPr>
        <w:t> </w:t>
      </w:r>
      <w:r>
        <w:rPr/>
        <w:t>个，智慧城市覆盖率为</w:t>
      </w:r>
      <w:r>
        <w:rPr>
          <w:spacing w:val="-55"/>
        </w:rPr>
        <w:t> </w:t>
      </w:r>
      <w:r>
        <w:rPr>
          <w:rFonts w:ascii="宋体" w:hAnsi="宋体" w:cs="宋体" w:eastAsia="宋体" w:hint="default"/>
        </w:rPr>
        <w:t>74.2%</w:t>
      </w:r>
      <w:r>
        <w:rPr/>
        <w:t>。三级城市一共有</w:t>
      </w:r>
      <w:r>
        <w:rPr>
          <w:spacing w:val="-57"/>
        </w:rPr>
        <w:t> </w:t>
      </w:r>
      <w:r>
        <w:rPr>
          <w:rFonts w:ascii="宋体" w:hAnsi="宋体" w:cs="宋体" w:eastAsia="宋体" w:hint="default"/>
        </w:rPr>
        <w:t>67</w:t>
      </w:r>
      <w:r>
        <w:rPr>
          <w:rFonts w:ascii="宋体" w:hAnsi="宋体" w:cs="宋体" w:eastAsia="宋体" w:hint="default"/>
          <w:spacing w:val="-55"/>
        </w:rPr>
        <w:t> </w:t>
      </w:r>
      <w:r>
        <w:rPr/>
        <w:t>个，其中开展智慧城</w:t>
      </w:r>
      <w:r>
        <w:rPr>
          <w:w w:val="100"/>
        </w:rPr>
        <w:t> </w:t>
      </w:r>
      <w:r>
        <w:rPr/>
        <w:t>市建设的数量为</w:t>
      </w:r>
      <w:r>
        <w:rPr>
          <w:spacing w:val="-54"/>
        </w:rPr>
        <w:t> </w:t>
      </w:r>
      <w:r>
        <w:rPr>
          <w:rFonts w:ascii="宋体" w:hAnsi="宋体" w:cs="宋体" w:eastAsia="宋体" w:hint="default"/>
        </w:rPr>
        <w:t>23</w:t>
      </w:r>
      <w:r>
        <w:rPr>
          <w:rFonts w:ascii="宋体" w:hAnsi="宋体" w:cs="宋体" w:eastAsia="宋体" w:hint="default"/>
          <w:spacing w:val="-56"/>
        </w:rPr>
        <w:t> </w:t>
      </w:r>
      <w:r>
        <w:rPr/>
        <w:t>个，智慧城市覆盖率为</w:t>
      </w:r>
      <w:r>
        <w:rPr>
          <w:spacing w:val="-53"/>
        </w:rPr>
        <w:t> </w:t>
      </w:r>
      <w:r>
        <w:rPr>
          <w:rFonts w:ascii="宋体" w:hAnsi="宋体" w:cs="宋体" w:eastAsia="宋体" w:hint="default"/>
        </w:rPr>
        <w:t>34.3%</w:t>
      </w:r>
      <w:r>
        <w:rPr/>
        <w:t>。</w:t>
      </w:r>
    </w:p>
    <w:p>
      <w:pPr>
        <w:spacing w:line="240" w:lineRule="auto" w:before="5"/>
        <w:rPr>
          <w:rFonts w:ascii="宋体" w:hAnsi="宋体" w:cs="宋体" w:eastAsia="宋体" w:hint="default"/>
          <w:sz w:val="23"/>
          <w:szCs w:val="23"/>
        </w:rPr>
      </w:pPr>
    </w:p>
    <w:p>
      <w:pPr>
        <w:spacing w:line="266" w:lineRule="auto" w:before="0"/>
        <w:ind w:left="558" w:right="97"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公司发展战略</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公司根据智慧城市业务的经营现状和发展方向，并结合行业特点和经营情况，拟实施以上市</w:t>
      </w:r>
    </w:p>
    <w:p>
      <w:pPr>
        <w:pStyle w:val="BodyText"/>
        <w:spacing w:line="247" w:lineRule="exact"/>
        <w:ind w:right="0"/>
        <w:jc w:val="both"/>
      </w:pPr>
      <w:r>
        <w:rPr/>
        <w:t>公司为平台，建立核心技术能力，并以已签署的智慧城市项目为切入，逐步在细分行业落地并形</w:t>
      </w:r>
    </w:p>
    <w:p>
      <w:pPr>
        <w:pStyle w:val="BodyText"/>
        <w:spacing w:line="272" w:lineRule="exact" w:before="27"/>
        <w:ind w:left="558" w:right="369" w:hanging="420"/>
        <w:jc w:val="left"/>
        <w:rPr>
          <w:rFonts w:ascii="宋体" w:hAnsi="宋体" w:cs="宋体" w:eastAsia="宋体" w:hint="default"/>
        </w:rPr>
      </w:pPr>
      <w:r>
        <w:rPr/>
        <w:t>成壁垒，大力拓展智慧城市业务，成为智慧城市领域一体化服务商的战略。</w:t>
      </w:r>
      <w:r>
        <w:rPr>
          <w:w w:val="100"/>
        </w:rPr>
        <w:t> </w:t>
      </w:r>
      <w:r>
        <w:rPr>
          <w:spacing w:val="-2"/>
        </w:rPr>
        <w:t>具体来说，就是充分利用公司实际控制人顾国平先生及公司研发运营中心的核心团队在</w:t>
      </w:r>
      <w:r>
        <w:rPr>
          <w:spacing w:val="20"/>
        </w:rPr>
        <w:t> </w:t>
      </w:r>
      <w:r>
        <w:rPr>
          <w:rFonts w:ascii="宋体" w:hAnsi="宋体" w:cs="宋体" w:eastAsia="宋体" w:hint="default"/>
        </w:rPr>
        <w:t>IT</w:t>
      </w:r>
    </w:p>
    <w:p>
      <w:pPr>
        <w:pStyle w:val="BodyText"/>
        <w:spacing w:line="272" w:lineRule="exact" w:before="1"/>
        <w:ind w:right="217"/>
        <w:jc w:val="both"/>
      </w:pPr>
      <w:r>
        <w:rPr>
          <w:spacing w:val="-2"/>
        </w:rPr>
        <w:t>行业的专业经验及专业优势，积极推进已签署的智慧城市框架协议的落地实施，投入研发与运营</w:t>
      </w:r>
      <w:r>
        <w:rPr>
          <w:spacing w:val="-25"/>
        </w:rPr>
        <w:t> </w:t>
      </w:r>
      <w:r>
        <w:rPr>
          <w:spacing w:val="-25"/>
        </w:rPr>
      </w:r>
      <w:r>
        <w:rPr>
          <w:spacing w:val="-2"/>
        </w:rPr>
        <w:t>中心项目。随着已签署智慧城市项目相关业务的开展，重点落地顶层咨询设计、城市级平台、智</w:t>
      </w:r>
    </w:p>
    <w:p>
      <w:pPr>
        <w:pStyle w:val="BodyText"/>
        <w:spacing w:line="272" w:lineRule="exact" w:before="1"/>
        <w:ind w:right="217"/>
        <w:jc w:val="both"/>
      </w:pPr>
      <w:r>
        <w:rPr>
          <w:spacing w:val="-2"/>
        </w:rPr>
        <w:t>慧政务、智慧教育、智慧医疗、智慧园区等业务，在做大做深做强地域性市场的同时，向其他城</w:t>
      </w:r>
      <w:r>
        <w:rPr>
          <w:spacing w:val="-25"/>
        </w:rPr>
        <w:t> </w:t>
      </w:r>
      <w:r>
        <w:rPr>
          <w:spacing w:val="-25"/>
        </w:rPr>
      </w:r>
      <w:r>
        <w:rPr/>
        <w:t>市扩展，优化行业应用解决方案，拓展公司业务区域以及行业布局。</w:t>
      </w:r>
    </w:p>
    <w:p>
      <w:pPr>
        <w:spacing w:line="240" w:lineRule="auto" w:before="5"/>
        <w:rPr>
          <w:rFonts w:ascii="宋体" w:hAnsi="宋体" w:cs="宋体" w:eastAsia="宋体" w:hint="default"/>
          <w:sz w:val="23"/>
          <w:szCs w:val="23"/>
        </w:rPr>
      </w:pPr>
    </w:p>
    <w:p>
      <w:pPr>
        <w:pStyle w:val="Heading3"/>
        <w:spacing w:line="240" w:lineRule="auto"/>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pStyle w:val="BodyText"/>
        <w:spacing w:line="237" w:lineRule="auto" w:before="34"/>
        <w:ind w:right="97" w:firstLine="419"/>
        <w:jc w:val="left"/>
      </w:pPr>
      <w:r>
        <w:rPr>
          <w:rFonts w:ascii="宋体" w:hAnsi="宋体" w:cs="宋体" w:eastAsia="宋体" w:hint="default"/>
        </w:rPr>
        <w:t>2016</w:t>
      </w:r>
      <w:r>
        <w:rPr>
          <w:rFonts w:ascii="宋体" w:hAnsi="宋体" w:cs="宋体" w:eastAsia="宋体" w:hint="default"/>
          <w:spacing w:val="-10"/>
        </w:rPr>
        <w:t> </w:t>
      </w:r>
      <w:r>
        <w:rPr/>
        <w:t>年公司将以不断提升公司经营质量和效益为重点，紧紧围绕智慧城市市场的发展变化、</w:t>
      </w:r>
      <w:r>
        <w:rPr>
          <w:w w:val="100"/>
        </w:rPr>
        <w:t> </w:t>
      </w:r>
      <w:r>
        <w:rPr/>
        <w:t>国家政策标准制定、城市政府及细分行业客户需求变化为着眼点，加强技术创新能力、完善经营</w:t>
      </w:r>
      <w:r>
        <w:rPr>
          <w:w w:val="100"/>
        </w:rPr>
        <w:t> </w:t>
      </w:r>
      <w:r>
        <w:rPr/>
        <w:t>模式及管理方式，扎实完成业务拓展及项目落地目标，不断提升公司的核心竞争力。</w:t>
      </w:r>
    </w:p>
    <w:p>
      <w:pPr>
        <w:pStyle w:val="BodyText"/>
        <w:spacing w:line="237" w:lineRule="auto"/>
        <w:ind w:right="217" w:firstLine="419"/>
        <w:jc w:val="both"/>
      </w:pPr>
      <w:r>
        <w:rPr>
          <w:spacing w:val="-2"/>
        </w:rPr>
        <w:t>公司已完成营销、方案产品、研发等架构及团队搭建。首先将依照项目规划投入研发与运营</w:t>
      </w:r>
      <w:r>
        <w:rPr>
          <w:w w:val="100"/>
        </w:rPr>
        <w:t> </w:t>
      </w:r>
      <w:r>
        <w:rPr>
          <w:spacing w:val="-2"/>
        </w:rPr>
        <w:t>中心的平台建设，以此为基础拓展智慧城市业务，并逐步实现项目的实施落地。随着业务开展的</w:t>
      </w:r>
      <w:r>
        <w:rPr>
          <w:spacing w:val="-25"/>
        </w:rPr>
        <w:t> </w:t>
      </w:r>
      <w:r>
        <w:rPr>
          <w:spacing w:val="-25"/>
        </w:rPr>
      </w:r>
      <w:r>
        <w:rPr/>
        <w:t>深入，公司将利用研发与运营平台搭建在</w:t>
      </w:r>
      <w:r>
        <w:rPr>
          <w:spacing w:val="-54"/>
        </w:rPr>
        <w:t> </w:t>
      </w:r>
      <w:r>
        <w:rPr>
          <w:rFonts w:ascii="宋体" w:hAnsi="宋体" w:cs="宋体" w:eastAsia="宋体" w:hint="default"/>
        </w:rPr>
        <w:t>ICT</w:t>
      </w:r>
      <w:r>
        <w:rPr>
          <w:rFonts w:ascii="宋体" w:hAnsi="宋体" w:cs="宋体" w:eastAsia="宋体" w:hint="default"/>
          <w:spacing w:val="-56"/>
        </w:rPr>
        <w:t> </w:t>
      </w:r>
      <w:r>
        <w:rPr/>
        <w:t>集成平台框架、智慧城市决策支持与服务系统以及</w:t>
      </w:r>
      <w:r>
        <w:rPr>
          <w:w w:val="100"/>
        </w:rPr>
        <w:t> </w:t>
      </w:r>
      <w:r>
        <w:rPr>
          <w:spacing w:val="-2"/>
        </w:rPr>
        <w:t>智慧城市集中运营控制中心等三个方面形成的技术成果，以既有政府合作关系为基础，进一步拓</w:t>
      </w:r>
      <w:r>
        <w:rPr>
          <w:spacing w:val="-25"/>
        </w:rPr>
        <w:t> </w:t>
      </w:r>
      <w:r>
        <w:rPr>
          <w:spacing w:val="-25"/>
        </w:rPr>
      </w:r>
      <w:r>
        <w:rPr>
          <w:spacing w:val="-2"/>
        </w:rPr>
        <w:t>展细分行业，做精做细做落地。公司还将借助上市公司平台、知名度、技术储备及经验能力，将</w:t>
      </w:r>
      <w:r>
        <w:rPr>
          <w:spacing w:val="-25"/>
        </w:rPr>
        <w:t> </w:t>
      </w:r>
      <w:r>
        <w:rPr>
          <w:spacing w:val="-25"/>
        </w:rPr>
      </w:r>
      <w:r>
        <w:rPr/>
        <w:t>智慧城市业务做大做强，扩展推广至全国区域，全面转型成为智慧城市的承包建设运营商。</w:t>
      </w:r>
    </w:p>
    <w:p>
      <w:pPr>
        <w:pStyle w:val="BodyText"/>
        <w:spacing w:line="272" w:lineRule="exact" w:before="26"/>
        <w:ind w:left="558" w:right="97"/>
        <w:jc w:val="left"/>
      </w:pPr>
      <w:r>
        <w:rPr>
          <w:rFonts w:ascii="宋体" w:hAnsi="宋体" w:cs="宋体" w:eastAsia="宋体" w:hint="default"/>
        </w:rPr>
        <w:t>1</w:t>
      </w:r>
      <w:r>
        <w:rPr/>
        <w:t>、市场开发计划</w:t>
      </w:r>
      <w:r>
        <w:rPr>
          <w:w w:val="100"/>
        </w:rPr>
        <w:t> </w:t>
      </w:r>
      <w:r>
        <w:rPr>
          <w:spacing w:val="-2"/>
        </w:rPr>
        <w:t>目前，公司主要依托上市公司资源，发挥包括沈阳、重庆、南宁、宿州、泰兴、靖江等区域</w:t>
      </w:r>
    </w:p>
    <w:p>
      <w:pPr>
        <w:pStyle w:val="BodyText"/>
        <w:spacing w:line="272" w:lineRule="exact" w:before="2"/>
        <w:ind w:right="208"/>
        <w:jc w:val="both"/>
      </w:pPr>
      <w:r>
        <w:rPr>
          <w:spacing w:val="-6"/>
        </w:rPr>
        <w:t>在内的既成合作关系优势，深入落地智慧政务、智慧园区、智慧教育、智慧医疗等细分行业业务，</w:t>
      </w:r>
      <w:r>
        <w:rPr>
          <w:spacing w:val="-54"/>
        </w:rPr>
        <w:t> </w:t>
      </w:r>
      <w:r>
        <w:rPr>
          <w:spacing w:val="-54"/>
        </w:rPr>
      </w:r>
      <w:r>
        <w:rPr>
          <w:spacing w:val="-2"/>
        </w:rPr>
        <w:t>扎实推进智慧城市业务。同时，公司将在智慧城市项目实施落地的基础上，积极寻求与其他地区</w:t>
      </w:r>
    </w:p>
    <w:p>
      <w:pPr>
        <w:pStyle w:val="BodyText"/>
        <w:spacing w:line="249" w:lineRule="exact"/>
        <w:ind w:right="0"/>
        <w:jc w:val="both"/>
      </w:pPr>
      <w:r>
        <w:rPr/>
        <w:t>合作，形成更多的智慧城市发展建设的战略合作关系，积极拓展市场规模。</w:t>
      </w:r>
    </w:p>
    <w:p>
      <w:pPr>
        <w:spacing w:after="0" w:line="249" w:lineRule="exact"/>
        <w:jc w:val="both"/>
        <w:sectPr>
          <w:pgSz w:w="11910" w:h="16840"/>
          <w:pgMar w:header="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72" w:lineRule="exact" w:before="64"/>
        <w:ind w:left="558" w:right="123"/>
        <w:jc w:val="left"/>
      </w:pPr>
      <w:r>
        <w:rPr>
          <w:rFonts w:ascii="宋体" w:hAnsi="宋体" w:cs="宋体" w:eastAsia="宋体" w:hint="default"/>
        </w:rPr>
        <w:t>2</w:t>
      </w:r>
      <w:r>
        <w:rPr/>
        <w:t>、技术创新及开发计划</w:t>
      </w:r>
      <w:r>
        <w:rPr>
          <w:w w:val="100"/>
        </w:rPr>
        <w:t> </w:t>
      </w:r>
      <w:r>
        <w:rPr>
          <w:spacing w:val="-2"/>
        </w:rPr>
        <w:t>公司设立智慧城市研发总部、城市架构总部、行业解决方案总部、运营中心，全面推进技术</w:t>
      </w:r>
    </w:p>
    <w:p>
      <w:pPr>
        <w:pStyle w:val="BodyText"/>
        <w:spacing w:line="272" w:lineRule="exact" w:before="1"/>
        <w:ind w:right="137"/>
        <w:jc w:val="both"/>
      </w:pPr>
      <w:r>
        <w:rPr>
          <w:spacing w:val="-2"/>
        </w:rPr>
        <w:t>创新及开发计划。其作为公司智慧城市业务开展的基础，提供全方位的咨询、方案、研发等技术</w:t>
      </w:r>
      <w:r>
        <w:rPr>
          <w:spacing w:val="-25"/>
        </w:rPr>
        <w:t> </w:t>
      </w:r>
      <w:r>
        <w:rPr>
          <w:spacing w:val="-25"/>
        </w:rPr>
      </w:r>
      <w:r>
        <w:rPr>
          <w:spacing w:val="-2"/>
        </w:rPr>
        <w:t>服务，涵盖智慧城市业务的核心技术、运营团队，初步规划的主要技术研究方向包括城市级集成</w:t>
      </w:r>
    </w:p>
    <w:p>
      <w:pPr>
        <w:pStyle w:val="BodyText"/>
        <w:spacing w:line="272" w:lineRule="exact" w:before="1"/>
        <w:ind w:right="137"/>
        <w:jc w:val="both"/>
      </w:pPr>
      <w:r>
        <w:rPr>
          <w:spacing w:val="-2"/>
        </w:rPr>
        <w:t>平台框架、智慧城市指标体系、决策支持与服务系统以及智慧城市集中运营控制中心，并以智慧</w:t>
      </w:r>
      <w:r>
        <w:rPr>
          <w:spacing w:val="-25"/>
        </w:rPr>
        <w:t> </w:t>
      </w:r>
      <w:r>
        <w:rPr>
          <w:spacing w:val="-25"/>
        </w:rPr>
      </w:r>
      <w:r>
        <w:rPr/>
        <w:t>政务、智慧教育、智慧医疗、智慧园区、安全技术应用为重点，逐步细化各行业应用。</w:t>
      </w:r>
    </w:p>
    <w:p>
      <w:pPr>
        <w:pStyle w:val="BodyText"/>
        <w:spacing w:line="272" w:lineRule="exact" w:before="1"/>
        <w:ind w:right="137" w:firstLine="419"/>
        <w:jc w:val="both"/>
      </w:pPr>
      <w:r>
        <w:rPr>
          <w:spacing w:val="-2"/>
        </w:rPr>
        <w:t>现阶段公司在智慧城市相关业务领域的核心技术及重要成果为：智慧城市运营管理平台、城</w:t>
      </w:r>
      <w:r>
        <w:rPr>
          <w:w w:val="100"/>
        </w:rPr>
        <w:t> </w:t>
      </w:r>
      <w:r>
        <w:rPr>
          <w:spacing w:val="-2"/>
        </w:rPr>
        <w:t>市绩效指标评价系统平台、城市大数据管理平台、物联网集中管控平台在内的四大平台产品及解</w:t>
      </w:r>
    </w:p>
    <w:p>
      <w:pPr>
        <w:pStyle w:val="BodyText"/>
        <w:spacing w:line="272" w:lineRule="exact" w:before="1"/>
        <w:ind w:right="137"/>
        <w:jc w:val="both"/>
      </w:pPr>
      <w:r>
        <w:rPr>
          <w:spacing w:val="-2"/>
        </w:rPr>
        <w:t>决方案。该等产品及解决方案不涉及专利或者发明。公司现阶段在智慧城市领域尚不具有重要专</w:t>
      </w:r>
      <w:r>
        <w:rPr>
          <w:spacing w:val="-25"/>
        </w:rPr>
        <w:t> </w:t>
      </w:r>
      <w:r>
        <w:rPr>
          <w:spacing w:val="-25"/>
        </w:rPr>
      </w:r>
      <w:r>
        <w:rPr/>
        <w:t>利或发明。</w:t>
      </w:r>
    </w:p>
    <w:p>
      <w:pPr>
        <w:pStyle w:val="BodyText"/>
        <w:spacing w:line="272" w:lineRule="exact" w:before="1"/>
        <w:ind w:left="558" w:right="123"/>
        <w:jc w:val="left"/>
      </w:pPr>
      <w:r>
        <w:rPr>
          <w:rFonts w:ascii="宋体" w:hAnsi="宋体" w:cs="宋体" w:eastAsia="宋体" w:hint="default"/>
        </w:rPr>
        <w:t>3</w:t>
      </w:r>
      <w:r>
        <w:rPr/>
        <w:t>、人力资源及精细化管理计划</w:t>
      </w:r>
      <w:r>
        <w:rPr>
          <w:w w:val="100"/>
        </w:rPr>
        <w:t> </w:t>
      </w:r>
      <w:r>
        <w:rPr>
          <w:spacing w:val="-2"/>
        </w:rPr>
        <w:t>随着公司人才团队的逐步建成，将持续以提升团队效能为目标，通过积极创建学习型企业，</w:t>
      </w:r>
    </w:p>
    <w:p>
      <w:pPr>
        <w:pStyle w:val="BodyText"/>
        <w:spacing w:line="272" w:lineRule="exact" w:before="1"/>
        <w:ind w:right="128"/>
        <w:jc w:val="both"/>
      </w:pPr>
      <w:r>
        <w:rPr>
          <w:spacing w:val="-2"/>
        </w:rPr>
        <w:t>增强危机意识及奋斗精神，加强全员培训并对干部进行专项培养，以达到人才培养的整体计划，</w:t>
      </w:r>
      <w:r>
        <w:rPr>
          <w:spacing w:val="-25"/>
        </w:rPr>
        <w:t> </w:t>
      </w:r>
      <w:r>
        <w:rPr>
          <w:spacing w:val="-25"/>
        </w:rPr>
      </w:r>
      <w:r>
        <w:rPr>
          <w:spacing w:val="-6"/>
        </w:rPr>
        <w:t>提升人才专业素养；同时通过建立精细化管理体系，完善目标化管理、绩效考评机制、激励机制，</w:t>
      </w:r>
    </w:p>
    <w:p>
      <w:pPr>
        <w:pStyle w:val="BodyText"/>
        <w:spacing w:line="272" w:lineRule="exact" w:before="1"/>
        <w:ind w:left="558" w:right="123" w:hanging="420"/>
        <w:jc w:val="left"/>
      </w:pPr>
      <w:r>
        <w:rPr/>
        <w:t>提升团队目标意识及执行力。为公司业务目标实现提供优质的人力资源及良好的管理机制。</w:t>
      </w:r>
      <w:r>
        <w:rPr>
          <w:w w:val="100"/>
        </w:rPr>
        <w:t> </w:t>
      </w:r>
      <w:r>
        <w:rPr/>
        <w:t>公司在智慧城市相关业务领域核心员工</w:t>
      </w:r>
      <w:r>
        <w:rPr>
          <w:spacing w:val="-55"/>
        </w:rPr>
        <w:t> </w:t>
      </w:r>
      <w:r>
        <w:rPr>
          <w:rFonts w:ascii="宋体" w:hAnsi="宋体" w:cs="宋体" w:eastAsia="宋体" w:hint="default"/>
        </w:rPr>
        <w:t>32</w:t>
      </w:r>
      <w:r>
        <w:rPr>
          <w:rFonts w:ascii="宋体" w:hAnsi="宋体" w:cs="宋体" w:eastAsia="宋体" w:hint="default"/>
          <w:spacing w:val="-55"/>
        </w:rPr>
        <w:t> </w:t>
      </w:r>
      <w:r>
        <w:rPr/>
        <w:t>名，其中硕士</w:t>
      </w:r>
      <w:r>
        <w:rPr>
          <w:spacing w:val="-55"/>
        </w:rPr>
        <w:t> </w:t>
      </w:r>
      <w:r>
        <w:rPr>
          <w:rFonts w:ascii="宋体" w:hAnsi="宋体" w:cs="宋体" w:eastAsia="宋体" w:hint="default"/>
        </w:rPr>
        <w:t>7</w:t>
      </w:r>
      <w:r>
        <w:rPr>
          <w:rFonts w:ascii="宋体" w:hAnsi="宋体" w:cs="宋体" w:eastAsia="宋体" w:hint="default"/>
          <w:spacing w:val="-57"/>
        </w:rPr>
        <w:t> </w:t>
      </w:r>
      <w:r>
        <w:rPr/>
        <w:t>名，博士</w:t>
      </w:r>
      <w:r>
        <w:rPr>
          <w:spacing w:val="-55"/>
        </w:rPr>
        <w:t> </w:t>
      </w:r>
      <w:r>
        <w:rPr>
          <w:rFonts w:ascii="宋体" w:hAnsi="宋体" w:cs="宋体" w:eastAsia="宋体" w:hint="default"/>
        </w:rPr>
        <w:t>1</w:t>
      </w:r>
      <w:r>
        <w:rPr>
          <w:rFonts w:ascii="宋体" w:hAnsi="宋体" w:cs="宋体" w:eastAsia="宋体" w:hint="default"/>
          <w:spacing w:val="-55"/>
        </w:rPr>
        <w:t> </w:t>
      </w:r>
      <w:r>
        <w:rPr/>
        <w:t>名。</w:t>
      </w:r>
      <w:r>
        <w:rPr>
          <w:rFonts w:ascii="宋体" w:hAnsi="宋体" w:cs="宋体" w:eastAsia="宋体" w:hint="default"/>
        </w:rPr>
        <w:t>90%</w:t>
      </w:r>
      <w:r>
        <w:rPr/>
        <w:t>以上核心员工</w:t>
      </w:r>
    </w:p>
    <w:p>
      <w:pPr>
        <w:pStyle w:val="BodyText"/>
        <w:spacing w:line="272" w:lineRule="exact" w:before="1"/>
        <w:ind w:right="130"/>
        <w:jc w:val="both"/>
      </w:pPr>
      <w:r>
        <w:rPr/>
        <w:t>先后于国内外知名</w:t>
      </w:r>
      <w:r>
        <w:rPr>
          <w:spacing w:val="-40"/>
        </w:rPr>
        <w:t> </w:t>
      </w:r>
      <w:r>
        <w:rPr>
          <w:rFonts w:ascii="宋体" w:hAnsi="宋体" w:cs="宋体" w:eastAsia="宋体" w:hint="default"/>
        </w:rPr>
        <w:t>IT</w:t>
      </w:r>
      <w:r>
        <w:rPr>
          <w:rFonts w:ascii="宋体" w:hAnsi="宋体" w:cs="宋体" w:eastAsia="宋体" w:hint="default"/>
          <w:spacing w:val="-40"/>
        </w:rPr>
        <w:t> </w:t>
      </w:r>
      <w:r>
        <w:rPr>
          <w:spacing w:val="-5"/>
        </w:rPr>
        <w:t>公司任职，例如：</w:t>
      </w:r>
      <w:r>
        <w:rPr>
          <w:rFonts w:ascii="宋体" w:hAnsi="宋体" w:cs="宋体" w:eastAsia="宋体" w:hint="default"/>
          <w:spacing w:val="-5"/>
        </w:rPr>
        <w:t>IBM</w:t>
      </w:r>
      <w:r>
        <w:rPr>
          <w:spacing w:val="-5"/>
        </w:rPr>
        <w:t>、华为、海尔集团等，平均工作年限达</w:t>
      </w:r>
      <w:r>
        <w:rPr>
          <w:spacing w:val="-39"/>
        </w:rPr>
        <w:t> </w:t>
      </w:r>
      <w:r>
        <w:rPr>
          <w:rFonts w:ascii="宋体" w:hAnsi="宋体" w:cs="宋体" w:eastAsia="宋体" w:hint="default"/>
        </w:rPr>
        <w:t>12</w:t>
      </w:r>
      <w:r>
        <w:rPr>
          <w:rFonts w:ascii="宋体" w:hAnsi="宋体" w:cs="宋体" w:eastAsia="宋体" w:hint="default"/>
          <w:spacing w:val="-40"/>
        </w:rPr>
        <w:t> </w:t>
      </w:r>
      <w:r>
        <w:rPr>
          <w:spacing w:val="-5"/>
        </w:rPr>
        <w:t>年，为公司</w:t>
      </w:r>
      <w:r>
        <w:rPr>
          <w:spacing w:val="-100"/>
        </w:rPr>
        <w:t> </w:t>
      </w:r>
      <w:r>
        <w:rPr>
          <w:spacing w:val="-100"/>
        </w:rPr>
      </w:r>
      <w:r>
        <w:rPr/>
        <w:t>在智慧城市建设方面积累了丰富的行业经验。报告期内，该等核心员工均无变动。</w:t>
      </w:r>
    </w:p>
    <w:p>
      <w:pPr>
        <w:pStyle w:val="BodyText"/>
        <w:spacing w:line="246" w:lineRule="exact"/>
        <w:ind w:left="558" w:right="123"/>
        <w:jc w:val="left"/>
      </w:pPr>
      <w:r>
        <w:rPr>
          <w:rFonts w:ascii="宋体" w:hAnsi="宋体" w:cs="宋体" w:eastAsia="宋体" w:hint="default"/>
        </w:rPr>
        <w:t>4</w:t>
      </w:r>
      <w:r>
        <w:rPr/>
        <w:t>、筹资计划</w:t>
      </w:r>
    </w:p>
    <w:p>
      <w:pPr>
        <w:pStyle w:val="BodyText"/>
        <w:spacing w:line="237" w:lineRule="auto" w:before="2"/>
        <w:ind w:right="137" w:firstLine="419"/>
        <w:jc w:val="both"/>
      </w:pPr>
      <w:r>
        <w:rPr>
          <w:spacing w:val="-2"/>
        </w:rPr>
        <w:t>公司正处于转型及快速发展时期，对资金的需求量较大，而资金是制约智慧城市业务发展的</w:t>
      </w:r>
      <w:r>
        <w:rPr>
          <w:w w:val="100"/>
        </w:rPr>
        <w:t> </w:t>
      </w:r>
      <w:r>
        <w:rPr>
          <w:spacing w:val="-2"/>
        </w:rPr>
        <w:t>主要瓶颈。融资渠道的拓展不仅需要考量公司发展对资金的需求，而且要权衡各种融资渠道的融</w:t>
      </w:r>
      <w:r>
        <w:rPr>
          <w:spacing w:val="-25"/>
        </w:rPr>
        <w:t> </w:t>
      </w:r>
      <w:r>
        <w:rPr>
          <w:spacing w:val="-25"/>
        </w:rPr>
      </w:r>
      <w:r>
        <w:rPr>
          <w:spacing w:val="-2"/>
        </w:rPr>
        <w:t>资规模、资金成本、便利性等因素。公司仍将以上市公司主体为平台，总体协调资金运用，结合</w:t>
      </w:r>
      <w:r>
        <w:rPr>
          <w:spacing w:val="-25"/>
        </w:rPr>
        <w:t> </w:t>
      </w:r>
      <w:r>
        <w:rPr>
          <w:spacing w:val="-25"/>
        </w:rPr>
      </w:r>
      <w:r>
        <w:rPr/>
        <w:t>各地区战略合作协议推进情况，投入智慧城市建设，提高资金使用效率。</w:t>
      </w:r>
    </w:p>
    <w:p>
      <w:pPr>
        <w:pStyle w:val="BodyText"/>
        <w:spacing w:line="237" w:lineRule="auto" w:before="2"/>
        <w:ind w:right="137" w:firstLine="419"/>
        <w:jc w:val="both"/>
      </w:pPr>
      <w:r>
        <w:rPr>
          <w:spacing w:val="-2"/>
        </w:rPr>
        <w:t>公司未来将进一步加强管理，提高利润水平，以优良的业绩、持续的增长、丰厚的回报给广</w:t>
      </w:r>
      <w:r>
        <w:rPr>
          <w:w w:val="100"/>
        </w:rPr>
        <w:t> </w:t>
      </w:r>
      <w:r>
        <w:rPr>
          <w:spacing w:val="-2"/>
        </w:rPr>
        <w:t>大投资者以信心，并根据未来业务发展需要，综合考虑公司资本结构、盈利能力、资本市场环境</w:t>
      </w:r>
      <w:r>
        <w:rPr>
          <w:spacing w:val="-25"/>
        </w:rPr>
        <w:t> </w:t>
      </w:r>
      <w:r>
        <w:rPr>
          <w:spacing w:val="-25"/>
        </w:rPr>
      </w:r>
      <w:r>
        <w:rPr/>
        <w:t>等因素，选择合适的融资方式，优化公司资产结构，保证公司持续、健康、稳定发展。</w:t>
      </w:r>
    </w:p>
    <w:p>
      <w:pPr>
        <w:spacing w:line="240" w:lineRule="auto" w:before="3"/>
        <w:rPr>
          <w:rFonts w:ascii="宋体" w:hAnsi="宋体" w:cs="宋体" w:eastAsia="宋体" w:hint="default"/>
          <w:sz w:val="25"/>
          <w:szCs w:val="25"/>
        </w:rPr>
      </w:pPr>
    </w:p>
    <w:p>
      <w:pPr>
        <w:pStyle w:val="Heading3"/>
        <w:spacing w:line="240" w:lineRule="auto"/>
        <w:ind w:left="138" w:right="123"/>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可能面对的风险</w:t>
      </w:r>
      <w:r>
        <w:rPr>
          <w:b w:val="0"/>
          <w:bCs w:val="0"/>
        </w:rPr>
      </w:r>
    </w:p>
    <w:p>
      <w:pPr>
        <w:pStyle w:val="BodyText"/>
        <w:spacing w:line="240" w:lineRule="auto" w:before="29"/>
        <w:ind w:right="128" w:firstLine="419"/>
        <w:jc w:val="both"/>
      </w:pPr>
      <w:r>
        <w:rPr>
          <w:rFonts w:ascii="宋体" w:hAnsi="宋体" w:cs="宋体" w:eastAsia="宋体" w:hint="default"/>
        </w:rPr>
        <w:t>2015</w:t>
      </w:r>
      <w:r>
        <w:rPr>
          <w:rFonts w:ascii="宋体" w:hAnsi="宋体" w:cs="宋体" w:eastAsia="宋体" w:hint="default"/>
          <w:spacing w:val="-9"/>
        </w:rPr>
        <w:t> </w:t>
      </w:r>
      <w:r>
        <w:rPr>
          <w:spacing w:val="-3"/>
        </w:rPr>
        <w:t>年，公司智慧城市业务及技术储备取得一定的成绩，然而从整体上看，公司业务还处于</w:t>
      </w:r>
      <w:r>
        <w:rPr>
          <w:w w:val="100"/>
        </w:rPr>
        <w:t> </w:t>
      </w:r>
      <w:r>
        <w:rPr/>
        <w:t>起步阶段，大多数智慧城市建设处于探索阶段，可能面对以下风险：</w:t>
      </w:r>
    </w:p>
    <w:p>
      <w:pPr>
        <w:pStyle w:val="BodyText"/>
        <w:spacing w:line="274" w:lineRule="exact" w:before="22"/>
        <w:ind w:left="558" w:right="123"/>
        <w:jc w:val="left"/>
      </w:pPr>
      <w:r>
        <w:rPr>
          <w:rFonts w:ascii="宋体" w:hAnsi="宋体" w:cs="宋体" w:eastAsia="宋体" w:hint="default"/>
        </w:rPr>
        <w:t>1</w:t>
      </w:r>
      <w:r>
        <w:rPr/>
        <w:t>、公司不能及时取得相关业务资质的风险</w:t>
      </w:r>
      <w:r>
        <w:rPr>
          <w:w w:val="100"/>
        </w:rPr>
        <w:t> </w:t>
      </w:r>
      <w:r>
        <w:rPr>
          <w:spacing w:val="-2"/>
        </w:rPr>
        <w:t>公司主要通过智慧城市业务核心团队进行市场开拓并与各地方政府签订战略合作框架协议的</w:t>
      </w:r>
    </w:p>
    <w:p>
      <w:pPr>
        <w:pStyle w:val="BodyText"/>
        <w:spacing w:line="245" w:lineRule="exact"/>
        <w:ind w:right="0"/>
        <w:jc w:val="left"/>
      </w:pPr>
      <w:r>
        <w:rPr/>
        <w:t>方式建立业务渠道。业务初期更多以提供智慧城市顶层架构设计咨询服务以及运营维护服务为切</w:t>
      </w:r>
    </w:p>
    <w:p>
      <w:pPr>
        <w:pStyle w:val="BodyText"/>
        <w:spacing w:line="237" w:lineRule="auto" w:before="2"/>
        <w:ind w:left="0" w:right="128"/>
        <w:jc w:val="right"/>
      </w:pPr>
      <w:r>
        <w:rPr>
          <w:spacing w:val="-2"/>
        </w:rPr>
        <w:t>入点，而在后续业务拓展及具体项目实施过程中，如果部分项目在落地招标等环节中涉及系统集</w:t>
      </w:r>
      <w:r>
        <w:rPr>
          <w:spacing w:val="-52"/>
        </w:rPr>
        <w:t> </w:t>
      </w:r>
      <w:r>
        <w:rPr>
          <w:spacing w:val="-52"/>
        </w:rPr>
      </w:r>
      <w:r>
        <w:rPr>
          <w:spacing w:val="-2"/>
        </w:rPr>
        <w:t>成资质、涉密系统集成等或建筑智能化相关的专项业务资质时，由于获得此类资质需要经过一段</w:t>
      </w:r>
      <w:r>
        <w:rPr>
          <w:spacing w:val="-52"/>
        </w:rPr>
        <w:t> </w:t>
      </w:r>
      <w:r>
        <w:rPr>
          <w:spacing w:val="-52"/>
        </w:rPr>
      </w:r>
      <w:r>
        <w:rPr>
          <w:spacing w:val="-2"/>
        </w:rPr>
        <w:t>时间的筹备期和评审期，公司在转型初期将面临一定挑战。公司将在公司层面协同资源，根据实</w:t>
      </w:r>
      <w:r>
        <w:rPr>
          <w:spacing w:val="-52"/>
        </w:rPr>
        <w:t> </w:t>
      </w:r>
      <w:r>
        <w:rPr>
          <w:spacing w:val="-52"/>
        </w:rPr>
      </w:r>
      <w:r>
        <w:rPr>
          <w:spacing w:val="-2"/>
        </w:rPr>
        <w:t>际业务需要，通过自主申请并结合投资控股具备资质的项目公司的形式尽快获取相关业务资质。</w:t>
      </w:r>
      <w:r>
        <w:rPr>
          <w:spacing w:val="-52"/>
        </w:rPr>
        <w:t> </w:t>
      </w:r>
      <w:r>
        <w:rPr>
          <w:spacing w:val="-52"/>
        </w:rPr>
      </w:r>
      <w:r>
        <w:rPr>
          <w:spacing w:val="-2"/>
        </w:rPr>
        <w:t>公司在从事智慧城市相关业务过程中涉及建筑及信息集成方面的资质要求，而公司目前并不</w:t>
      </w:r>
      <w:r>
        <w:rPr>
          <w:w w:val="100"/>
        </w:rPr>
        <w:t> </w:t>
      </w:r>
      <w:r>
        <w:rPr>
          <w:spacing w:val="-4"/>
        </w:rPr>
        <w:t>具备相关资质。实际经营过程中，公司主张通过 </w:t>
      </w:r>
      <w:r>
        <w:rPr>
          <w:rFonts w:ascii="宋体" w:hAnsi="宋体" w:cs="宋体" w:eastAsia="宋体" w:hint="default"/>
          <w:spacing w:val="-4"/>
        </w:rPr>
        <w:t>BOT</w:t>
      </w:r>
      <w:r>
        <w:rPr>
          <w:spacing w:val="-4"/>
        </w:rPr>
        <w:t>、</w:t>
      </w:r>
      <w:r>
        <w:rPr>
          <w:rFonts w:ascii="宋体" w:hAnsi="宋体" w:cs="宋体" w:eastAsia="宋体" w:hint="default"/>
          <w:spacing w:val="-4"/>
        </w:rPr>
        <w:t>PPP</w:t>
      </w:r>
      <w:r>
        <w:rPr>
          <w:rFonts w:ascii="宋体" w:hAnsi="宋体" w:cs="宋体" w:eastAsia="宋体" w:hint="default"/>
          <w:spacing w:val="-40"/>
        </w:rPr>
        <w:t> </w:t>
      </w:r>
      <w:r>
        <w:rPr>
          <w:spacing w:val="-3"/>
        </w:rPr>
        <w:t>及相关衍生模式为主，引入各种社会资</w:t>
      </w:r>
      <w:r>
        <w:rPr>
          <w:w w:val="100"/>
        </w:rPr>
        <w:t> </w:t>
      </w:r>
      <w:r>
        <w:rPr>
          <w:spacing w:val="-2"/>
        </w:rPr>
        <w:t>源进行联营合作，从而获取业务资质授权。因此，即便公司尚不具备相关业务资质，但对已签订</w:t>
      </w:r>
    </w:p>
    <w:p>
      <w:pPr>
        <w:pStyle w:val="BodyText"/>
        <w:spacing w:line="237" w:lineRule="auto" w:before="1"/>
        <w:ind w:left="558" w:right="123" w:hanging="420"/>
        <w:jc w:val="left"/>
      </w:pPr>
      <w:r>
        <w:rPr/>
        <w:t>的合同并不造成任何影响。</w:t>
      </w:r>
      <w:r>
        <w:rPr>
          <w:w w:val="100"/>
        </w:rPr>
        <w:t> </w:t>
      </w:r>
      <w:r>
        <w:rPr>
          <w:rFonts w:ascii="宋体" w:hAnsi="宋体" w:cs="宋体" w:eastAsia="宋体" w:hint="default"/>
        </w:rPr>
        <w:t>2</w:t>
      </w:r>
      <w:r>
        <w:rPr/>
        <w:t>、公司不能及时、充分、持续投入并优化技术研发而无法保障技术竞争力的风险</w:t>
      </w:r>
      <w:r>
        <w:rPr>
          <w:w w:val="100"/>
        </w:rPr>
        <w:t> </w:t>
      </w:r>
      <w:r>
        <w:rPr>
          <w:spacing w:val="-2"/>
        </w:rPr>
        <w:t>公司主要以提供智慧城市顶层设计及战略咨询服务为切入点，与各级政府签订战略合作框架</w:t>
      </w:r>
    </w:p>
    <w:p>
      <w:pPr>
        <w:pStyle w:val="BodyText"/>
        <w:spacing w:line="237" w:lineRule="auto"/>
        <w:ind w:right="137"/>
        <w:jc w:val="both"/>
      </w:pPr>
      <w:r>
        <w:rPr>
          <w:spacing w:val="-2"/>
        </w:rPr>
        <w:t>协议，同时针对重点行业提供定制化的信息化解决方案，承接后续的具体项目落地实施。因此，</w:t>
      </w:r>
      <w:r>
        <w:rPr>
          <w:spacing w:val="-25"/>
        </w:rPr>
        <w:t> </w:t>
      </w:r>
      <w:r>
        <w:rPr>
          <w:spacing w:val="-25"/>
        </w:rPr>
      </w:r>
      <w:r>
        <w:rPr>
          <w:spacing w:val="-2"/>
        </w:rPr>
        <w:t>公司的研发与运营体系及人员团队是其竞争力的保证。目前公司尚处于业务转型期，与国外智慧</w:t>
      </w:r>
      <w:r>
        <w:rPr>
          <w:spacing w:val="-25"/>
        </w:rPr>
        <w:t> </w:t>
      </w:r>
      <w:r>
        <w:rPr>
          <w:spacing w:val="-25"/>
        </w:rPr>
      </w:r>
      <w:r>
        <w:rPr/>
        <w:t>城市领域的领先者</w:t>
      </w:r>
      <w:r>
        <w:rPr>
          <w:spacing w:val="-55"/>
        </w:rPr>
        <w:t> </w:t>
      </w:r>
      <w:r>
        <w:rPr>
          <w:rFonts w:ascii="宋体" w:hAnsi="宋体" w:cs="宋体" w:eastAsia="宋体" w:hint="default"/>
        </w:rPr>
        <w:t>IBM</w:t>
      </w:r>
      <w:r>
        <w:rPr>
          <w:rFonts w:ascii="宋体" w:hAnsi="宋体" w:cs="宋体" w:eastAsia="宋体" w:hint="default"/>
          <w:spacing w:val="-54"/>
        </w:rPr>
        <w:t> </w:t>
      </w:r>
      <w:r>
        <w:rPr/>
        <w:t>等无论在技术研发环境还是产品成熟度上都有一定差距；相比国内智慧城</w:t>
      </w:r>
      <w:r>
        <w:rPr>
          <w:w w:val="100"/>
        </w:rPr>
        <w:t> </w:t>
      </w:r>
      <w:r>
        <w:rPr>
          <w:spacing w:val="-2"/>
        </w:rPr>
        <w:t>市服务提供商在市场规模及资金实力上也有一定差距。因此，为了及时把握市场机遇，从容应对</w:t>
      </w:r>
      <w:r>
        <w:rPr>
          <w:spacing w:val="-25"/>
        </w:rPr>
        <w:t> </w:t>
      </w:r>
      <w:r>
        <w:rPr>
          <w:spacing w:val="-25"/>
        </w:rPr>
      </w:r>
      <w:r>
        <w:rPr>
          <w:spacing w:val="-2"/>
        </w:rPr>
        <w:t>市场竞争，公司迫切需要持续投入资金建设运营研发中心，改善基础研发环境，支持公司业务转</w:t>
      </w:r>
      <w:r>
        <w:rPr>
          <w:spacing w:val="-25"/>
        </w:rPr>
        <w:t> </w:t>
      </w:r>
      <w:r>
        <w:rPr>
          <w:spacing w:val="-25"/>
        </w:rPr>
      </w:r>
      <w:r>
        <w:rPr/>
        <w:t>型。</w:t>
      </w:r>
    </w:p>
    <w:p>
      <w:pPr>
        <w:spacing w:after="0" w:line="237" w:lineRule="auto"/>
        <w:jc w:val="both"/>
        <w:sectPr>
          <w:footerReference w:type="default" r:id="rId32"/>
          <w:pgSz w:w="11910" w:h="16840"/>
          <w:pgMar w:footer="1195" w:header="0"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6"/>
        <w:ind w:left="558" w:right="97"/>
        <w:jc w:val="left"/>
      </w:pPr>
      <w:r>
        <w:rPr>
          <w:rFonts w:ascii="宋体" w:hAnsi="宋体" w:cs="宋体" w:eastAsia="宋体" w:hint="default"/>
        </w:rPr>
        <w:t>3</w:t>
      </w:r>
      <w:r>
        <w:rPr/>
        <w:t>、公司业务市场开拓缓慢或无足够项目资源的风险</w:t>
      </w:r>
      <w:r>
        <w:rPr>
          <w:w w:val="100"/>
        </w:rPr>
        <w:t> </w:t>
      </w:r>
      <w:r>
        <w:rPr>
          <w:spacing w:val="-2"/>
        </w:rPr>
        <w:t>公司及全资子公司智诚合讯已与南宁市人民政府、鹤壁市人民政府、芜湖市人民政府、江苏</w:t>
      </w:r>
    </w:p>
    <w:p>
      <w:pPr>
        <w:pStyle w:val="BodyText"/>
        <w:spacing w:line="237" w:lineRule="auto"/>
        <w:ind w:right="217"/>
        <w:jc w:val="both"/>
      </w:pPr>
      <w:r>
        <w:rPr>
          <w:spacing w:val="-2"/>
        </w:rPr>
        <w:t>沛县经济开发区管委会、韶山市人民政府、武汉新洲区人民政府、重庆市经济和信息化委员会和</w:t>
      </w:r>
      <w:r>
        <w:rPr>
          <w:spacing w:val="-25"/>
        </w:rPr>
        <w:t> </w:t>
      </w:r>
      <w:r>
        <w:rPr>
          <w:spacing w:val="-25"/>
        </w:rPr>
      </w:r>
      <w:r>
        <w:rPr>
          <w:spacing w:val="-2"/>
        </w:rPr>
        <w:t>重庆两江新区管理委员会、宁波杭州湾新区开发建设管理委员会、靖江市人民政府、泰兴市人民</w:t>
      </w:r>
      <w:r>
        <w:rPr>
          <w:spacing w:val="-25"/>
        </w:rPr>
        <w:t> </w:t>
      </w:r>
      <w:r>
        <w:rPr>
          <w:spacing w:val="-25"/>
        </w:rPr>
      </w:r>
      <w:r>
        <w:rPr>
          <w:spacing w:val="-2"/>
        </w:rPr>
        <w:t>政府、宿迁市人民政府等政府部门，签订了《智慧城市战略合作协议》。除此之外，智诚合讯还</w:t>
      </w:r>
      <w:r>
        <w:rPr>
          <w:spacing w:val="-25"/>
        </w:rPr>
        <w:t> </w:t>
      </w:r>
      <w:r>
        <w:rPr>
          <w:spacing w:val="-25"/>
        </w:rPr>
      </w:r>
      <w:r>
        <w:rPr>
          <w:spacing w:val="-2"/>
        </w:rPr>
        <w:t>通过与绿地（香港）控股有限公司、湖南省有线电视网络（集团）股份有限公司等具备区位资源</w:t>
      </w:r>
      <w:r>
        <w:rPr>
          <w:spacing w:val="-25"/>
        </w:rPr>
        <w:t> </w:t>
      </w:r>
      <w:r>
        <w:rPr>
          <w:spacing w:val="-25"/>
        </w:rPr>
      </w:r>
      <w:r>
        <w:rPr>
          <w:spacing w:val="-2"/>
        </w:rPr>
        <w:t>及行业优势的大型企业签署《战略合作协议》，达成战略合作伙伴关系，以有利于共同开发项目</w:t>
      </w:r>
      <w:r>
        <w:rPr>
          <w:spacing w:val="-25"/>
        </w:rPr>
        <w:t> </w:t>
      </w:r>
      <w:r>
        <w:rPr>
          <w:spacing w:val="-25"/>
        </w:rPr>
      </w:r>
      <w:r>
        <w:rPr/>
        <w:t>资源、建设智慧城市。</w:t>
      </w:r>
    </w:p>
    <w:p>
      <w:pPr>
        <w:pStyle w:val="BodyText"/>
        <w:spacing w:line="237" w:lineRule="auto"/>
        <w:ind w:right="97" w:firstLine="419"/>
        <w:jc w:val="left"/>
      </w:pPr>
      <w:r>
        <w:rPr>
          <w:spacing w:val="-2"/>
          <w:w w:val="100"/>
        </w:rPr>
        <w:t>虽然公司已经签订或继承的智慧城市的战略合作协议总额约</w:t>
      </w:r>
      <w:r>
        <w:rPr>
          <w:spacing w:val="-44"/>
          <w:w w:val="100"/>
        </w:rPr>
        <w:t> </w:t>
      </w:r>
      <w:r>
        <w:rPr>
          <w:rFonts w:ascii="宋体" w:hAnsi="宋体" w:cs="宋体" w:eastAsia="宋体" w:hint="default"/>
          <w:spacing w:val="-1"/>
          <w:w w:val="100"/>
        </w:rPr>
        <w:t>245</w:t>
      </w:r>
      <w:r>
        <w:rPr>
          <w:rFonts w:ascii="宋体" w:hAnsi="宋体" w:cs="宋体" w:eastAsia="宋体" w:hint="default"/>
          <w:spacing w:val="-44"/>
          <w:w w:val="100"/>
        </w:rPr>
        <w:t> </w:t>
      </w:r>
      <w:r>
        <w:rPr>
          <w:spacing w:val="-9"/>
          <w:w w:val="100"/>
        </w:rPr>
        <w:t>亿，并逐步有具体项目落地，</w:t>
      </w:r>
      <w:r>
        <w:rPr>
          <w:w w:val="100"/>
        </w:rPr>
        <w:t> </w:t>
      </w:r>
      <w:r>
        <w:rPr>
          <w:spacing w:val="-4"/>
          <w:w w:val="100"/>
        </w:rPr>
        <w:t>但该类框架协议仅为与相关单位签署的意向性协议，具体项目的实施有赖于具体实施合同的签署，</w:t>
      </w:r>
      <w:r>
        <w:rPr>
          <w:spacing w:val="-86"/>
          <w:w w:val="100"/>
        </w:rPr>
        <w:t> </w:t>
      </w:r>
      <w:r>
        <w:rPr>
          <w:spacing w:val="-86"/>
          <w:w w:val="100"/>
        </w:rPr>
      </w:r>
      <w:r>
        <w:rPr/>
        <w:t>公司能否获得该类具体项目仍存在一定的风险，即使公司获得具体项目的实施，并不完全等同于</w:t>
      </w:r>
      <w:r>
        <w:rPr>
          <w:w w:val="100"/>
        </w:rPr>
        <w:t> </w:t>
      </w:r>
      <w:r>
        <w:rPr/>
        <w:t>公司的实际营业收入，并且公司在未来亦存在</w:t>
      </w:r>
      <w:r>
        <w:rPr>
          <w:spacing w:val="-54"/>
        </w:rPr>
        <w:t> </w:t>
      </w:r>
      <w:r>
        <w:rPr>
          <w:rFonts w:ascii="宋体" w:hAnsi="宋体" w:cs="宋体" w:eastAsia="宋体" w:hint="default"/>
        </w:rPr>
        <w:t>ICT</w:t>
      </w:r>
      <w:r>
        <w:rPr>
          <w:rFonts w:ascii="宋体" w:hAnsi="宋体" w:cs="宋体" w:eastAsia="宋体" w:hint="default"/>
          <w:spacing w:val="-56"/>
        </w:rPr>
        <w:t> </w:t>
      </w:r>
      <w:r>
        <w:rPr/>
        <w:t>相关业务开拓进展缓慢或无法获得足够项目资</w:t>
      </w:r>
      <w:r>
        <w:rPr>
          <w:w w:val="100"/>
        </w:rPr>
        <w:t> </w:t>
      </w:r>
      <w:r>
        <w:rPr/>
        <w:t>源的风险。</w:t>
      </w:r>
    </w:p>
    <w:p>
      <w:pPr>
        <w:pStyle w:val="BodyText"/>
        <w:spacing w:line="272" w:lineRule="exact" w:before="26"/>
        <w:ind w:left="558" w:right="217"/>
        <w:jc w:val="left"/>
      </w:pPr>
      <w:r>
        <w:rPr>
          <w:rFonts w:ascii="宋体" w:hAnsi="宋体" w:cs="宋体" w:eastAsia="宋体" w:hint="default"/>
        </w:rPr>
        <w:t>4</w:t>
      </w:r>
      <w:r>
        <w:rPr/>
        <w:t>、公司无法获得充足业务资金的风险</w:t>
      </w:r>
      <w:r>
        <w:rPr>
          <w:w w:val="100"/>
        </w:rPr>
        <w:t> </w:t>
      </w:r>
      <w:r>
        <w:rPr/>
        <w:t>智慧城市项目建设需要政府大量投入，虽然我国目前正在积极推荐以</w:t>
      </w:r>
      <w:r>
        <w:rPr>
          <w:spacing w:val="-57"/>
        </w:rPr>
        <w:t> </w:t>
      </w:r>
      <w:r>
        <w:rPr>
          <w:rFonts w:ascii="宋体" w:hAnsi="宋体" w:cs="宋体" w:eastAsia="宋体" w:hint="default"/>
        </w:rPr>
        <w:t>BOT</w:t>
      </w:r>
      <w:r>
        <w:rPr/>
        <w:t>、</w:t>
      </w:r>
      <w:r>
        <w:rPr>
          <w:rFonts w:ascii="宋体" w:hAnsi="宋体" w:cs="宋体" w:eastAsia="宋体" w:hint="default"/>
        </w:rPr>
        <w:t>BT</w:t>
      </w:r>
      <w:r>
        <w:rPr/>
        <w:t>、</w:t>
      </w:r>
      <w:r>
        <w:rPr>
          <w:rFonts w:ascii="宋体" w:hAnsi="宋体" w:cs="宋体" w:eastAsia="宋体" w:hint="default"/>
        </w:rPr>
        <w:t>EPC</w:t>
      </w:r>
      <w:r>
        <w:rPr/>
        <w:t>、</w:t>
      </w:r>
      <w:r>
        <w:rPr>
          <w:rFonts w:ascii="宋体" w:hAnsi="宋体" w:cs="宋体" w:eastAsia="宋体" w:hint="default"/>
        </w:rPr>
        <w:t>PPP</w:t>
      </w:r>
      <w:r>
        <w:rPr>
          <w:rFonts w:ascii="宋体" w:hAnsi="宋体" w:cs="宋体" w:eastAsia="宋体" w:hint="default"/>
          <w:spacing w:val="-57"/>
        </w:rPr>
        <w:t> </w:t>
      </w:r>
      <w:r>
        <w:rPr/>
        <w:t>等</w:t>
      </w:r>
    </w:p>
    <w:p>
      <w:pPr>
        <w:pStyle w:val="BodyText"/>
        <w:spacing w:line="272" w:lineRule="exact" w:before="1"/>
        <w:ind w:right="217"/>
        <w:jc w:val="both"/>
      </w:pPr>
      <w:r>
        <w:rPr>
          <w:spacing w:val="-2"/>
        </w:rPr>
        <w:t>多种模式展开基础设施投资项目，但如果政府政策进一步收紧导致政府投入减少，或投资模式的</w:t>
      </w:r>
      <w:r>
        <w:rPr>
          <w:spacing w:val="-25"/>
        </w:rPr>
        <w:t> </w:t>
      </w:r>
      <w:r>
        <w:rPr>
          <w:spacing w:val="-25"/>
        </w:rPr>
      </w:r>
      <w:r>
        <w:rPr>
          <w:spacing w:val="-2"/>
        </w:rPr>
        <w:t>创新不能落地实施，将导致智慧城市投入减少，在建项目的建设进度亦将放缓。智慧城市建设是</w:t>
      </w:r>
    </w:p>
    <w:p>
      <w:pPr>
        <w:pStyle w:val="BodyText"/>
        <w:spacing w:line="272" w:lineRule="exact" w:before="1"/>
        <w:ind w:right="217"/>
        <w:jc w:val="both"/>
      </w:pPr>
      <w:r>
        <w:rPr>
          <w:spacing w:val="-2"/>
        </w:rPr>
        <w:t>大规模化的信息系统集成项目，前期投入较大，倘若公司筹集资金不足，将对公司的资金产生较</w:t>
      </w:r>
      <w:r>
        <w:rPr>
          <w:spacing w:val="-25"/>
        </w:rPr>
        <w:t> </w:t>
      </w:r>
      <w:r>
        <w:rPr>
          <w:spacing w:val="-25"/>
        </w:rPr>
      </w:r>
      <w:r>
        <w:rPr/>
        <w:t>大压力，对公司转型发展智慧城市相关业务造成不利影响。</w:t>
      </w:r>
    </w:p>
    <w:p>
      <w:pPr>
        <w:pStyle w:val="BodyText"/>
        <w:spacing w:line="246" w:lineRule="exact"/>
        <w:ind w:left="558" w:right="97"/>
        <w:jc w:val="left"/>
      </w:pPr>
      <w:r>
        <w:rPr>
          <w:rFonts w:ascii="宋体" w:hAnsi="宋体" w:cs="宋体" w:eastAsia="宋体" w:hint="default"/>
        </w:rPr>
        <w:t>5</w:t>
      </w:r>
      <w:r>
        <w:rPr/>
        <w:t>、市场竞争风险</w:t>
      </w:r>
    </w:p>
    <w:p>
      <w:pPr>
        <w:pStyle w:val="BodyText"/>
        <w:spacing w:line="272" w:lineRule="exact"/>
        <w:ind w:left="558" w:right="97"/>
        <w:jc w:val="left"/>
      </w:pPr>
      <w:r>
        <w:rPr>
          <w:w w:val="100"/>
        </w:rPr>
        <w:t>智慧</w:t>
      </w:r>
      <w:r>
        <w:rPr>
          <w:spacing w:val="-3"/>
          <w:w w:val="100"/>
        </w:rPr>
        <w:t>城</w:t>
      </w:r>
      <w:r>
        <w:rPr>
          <w:w w:val="100"/>
        </w:rPr>
        <w:t>市</w:t>
      </w:r>
      <w:r>
        <w:rPr>
          <w:spacing w:val="-3"/>
          <w:w w:val="100"/>
        </w:rPr>
        <w:t>经</w:t>
      </w:r>
      <w:r>
        <w:rPr>
          <w:w w:val="100"/>
        </w:rPr>
        <w:t>历</w:t>
      </w:r>
      <w:r>
        <w:rPr>
          <w:spacing w:val="-77"/>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3-15</w:t>
      </w:r>
      <w:r>
        <w:rPr>
          <w:rFonts w:ascii="宋体" w:hAnsi="宋体" w:cs="宋体" w:eastAsia="宋体" w:hint="default"/>
          <w:spacing w:val="-79"/>
        </w:rPr>
        <w:t> </w:t>
      </w:r>
      <w:r>
        <w:rPr>
          <w:spacing w:val="-3"/>
          <w:w w:val="100"/>
        </w:rPr>
        <w:t>年</w:t>
      </w:r>
      <w:r>
        <w:rPr>
          <w:w w:val="100"/>
        </w:rPr>
        <w:t>的试</w:t>
      </w:r>
      <w:r>
        <w:rPr>
          <w:spacing w:val="-3"/>
          <w:w w:val="100"/>
        </w:rPr>
        <w:t>点</w:t>
      </w:r>
      <w:r>
        <w:rPr>
          <w:w w:val="100"/>
        </w:rPr>
        <w:t>报</w:t>
      </w:r>
      <w:r>
        <w:rPr>
          <w:spacing w:val="-3"/>
          <w:w w:val="100"/>
        </w:rPr>
        <w:t>批</w:t>
      </w:r>
      <w:r>
        <w:rPr>
          <w:w w:val="100"/>
        </w:rPr>
        <w:t>及</w:t>
      </w:r>
      <w:r>
        <w:rPr>
          <w:spacing w:val="-3"/>
          <w:w w:val="100"/>
        </w:rPr>
        <w:t>规</w:t>
      </w:r>
      <w:r>
        <w:rPr>
          <w:w w:val="100"/>
        </w:rPr>
        <w:t>划</w:t>
      </w:r>
      <w:r>
        <w:rPr>
          <w:spacing w:val="-3"/>
          <w:w w:val="100"/>
        </w:rPr>
        <w:t>高</w:t>
      </w:r>
      <w:r>
        <w:rPr>
          <w:w w:val="100"/>
        </w:rPr>
        <w:t>峰</w:t>
      </w:r>
      <w:r>
        <w:rPr>
          <w:spacing w:val="-3"/>
          <w:w w:val="100"/>
        </w:rPr>
        <w:t>期</w:t>
      </w:r>
      <w:r>
        <w:rPr>
          <w:spacing w:val="-108"/>
          <w:w w:val="100"/>
        </w:rPr>
        <w:t>，</w:t>
      </w:r>
      <w:r>
        <w:rPr>
          <w:w w:val="100"/>
        </w:rPr>
        <w:t>迎来</w:t>
      </w:r>
      <w:r>
        <w:rPr>
          <w:spacing w:val="-77"/>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6</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77"/>
        </w:rPr>
        <w:t> </w:t>
      </w:r>
      <w:r>
        <w:rPr>
          <w:spacing w:val="-3"/>
          <w:w w:val="100"/>
        </w:rPr>
        <w:t>年</w:t>
      </w:r>
      <w:r>
        <w:rPr>
          <w:w w:val="100"/>
        </w:rPr>
        <w:t>规</w:t>
      </w:r>
      <w:r>
        <w:rPr>
          <w:spacing w:val="-3"/>
          <w:w w:val="100"/>
        </w:rPr>
        <w:t>划初</w:t>
      </w:r>
      <w:r>
        <w:rPr>
          <w:w w:val="100"/>
        </w:rPr>
        <w:t>步落</w:t>
      </w:r>
      <w:r>
        <w:rPr>
          <w:spacing w:val="-3"/>
          <w:w w:val="100"/>
        </w:rPr>
        <w:t>地</w:t>
      </w:r>
      <w:r>
        <w:rPr>
          <w:w w:val="100"/>
        </w:rPr>
        <w:t>的</w:t>
      </w:r>
      <w:r>
        <w:rPr>
          <w:spacing w:val="-3"/>
          <w:w w:val="100"/>
        </w:rPr>
        <w:t>阶</w:t>
      </w:r>
      <w:r>
        <w:rPr>
          <w:w w:val="100"/>
        </w:rPr>
        <w:t>段，</w:t>
      </w:r>
    </w:p>
    <w:p>
      <w:pPr>
        <w:pStyle w:val="BodyText"/>
        <w:spacing w:line="237" w:lineRule="auto"/>
        <w:ind w:right="210"/>
        <w:jc w:val="both"/>
      </w:pPr>
      <w:r>
        <w:rPr>
          <w:spacing w:val="-7"/>
        </w:rPr>
        <w:t>由于第一批、第二批</w:t>
      </w:r>
      <w:r>
        <w:rPr>
          <w:spacing w:val="-36"/>
        </w:rPr>
        <w:t> </w:t>
      </w:r>
      <w:r>
        <w:rPr>
          <w:rFonts w:ascii="宋体" w:hAnsi="宋体" w:cs="宋体" w:eastAsia="宋体" w:hint="default"/>
        </w:rPr>
        <w:t>193</w:t>
      </w:r>
      <w:r>
        <w:rPr>
          <w:rFonts w:ascii="宋体" w:hAnsi="宋体" w:cs="宋体" w:eastAsia="宋体" w:hint="default"/>
          <w:spacing w:val="-39"/>
        </w:rPr>
        <w:t> </w:t>
      </w:r>
      <w:r>
        <w:rPr>
          <w:spacing w:val="-4"/>
        </w:rPr>
        <w:t>个试点城市中目前大部分尚处于规划阶段，且第三批新批复了</w:t>
      </w:r>
      <w:r>
        <w:rPr>
          <w:spacing w:val="-36"/>
        </w:rPr>
        <w:t> </w:t>
      </w:r>
      <w:r>
        <w:rPr>
          <w:rFonts w:ascii="宋体" w:hAnsi="宋体" w:cs="宋体" w:eastAsia="宋体" w:hint="default"/>
        </w:rPr>
        <w:t>83</w:t>
      </w:r>
      <w:r>
        <w:rPr>
          <w:rFonts w:ascii="宋体" w:hAnsi="宋体" w:cs="宋体" w:eastAsia="宋体" w:hint="default"/>
          <w:spacing w:val="-39"/>
        </w:rPr>
        <w:t> </w:t>
      </w:r>
      <w:r>
        <w:rPr/>
        <w:t>个试点</w:t>
      </w:r>
      <w:r>
        <w:rPr>
          <w:spacing w:val="-99"/>
        </w:rPr>
        <w:t> </w:t>
      </w:r>
      <w:r>
        <w:rPr>
          <w:spacing w:val="-99"/>
        </w:rPr>
      </w:r>
      <w:r>
        <w:rPr>
          <w:spacing w:val="-2"/>
        </w:rPr>
        <w:t>城市，行业投资增速显著提升。智慧城市产业趋势明显，但由于业务尚未形成标准模式，市场竞</w:t>
      </w:r>
      <w:r>
        <w:rPr>
          <w:spacing w:val="-25"/>
        </w:rPr>
        <w:t> </w:t>
      </w:r>
      <w:r>
        <w:rPr>
          <w:spacing w:val="-25"/>
        </w:rPr>
      </w:r>
      <w:r>
        <w:rPr>
          <w:spacing w:val="-2"/>
        </w:rPr>
        <w:t>争尚未形成基本格局，智慧城市业务面临的市场竞争也较为激烈。目前公司尚处于业务转型期，</w:t>
      </w:r>
      <w:r>
        <w:rPr>
          <w:spacing w:val="-25"/>
        </w:rPr>
        <w:t> </w:t>
      </w:r>
      <w:r>
        <w:rPr>
          <w:spacing w:val="-25"/>
        </w:rPr>
      </w:r>
      <w:r>
        <w:rPr/>
        <w:t>与国外智慧城市领域的领先者</w:t>
      </w:r>
      <w:r>
        <w:rPr>
          <w:spacing w:val="-55"/>
        </w:rPr>
        <w:t> </w:t>
      </w:r>
      <w:r>
        <w:rPr>
          <w:rFonts w:ascii="宋体" w:hAnsi="宋体" w:cs="宋体" w:eastAsia="宋体" w:hint="default"/>
        </w:rPr>
        <w:t>IBM</w:t>
      </w:r>
      <w:r>
        <w:rPr>
          <w:rFonts w:ascii="宋体" w:hAnsi="宋体" w:cs="宋体" w:eastAsia="宋体" w:hint="default"/>
          <w:spacing w:val="-55"/>
        </w:rPr>
        <w:t> </w:t>
      </w:r>
      <w:r>
        <w:rPr/>
        <w:t>等无论在技术研发环境还是产品成熟度上都有一定差距；相比</w:t>
      </w:r>
      <w:r>
        <w:rPr>
          <w:w w:val="100"/>
        </w:rPr>
        <w:t> </w:t>
      </w:r>
      <w:r>
        <w:rPr/>
        <w:t>国内智慧城市服务提供商在市场规模及资金实力上也有一定差距。</w:t>
      </w:r>
    </w:p>
    <w:p>
      <w:pPr>
        <w:pStyle w:val="BodyText"/>
        <w:spacing w:line="237" w:lineRule="auto" w:before="1"/>
        <w:ind w:right="217" w:firstLine="419"/>
        <w:jc w:val="both"/>
      </w:pPr>
      <w:r>
        <w:rPr>
          <w:spacing w:val="-2"/>
        </w:rPr>
        <w:t>智慧城市市场处于快速发展阶段，市场竞争来自方方面面，如不能在先期完成团队搭建、资</w:t>
      </w:r>
      <w:r>
        <w:rPr>
          <w:w w:val="100"/>
        </w:rPr>
        <w:t> </w:t>
      </w:r>
      <w:r>
        <w:rPr>
          <w:spacing w:val="-2"/>
        </w:rPr>
        <w:t>金储备、框架协议签订等事项并在规划阶段占得先发优势，公司在后续业务开拓及改造升级等增</w:t>
      </w:r>
      <w:r>
        <w:rPr>
          <w:spacing w:val="-25"/>
        </w:rPr>
        <w:t> </w:t>
      </w:r>
      <w:r>
        <w:rPr>
          <w:spacing w:val="-25"/>
        </w:rPr>
      </w:r>
      <w:r>
        <w:rPr/>
        <w:t>值服务中将会面临更为激烈的市场竞争。</w:t>
      </w:r>
    </w:p>
    <w:p>
      <w:pPr>
        <w:pStyle w:val="BodyText"/>
        <w:spacing w:line="274" w:lineRule="exact" w:before="22"/>
        <w:ind w:left="558" w:right="97"/>
        <w:jc w:val="left"/>
      </w:pPr>
      <w:r>
        <w:rPr>
          <w:rFonts w:ascii="宋体" w:hAnsi="宋体" w:cs="宋体" w:eastAsia="宋体" w:hint="default"/>
        </w:rPr>
        <w:t>6</w:t>
      </w:r>
      <w:r>
        <w:rPr/>
        <w:t>、管理风险</w:t>
      </w:r>
      <w:r>
        <w:rPr>
          <w:w w:val="100"/>
        </w:rPr>
        <w:t> </w:t>
      </w:r>
      <w:r>
        <w:rPr>
          <w:spacing w:val="-2"/>
        </w:rPr>
        <w:t>公司已建立起比较完善的法人治理结构及公司管理制度，主营业务战略规划正在转型调整并</w:t>
      </w:r>
    </w:p>
    <w:p>
      <w:pPr>
        <w:pStyle w:val="BodyText"/>
        <w:spacing w:line="245" w:lineRule="exact"/>
        <w:ind w:right="0"/>
        <w:jc w:val="both"/>
      </w:pPr>
      <w:r>
        <w:rPr/>
        <w:t>不断完善，引入新的人员团队开展业务，公司的经营规模正迅速扩大，也使公司经营决策、运作</w:t>
      </w:r>
    </w:p>
    <w:p>
      <w:pPr>
        <w:pStyle w:val="BodyText"/>
        <w:spacing w:line="237" w:lineRule="auto" w:before="2"/>
        <w:ind w:right="217"/>
        <w:jc w:val="both"/>
      </w:pPr>
      <w:r>
        <w:rPr>
          <w:spacing w:val="-2"/>
        </w:rPr>
        <w:t>管理、风险控制的难度有所增加，对公司的管理架构、管理人员素质、管理方式等提出了更高的</w:t>
      </w:r>
      <w:r>
        <w:rPr>
          <w:spacing w:val="-25"/>
        </w:rPr>
        <w:t> </w:t>
      </w:r>
      <w:r>
        <w:rPr>
          <w:spacing w:val="-25"/>
        </w:rPr>
      </w:r>
      <w:r>
        <w:rPr>
          <w:spacing w:val="-2"/>
        </w:rPr>
        <w:t>要求，如实际控制人及其经营管理团队不能有效建立适应公司发展的管理体系，可能会给公司的</w:t>
      </w:r>
      <w:r>
        <w:rPr>
          <w:spacing w:val="-25"/>
        </w:rPr>
        <w:t> </w:t>
      </w:r>
      <w:r>
        <w:rPr>
          <w:spacing w:val="-25"/>
        </w:rPr>
      </w:r>
      <w:r>
        <w:rPr/>
        <w:t>未来经营发展带来一定的影响。</w:t>
      </w:r>
    </w:p>
    <w:p>
      <w:pPr>
        <w:spacing w:line="240" w:lineRule="auto" w:before="4"/>
        <w:rPr>
          <w:rFonts w:ascii="宋体" w:hAnsi="宋体" w:cs="宋体" w:eastAsia="宋体" w:hint="default"/>
          <w:sz w:val="25"/>
          <w:szCs w:val="25"/>
        </w:rPr>
      </w:pPr>
    </w:p>
    <w:p>
      <w:pPr>
        <w:pStyle w:val="Heading3"/>
        <w:spacing w:line="240" w:lineRule="auto"/>
        <w:ind w:left="138" w:right="0"/>
        <w:jc w:val="both"/>
        <w:rPr>
          <w:b w:val="0"/>
          <w:bCs w:val="0"/>
        </w:rPr>
      </w:pPr>
      <w:r>
        <w:rPr/>
        <w:t>四、公司因不适用准则规定或特殊原因，未按准则披露的情况和原因说明</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1"/>
        <w:rPr>
          <w:rFonts w:ascii="宋体" w:hAnsi="宋体" w:cs="宋体" w:eastAsia="宋体" w:hint="default"/>
          <w:sz w:val="24"/>
          <w:szCs w:val="24"/>
        </w:rPr>
      </w:pPr>
    </w:p>
    <w:p>
      <w:pPr>
        <w:pStyle w:val="Heading1"/>
        <w:tabs>
          <w:tab w:pos="1259" w:val="left" w:leader="none"/>
        </w:tabs>
        <w:spacing w:line="240" w:lineRule="auto"/>
        <w:ind w:right="7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3"/>
        <w:spacing w:line="240" w:lineRule="auto"/>
        <w:ind w:left="138" w:right="0"/>
        <w:jc w:val="both"/>
        <w:rPr>
          <w:b w:val="0"/>
          <w:bCs w:val="0"/>
        </w:rPr>
      </w:pPr>
      <w:r>
        <w:rPr/>
        <w:t>一、普通股利润分配或资本公积金转增预案</w:t>
      </w:r>
      <w:r>
        <w:rPr>
          <w:b w:val="0"/>
          <w:bCs w:val="0"/>
        </w:rPr>
      </w:r>
    </w:p>
    <w:p>
      <w:pPr>
        <w:pStyle w:val="Heading3"/>
        <w:spacing w:line="240" w:lineRule="auto" w:before="56"/>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32" w:lineRule="auto" w:before="39"/>
        <w:ind w:right="207" w:firstLine="419"/>
        <w:jc w:val="both"/>
      </w:pPr>
      <w:r>
        <w:rPr/>
        <w:t>为了建立健全公司的股东回报机制</w:t>
      </w:r>
      <w:r>
        <w:rPr>
          <w:rFonts w:ascii="宋体" w:hAnsi="宋体" w:cs="宋体" w:eastAsia="宋体" w:hint="default"/>
        </w:rPr>
        <w:t>, </w:t>
      </w:r>
      <w:r>
        <w:rPr/>
        <w:t>增加利润分配政策决策透明度和可操作性</w:t>
      </w:r>
      <w:r>
        <w:rPr>
          <w:rFonts w:ascii="宋体" w:hAnsi="宋体" w:cs="宋体" w:eastAsia="宋体" w:hint="default"/>
        </w:rPr>
        <w:t>,</w:t>
      </w:r>
      <w:r>
        <w:rPr>
          <w:rFonts w:ascii="宋体" w:hAnsi="宋体" w:cs="宋体" w:eastAsia="宋体" w:hint="default"/>
          <w:spacing w:val="-3"/>
        </w:rPr>
        <w:t> </w:t>
      </w:r>
      <w:r>
        <w:rPr/>
        <w:t>积极回报投</w:t>
      </w:r>
      <w:r>
        <w:rPr>
          <w:w w:val="100"/>
        </w:rPr>
        <w:t> </w:t>
      </w:r>
      <w:r>
        <w:rPr/>
        <w:t>资者</w:t>
      </w:r>
      <w:r>
        <w:rPr>
          <w:rFonts w:ascii="宋体" w:hAnsi="宋体" w:cs="宋体" w:eastAsia="宋体" w:hint="default"/>
        </w:rPr>
        <w:t>,</w:t>
      </w:r>
      <w:r>
        <w:rPr>
          <w:rFonts w:ascii="宋体" w:hAnsi="宋体" w:cs="宋体" w:eastAsia="宋体" w:hint="default"/>
          <w:spacing w:val="-4"/>
        </w:rPr>
        <w:t> </w:t>
      </w:r>
      <w:r>
        <w:rPr/>
        <w:t>根据《公司法》、《公司章程》以及中国证券监督管理委员会《关于进一步落实上市公司</w:t>
      </w:r>
      <w:r>
        <w:rPr>
          <w:w w:val="100"/>
        </w:rPr>
        <w:t> </w:t>
      </w:r>
      <w:r>
        <w:rPr>
          <w:spacing w:val="-4"/>
        </w:rPr>
        <w:t>现金分红有关事项的通知》、《上市公司监管指引第</w:t>
      </w:r>
      <w:r>
        <w:rPr>
          <w:rFonts w:ascii="宋体" w:hAnsi="宋体" w:cs="宋体" w:eastAsia="宋体" w:hint="default"/>
          <w:spacing w:val="-4"/>
        </w:rPr>
        <w:t>3</w:t>
      </w:r>
      <w:r>
        <w:rPr>
          <w:spacing w:val="-4"/>
        </w:rPr>
        <w:t>号</w:t>
      </w:r>
      <w:r>
        <w:rPr>
          <w:rFonts w:ascii="Calibri" w:hAnsi="Calibri" w:cs="Calibri" w:eastAsia="Calibri" w:hint="default"/>
          <w:spacing w:val="-4"/>
        </w:rPr>
        <w:t>—</w:t>
      </w:r>
      <w:r>
        <w:rPr>
          <w:spacing w:val="-4"/>
        </w:rPr>
        <w:t>上市公司现金分红》的相关规定</w:t>
      </w:r>
      <w:r>
        <w:rPr>
          <w:rFonts w:ascii="宋体" w:hAnsi="宋体" w:cs="宋体" w:eastAsia="宋体" w:hint="default"/>
          <w:spacing w:val="-4"/>
        </w:rPr>
        <w:t>,</w:t>
      </w:r>
      <w:r>
        <w:rPr>
          <w:rFonts w:ascii="宋体" w:hAnsi="宋体" w:cs="宋体" w:eastAsia="宋体" w:hint="default"/>
          <w:spacing w:val="69"/>
        </w:rPr>
        <w:t> </w:t>
      </w:r>
      <w:r>
        <w:rPr>
          <w:spacing w:val="-3"/>
        </w:rPr>
        <w:t>公司</w:t>
      </w:r>
      <w:r>
        <w:rPr>
          <w:spacing w:val="-89"/>
        </w:rPr>
        <w:t> </w:t>
      </w:r>
      <w:r>
        <w:rPr>
          <w:spacing w:val="-2"/>
        </w:rPr>
        <w:t>董事会综合公司所处行业特征、公司发展战略和经营计划、股东回报、社会资金成本以及外部融</w:t>
      </w:r>
      <w:r>
        <w:rPr>
          <w:spacing w:val="-25"/>
        </w:rPr>
        <w:t> </w:t>
      </w:r>
      <w:r>
        <w:rPr>
          <w:spacing w:val="-25"/>
        </w:rPr>
      </w:r>
      <w:r>
        <w:rPr/>
        <w:t>资环境等因素</w:t>
      </w:r>
      <w:r>
        <w:rPr>
          <w:rFonts w:ascii="宋体" w:hAnsi="宋体" w:cs="宋体" w:eastAsia="宋体" w:hint="default"/>
        </w:rPr>
        <w:t>,</w:t>
      </w:r>
      <w:r>
        <w:rPr>
          <w:rFonts w:ascii="宋体" w:hAnsi="宋体" w:cs="宋体" w:eastAsia="宋体" w:hint="default"/>
          <w:spacing w:val="-8"/>
        </w:rPr>
        <w:t> </w:t>
      </w:r>
      <w:r>
        <w:rPr/>
        <w:t>经第七届董事会第三十一次会议、</w:t>
      </w:r>
      <w:r>
        <w:rPr>
          <w:rFonts w:ascii="宋体" w:hAnsi="宋体" w:cs="宋体" w:eastAsia="宋体" w:hint="default"/>
        </w:rPr>
        <w:t>2014</w:t>
      </w:r>
      <w:r>
        <w:rPr/>
        <w:t>年第一次临时股东大会审议通过，对《公</w:t>
      </w:r>
      <w:r>
        <w:rPr>
          <w:w w:val="100"/>
        </w:rPr>
        <w:t> </w:t>
      </w:r>
      <w:r>
        <w:rPr>
          <w:spacing w:val="-4"/>
        </w:rPr>
        <w:t>司章程》中利润分配政策条款进行了修订，同时制定了《公司未来三年</w:t>
      </w:r>
      <w:r>
        <w:rPr>
          <w:rFonts w:ascii="宋体" w:hAnsi="宋体" w:cs="宋体" w:eastAsia="宋体" w:hint="default"/>
          <w:spacing w:val="-4"/>
        </w:rPr>
        <w:t>(2014-2016</w:t>
      </w:r>
      <w:r>
        <w:rPr>
          <w:spacing w:val="-4"/>
        </w:rPr>
        <w:t>年度</w:t>
      </w:r>
      <w:r>
        <w:rPr>
          <w:rFonts w:ascii="宋体" w:hAnsi="宋体" w:cs="宋体" w:eastAsia="宋体" w:hint="default"/>
          <w:spacing w:val="-4"/>
        </w:rPr>
        <w:t>)</w:t>
      </w:r>
      <w:r>
        <w:rPr>
          <w:spacing w:val="-4"/>
        </w:rPr>
        <w:t>股东回报</w:t>
      </w:r>
    </w:p>
    <w:p>
      <w:pPr>
        <w:spacing w:after="0" w:line="232" w:lineRule="auto"/>
        <w:jc w:val="both"/>
        <w:sectPr>
          <w:footerReference w:type="default" r:id="rId33"/>
          <w:pgSz w:w="11910" w:h="16840"/>
          <w:pgMar w:footer="1195" w:header="0" w:top="1120" w:bottom="1380" w:left="1660" w:right="1060"/>
          <w:pgNumType w:start="31"/>
        </w:sectPr>
      </w:pPr>
    </w:p>
    <w:p>
      <w:pPr>
        <w:spacing w:line="240" w:lineRule="auto" w:before="4"/>
        <w:rPr>
          <w:rFonts w:ascii="宋体" w:hAnsi="宋体" w:cs="宋体" w:eastAsia="宋体" w:hint="default"/>
          <w:sz w:val="25"/>
          <w:szCs w:val="25"/>
        </w:rPr>
      </w:pPr>
    </w:p>
    <w:p>
      <w:pPr>
        <w:pStyle w:val="BodyText"/>
        <w:spacing w:line="274" w:lineRule="exact" w:before="36"/>
        <w:ind w:right="123"/>
        <w:jc w:val="left"/>
      </w:pPr>
      <w:r>
        <w:rPr/>
        <w:t>规划》，目前公司的利润分配政策为：</w:t>
      </w:r>
    </w:p>
    <w:p>
      <w:pPr>
        <w:pStyle w:val="BodyText"/>
        <w:spacing w:line="272" w:lineRule="exact"/>
        <w:ind w:left="558" w:right="123"/>
        <w:jc w:val="left"/>
      </w:pPr>
      <w:r>
        <w:rPr/>
        <w:t>（一）公司利润分配政策的研究论证程序和决策机制</w:t>
      </w:r>
    </w:p>
    <w:p>
      <w:pPr>
        <w:pStyle w:val="BodyText"/>
        <w:spacing w:line="240" w:lineRule="auto"/>
        <w:ind w:right="132" w:firstLine="419"/>
        <w:jc w:val="left"/>
      </w:pPr>
      <w:r>
        <w:rPr/>
        <w:t>公司制订或修改利润分配政策时</w:t>
      </w:r>
      <w:r>
        <w:rPr>
          <w:rFonts w:ascii="宋体" w:hAnsi="宋体" w:cs="宋体" w:eastAsia="宋体" w:hint="default"/>
        </w:rPr>
        <w:t>, </w:t>
      </w:r>
      <w:r>
        <w:rPr/>
        <w:t>应当以股东利益为出发点</w:t>
      </w:r>
      <w:r>
        <w:rPr>
          <w:rFonts w:ascii="宋体" w:hAnsi="宋体" w:cs="宋体" w:eastAsia="宋体" w:hint="default"/>
        </w:rPr>
        <w:t>,</w:t>
      </w:r>
      <w:r>
        <w:rPr>
          <w:rFonts w:ascii="宋体" w:hAnsi="宋体" w:cs="宋体" w:eastAsia="宋体" w:hint="default"/>
          <w:spacing w:val="-3"/>
        </w:rPr>
        <w:t> </w:t>
      </w:r>
      <w:r>
        <w:rPr/>
        <w:t>注重对投资者利益的保护并给</w:t>
      </w:r>
      <w:r>
        <w:rPr>
          <w:w w:val="100"/>
        </w:rPr>
        <w:t> </w:t>
      </w:r>
      <w:r>
        <w:rPr/>
        <w:t>予投资者稳定回报</w:t>
      </w:r>
      <w:r>
        <w:rPr>
          <w:rFonts w:ascii="宋体" w:hAnsi="宋体" w:cs="宋体" w:eastAsia="宋体" w:hint="default"/>
        </w:rPr>
        <w:t>, </w:t>
      </w:r>
      <w:r>
        <w:rPr/>
        <w:t>由董事会充分论证</w:t>
      </w:r>
      <w:r>
        <w:rPr>
          <w:rFonts w:ascii="宋体" w:hAnsi="宋体" w:cs="宋体" w:eastAsia="宋体" w:hint="default"/>
        </w:rPr>
        <w:t>; </w:t>
      </w:r>
      <w:r>
        <w:rPr/>
        <w:t>若修改利润分配政策</w:t>
      </w:r>
      <w:r>
        <w:rPr>
          <w:rFonts w:ascii="宋体" w:hAnsi="宋体" w:cs="宋体" w:eastAsia="宋体" w:hint="default"/>
        </w:rPr>
        <w:t>,</w:t>
      </w:r>
      <w:r>
        <w:rPr>
          <w:rFonts w:ascii="宋体" w:hAnsi="宋体" w:cs="宋体" w:eastAsia="宋体" w:hint="default"/>
          <w:spacing w:val="-6"/>
        </w:rPr>
        <w:t> </w:t>
      </w:r>
      <w:r>
        <w:rPr/>
        <w:t>应详细论证其原因及合理性。</w:t>
      </w:r>
    </w:p>
    <w:p>
      <w:pPr>
        <w:pStyle w:val="BodyText"/>
        <w:spacing w:line="274" w:lineRule="exact" w:before="22"/>
        <w:ind w:left="558" w:right="123"/>
        <w:jc w:val="left"/>
      </w:pPr>
      <w:r>
        <w:rPr/>
        <w:t>公司制订或修改利润分配政策时</w:t>
      </w:r>
      <w:r>
        <w:rPr>
          <w:rFonts w:ascii="宋体" w:hAnsi="宋体" w:cs="宋体" w:eastAsia="宋体" w:hint="default"/>
        </w:rPr>
        <w:t>,</w:t>
      </w:r>
      <w:r>
        <w:rPr>
          <w:rFonts w:ascii="宋体" w:hAnsi="宋体" w:cs="宋体" w:eastAsia="宋体" w:hint="default"/>
          <w:spacing w:val="-1"/>
        </w:rPr>
        <w:t> </w:t>
      </w:r>
      <w:r>
        <w:rPr/>
        <w:t>独立董事应发表独立意见。</w:t>
      </w:r>
      <w:r>
        <w:rPr>
          <w:w w:val="100"/>
        </w:rPr>
        <w:t> </w:t>
      </w:r>
      <w:r>
        <w:rPr>
          <w:spacing w:val="-2"/>
        </w:rPr>
        <w:t>公司制订或修改利润分配政策时应通过公司网站、公众信箱或者来访接待等渠道充分听取中</w:t>
      </w:r>
    </w:p>
    <w:p>
      <w:pPr>
        <w:pStyle w:val="BodyText"/>
        <w:spacing w:line="245" w:lineRule="exact"/>
        <w:ind w:right="0"/>
        <w:jc w:val="left"/>
      </w:pPr>
      <w:r>
        <w:rPr/>
        <w:t>小股东的意见和诉求</w:t>
      </w:r>
      <w:r>
        <w:rPr>
          <w:rFonts w:ascii="宋体" w:hAnsi="宋体" w:cs="宋体" w:eastAsia="宋体" w:hint="default"/>
        </w:rPr>
        <w:t>,</w:t>
      </w:r>
      <w:r>
        <w:rPr>
          <w:rFonts w:ascii="宋体" w:hAnsi="宋体" w:cs="宋体" w:eastAsia="宋体" w:hint="default"/>
          <w:spacing w:val="-3"/>
        </w:rPr>
        <w:t> </w:t>
      </w:r>
      <w:r>
        <w:rPr/>
        <w:t>并及时答复中小股东关心的问题。与中小股东的上述交流和沟通应当形成</w:t>
      </w:r>
    </w:p>
    <w:p>
      <w:pPr>
        <w:pStyle w:val="BodyText"/>
        <w:spacing w:line="272" w:lineRule="exact"/>
        <w:ind w:right="123"/>
        <w:jc w:val="left"/>
      </w:pPr>
      <w:r>
        <w:rPr/>
        <w:t>记录。</w:t>
      </w:r>
    </w:p>
    <w:p>
      <w:pPr>
        <w:pStyle w:val="BodyText"/>
        <w:spacing w:line="237" w:lineRule="auto"/>
        <w:ind w:right="132" w:firstLine="419"/>
        <w:jc w:val="left"/>
      </w:pPr>
      <w:r>
        <w:rPr/>
        <w:t>公司利润分配政策的变更</w:t>
      </w:r>
      <w:r>
        <w:rPr>
          <w:rFonts w:ascii="宋体" w:hAnsi="宋体" w:cs="宋体" w:eastAsia="宋体" w:hint="default"/>
        </w:rPr>
        <w:t>:</w:t>
      </w:r>
      <w:r>
        <w:rPr>
          <w:rFonts w:ascii="宋体" w:hAnsi="宋体" w:cs="宋体" w:eastAsia="宋体" w:hint="default"/>
          <w:spacing w:val="-8"/>
        </w:rPr>
        <w:t> </w:t>
      </w:r>
      <w:r>
        <w:rPr/>
        <w:t>根据生产经营情况、投资规划、长期发展的需要以及外部经营环</w:t>
      </w:r>
      <w:r>
        <w:rPr>
          <w:w w:val="100"/>
        </w:rPr>
        <w:t> </w:t>
      </w:r>
      <w:r>
        <w:rPr/>
        <w:t>境</w:t>
      </w:r>
      <w:r>
        <w:rPr>
          <w:rFonts w:ascii="宋体" w:hAnsi="宋体" w:cs="宋体" w:eastAsia="宋体" w:hint="default"/>
        </w:rPr>
        <w:t>, </w:t>
      </w:r>
      <w:r>
        <w:rPr/>
        <w:t>确有必要对本章程确定的利润分配政策进行调整或者变更的</w:t>
      </w:r>
      <w:r>
        <w:rPr>
          <w:rFonts w:ascii="宋体" w:hAnsi="宋体" w:cs="宋体" w:eastAsia="宋体" w:hint="default"/>
        </w:rPr>
        <w:t>,</w:t>
      </w:r>
      <w:r>
        <w:rPr>
          <w:rFonts w:ascii="宋体" w:hAnsi="宋体" w:cs="宋体" w:eastAsia="宋体" w:hint="default"/>
          <w:spacing w:val="-5"/>
        </w:rPr>
        <w:t> </w:t>
      </w:r>
      <w:r>
        <w:rPr/>
        <w:t>由董事会将调整或变更议案提</w:t>
      </w:r>
      <w:r>
        <w:rPr>
          <w:w w:val="100"/>
        </w:rPr>
        <w:t> </w:t>
      </w:r>
      <w:r>
        <w:rPr/>
        <w:t>交股东大会审议决定</w:t>
      </w:r>
      <w:r>
        <w:rPr>
          <w:rFonts w:ascii="宋体" w:hAnsi="宋体" w:cs="宋体" w:eastAsia="宋体" w:hint="default"/>
        </w:rPr>
        <w:t>, </w:t>
      </w:r>
      <w:r>
        <w:rPr/>
        <w:t>独立董事应当对此发表独立意见。其中</w:t>
      </w:r>
      <w:r>
        <w:rPr>
          <w:rFonts w:ascii="宋体" w:hAnsi="宋体" w:cs="宋体" w:eastAsia="宋体" w:hint="default"/>
        </w:rPr>
        <w:t>,</w:t>
      </w:r>
      <w:r>
        <w:rPr>
          <w:rFonts w:ascii="宋体" w:hAnsi="宋体" w:cs="宋体" w:eastAsia="宋体" w:hint="default"/>
          <w:spacing w:val="-4"/>
        </w:rPr>
        <w:t> </w:t>
      </w:r>
      <w:r>
        <w:rPr/>
        <w:t>现金分红政策的调整议案需经出</w:t>
      </w:r>
      <w:r>
        <w:rPr>
          <w:w w:val="100"/>
        </w:rPr>
        <w:t> </w:t>
      </w:r>
      <w:r>
        <w:rPr/>
        <w:t>席股东大会的股东所持表决权的</w:t>
      </w:r>
      <w:r>
        <w:rPr>
          <w:rFonts w:ascii="宋体" w:hAnsi="宋体" w:cs="宋体" w:eastAsia="宋体" w:hint="default"/>
        </w:rPr>
        <w:t>2/3</w:t>
      </w:r>
      <w:r>
        <w:rPr/>
        <w:t>以上通过</w:t>
      </w:r>
      <w:r>
        <w:rPr>
          <w:rFonts w:ascii="宋体" w:hAnsi="宋体" w:cs="宋体" w:eastAsia="宋体" w:hint="default"/>
        </w:rPr>
        <w:t>,</w:t>
      </w:r>
      <w:r>
        <w:rPr>
          <w:rFonts w:ascii="宋体" w:hAnsi="宋体" w:cs="宋体" w:eastAsia="宋体" w:hint="default"/>
          <w:spacing w:val="-5"/>
        </w:rPr>
        <w:t> </w:t>
      </w:r>
      <w:r>
        <w:rPr/>
        <w:t>调整后的现金分红政策不得违反中国证监会和上</w:t>
      </w:r>
      <w:r>
        <w:rPr>
          <w:w w:val="100"/>
        </w:rPr>
        <w:t> </w:t>
      </w:r>
      <w:r>
        <w:rPr/>
        <w:t>海证券交易所的相关规定。</w:t>
      </w:r>
    </w:p>
    <w:p>
      <w:pPr>
        <w:pStyle w:val="BodyText"/>
        <w:spacing w:line="272" w:lineRule="exact"/>
        <w:ind w:left="558" w:right="123"/>
        <w:jc w:val="left"/>
      </w:pPr>
      <w:r>
        <w:rPr/>
        <w:t>（二）公司的利润分配政策</w:t>
      </w:r>
    </w:p>
    <w:p>
      <w:pPr>
        <w:pStyle w:val="BodyText"/>
        <w:spacing w:line="240" w:lineRule="auto"/>
        <w:ind w:right="132" w:firstLine="419"/>
        <w:jc w:val="left"/>
      </w:pPr>
      <w:r>
        <w:rPr/>
        <w:t>公司的利润分配政策应重视对投资者的合理投资回报</w:t>
      </w:r>
      <w:r>
        <w:rPr>
          <w:rFonts w:ascii="宋体" w:hAnsi="宋体" w:cs="宋体" w:eastAsia="宋体" w:hint="default"/>
        </w:rPr>
        <w:t>,</w:t>
      </w:r>
      <w:r>
        <w:rPr>
          <w:rFonts w:ascii="宋体" w:hAnsi="宋体" w:cs="宋体" w:eastAsia="宋体" w:hint="default"/>
          <w:spacing w:val="-3"/>
        </w:rPr>
        <w:t> </w:t>
      </w:r>
      <w:r>
        <w:rPr/>
        <w:t>应保持连续性和稳定性。利润分配不</w:t>
      </w:r>
      <w:r>
        <w:rPr>
          <w:w w:val="100"/>
        </w:rPr>
        <w:t> </w:t>
      </w:r>
      <w:r>
        <w:rPr/>
        <w:t>得超过累计可分配利润的范围</w:t>
      </w:r>
      <w:r>
        <w:rPr>
          <w:rFonts w:ascii="宋体" w:hAnsi="宋体" w:cs="宋体" w:eastAsia="宋体" w:hint="default"/>
        </w:rPr>
        <w:t>,</w:t>
      </w:r>
      <w:r>
        <w:rPr>
          <w:rFonts w:ascii="宋体" w:hAnsi="宋体" w:cs="宋体" w:eastAsia="宋体" w:hint="default"/>
          <w:spacing w:val="-1"/>
        </w:rPr>
        <w:t> </w:t>
      </w:r>
      <w:r>
        <w:rPr/>
        <w:t>不得损害公司持续经营能力。</w:t>
      </w:r>
    </w:p>
    <w:p>
      <w:pPr>
        <w:pStyle w:val="BodyText"/>
        <w:spacing w:line="274" w:lineRule="exact" w:before="22"/>
        <w:ind w:right="133" w:firstLine="419"/>
        <w:jc w:val="left"/>
      </w:pPr>
      <w:r>
        <w:rPr/>
        <w:t>利润分配形式</w:t>
      </w:r>
      <w:r>
        <w:rPr>
          <w:rFonts w:ascii="宋体" w:hAnsi="宋体" w:cs="宋体" w:eastAsia="宋体" w:hint="default"/>
        </w:rPr>
        <w:t>:</w:t>
      </w:r>
      <w:r>
        <w:rPr>
          <w:rFonts w:ascii="宋体" w:hAnsi="宋体" w:cs="宋体" w:eastAsia="宋体" w:hint="default"/>
          <w:spacing w:val="-4"/>
        </w:rPr>
        <w:t> </w:t>
      </w:r>
      <w:r>
        <w:rPr/>
        <w:t>公司可以采取现金、股票或现金、股票相结合或法律法规许可的其他形式分</w:t>
      </w:r>
      <w:r>
        <w:rPr>
          <w:w w:val="100"/>
        </w:rPr>
        <w:t> </w:t>
      </w:r>
      <w:r>
        <w:rPr/>
        <w:t>配利润。</w:t>
      </w:r>
    </w:p>
    <w:p>
      <w:pPr>
        <w:pStyle w:val="BodyText"/>
        <w:spacing w:line="244" w:lineRule="exact"/>
        <w:ind w:right="0" w:firstLine="419"/>
        <w:jc w:val="left"/>
      </w:pPr>
      <w:r>
        <w:rPr/>
        <w:t>现金分红的具体条件和比例</w:t>
      </w:r>
      <w:r>
        <w:rPr>
          <w:rFonts w:ascii="宋体" w:hAnsi="宋体" w:cs="宋体" w:eastAsia="宋体" w:hint="default"/>
        </w:rPr>
        <w:t>: </w:t>
      </w:r>
      <w:r>
        <w:rPr/>
        <w:t>根据母公司报表</w:t>
      </w:r>
      <w:r>
        <w:rPr>
          <w:rFonts w:ascii="宋体" w:hAnsi="宋体" w:cs="宋体" w:eastAsia="宋体" w:hint="default"/>
        </w:rPr>
        <w:t>,</w:t>
      </w:r>
      <w:r>
        <w:rPr>
          <w:rFonts w:ascii="宋体" w:hAnsi="宋体" w:cs="宋体" w:eastAsia="宋体" w:hint="default"/>
          <w:spacing w:val="-4"/>
        </w:rPr>
        <w:t> </w:t>
      </w:r>
      <w:r>
        <w:rPr/>
        <w:t>公司当年盈利、可供分配利润为正且公司现</w:t>
      </w:r>
    </w:p>
    <w:p>
      <w:pPr>
        <w:pStyle w:val="BodyText"/>
        <w:spacing w:line="240" w:lineRule="auto"/>
        <w:ind w:right="123"/>
        <w:jc w:val="left"/>
      </w:pPr>
      <w:r>
        <w:rPr>
          <w:spacing w:val="-2"/>
          <w:w w:val="100"/>
        </w:rPr>
        <w:t>金流满足公司正常经营和长期发展的前提下</w:t>
      </w:r>
      <w:r>
        <w:rPr>
          <w:rFonts w:ascii="宋体" w:hAnsi="宋体" w:cs="宋体" w:eastAsia="宋体" w:hint="default"/>
          <w:spacing w:val="-2"/>
          <w:w w:val="100"/>
        </w:rPr>
        <w:t>,</w:t>
      </w:r>
      <w:r>
        <w:rPr>
          <w:rFonts w:ascii="宋体" w:hAnsi="宋体" w:cs="宋体" w:eastAsia="宋体" w:hint="default"/>
          <w:spacing w:val="18"/>
          <w:w w:val="100"/>
        </w:rPr>
        <w:t> </w:t>
      </w:r>
      <w:r>
        <w:rPr>
          <w:spacing w:val="-6"/>
          <w:w w:val="100"/>
        </w:rPr>
        <w:t>公司可以进行现金分红。在满足现金分红的条件时</w:t>
      </w:r>
      <w:r>
        <w:rPr>
          <w:rFonts w:ascii="宋体" w:hAnsi="宋体" w:cs="宋体" w:eastAsia="宋体" w:hint="default"/>
          <w:spacing w:val="-6"/>
          <w:w w:val="100"/>
        </w:rPr>
        <w:t>,</w:t>
      </w:r>
      <w:r>
        <w:rPr>
          <w:rFonts w:ascii="宋体" w:hAnsi="宋体" w:cs="宋体" w:eastAsia="宋体" w:hint="default"/>
          <w:spacing w:val="-102"/>
          <w:w w:val="100"/>
        </w:rPr>
        <w:t> </w:t>
      </w:r>
      <w:r>
        <w:rPr/>
        <w:t>公司单一年度以现金方式分配的利润应不少于当年度实现的合并报表可供分配利润的</w:t>
      </w:r>
      <w:r>
        <w:rPr>
          <w:rFonts w:ascii="宋体" w:hAnsi="宋体" w:cs="宋体" w:eastAsia="宋体" w:hint="default"/>
        </w:rPr>
        <w:t>10%</w:t>
      </w:r>
      <w:r>
        <w:rPr/>
        <w:t>。</w:t>
      </w:r>
    </w:p>
    <w:p>
      <w:pPr>
        <w:pStyle w:val="BodyText"/>
        <w:spacing w:line="274" w:lineRule="exact" w:before="22"/>
        <w:ind w:right="123" w:firstLine="419"/>
        <w:jc w:val="left"/>
        <w:rPr>
          <w:rFonts w:ascii="宋体" w:hAnsi="宋体" w:cs="宋体" w:eastAsia="宋体" w:hint="default"/>
        </w:rPr>
      </w:pPr>
      <w:r>
        <w:rPr>
          <w:spacing w:val="-2"/>
        </w:rPr>
        <w:t>公司董事会应当综合考虑所处行业特点、发展阶段、自身经营模式、盈利水平以及是否有重</w:t>
      </w:r>
      <w:r>
        <w:rPr>
          <w:w w:val="100"/>
        </w:rPr>
        <w:t> </w:t>
      </w:r>
      <w:r>
        <w:rPr/>
        <w:t>大资金支出安排等因素</w:t>
      </w:r>
      <w:r>
        <w:rPr>
          <w:rFonts w:ascii="宋体" w:hAnsi="宋体" w:cs="宋体" w:eastAsia="宋体" w:hint="default"/>
        </w:rPr>
        <w:t>, </w:t>
      </w:r>
      <w:r>
        <w:rPr/>
        <w:t>区分下列情形</w:t>
      </w:r>
      <w:r>
        <w:rPr>
          <w:rFonts w:ascii="宋体" w:hAnsi="宋体" w:cs="宋体" w:eastAsia="宋体" w:hint="default"/>
        </w:rPr>
        <w:t>,</w:t>
      </w:r>
      <w:r>
        <w:rPr>
          <w:rFonts w:ascii="宋体" w:hAnsi="宋体" w:cs="宋体" w:eastAsia="宋体" w:hint="default"/>
          <w:spacing w:val="-2"/>
        </w:rPr>
        <w:t> </w:t>
      </w:r>
      <w:r>
        <w:rPr/>
        <w:t>提出具体现金分红政策</w:t>
      </w:r>
      <w:r>
        <w:rPr>
          <w:rFonts w:ascii="宋体" w:hAnsi="宋体" w:cs="宋体" w:eastAsia="宋体" w:hint="default"/>
        </w:rPr>
        <w:t>:</w:t>
      </w:r>
    </w:p>
    <w:p>
      <w:pPr>
        <w:pStyle w:val="BodyText"/>
        <w:spacing w:line="246" w:lineRule="exact"/>
        <w:ind w:left="558" w:right="0"/>
        <w:jc w:val="left"/>
      </w:pPr>
      <w:r>
        <w:rPr/>
        <w:t>公司发展阶段属成熟期且无重大资金支出安排的</w:t>
      </w:r>
      <w:r>
        <w:rPr>
          <w:rFonts w:ascii="宋体" w:hAnsi="宋体" w:cs="宋体" w:eastAsia="宋体" w:hint="default"/>
        </w:rPr>
        <w:t>, </w:t>
      </w:r>
      <w:r>
        <w:rPr/>
        <w:t>进行利润分配时</w:t>
      </w:r>
      <w:r>
        <w:rPr>
          <w:rFonts w:ascii="宋体" w:hAnsi="宋体" w:cs="宋体" w:eastAsia="宋体" w:hint="default"/>
        </w:rPr>
        <w:t>,</w:t>
      </w:r>
      <w:r>
        <w:rPr>
          <w:rFonts w:ascii="宋体" w:hAnsi="宋体" w:cs="宋体" w:eastAsia="宋体" w:hint="default"/>
          <w:spacing w:val="-3"/>
        </w:rPr>
        <w:t> </w:t>
      </w:r>
      <w:r>
        <w:rPr/>
        <w:t>现金分红在本次利润分</w:t>
      </w:r>
    </w:p>
    <w:p>
      <w:pPr>
        <w:pStyle w:val="BodyText"/>
        <w:spacing w:line="273" w:lineRule="exact"/>
        <w:ind w:right="123"/>
        <w:jc w:val="left"/>
        <w:rPr>
          <w:rFonts w:ascii="宋体" w:hAnsi="宋体" w:cs="宋体" w:eastAsia="宋体" w:hint="default"/>
        </w:rPr>
      </w:pPr>
      <w:r>
        <w:rPr/>
        <w:t>配中所占比例最低应达到</w:t>
      </w:r>
      <w:r>
        <w:rPr>
          <w:rFonts w:ascii="宋体" w:hAnsi="宋体" w:cs="宋体" w:eastAsia="宋体" w:hint="default"/>
        </w:rPr>
        <w:t>80%;</w:t>
      </w:r>
    </w:p>
    <w:p>
      <w:pPr>
        <w:pStyle w:val="BodyText"/>
        <w:spacing w:line="240" w:lineRule="auto"/>
        <w:ind w:right="132" w:firstLine="419"/>
        <w:jc w:val="left"/>
        <w:rPr>
          <w:rFonts w:ascii="宋体" w:hAnsi="宋体" w:cs="宋体" w:eastAsia="宋体" w:hint="default"/>
        </w:rPr>
      </w:pPr>
      <w:r>
        <w:rPr/>
        <w:t>公司发展阶段属成熟期且有重大资金支出安排的</w:t>
      </w:r>
      <w:r>
        <w:rPr>
          <w:rFonts w:ascii="宋体" w:hAnsi="宋体" w:cs="宋体" w:eastAsia="宋体" w:hint="default"/>
        </w:rPr>
        <w:t>, </w:t>
      </w:r>
      <w:r>
        <w:rPr/>
        <w:t>进行利润分配时</w:t>
      </w:r>
      <w:r>
        <w:rPr>
          <w:rFonts w:ascii="宋体" w:hAnsi="宋体" w:cs="宋体" w:eastAsia="宋体" w:hint="default"/>
        </w:rPr>
        <w:t>,</w:t>
      </w:r>
      <w:r>
        <w:rPr>
          <w:rFonts w:ascii="宋体" w:hAnsi="宋体" w:cs="宋体" w:eastAsia="宋体" w:hint="default"/>
          <w:spacing w:val="-3"/>
        </w:rPr>
        <w:t> </w:t>
      </w:r>
      <w:r>
        <w:rPr/>
        <w:t>现金分红在本次利润分</w:t>
      </w:r>
      <w:r>
        <w:rPr>
          <w:w w:val="100"/>
        </w:rPr>
        <w:t> </w:t>
      </w:r>
      <w:r>
        <w:rPr/>
        <w:t>配中所占比例最低应达到</w:t>
      </w:r>
      <w:r>
        <w:rPr>
          <w:rFonts w:ascii="宋体" w:hAnsi="宋体" w:cs="宋体" w:eastAsia="宋体" w:hint="default"/>
        </w:rPr>
        <w:t>40%;</w:t>
      </w:r>
    </w:p>
    <w:p>
      <w:pPr>
        <w:pStyle w:val="BodyText"/>
        <w:spacing w:line="274" w:lineRule="exact" w:before="22"/>
        <w:ind w:right="132" w:firstLine="419"/>
        <w:jc w:val="left"/>
      </w:pPr>
      <w:r>
        <w:rPr/>
        <w:t>公司发展阶段属成长期且有重大资金支出安排的</w:t>
      </w:r>
      <w:r>
        <w:rPr>
          <w:rFonts w:ascii="宋体" w:hAnsi="宋体" w:cs="宋体" w:eastAsia="宋体" w:hint="default"/>
        </w:rPr>
        <w:t>, </w:t>
      </w:r>
      <w:r>
        <w:rPr/>
        <w:t>进行利润分配时</w:t>
      </w:r>
      <w:r>
        <w:rPr>
          <w:rFonts w:ascii="宋体" w:hAnsi="宋体" w:cs="宋体" w:eastAsia="宋体" w:hint="default"/>
        </w:rPr>
        <w:t>,</w:t>
      </w:r>
      <w:r>
        <w:rPr>
          <w:rFonts w:ascii="宋体" w:hAnsi="宋体" w:cs="宋体" w:eastAsia="宋体" w:hint="default"/>
          <w:spacing w:val="-3"/>
        </w:rPr>
        <w:t> </w:t>
      </w:r>
      <w:r>
        <w:rPr/>
        <w:t>现金分红在本次利润分</w:t>
      </w:r>
      <w:r>
        <w:rPr>
          <w:w w:val="100"/>
        </w:rPr>
        <w:t> </w:t>
      </w:r>
      <w:r>
        <w:rPr/>
        <w:t>配中所占比例最低应达到</w:t>
      </w:r>
      <w:r>
        <w:rPr>
          <w:spacing w:val="-54"/>
        </w:rPr>
        <w:t> </w:t>
      </w:r>
      <w:r>
        <w:rPr>
          <w:rFonts w:ascii="宋体" w:hAnsi="宋体" w:cs="宋体" w:eastAsia="宋体" w:hint="default"/>
        </w:rPr>
        <w:t>20%</w:t>
      </w:r>
      <w:r>
        <w:rPr/>
        <w:t>。</w:t>
      </w:r>
    </w:p>
    <w:p>
      <w:pPr>
        <w:pStyle w:val="BodyText"/>
        <w:spacing w:line="218" w:lineRule="auto"/>
        <w:ind w:right="123" w:firstLine="419"/>
        <w:jc w:val="left"/>
      </w:pPr>
      <w:r>
        <w:rPr>
          <w:spacing w:val="-2"/>
        </w:rPr>
        <w:t>本章程中的</w:t>
      </w:r>
      <w:r>
        <w:rPr>
          <w:rFonts w:ascii="Calibri" w:hAnsi="Calibri" w:cs="Calibri" w:eastAsia="Calibri" w:hint="default"/>
          <w:spacing w:val="-2"/>
        </w:rPr>
        <w:t>“</w:t>
      </w:r>
      <w:r>
        <w:rPr>
          <w:spacing w:val="-2"/>
        </w:rPr>
        <w:t>重大资金支出安排</w:t>
      </w:r>
      <w:r>
        <w:rPr>
          <w:rFonts w:ascii="Calibri" w:hAnsi="Calibri" w:cs="Calibri" w:eastAsia="Calibri" w:hint="default"/>
          <w:spacing w:val="-2"/>
        </w:rPr>
        <w:t>”</w:t>
      </w:r>
      <w:r>
        <w:rPr>
          <w:spacing w:val="-2"/>
        </w:rPr>
        <w:t>是指公司在一年内购买资产以及对外投资等交易涉及的资产</w:t>
      </w:r>
      <w:r>
        <w:rPr>
          <w:w w:val="100"/>
        </w:rPr>
        <w:t> </w:t>
      </w:r>
      <w:r>
        <w:rPr/>
        <w:t>总额达到公司最近一期经审计总资产</w:t>
      </w:r>
      <w:r>
        <w:rPr>
          <w:rFonts w:ascii="宋体" w:hAnsi="宋体" w:cs="宋体" w:eastAsia="宋体" w:hint="default"/>
        </w:rPr>
        <w:t>30%(</w:t>
      </w:r>
      <w:r>
        <w:rPr/>
        <w:t>包括</w:t>
      </w:r>
      <w:r>
        <w:rPr>
          <w:rFonts w:ascii="宋体" w:hAnsi="宋体" w:cs="宋体" w:eastAsia="宋体" w:hint="default"/>
        </w:rPr>
        <w:t>30%)</w:t>
      </w:r>
      <w:r>
        <w:rPr/>
        <w:t>。</w:t>
      </w:r>
    </w:p>
    <w:p>
      <w:pPr>
        <w:pStyle w:val="BodyText"/>
        <w:spacing w:line="240" w:lineRule="auto"/>
        <w:ind w:right="138" w:firstLine="419"/>
        <w:jc w:val="left"/>
      </w:pPr>
      <w:r>
        <w:rPr/>
        <w:t>发放股票股利的具体条件</w:t>
      </w:r>
      <w:r>
        <w:rPr>
          <w:rFonts w:ascii="宋体" w:hAnsi="宋体" w:cs="宋体" w:eastAsia="宋体" w:hint="default"/>
        </w:rPr>
        <w:t>: </w:t>
      </w:r>
      <w:r>
        <w:rPr/>
        <w:t>在满足上述现金分配股利之余</w:t>
      </w:r>
      <w:r>
        <w:rPr>
          <w:rFonts w:ascii="宋体" w:hAnsi="宋体" w:cs="宋体" w:eastAsia="宋体" w:hint="default"/>
        </w:rPr>
        <w:t>,</w:t>
      </w:r>
      <w:r>
        <w:rPr>
          <w:rFonts w:ascii="宋体" w:hAnsi="宋体" w:cs="宋体" w:eastAsia="宋体" w:hint="default"/>
          <w:spacing w:val="-9"/>
        </w:rPr>
        <w:t> </w:t>
      </w:r>
      <w:r>
        <w:rPr/>
        <w:t>结合公司股本规模和公司股票价</w:t>
      </w:r>
      <w:r>
        <w:rPr>
          <w:w w:val="100"/>
        </w:rPr>
        <w:t> </w:t>
      </w:r>
      <w:r>
        <w:rPr/>
        <w:t>格情况</w:t>
      </w:r>
      <w:r>
        <w:rPr>
          <w:rFonts w:ascii="宋体" w:hAnsi="宋体" w:cs="宋体" w:eastAsia="宋体" w:hint="default"/>
        </w:rPr>
        <w:t>,</w:t>
      </w:r>
      <w:r>
        <w:rPr>
          <w:rFonts w:ascii="宋体" w:hAnsi="宋体" w:cs="宋体" w:eastAsia="宋体" w:hint="default"/>
          <w:spacing w:val="-4"/>
        </w:rPr>
        <w:t> </w:t>
      </w:r>
      <w:r>
        <w:rPr/>
        <w:t>公司可以与现金分红同时或者单独提出并实施股票股利分配方案。</w:t>
      </w:r>
    </w:p>
    <w:p>
      <w:pPr>
        <w:pStyle w:val="BodyText"/>
        <w:spacing w:line="274" w:lineRule="exact" w:before="22"/>
        <w:ind w:right="138" w:firstLine="419"/>
        <w:jc w:val="left"/>
      </w:pPr>
      <w:r>
        <w:rPr/>
        <w:t>利润分配的时间间隔</w:t>
      </w:r>
      <w:r>
        <w:rPr>
          <w:rFonts w:ascii="宋体" w:hAnsi="宋体" w:cs="宋体" w:eastAsia="宋体" w:hint="default"/>
        </w:rPr>
        <w:t>: </w:t>
      </w:r>
      <w:r>
        <w:rPr/>
        <w:t>公司符合本章程规定的条件</w:t>
      </w:r>
      <w:r>
        <w:rPr>
          <w:rFonts w:ascii="宋体" w:hAnsi="宋体" w:cs="宋体" w:eastAsia="宋体" w:hint="default"/>
        </w:rPr>
        <w:t>, </w:t>
      </w:r>
      <w:r>
        <w:rPr/>
        <w:t>可以每年度进行一次利润分配</w:t>
      </w:r>
      <w:r>
        <w:rPr>
          <w:rFonts w:ascii="宋体" w:hAnsi="宋体" w:cs="宋体" w:eastAsia="宋体" w:hint="default"/>
        </w:rPr>
        <w:t>,</w:t>
      </w:r>
      <w:r>
        <w:rPr>
          <w:rFonts w:ascii="宋体" w:hAnsi="宋体" w:cs="宋体" w:eastAsia="宋体" w:hint="default"/>
          <w:spacing w:val="-9"/>
        </w:rPr>
        <w:t> </w:t>
      </w:r>
      <w:r>
        <w:rPr/>
        <w:t>也可以</w:t>
      </w:r>
      <w:r>
        <w:rPr>
          <w:w w:val="100"/>
        </w:rPr>
        <w:t> </w:t>
      </w:r>
      <w:r>
        <w:rPr/>
        <w:t>进行中期利润分配。</w:t>
      </w:r>
    </w:p>
    <w:p>
      <w:pPr>
        <w:pStyle w:val="BodyText"/>
        <w:spacing w:line="246" w:lineRule="exact"/>
        <w:ind w:left="558" w:right="123"/>
        <w:jc w:val="left"/>
      </w:pPr>
      <w:r>
        <w:rPr/>
        <w:t>（三）制订利润分配具体方案应履行的审议程序</w:t>
      </w:r>
    </w:p>
    <w:p>
      <w:pPr>
        <w:pStyle w:val="BodyText"/>
        <w:spacing w:line="272" w:lineRule="exact" w:before="27"/>
        <w:ind w:right="133" w:firstLine="419"/>
        <w:jc w:val="left"/>
      </w:pPr>
      <w:r>
        <w:rPr/>
        <w:t>公司利润分配方案由董事会根据公司经营状况和有关规定拟定</w:t>
      </w:r>
      <w:r>
        <w:rPr>
          <w:rFonts w:ascii="宋体" w:hAnsi="宋体" w:cs="宋体" w:eastAsia="宋体" w:hint="default"/>
        </w:rPr>
        <w:t>, </w:t>
      </w:r>
      <w:r>
        <w:rPr/>
        <w:t>提交股东大会审议决定</w:t>
      </w:r>
      <w:r>
        <w:rPr>
          <w:rFonts w:ascii="宋体" w:hAnsi="宋体" w:cs="宋体" w:eastAsia="宋体" w:hint="default"/>
        </w:rPr>
        <w:t>,</w:t>
      </w:r>
      <w:r>
        <w:rPr>
          <w:rFonts w:ascii="宋体" w:hAnsi="宋体" w:cs="宋体" w:eastAsia="宋体" w:hint="default"/>
          <w:spacing w:val="-4"/>
        </w:rPr>
        <w:t> </w:t>
      </w:r>
      <w:r>
        <w:rPr/>
        <w:t>独</w:t>
      </w:r>
      <w:r>
        <w:rPr>
          <w:w w:val="100"/>
        </w:rPr>
        <w:t> </w:t>
      </w:r>
      <w:r>
        <w:rPr/>
        <w:t>立董事应当对此发表独立意见。</w:t>
      </w:r>
    </w:p>
    <w:p>
      <w:pPr>
        <w:pStyle w:val="BodyText"/>
        <w:spacing w:line="272" w:lineRule="exact" w:before="1"/>
        <w:ind w:left="558" w:right="131"/>
        <w:jc w:val="left"/>
      </w:pPr>
      <w:r>
        <w:rPr/>
        <w:t>独立董事可以征集中小股东的意见</w:t>
      </w:r>
      <w:r>
        <w:rPr>
          <w:rFonts w:ascii="宋体" w:hAnsi="宋体" w:cs="宋体" w:eastAsia="宋体" w:hint="default"/>
        </w:rPr>
        <w:t>, </w:t>
      </w:r>
      <w:r>
        <w:rPr/>
        <w:t>提出分红提案</w:t>
      </w:r>
      <w:r>
        <w:rPr>
          <w:rFonts w:ascii="宋体" w:hAnsi="宋体" w:cs="宋体" w:eastAsia="宋体" w:hint="default"/>
        </w:rPr>
        <w:t>,</w:t>
      </w:r>
      <w:r>
        <w:rPr>
          <w:rFonts w:ascii="宋体" w:hAnsi="宋体" w:cs="宋体" w:eastAsia="宋体" w:hint="default"/>
          <w:spacing w:val="-5"/>
        </w:rPr>
        <w:t> </w:t>
      </w:r>
      <w:r>
        <w:rPr/>
        <w:t>并直接提交董事会审议。</w:t>
      </w:r>
      <w:r>
        <w:rPr>
          <w:w w:val="100"/>
        </w:rPr>
        <w:t> </w:t>
      </w:r>
      <w:r>
        <w:rPr/>
        <w:t>制订公司利润分配具体方案时</w:t>
      </w:r>
      <w:r>
        <w:rPr>
          <w:rFonts w:ascii="宋体" w:hAnsi="宋体" w:cs="宋体" w:eastAsia="宋体" w:hint="default"/>
        </w:rPr>
        <w:t>, </w:t>
      </w:r>
      <w:r>
        <w:rPr/>
        <w:t>应当通过公司网站、公众信箱或者来访接待等渠道</w:t>
      </w:r>
      <w:r>
        <w:rPr>
          <w:rFonts w:ascii="宋体" w:hAnsi="宋体" w:cs="宋体" w:eastAsia="宋体" w:hint="default"/>
        </w:rPr>
        <w:t>,</w:t>
      </w:r>
      <w:r>
        <w:rPr>
          <w:rFonts w:ascii="宋体" w:hAnsi="宋体" w:cs="宋体" w:eastAsia="宋体" w:hint="default"/>
          <w:spacing w:val="-3"/>
        </w:rPr>
        <w:t> </w:t>
      </w:r>
      <w:r>
        <w:rPr/>
        <w:t>充分听</w:t>
      </w:r>
    </w:p>
    <w:p>
      <w:pPr>
        <w:pStyle w:val="BodyText"/>
        <w:spacing w:line="246" w:lineRule="exact"/>
        <w:ind w:right="0"/>
        <w:jc w:val="left"/>
      </w:pPr>
      <w:r>
        <w:rPr/>
        <w:t>取中小股东的意见和诉求并及时答复中小股东关心的问题。与中小股东的上述交流和沟通应当形</w:t>
      </w:r>
    </w:p>
    <w:p>
      <w:pPr>
        <w:pStyle w:val="BodyText"/>
        <w:spacing w:line="272" w:lineRule="exact"/>
        <w:ind w:right="123"/>
        <w:jc w:val="left"/>
      </w:pPr>
      <w:r>
        <w:rPr/>
        <w:t>成记录。</w:t>
      </w:r>
    </w:p>
    <w:p>
      <w:pPr>
        <w:pStyle w:val="BodyText"/>
        <w:spacing w:line="237" w:lineRule="auto"/>
        <w:ind w:right="137" w:firstLine="419"/>
        <w:jc w:val="both"/>
      </w:pPr>
      <w:r>
        <w:rPr>
          <w:spacing w:val="-2"/>
        </w:rPr>
        <w:t>（四）公司在年度报告中详细披露现金分红政策的制定及执行情况。公司在特殊情况下无法</w:t>
      </w:r>
      <w:r>
        <w:rPr>
          <w:w w:val="100"/>
        </w:rPr>
        <w:t> </w:t>
      </w:r>
      <w:r>
        <w:rPr/>
        <w:t>按照既定的现金分红政策或最低现金分红比例确定当年利润分配方案的</w:t>
      </w:r>
      <w:r>
        <w:rPr>
          <w:rFonts w:ascii="宋体" w:hAnsi="宋体" w:cs="宋体" w:eastAsia="宋体" w:hint="default"/>
        </w:rPr>
        <w:t>,</w:t>
      </w:r>
      <w:r>
        <w:rPr>
          <w:rFonts w:ascii="宋体" w:hAnsi="宋体" w:cs="宋体" w:eastAsia="宋体" w:hint="default"/>
          <w:spacing w:val="-4"/>
        </w:rPr>
        <w:t> </w:t>
      </w:r>
      <w:r>
        <w:rPr/>
        <w:t>应当在年度报告中披露</w:t>
      </w:r>
      <w:r>
        <w:rPr>
          <w:w w:val="100"/>
        </w:rPr>
        <w:t> </w:t>
      </w:r>
      <w:r>
        <w:rPr/>
        <w:t>具体原因以及独立董事的明确意见</w:t>
      </w:r>
      <w:r>
        <w:rPr>
          <w:rFonts w:ascii="宋体" w:hAnsi="宋体" w:cs="宋体" w:eastAsia="宋体" w:hint="default"/>
        </w:rPr>
        <w:t>,</w:t>
      </w:r>
      <w:r>
        <w:rPr>
          <w:rFonts w:ascii="宋体" w:hAnsi="宋体" w:cs="宋体" w:eastAsia="宋体" w:hint="default"/>
          <w:spacing w:val="-3"/>
        </w:rPr>
        <w:t> </w:t>
      </w:r>
      <w:r>
        <w:rPr/>
        <w:t>公司当年利润分配方案应当经出席股东大会的股东所持表决</w:t>
      </w:r>
      <w:r>
        <w:rPr>
          <w:w w:val="100"/>
        </w:rPr>
        <w:t> </w:t>
      </w:r>
      <w:r>
        <w:rPr/>
        <w:t>权的</w:t>
      </w:r>
      <w:r>
        <w:rPr>
          <w:rFonts w:ascii="宋体" w:hAnsi="宋体" w:cs="宋体" w:eastAsia="宋体" w:hint="default"/>
        </w:rPr>
        <w:t>2/3</w:t>
      </w:r>
      <w:r>
        <w:rPr/>
        <w:t>以上通过。</w:t>
      </w:r>
    </w:p>
    <w:p>
      <w:pPr>
        <w:pStyle w:val="BodyText"/>
        <w:spacing w:line="274" w:lineRule="exact" w:before="22"/>
        <w:ind w:right="123" w:firstLine="419"/>
        <w:jc w:val="left"/>
      </w:pPr>
      <w:r>
        <w:rPr>
          <w:spacing w:val="-2"/>
        </w:rPr>
        <w:t>（五）公司监事会对董事会执行现金分红政策和股东回报规划以及是否履行相应决策程序和</w:t>
      </w:r>
      <w:r>
        <w:rPr>
          <w:w w:val="100"/>
        </w:rPr>
        <w:t> </w:t>
      </w:r>
      <w:r>
        <w:rPr/>
        <w:t>信息披露等情况进行监督。</w:t>
      </w:r>
    </w:p>
    <w:p>
      <w:pPr>
        <w:pStyle w:val="BodyText"/>
        <w:spacing w:line="246" w:lineRule="exact"/>
        <w:ind w:left="558" w:right="123"/>
        <w:jc w:val="left"/>
        <w:rPr>
          <w:rFonts w:ascii="宋体" w:hAnsi="宋体" w:cs="宋体" w:eastAsia="宋体" w:hint="default"/>
        </w:rPr>
      </w:pPr>
      <w:r>
        <w:rPr/>
        <w:t>监事会发现董事会存在以下情形之一的</w:t>
      </w:r>
      <w:r>
        <w:rPr>
          <w:rFonts w:ascii="宋体" w:hAnsi="宋体" w:cs="宋体" w:eastAsia="宋体" w:hint="default"/>
        </w:rPr>
        <w:t>, </w:t>
      </w:r>
      <w:r>
        <w:rPr/>
        <w:t>应当发表明确意见</w:t>
      </w:r>
      <w:r>
        <w:rPr>
          <w:rFonts w:ascii="宋体" w:hAnsi="宋体" w:cs="宋体" w:eastAsia="宋体" w:hint="default"/>
        </w:rPr>
        <w:t>,</w:t>
      </w:r>
      <w:r>
        <w:rPr>
          <w:rFonts w:ascii="宋体" w:hAnsi="宋体" w:cs="宋体" w:eastAsia="宋体" w:hint="default"/>
          <w:spacing w:val="-2"/>
        </w:rPr>
        <w:t> </w:t>
      </w:r>
      <w:r>
        <w:rPr/>
        <w:t>并督促其及时改正</w:t>
      </w:r>
      <w:r>
        <w:rPr>
          <w:rFonts w:ascii="宋体" w:hAnsi="宋体" w:cs="宋体" w:eastAsia="宋体" w:hint="default"/>
        </w:rPr>
        <w:t>:</w:t>
      </w:r>
    </w:p>
    <w:p>
      <w:pPr>
        <w:pStyle w:val="BodyText"/>
        <w:spacing w:line="274" w:lineRule="exact"/>
        <w:ind w:left="558" w:right="123"/>
        <w:jc w:val="left"/>
        <w:rPr>
          <w:rFonts w:ascii="宋体" w:hAnsi="宋体" w:cs="宋体" w:eastAsia="宋体" w:hint="default"/>
        </w:rPr>
      </w:pPr>
      <w:r>
        <w:rPr/>
        <w:t>未严格执行现金分红政策和股东回报规划</w:t>
      </w:r>
      <w:r>
        <w:rPr>
          <w:rFonts w:ascii="宋体" w:hAnsi="宋体" w:cs="宋体" w:eastAsia="宋体" w:hint="default"/>
        </w:rPr>
        <w:t>;</w:t>
      </w:r>
    </w:p>
    <w:p>
      <w:pPr>
        <w:spacing w:after="0" w:line="274" w:lineRule="exact"/>
        <w:jc w:val="left"/>
        <w:rPr>
          <w:rFonts w:ascii="宋体" w:hAnsi="宋体" w:cs="宋体" w:eastAsia="宋体" w:hint="default"/>
        </w:rPr>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6"/>
        <w:ind w:left="658" w:right="310"/>
        <w:jc w:val="left"/>
      </w:pPr>
      <w:r>
        <w:rPr/>
        <w:t>未严格履行现金分红相应决策程序</w:t>
      </w:r>
      <w:r>
        <w:rPr>
          <w:rFonts w:ascii="宋体" w:hAnsi="宋体" w:cs="宋体" w:eastAsia="宋体" w:hint="default"/>
        </w:rPr>
        <w:t>;</w:t>
      </w:r>
      <w:r>
        <w:rPr>
          <w:rFonts w:ascii="宋体" w:hAnsi="宋体" w:cs="宋体" w:eastAsia="宋体" w:hint="default"/>
          <w:w w:val="100"/>
        </w:rPr>
        <w:t> </w:t>
      </w:r>
      <w:r>
        <w:rPr>
          <w:spacing w:val="-2"/>
        </w:rPr>
        <w:t>未能真实、准确、完整披露现金分红政策及其执行情况。</w:t>
      </w:r>
    </w:p>
    <w:p>
      <w:pPr>
        <w:pStyle w:val="BodyText"/>
        <w:spacing w:line="274" w:lineRule="exact" w:before="22"/>
        <w:ind w:left="238" w:right="310" w:firstLine="419"/>
        <w:jc w:val="left"/>
      </w:pPr>
      <w:r>
        <w:rPr>
          <w:spacing w:val="-5"/>
        </w:rPr>
        <w:t>（六）公司分配当年税后利润时</w:t>
      </w:r>
      <w:r>
        <w:rPr>
          <w:rFonts w:ascii="宋体" w:hAnsi="宋体" w:cs="宋体" w:eastAsia="宋体" w:hint="default"/>
          <w:spacing w:val="-5"/>
        </w:rPr>
        <w:t>,</w:t>
      </w:r>
      <w:r>
        <w:rPr>
          <w:rFonts w:ascii="宋体" w:hAnsi="宋体" w:cs="宋体" w:eastAsia="宋体" w:hint="default"/>
          <w:spacing w:val="65"/>
        </w:rPr>
        <w:t> </w:t>
      </w:r>
      <w:r>
        <w:rPr>
          <w:spacing w:val="-4"/>
        </w:rPr>
        <w:t>应当提取利润的</w:t>
      </w:r>
      <w:r>
        <w:rPr>
          <w:rFonts w:ascii="宋体" w:hAnsi="宋体" w:cs="宋体" w:eastAsia="宋体" w:hint="default"/>
          <w:spacing w:val="-4"/>
        </w:rPr>
        <w:t>10%</w:t>
      </w:r>
      <w:r>
        <w:rPr>
          <w:spacing w:val="-4"/>
        </w:rPr>
        <w:t>列入公司法定公积金。公司法定公积金</w:t>
      </w:r>
      <w:r>
        <w:rPr>
          <w:w w:val="100"/>
        </w:rPr>
        <w:t> </w:t>
      </w:r>
      <w:r>
        <w:rPr/>
        <w:t>累计额为公司注册资本的</w:t>
      </w:r>
      <w:r>
        <w:rPr>
          <w:rFonts w:ascii="宋体" w:hAnsi="宋体" w:cs="宋体" w:eastAsia="宋体" w:hint="default"/>
        </w:rPr>
        <w:t>50%</w:t>
      </w:r>
      <w:r>
        <w:rPr/>
        <w:t>以上的</w:t>
      </w:r>
      <w:r>
        <w:rPr>
          <w:rFonts w:ascii="宋体" w:hAnsi="宋体" w:cs="宋体" w:eastAsia="宋体" w:hint="default"/>
        </w:rPr>
        <w:t>,</w:t>
      </w:r>
      <w:r>
        <w:rPr>
          <w:rFonts w:ascii="宋体" w:hAnsi="宋体" w:cs="宋体" w:eastAsia="宋体" w:hint="default"/>
          <w:spacing w:val="-7"/>
        </w:rPr>
        <w:t> </w:t>
      </w:r>
      <w:r>
        <w:rPr/>
        <w:t>可以不再提取。</w:t>
      </w:r>
    </w:p>
    <w:p>
      <w:pPr>
        <w:pStyle w:val="BodyText"/>
        <w:spacing w:line="245" w:lineRule="exact"/>
        <w:ind w:left="658" w:right="85"/>
        <w:jc w:val="left"/>
      </w:pPr>
      <w:r>
        <w:rPr/>
        <w:t>公司的法定公积金不足以弥补以前年度亏损的</w:t>
      </w:r>
      <w:r>
        <w:rPr>
          <w:rFonts w:ascii="宋体" w:hAnsi="宋体" w:cs="宋体" w:eastAsia="宋体" w:hint="default"/>
        </w:rPr>
        <w:t>, </w:t>
      </w:r>
      <w:r>
        <w:rPr/>
        <w:t>在依照前款规定提取法定公积金之前</w:t>
      </w:r>
      <w:r>
        <w:rPr>
          <w:rFonts w:ascii="宋体" w:hAnsi="宋体" w:cs="宋体" w:eastAsia="宋体" w:hint="default"/>
        </w:rPr>
        <w:t>,</w:t>
      </w:r>
      <w:r>
        <w:rPr>
          <w:rFonts w:ascii="宋体" w:hAnsi="宋体" w:cs="宋体" w:eastAsia="宋体" w:hint="default"/>
          <w:spacing w:val="-3"/>
        </w:rPr>
        <w:t> </w:t>
      </w:r>
      <w:r>
        <w:rPr/>
        <w:t>应当</w:t>
      </w:r>
    </w:p>
    <w:p>
      <w:pPr>
        <w:pStyle w:val="BodyText"/>
        <w:spacing w:line="272" w:lineRule="exact"/>
        <w:ind w:left="238" w:right="310"/>
        <w:jc w:val="left"/>
      </w:pPr>
      <w:r>
        <w:rPr/>
        <w:t>先用当年利润弥补亏损。</w:t>
      </w:r>
    </w:p>
    <w:p>
      <w:pPr>
        <w:pStyle w:val="BodyText"/>
        <w:spacing w:line="240" w:lineRule="auto"/>
        <w:ind w:left="238" w:right="312" w:firstLine="419"/>
        <w:jc w:val="left"/>
      </w:pPr>
      <w:r>
        <w:rPr/>
        <w:t>公司从税后利润中提取法定公积金后</w:t>
      </w:r>
      <w:r>
        <w:rPr>
          <w:rFonts w:ascii="宋体" w:hAnsi="宋体" w:cs="宋体" w:eastAsia="宋体" w:hint="default"/>
        </w:rPr>
        <w:t>, </w:t>
      </w:r>
      <w:r>
        <w:rPr/>
        <w:t>经股东大会决议</w:t>
      </w:r>
      <w:r>
        <w:rPr>
          <w:rFonts w:ascii="宋体" w:hAnsi="宋体" w:cs="宋体" w:eastAsia="宋体" w:hint="default"/>
        </w:rPr>
        <w:t>,</w:t>
      </w:r>
      <w:r>
        <w:rPr>
          <w:rFonts w:ascii="宋体" w:hAnsi="宋体" w:cs="宋体" w:eastAsia="宋体" w:hint="default"/>
          <w:spacing w:val="-3"/>
        </w:rPr>
        <w:t> </w:t>
      </w:r>
      <w:r>
        <w:rPr/>
        <w:t>还可以从税后利润中提取任意公积</w:t>
      </w:r>
      <w:r>
        <w:rPr>
          <w:w w:val="100"/>
        </w:rPr>
        <w:t> </w:t>
      </w:r>
      <w:r>
        <w:rPr/>
        <w:t>金。</w:t>
      </w:r>
    </w:p>
    <w:p>
      <w:pPr>
        <w:pStyle w:val="BodyText"/>
        <w:spacing w:line="274" w:lineRule="exact" w:before="22"/>
        <w:ind w:left="238" w:right="314" w:firstLine="419"/>
        <w:jc w:val="left"/>
      </w:pPr>
      <w:r>
        <w:rPr/>
        <w:t>公司弥补亏损和提取公积金后所余税后利润</w:t>
      </w:r>
      <w:r>
        <w:rPr>
          <w:rFonts w:ascii="宋体" w:hAnsi="宋体" w:cs="宋体" w:eastAsia="宋体" w:hint="default"/>
        </w:rPr>
        <w:t>, </w:t>
      </w:r>
      <w:r>
        <w:rPr/>
        <w:t>按照股东持有的股份比例分配</w:t>
      </w:r>
      <w:r>
        <w:rPr>
          <w:rFonts w:ascii="宋体" w:hAnsi="宋体" w:cs="宋体" w:eastAsia="宋体" w:hint="default"/>
        </w:rPr>
        <w:t>,</w:t>
      </w:r>
      <w:r>
        <w:rPr>
          <w:rFonts w:ascii="宋体" w:hAnsi="宋体" w:cs="宋体" w:eastAsia="宋体" w:hint="default"/>
          <w:spacing w:val="-5"/>
        </w:rPr>
        <w:t> </w:t>
      </w:r>
      <w:r>
        <w:rPr/>
        <w:t>但本章程规定</w:t>
      </w:r>
      <w:r>
        <w:rPr>
          <w:w w:val="100"/>
        </w:rPr>
        <w:t> </w:t>
      </w:r>
      <w:r>
        <w:rPr/>
        <w:t>不按持股比例分配的除外。</w:t>
      </w:r>
    </w:p>
    <w:p>
      <w:pPr>
        <w:pStyle w:val="BodyText"/>
        <w:spacing w:line="245" w:lineRule="exact"/>
        <w:ind w:left="658" w:right="85"/>
        <w:jc w:val="left"/>
      </w:pPr>
      <w:r>
        <w:rPr/>
        <w:t>股东大会违反前款规定</w:t>
      </w:r>
      <w:r>
        <w:rPr>
          <w:rFonts w:ascii="宋体" w:hAnsi="宋体" w:cs="宋体" w:eastAsia="宋体" w:hint="default"/>
        </w:rPr>
        <w:t>, </w:t>
      </w:r>
      <w:r>
        <w:rPr/>
        <w:t>在公司弥补亏损和提取法定公积金之前向股东分配利润的</w:t>
      </w:r>
      <w:r>
        <w:rPr>
          <w:rFonts w:ascii="宋体" w:hAnsi="宋体" w:cs="宋体" w:eastAsia="宋体" w:hint="default"/>
        </w:rPr>
        <w:t>,</w:t>
      </w:r>
      <w:r>
        <w:rPr>
          <w:rFonts w:ascii="宋体" w:hAnsi="宋体" w:cs="宋体" w:eastAsia="宋体" w:hint="default"/>
          <w:spacing w:val="-3"/>
        </w:rPr>
        <w:t> </w:t>
      </w:r>
      <w:r>
        <w:rPr/>
        <w:t>股东必</w:t>
      </w:r>
    </w:p>
    <w:p>
      <w:pPr>
        <w:pStyle w:val="BodyText"/>
        <w:spacing w:line="274" w:lineRule="exact"/>
        <w:ind w:left="238" w:right="310"/>
        <w:jc w:val="left"/>
      </w:pPr>
      <w:r>
        <w:rPr/>
        <w:t>须将违反规定分配的利润退还公司。</w:t>
      </w:r>
    </w:p>
    <w:p>
      <w:pPr>
        <w:spacing w:line="240" w:lineRule="auto" w:before="10"/>
        <w:rPr>
          <w:rFonts w:ascii="宋体" w:hAnsi="宋体" w:cs="宋体" w:eastAsia="宋体" w:hint="default"/>
          <w:sz w:val="22"/>
          <w:szCs w:val="22"/>
        </w:rPr>
      </w:pPr>
    </w:p>
    <w:p>
      <w:pPr>
        <w:pStyle w:val="BodyText"/>
        <w:spacing w:line="272" w:lineRule="exact"/>
        <w:ind w:left="658" w:right="310" w:hanging="420"/>
        <w:jc w:val="left"/>
      </w:pPr>
      <w:r>
        <w:rPr/>
        <w:t>利润分配政策的执行情况：</w:t>
      </w:r>
      <w:r>
        <w:rPr>
          <w:w w:val="100"/>
        </w:rPr>
        <w:t> </w:t>
      </w:r>
      <w:r>
        <w:rPr>
          <w:spacing w:val="-2"/>
        </w:rPr>
        <w:t>大华会计师事务所（特殊普通合伙）对公司</w:t>
      </w:r>
      <w:r>
        <w:rPr>
          <w:rFonts w:ascii="宋体" w:hAnsi="宋体" w:cs="宋体" w:eastAsia="宋体" w:hint="default"/>
          <w:spacing w:val="-2"/>
        </w:rPr>
        <w:t>2015</w:t>
      </w:r>
      <w:r>
        <w:rPr>
          <w:spacing w:val="-2"/>
        </w:rPr>
        <w:t>年度财务报表进行了审计，并出具了标准无</w:t>
      </w:r>
    </w:p>
    <w:p>
      <w:pPr>
        <w:pStyle w:val="BodyText"/>
        <w:spacing w:line="272" w:lineRule="exact" w:before="1"/>
        <w:ind w:left="238" w:right="310"/>
        <w:jc w:val="left"/>
      </w:pPr>
      <w:r>
        <w:rPr/>
        <w:t>保留意见审计报告（大华审字</w:t>
      </w:r>
      <w:r>
        <w:rPr>
          <w:rFonts w:ascii="宋体" w:hAnsi="宋体" w:cs="宋体" w:eastAsia="宋体" w:hint="default"/>
        </w:rPr>
        <w:t>[2016]</w:t>
      </w:r>
      <w:r>
        <w:rPr>
          <w:rFonts w:ascii="宋体" w:hAnsi="宋体" w:cs="宋体" w:eastAsia="宋体" w:hint="default"/>
          <w:spacing w:val="-4"/>
        </w:rPr>
        <w:t> </w:t>
      </w:r>
      <w:r>
        <w:rPr>
          <w:rFonts w:ascii="宋体" w:hAnsi="宋体" w:cs="宋体" w:eastAsia="宋体" w:hint="default"/>
        </w:rPr>
        <w:t>004996</w:t>
      </w:r>
      <w:r>
        <w:rPr/>
        <w:t>号）。</w:t>
      </w:r>
      <w:r>
        <w:rPr>
          <w:rFonts w:ascii="宋体" w:hAnsi="宋体" w:cs="宋体" w:eastAsia="宋体" w:hint="default"/>
        </w:rPr>
        <w:t>2015</w:t>
      </w:r>
      <w:r>
        <w:rPr/>
        <w:t>年实现归属于母公司所有者的净利润为</w:t>
      </w:r>
      <w:r>
        <w:rPr>
          <w:w w:val="100"/>
        </w:rPr>
        <w:t> </w:t>
      </w:r>
      <w:r>
        <w:rPr>
          <w:rFonts w:ascii="宋体" w:hAnsi="宋体" w:cs="宋体" w:eastAsia="宋体" w:hint="default"/>
          <w:spacing w:val="-3"/>
        </w:rPr>
        <w:t>5,131,893.00</w:t>
      </w:r>
      <w:r>
        <w:rPr>
          <w:spacing w:val="-3"/>
        </w:rPr>
        <w:t>元，</w:t>
      </w:r>
      <w:r>
        <w:rPr>
          <w:rFonts w:ascii="宋体" w:hAnsi="宋体" w:cs="宋体" w:eastAsia="宋体" w:hint="default"/>
          <w:spacing w:val="-3"/>
        </w:rPr>
        <w:t>2015</w:t>
      </w:r>
      <w:r>
        <w:rPr>
          <w:spacing w:val="-3"/>
        </w:rPr>
        <w:t>年末合并报表未分配利润为</w:t>
      </w:r>
      <w:r>
        <w:rPr>
          <w:rFonts w:ascii="宋体" w:hAnsi="宋体" w:cs="宋体" w:eastAsia="宋体" w:hint="default"/>
          <w:spacing w:val="-3"/>
        </w:rPr>
        <w:t>-788,347,444.48</w:t>
      </w:r>
      <w:r>
        <w:rPr>
          <w:spacing w:val="-3"/>
        </w:rPr>
        <w:t>元；</w:t>
      </w:r>
      <w:r>
        <w:rPr>
          <w:rFonts w:ascii="宋体" w:hAnsi="宋体" w:cs="宋体" w:eastAsia="宋体" w:hint="default"/>
          <w:spacing w:val="-3"/>
        </w:rPr>
        <w:t>2015</w:t>
      </w:r>
      <w:r>
        <w:rPr>
          <w:spacing w:val="-3"/>
        </w:rPr>
        <w:t>年母公司实现净利润</w:t>
      </w:r>
    </w:p>
    <w:p>
      <w:pPr>
        <w:pStyle w:val="BodyText"/>
        <w:spacing w:line="272" w:lineRule="exact" w:before="1"/>
        <w:ind w:left="238" w:right="317"/>
        <w:jc w:val="both"/>
      </w:pPr>
      <w:r>
        <w:rPr>
          <w:spacing w:val="-2"/>
        </w:rPr>
        <w:t>为</w:t>
      </w:r>
      <w:r>
        <w:rPr>
          <w:rFonts w:ascii="宋体" w:hAnsi="宋体" w:cs="宋体" w:eastAsia="宋体" w:hint="default"/>
          <w:spacing w:val="-2"/>
        </w:rPr>
        <w:t>3,345,241.8</w:t>
      </w:r>
      <w:r>
        <w:rPr>
          <w:spacing w:val="-2"/>
        </w:rPr>
        <w:t>元，</w:t>
      </w:r>
      <w:r>
        <w:rPr>
          <w:rFonts w:ascii="宋体" w:hAnsi="宋体" w:cs="宋体" w:eastAsia="宋体" w:hint="default"/>
          <w:spacing w:val="-2"/>
        </w:rPr>
        <w:t>2015</w:t>
      </w:r>
      <w:r>
        <w:rPr>
          <w:spacing w:val="-2"/>
        </w:rPr>
        <w:t>年末母公司未分配利润为</w:t>
      </w:r>
      <w:r>
        <w:rPr>
          <w:rFonts w:ascii="宋体" w:hAnsi="宋体" w:cs="宋体" w:eastAsia="宋体" w:hint="default"/>
          <w:spacing w:val="-2"/>
        </w:rPr>
        <w:t>-800,559,913.61</w:t>
      </w:r>
      <w:r>
        <w:rPr>
          <w:spacing w:val="-2"/>
        </w:rPr>
        <w:t>元，根据《公司法》、《公司</w:t>
      </w:r>
      <w:r>
        <w:rPr>
          <w:spacing w:val="-3"/>
        </w:rPr>
        <w:t> </w:t>
      </w:r>
      <w:r>
        <w:rPr>
          <w:spacing w:val="-3"/>
        </w:rPr>
      </w:r>
      <w:r>
        <w:rPr>
          <w:spacing w:val="-2"/>
        </w:rPr>
        <w:t>章程》有关利润分配的规定，拟定公司</w:t>
      </w:r>
      <w:r>
        <w:rPr>
          <w:rFonts w:ascii="宋体" w:hAnsi="宋体" w:cs="宋体" w:eastAsia="宋体" w:hint="default"/>
          <w:spacing w:val="-2"/>
        </w:rPr>
        <w:t>2015</w:t>
      </w:r>
      <w:r>
        <w:rPr>
          <w:spacing w:val="-2"/>
        </w:rPr>
        <w:t>年不进行利润分配，也不进行资本公积金转增股本。</w:t>
      </w:r>
      <w:r>
        <w:rPr>
          <w:spacing w:val="-22"/>
        </w:rPr>
        <w:t> </w:t>
      </w:r>
      <w:r>
        <w:rPr>
          <w:spacing w:val="-22"/>
        </w:rPr>
      </w:r>
      <w:r>
        <w:rPr/>
        <w:t>此预案经公司董事会审议后尚需提交</w:t>
      </w:r>
      <w:r>
        <w:rPr>
          <w:rFonts w:ascii="宋体" w:hAnsi="宋体" w:cs="宋体" w:eastAsia="宋体" w:hint="default"/>
        </w:rPr>
        <w:t>2015</w:t>
      </w:r>
      <w:r>
        <w:rPr/>
        <w:t>年年度股东大会审议。</w:t>
      </w:r>
    </w:p>
    <w:p>
      <w:pPr>
        <w:spacing w:line="240" w:lineRule="auto" w:before="4"/>
        <w:rPr>
          <w:rFonts w:ascii="宋体" w:hAnsi="宋体" w:cs="宋体" w:eastAsia="宋体" w:hint="default"/>
          <w:sz w:val="23"/>
          <w:szCs w:val="23"/>
        </w:rPr>
      </w:pPr>
    </w:p>
    <w:p>
      <w:pPr>
        <w:spacing w:line="244" w:lineRule="auto" w:before="0"/>
        <w:ind w:left="238" w:right="31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公司近三年（含报告期）的普通股利润分配方案或预案、资本公积金转增股本方案或预案</w:t>
      </w:r>
      <w:r>
        <w:rPr>
          <w:rFonts w:ascii="宋体" w:hAnsi="宋体" w:cs="宋体" w:eastAsia="宋体" w:hint="default"/>
          <w:b/>
          <w:bCs/>
          <w:w w:val="100"/>
          <w:sz w:val="21"/>
          <w:szCs w:val="21"/>
        </w:rPr>
        <w:t> </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年度均未进行利润分配、资本公积金转增股本。</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年度，公司拟定不进</w:t>
      </w:r>
      <w:r>
        <w:rPr>
          <w:rFonts w:ascii="宋体" w:hAnsi="宋体" w:cs="宋体" w:eastAsia="宋体" w:hint="default"/>
          <w:w w:val="100"/>
          <w:sz w:val="21"/>
          <w:szCs w:val="21"/>
        </w:rPr>
        <w:t> </w:t>
      </w:r>
      <w:r>
        <w:rPr>
          <w:rFonts w:ascii="宋体" w:hAnsi="宋体" w:cs="宋体" w:eastAsia="宋体" w:hint="default"/>
          <w:spacing w:val="-4"/>
          <w:sz w:val="21"/>
          <w:szCs w:val="21"/>
        </w:rPr>
        <w:t>行利润分配，也不进行资本公积金转增股本，此预案经公司董事会审议后尚需提交公司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年年</w:t>
      </w:r>
      <w:r>
        <w:rPr>
          <w:rFonts w:ascii="宋体" w:hAnsi="宋体" w:cs="宋体" w:eastAsia="宋体" w:hint="default"/>
          <w:sz w:val="21"/>
          <w:szCs w:val="21"/>
        </w:rPr>
      </w:r>
    </w:p>
    <w:p>
      <w:pPr>
        <w:pStyle w:val="BodyText"/>
        <w:spacing w:line="253" w:lineRule="exact"/>
        <w:ind w:left="238" w:right="310"/>
        <w:jc w:val="left"/>
      </w:pPr>
      <w:r>
        <w:rPr/>
        <w:t>度股东大会审议。</w:t>
      </w:r>
    </w:p>
    <w:p>
      <w:pPr>
        <w:spacing w:line="240" w:lineRule="auto" w:before="4"/>
        <w:rPr>
          <w:rFonts w:ascii="宋体" w:hAnsi="宋体" w:cs="宋体" w:eastAsia="宋体" w:hint="default"/>
          <w:sz w:val="27"/>
          <w:szCs w:val="27"/>
        </w:rPr>
      </w:pPr>
    </w:p>
    <w:p>
      <w:pPr>
        <w:pStyle w:val="Heading3"/>
        <w:spacing w:line="272" w:lineRule="exact"/>
        <w:ind w:left="658" w:right="85" w:hanging="4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spacing w:line="290" w:lineRule="auto" w:before="34"/>
        <w:ind w:left="238" w:right="70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BodyText"/>
        <w:spacing w:line="240" w:lineRule="auto" w:before="14"/>
        <w:ind w:left="238" w:right="310"/>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3"/>
        <w:tabs>
          <w:tab w:pos="804" w:val="left" w:leader="none"/>
        </w:tabs>
        <w:spacing w:line="272" w:lineRule="exact"/>
        <w:ind w:left="804" w:right="31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w:t>
      </w:r>
      <w:r>
        <w:rPr>
          <w:spacing w:val="-66"/>
        </w:rPr>
        <w:t> </w:t>
      </w:r>
      <w:r>
        <w:rPr>
          <w:spacing w:val="-66"/>
        </w:rPr>
      </w:r>
      <w:r>
        <w:rPr/>
        <w:t>或持续到报告期内的承诺事项</w:t>
      </w:r>
      <w:r>
        <w:rPr>
          <w:b w:val="0"/>
          <w:bCs w:val="0"/>
        </w:rPr>
      </w:r>
    </w:p>
    <w:p>
      <w:pPr>
        <w:spacing w:line="240" w:lineRule="auto" w:before="3"/>
        <w:rPr>
          <w:rFonts w:ascii="宋体" w:hAnsi="宋体" w:cs="宋体" w:eastAsia="宋体" w:hint="default"/>
          <w:b/>
          <w:bCs/>
          <w:sz w:val="5"/>
          <w:szCs w:val="5"/>
        </w:rPr>
      </w:pPr>
    </w:p>
    <w:tbl>
      <w:tblPr>
        <w:tblW w:w="0" w:type="auto"/>
        <w:jc w:val="left"/>
        <w:tblInd w:w="106" w:type="dxa"/>
        <w:tblLayout w:type="fixed"/>
        <w:tblCellMar>
          <w:top w:w="0" w:type="dxa"/>
          <w:left w:w="0" w:type="dxa"/>
          <w:bottom w:w="0" w:type="dxa"/>
          <w:right w:w="0" w:type="dxa"/>
        </w:tblCellMar>
        <w:tblLook w:val="01E0"/>
      </w:tblPr>
      <w:tblGrid>
        <w:gridCol w:w="838"/>
        <w:gridCol w:w="708"/>
        <w:gridCol w:w="1136"/>
        <w:gridCol w:w="1841"/>
        <w:gridCol w:w="996"/>
        <w:gridCol w:w="852"/>
        <w:gridCol w:w="718"/>
        <w:gridCol w:w="1109"/>
        <w:gridCol w:w="864"/>
      </w:tblGrid>
      <w:tr>
        <w:trPr>
          <w:trHeight w:val="1371"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201" w:right="201"/>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39" w:right="13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703" w:right="703"/>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177" w:right="173"/>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105" w:right="101"/>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3" w:right="13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ind w:left="127" w:right="127"/>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ind w:left="107" w:right="110"/>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2189"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72" w:lineRule="exact"/>
              <w:ind w:left="103" w:right="30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增持本公司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p>
            <w:pPr>
              <w:pStyle w:val="TableParagraph"/>
              <w:spacing w:line="235" w:lineRule="auto"/>
              <w:ind w:left="100" w:right="98"/>
              <w:jc w:val="left"/>
              <w:rPr>
                <w:rFonts w:ascii="宋体" w:hAnsi="宋体" w:cs="宋体" w:eastAsia="宋体" w:hint="default"/>
                <w:sz w:val="21"/>
                <w:szCs w:val="21"/>
              </w:rPr>
            </w:pPr>
            <w:r>
              <w:rPr>
                <w:rFonts w:ascii="宋体" w:hAnsi="宋体" w:cs="宋体" w:eastAsia="宋体" w:hint="default"/>
                <w:sz w:val="21"/>
                <w:szCs w:val="21"/>
              </w:rPr>
              <w:t>股份不低于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pacing w:val="-7"/>
                <w:sz w:val="21"/>
                <w:szCs w:val="21"/>
              </w:rPr>
              <w:t>1,000</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股增持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计划实施期间及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完成后的法定期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限内不减持所持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有的公司股份</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2"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p>
            <w:pPr>
              <w:pStyle w:val="TableParagraph"/>
              <w:spacing w:line="235" w:lineRule="auto"/>
              <w:ind w:left="103" w:right="247"/>
              <w:jc w:val="both"/>
              <w:rPr>
                <w:rFonts w:ascii="宋体" w:hAnsi="宋体" w:cs="宋体" w:eastAsia="宋体" w:hint="default"/>
                <w:sz w:val="21"/>
                <w:szCs w:val="21"/>
              </w:rPr>
            </w:pPr>
            <w:r>
              <w:rPr>
                <w:rFonts w:ascii="宋体" w:hAnsi="宋体" w:cs="宋体" w:eastAsia="宋体" w:hint="default"/>
                <w:sz w:val="21"/>
                <w:szCs w:val="21"/>
              </w:rPr>
              <w:t>起</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月内及</w:t>
            </w:r>
            <w:r>
              <w:rPr>
                <w:rFonts w:ascii="宋体" w:hAnsi="宋体" w:cs="宋体" w:eastAsia="宋体" w:hint="default"/>
                <w:spacing w:val="-102"/>
                <w:sz w:val="21"/>
                <w:szCs w:val="21"/>
              </w:rPr>
              <w:t> </w:t>
            </w:r>
            <w:r>
              <w:rPr>
                <w:rFonts w:ascii="宋体" w:hAnsi="宋体" w:cs="宋体" w:eastAsia="宋体" w:hint="default"/>
                <w:sz w:val="21"/>
                <w:szCs w:val="21"/>
              </w:rPr>
              <w:t>增持完</w:t>
            </w:r>
            <w:r>
              <w:rPr>
                <w:rFonts w:ascii="宋体" w:hAnsi="宋体" w:cs="宋体" w:eastAsia="宋体" w:hint="default"/>
                <w:spacing w:val="-102"/>
                <w:sz w:val="21"/>
                <w:szCs w:val="21"/>
              </w:rPr>
              <w:t> </w:t>
            </w:r>
            <w:r>
              <w:rPr>
                <w:rFonts w:ascii="宋体" w:hAnsi="宋体" w:cs="宋体" w:eastAsia="宋体" w:hint="default"/>
                <w:sz w:val="21"/>
                <w:szCs w:val="21"/>
              </w:rPr>
              <w:t>成后法</w:t>
            </w:r>
            <w:r>
              <w:rPr>
                <w:rFonts w:ascii="宋体" w:hAnsi="宋体" w:cs="宋体" w:eastAsia="宋体" w:hint="default"/>
                <w:spacing w:val="-102"/>
                <w:sz w:val="21"/>
                <w:szCs w:val="21"/>
              </w:rPr>
              <w:t> </w:t>
            </w:r>
            <w:r>
              <w:rPr>
                <w:rFonts w:ascii="宋体" w:hAnsi="宋体" w:cs="宋体" w:eastAsia="宋体" w:hint="default"/>
                <w:sz w:val="21"/>
                <w:szCs w:val="21"/>
              </w:rPr>
              <w:t>定期限</w:t>
            </w:r>
            <w:r>
              <w:rPr>
                <w:rFonts w:ascii="宋体" w:hAnsi="宋体" w:cs="宋体" w:eastAsia="宋体" w:hint="default"/>
                <w:spacing w:val="-102"/>
                <w:sz w:val="21"/>
                <w:szCs w:val="21"/>
              </w:rPr>
              <w:t> </w:t>
            </w:r>
            <w:r>
              <w:rPr>
                <w:rFonts w:ascii="宋体" w:hAnsi="宋体" w:cs="宋体" w:eastAsia="宋体" w:hint="default"/>
                <w:sz w:val="21"/>
                <w:szCs w:val="21"/>
              </w:rPr>
              <w:t>内</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事、监事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未来六个月内不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减持公司股票，维</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60" w:right="96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6" w:type="dxa"/>
        <w:tblLayout w:type="fixed"/>
        <w:tblCellMar>
          <w:top w:w="0" w:type="dxa"/>
          <w:left w:w="0" w:type="dxa"/>
          <w:bottom w:w="0" w:type="dxa"/>
          <w:right w:w="0" w:type="dxa"/>
        </w:tblCellMar>
        <w:tblLook w:val="01E0"/>
      </w:tblPr>
      <w:tblGrid>
        <w:gridCol w:w="838"/>
        <w:gridCol w:w="708"/>
        <w:gridCol w:w="1136"/>
        <w:gridCol w:w="1841"/>
        <w:gridCol w:w="996"/>
        <w:gridCol w:w="852"/>
        <w:gridCol w:w="718"/>
        <w:gridCol w:w="1109"/>
        <w:gridCol w:w="864"/>
      </w:tblGrid>
      <w:tr>
        <w:trPr>
          <w:trHeight w:val="828" w:hRule="exact"/>
        </w:trPr>
        <w:tc>
          <w:tcPr>
            <w:tcW w:w="83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及高级管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理人员</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护全体股东利益</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日起未</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来六个</w:t>
            </w:r>
            <w:r>
              <w:rPr>
                <w:rFonts w:ascii="宋体" w:hAnsi="宋体" w:cs="宋体" w:eastAsia="宋体" w:hint="default"/>
                <w:spacing w:val="-102"/>
                <w:sz w:val="21"/>
                <w:szCs w:val="21"/>
              </w:rPr>
              <w:t> </w:t>
            </w:r>
            <w:r>
              <w:rPr>
                <w:rFonts w:ascii="宋体" w:hAnsi="宋体" w:cs="宋体" w:eastAsia="宋体" w:hint="default"/>
                <w:sz w:val="21"/>
                <w:szCs w:val="21"/>
              </w:rPr>
              <w:t>月内</w:t>
            </w:r>
          </w:p>
        </w:tc>
        <w:tc>
          <w:tcPr>
            <w:tcW w:w="85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3" w:right="30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增持计划实施期</w:t>
            </w:r>
          </w:p>
          <w:p>
            <w:pPr>
              <w:pStyle w:val="TableParagraph"/>
              <w:spacing w:line="237" w:lineRule="auto" w:before="2"/>
              <w:ind w:left="100" w:right="254"/>
              <w:jc w:val="both"/>
              <w:rPr>
                <w:rFonts w:ascii="宋体" w:hAnsi="宋体" w:cs="宋体" w:eastAsia="宋体" w:hint="default"/>
                <w:sz w:val="21"/>
                <w:szCs w:val="21"/>
              </w:rPr>
            </w:pPr>
            <w:r>
              <w:rPr>
                <w:rFonts w:ascii="宋体" w:hAnsi="宋体" w:cs="宋体" w:eastAsia="宋体" w:hint="default"/>
                <w:sz w:val="21"/>
                <w:szCs w:val="21"/>
              </w:rPr>
              <w:t>间及完成后的法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定期限内不减持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所持有的公司股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30" w:lineRule="auto"/>
              <w:ind w:left="103"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日起法</w:t>
            </w:r>
            <w:r>
              <w:rPr>
                <w:rFonts w:ascii="宋体" w:hAnsi="宋体" w:cs="宋体" w:eastAsia="宋体" w:hint="default"/>
                <w:w w:val="100"/>
                <w:sz w:val="21"/>
                <w:szCs w:val="21"/>
              </w:rPr>
              <w:t> </w:t>
            </w:r>
            <w:r>
              <w:rPr>
                <w:rFonts w:ascii="宋体" w:hAnsi="宋体" w:cs="宋体" w:eastAsia="宋体" w:hint="default"/>
                <w:sz w:val="21"/>
                <w:szCs w:val="21"/>
              </w:rPr>
              <w:t>定期限</w:t>
            </w:r>
            <w:r>
              <w:rPr>
                <w:rFonts w:ascii="宋体" w:hAnsi="宋体" w:cs="宋体" w:eastAsia="宋体" w:hint="default"/>
                <w:spacing w:val="-102"/>
                <w:sz w:val="21"/>
                <w:szCs w:val="21"/>
              </w:rPr>
              <w:t> </w:t>
            </w:r>
            <w:r>
              <w:rPr>
                <w:rFonts w:ascii="宋体" w:hAnsi="宋体" w:cs="宋体" w:eastAsia="宋体" w:hint="default"/>
                <w:sz w:val="21"/>
                <w:szCs w:val="21"/>
              </w:rPr>
              <w:t>内</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3" w:right="30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本次增持后在法</w:t>
            </w:r>
          </w:p>
          <w:p>
            <w:pPr>
              <w:pStyle w:val="TableParagraph"/>
              <w:spacing w:line="237" w:lineRule="auto"/>
              <w:ind w:left="100" w:right="254"/>
              <w:jc w:val="both"/>
              <w:rPr>
                <w:rFonts w:ascii="宋体" w:hAnsi="宋体" w:cs="宋体" w:eastAsia="宋体" w:hint="default"/>
                <w:sz w:val="21"/>
                <w:szCs w:val="21"/>
              </w:rPr>
            </w:pPr>
            <w:r>
              <w:rPr>
                <w:rFonts w:ascii="宋体" w:hAnsi="宋体" w:cs="宋体" w:eastAsia="宋体" w:hint="default"/>
                <w:sz w:val="21"/>
                <w:szCs w:val="21"/>
              </w:rPr>
              <w:t>定期限内不减持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其所持有的公司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2" w:lineRule="exact"/>
              <w:ind w:left="103"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18</w:t>
            </w:r>
            <w:r>
              <w:rPr>
                <w:rFonts w:ascii="Times New Roman" w:hAnsi="Times New Roman" w:cs="Times New Roman" w:eastAsia="Times New Roman" w:hint="default"/>
                <w:sz w:val="21"/>
                <w:szCs w:val="21"/>
              </w:rPr>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日起法</w:t>
            </w:r>
            <w:r>
              <w:rPr>
                <w:rFonts w:ascii="宋体" w:hAnsi="宋体" w:cs="宋体" w:eastAsia="宋体" w:hint="default"/>
                <w:spacing w:val="-102"/>
                <w:sz w:val="21"/>
                <w:szCs w:val="21"/>
              </w:rPr>
              <w:t> </w:t>
            </w:r>
            <w:r>
              <w:rPr>
                <w:rFonts w:ascii="宋体" w:hAnsi="宋体" w:cs="宋体" w:eastAsia="宋体" w:hint="default"/>
                <w:sz w:val="21"/>
                <w:szCs w:val="21"/>
              </w:rPr>
              <w:t>定期限</w:t>
            </w:r>
            <w:r>
              <w:rPr>
                <w:rFonts w:ascii="宋体" w:hAnsi="宋体" w:cs="宋体" w:eastAsia="宋体" w:hint="default"/>
                <w:spacing w:val="-102"/>
                <w:sz w:val="21"/>
                <w:szCs w:val="21"/>
              </w:rPr>
              <w:t> </w:t>
            </w:r>
            <w:r>
              <w:rPr>
                <w:rFonts w:ascii="宋体" w:hAnsi="宋体" w:cs="宋体" w:eastAsia="宋体" w:hint="default"/>
                <w:sz w:val="21"/>
                <w:szCs w:val="21"/>
              </w:rPr>
              <w:t>内</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3" w:right="30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本次增持后在法</w:t>
            </w:r>
          </w:p>
          <w:p>
            <w:pPr>
              <w:pStyle w:val="TableParagraph"/>
              <w:spacing w:line="237" w:lineRule="auto" w:before="2"/>
              <w:ind w:left="100" w:right="254"/>
              <w:jc w:val="both"/>
              <w:rPr>
                <w:rFonts w:ascii="宋体" w:hAnsi="宋体" w:cs="宋体" w:eastAsia="宋体" w:hint="default"/>
                <w:sz w:val="21"/>
                <w:szCs w:val="21"/>
              </w:rPr>
            </w:pPr>
            <w:r>
              <w:rPr>
                <w:rFonts w:ascii="宋体" w:hAnsi="宋体" w:cs="宋体" w:eastAsia="宋体" w:hint="default"/>
                <w:sz w:val="21"/>
                <w:szCs w:val="21"/>
              </w:rPr>
              <w:t>定期限内不减持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其所持有的公司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2" w:lineRule="exact"/>
              <w:ind w:left="103"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日起法</w:t>
            </w:r>
            <w:r>
              <w:rPr>
                <w:rFonts w:ascii="宋体" w:hAnsi="宋体" w:cs="宋体" w:eastAsia="宋体" w:hint="default"/>
                <w:spacing w:val="-102"/>
                <w:sz w:val="21"/>
                <w:szCs w:val="21"/>
              </w:rPr>
              <w:t> </w:t>
            </w:r>
            <w:r>
              <w:rPr>
                <w:rFonts w:ascii="宋体" w:hAnsi="宋体" w:cs="宋体" w:eastAsia="宋体" w:hint="default"/>
                <w:sz w:val="21"/>
                <w:szCs w:val="21"/>
              </w:rPr>
              <w:t>定期限</w:t>
            </w:r>
            <w:r>
              <w:rPr>
                <w:rFonts w:ascii="宋体" w:hAnsi="宋体" w:cs="宋体" w:eastAsia="宋体" w:hint="default"/>
                <w:spacing w:val="-102"/>
                <w:sz w:val="21"/>
                <w:szCs w:val="21"/>
              </w:rPr>
              <w:t> </w:t>
            </w:r>
            <w:r>
              <w:rPr>
                <w:rFonts w:ascii="宋体" w:hAnsi="宋体" w:cs="宋体" w:eastAsia="宋体" w:hint="default"/>
                <w:sz w:val="21"/>
                <w:szCs w:val="21"/>
              </w:rPr>
              <w:t>内</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19"/>
          <w:szCs w:val="19"/>
        </w:rPr>
      </w:pPr>
    </w:p>
    <w:p>
      <w:pPr>
        <w:pStyle w:val="Heading3"/>
        <w:spacing w:line="240" w:lineRule="auto" w:before="36"/>
        <w:ind w:left="238" w:right="327"/>
        <w:jc w:val="left"/>
        <w:rPr>
          <w:b w:val="0"/>
          <w:bCs w:val="0"/>
        </w:rPr>
      </w:pPr>
      <w:r>
        <w:rPr/>
        <w:t>三、报告期内资金被占用情况及清欠进展情况</w:t>
      </w:r>
      <w:r>
        <w:rPr>
          <w:b w:val="0"/>
          <w:bCs w:val="0"/>
        </w:rPr>
      </w:r>
    </w:p>
    <w:p>
      <w:pPr>
        <w:spacing w:line="290" w:lineRule="auto" w:before="58"/>
        <w:ind w:left="238" w:right="26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四、董事会对会计师事务所</w:t>
      </w:r>
      <w:r>
        <w:rPr>
          <w:rFonts w:ascii="Arial" w:hAnsi="Arial" w:cs="Arial" w:eastAsia="Arial" w:hint="default"/>
          <w:b/>
          <w:bCs/>
          <w:spacing w:val="-1"/>
          <w:sz w:val="21"/>
          <w:szCs w:val="21"/>
        </w:rPr>
        <w:t>“</w:t>
      </w:r>
      <w:r>
        <w:rPr>
          <w:rFonts w:ascii="宋体" w:hAnsi="宋体" w:cs="宋体" w:eastAsia="宋体" w:hint="default"/>
          <w:b/>
          <w:bCs/>
          <w:spacing w:val="-1"/>
          <w:sz w:val="21"/>
          <w:szCs w:val="21"/>
        </w:rPr>
        <w:t>非标准审计报告</w:t>
      </w:r>
      <w:r>
        <w:rPr>
          <w:rFonts w:ascii="Arial" w:hAnsi="Arial" w:cs="Arial" w:eastAsia="Arial" w:hint="default"/>
          <w:b/>
          <w:bCs/>
          <w:spacing w:val="-1"/>
          <w:sz w:val="21"/>
          <w:szCs w:val="21"/>
        </w:rPr>
        <w:t>”</w:t>
      </w:r>
      <w:r>
        <w:rPr>
          <w:rFonts w:ascii="宋体" w:hAnsi="宋体" w:cs="宋体" w:eastAsia="宋体" w:hint="default"/>
          <w:b/>
          <w:bCs/>
          <w:spacing w:val="-1"/>
          <w:sz w:val="21"/>
          <w:szCs w:val="21"/>
        </w:rPr>
        <w:t>的说明</w:t>
      </w:r>
      <w:r>
        <w:rPr>
          <w:rFonts w:ascii="宋体" w:hAnsi="宋体" w:cs="宋体" w:eastAsia="宋体" w:hint="default"/>
          <w:spacing w:val="-1"/>
          <w:sz w:val="21"/>
          <w:szCs w:val="21"/>
        </w:rPr>
      </w:r>
    </w:p>
    <w:p>
      <w:pPr>
        <w:pStyle w:val="Heading3"/>
        <w:spacing w:line="296" w:lineRule="exact"/>
        <w:ind w:left="180" w:right="327"/>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0"/>
        <w:ind w:left="238" w:right="327"/>
        <w:jc w:val="left"/>
      </w:pPr>
      <w:r>
        <w:rPr/>
        <w:t>□适用</w:t>
      </w:r>
      <w:r>
        <w:rPr>
          <w:spacing w:val="-1"/>
        </w:rPr>
        <w:t> </w:t>
      </w:r>
      <w:r>
        <w:rPr/>
        <w:t>√不适用</w:t>
      </w:r>
    </w:p>
    <w:p>
      <w:pPr>
        <w:pStyle w:val="Heading3"/>
        <w:spacing w:line="240" w:lineRule="auto" w:before="58"/>
        <w:ind w:left="180" w:right="327"/>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29"/>
        <w:ind w:left="238" w:right="3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80" w:right="327"/>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32"/>
        <w:ind w:left="238" w:right="3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3"/>
        <w:spacing w:line="240" w:lineRule="auto" w:before="36"/>
        <w:ind w:left="238" w:right="327"/>
        <w:jc w:val="left"/>
        <w:rPr>
          <w:b w:val="0"/>
          <w:bCs w:val="0"/>
        </w:rPr>
      </w:pPr>
      <w:r>
        <w:rPr/>
        <w:t>五、聘任、解聘会计师事务所情况</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60</w:t>
            </w:r>
            <w:r>
              <w:rPr>
                <w:rFonts w:ascii="宋体" w:hAnsi="宋体" w:cs="宋体" w:eastAsia="宋体" w:hint="default"/>
                <w:spacing w:val="-50"/>
                <w:sz w:val="21"/>
                <w:szCs w:val="21"/>
              </w:rPr>
              <w:t> </w:t>
            </w:r>
            <w:r>
              <w:rPr>
                <w:rFonts w:ascii="宋体" w:hAnsi="宋体" w:cs="宋体" w:eastAsia="宋体" w:hint="default"/>
                <w:sz w:val="21"/>
                <w:szCs w:val="21"/>
              </w:rPr>
              <w:t>万</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年度</w:t>
            </w:r>
          </w:p>
        </w:tc>
      </w:tr>
    </w:tbl>
    <w:p>
      <w:pPr>
        <w:spacing w:line="240" w:lineRule="auto" w:before="12"/>
        <w:rPr>
          <w:rFonts w:ascii="宋体" w:hAnsi="宋体" w:cs="宋体" w:eastAsia="宋体" w:hint="default"/>
          <w:sz w:val="20"/>
          <w:szCs w:val="20"/>
        </w:rPr>
      </w:pPr>
    </w:p>
    <w:tbl>
      <w:tblPr>
        <w:tblW w:w="0" w:type="auto"/>
        <w:jc w:val="left"/>
        <w:tblInd w:w="12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大华会计师事务所（特殊普通</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万</w:t>
            </w:r>
          </w:p>
        </w:tc>
      </w:tr>
    </w:tbl>
    <w:p>
      <w:pPr>
        <w:spacing w:line="240" w:lineRule="auto" w:before="5"/>
        <w:rPr>
          <w:rFonts w:ascii="宋体" w:hAnsi="宋体" w:cs="宋体" w:eastAsia="宋体" w:hint="default"/>
          <w:sz w:val="15"/>
          <w:szCs w:val="15"/>
        </w:rPr>
      </w:pPr>
    </w:p>
    <w:p>
      <w:pPr>
        <w:pStyle w:val="BodyText"/>
        <w:spacing w:line="274" w:lineRule="exact" w:before="36"/>
        <w:ind w:left="238" w:right="327"/>
        <w:jc w:val="left"/>
      </w:pPr>
      <w:r>
        <w:rPr/>
        <w:t>聘任、解聘会计师事务所的情况说明</w:t>
      </w:r>
    </w:p>
    <w:p>
      <w:pPr>
        <w:pStyle w:val="BodyText"/>
        <w:spacing w:line="272" w:lineRule="exact"/>
        <w:ind w:left="238" w:right="327"/>
        <w:jc w:val="left"/>
      </w:pPr>
      <w:r>
        <w:rPr/>
        <w:t>√适用</w:t>
      </w:r>
      <w:r>
        <w:rPr>
          <w:spacing w:val="-1"/>
        </w:rPr>
        <w:t> </w:t>
      </w:r>
      <w:r>
        <w:rPr/>
        <w:t>□不适用</w:t>
      </w:r>
    </w:p>
    <w:p>
      <w:pPr>
        <w:pStyle w:val="BodyText"/>
        <w:spacing w:line="274" w:lineRule="exact" w:before="24"/>
        <w:ind w:left="238" w:right="228"/>
        <w:jc w:val="left"/>
      </w:pPr>
      <w:r>
        <w:rPr/>
        <w:t>公司第八届董事会第二十次会议、</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年第一次临时股东大会审议通过了《关于聘请</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年年</w:t>
      </w:r>
      <w:r>
        <w:rPr>
          <w:w w:val="100"/>
        </w:rPr>
        <w:t> </w:t>
      </w:r>
      <w:r>
        <w:rPr>
          <w:spacing w:val="-5"/>
        </w:rPr>
        <w:t>度审计机构的议案》。公司拟聘请大华会计师事务所（特殊普通合伙）为本公司 </w:t>
      </w:r>
      <w:r>
        <w:rPr>
          <w:rFonts w:ascii="Times New Roman" w:hAnsi="Times New Roman" w:cs="Times New Roman" w:eastAsia="Times New Roman" w:hint="default"/>
        </w:rPr>
        <w:t>2015</w:t>
      </w:r>
      <w:r>
        <w:rPr>
          <w:rFonts w:ascii="Times New Roman" w:hAnsi="Times New Roman" w:cs="Times New Roman" w:eastAsia="Times New Roman" w:hint="default"/>
          <w:spacing w:val="22"/>
        </w:rPr>
        <w:t> </w:t>
      </w:r>
      <w:r>
        <w:rPr/>
        <w:t>年度财务审</w:t>
      </w:r>
    </w:p>
    <w:p>
      <w:pPr>
        <w:pStyle w:val="BodyText"/>
        <w:spacing w:line="254" w:lineRule="exact"/>
        <w:ind w:left="238" w:right="0"/>
        <w:jc w:val="left"/>
      </w:pPr>
      <w:r>
        <w:rPr>
          <w:w w:val="100"/>
        </w:rPr>
        <w:t>计机</w:t>
      </w:r>
      <w:r>
        <w:rPr>
          <w:spacing w:val="-3"/>
          <w:w w:val="100"/>
        </w:rPr>
        <w:t>构</w:t>
      </w:r>
      <w:r>
        <w:rPr>
          <w:w w:val="100"/>
        </w:rPr>
        <w:t>及</w:t>
      </w:r>
      <w:r>
        <w:rPr>
          <w:spacing w:val="-3"/>
          <w:w w:val="100"/>
        </w:rPr>
        <w:t>内</w:t>
      </w:r>
      <w:r>
        <w:rPr>
          <w:w w:val="100"/>
        </w:rPr>
        <w:t>控</w:t>
      </w:r>
      <w:r>
        <w:rPr>
          <w:spacing w:val="-3"/>
          <w:w w:val="100"/>
        </w:rPr>
        <w:t>制</w:t>
      </w:r>
      <w:r>
        <w:rPr>
          <w:w w:val="100"/>
        </w:rPr>
        <w:t>审</w:t>
      </w:r>
      <w:r>
        <w:rPr>
          <w:spacing w:val="-3"/>
          <w:w w:val="100"/>
        </w:rPr>
        <w:t>计</w:t>
      </w:r>
      <w:r>
        <w:rPr>
          <w:w w:val="100"/>
        </w:rPr>
        <w:t>机</w:t>
      </w:r>
      <w:r>
        <w:rPr>
          <w:spacing w:val="-3"/>
          <w:w w:val="100"/>
        </w:rPr>
        <w:t>构</w:t>
      </w:r>
      <w:r>
        <w:rPr>
          <w:spacing w:val="-60"/>
          <w:w w:val="100"/>
        </w:rPr>
        <w:t>。</w:t>
      </w:r>
      <w:r>
        <w:rPr>
          <w:spacing w:val="-3"/>
          <w:w w:val="100"/>
        </w:rPr>
        <w:t>详</w:t>
      </w:r>
      <w:r>
        <w:rPr>
          <w:w w:val="100"/>
        </w:rPr>
        <w:t>见</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16</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spacing w:val="-3"/>
          <w:w w:val="100"/>
        </w:rPr>
        <w:t>日</w:t>
      </w:r>
      <w:r>
        <w:rPr>
          <w:w w:val="100"/>
        </w:rPr>
        <w:t>和</w:t>
      </w:r>
      <w:r>
        <w:rPr>
          <w:spacing w:val="-55"/>
        </w:rPr>
        <w:t> </w:t>
      </w:r>
      <w:r>
        <w:rPr>
          <w:rFonts w:ascii="Times New Roman" w:hAnsi="Times New Roman" w:cs="Times New Roman" w:eastAsia="Times New Roman" w:hint="default"/>
          <w:w w:val="100"/>
        </w:rPr>
        <w:t>2016</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3"/>
        </w:rPr>
        <w:t> </w:t>
      </w:r>
      <w:r>
        <w:rPr>
          <w:w w:val="100"/>
        </w:rPr>
        <w:t>日</w:t>
      </w:r>
      <w:r>
        <w:rPr>
          <w:spacing w:val="-3"/>
          <w:w w:val="100"/>
        </w:rPr>
        <w:t>公</w:t>
      </w:r>
      <w:r>
        <w:rPr>
          <w:w w:val="100"/>
        </w:rPr>
        <w:t>司</w:t>
      </w:r>
      <w:r>
        <w:rPr>
          <w:spacing w:val="-63"/>
          <w:w w:val="100"/>
        </w:rPr>
        <w:t>在</w:t>
      </w:r>
      <w:r>
        <w:rPr>
          <w:spacing w:val="-3"/>
          <w:w w:val="100"/>
        </w:rPr>
        <w:t>《</w:t>
      </w:r>
      <w:r>
        <w:rPr>
          <w:w w:val="100"/>
        </w:rPr>
        <w:t>中国</w:t>
      </w:r>
      <w:r>
        <w:rPr>
          <w:spacing w:val="-3"/>
          <w:w w:val="100"/>
        </w:rPr>
        <w:t>证</w:t>
      </w:r>
      <w:r>
        <w:rPr>
          <w:w w:val="100"/>
        </w:rPr>
        <w:t>券</w:t>
      </w:r>
      <w:r>
        <w:rPr>
          <w:spacing w:val="-3"/>
          <w:w w:val="100"/>
        </w:rPr>
        <w:t>报</w:t>
      </w:r>
      <w:r>
        <w:rPr>
          <w:spacing w:val="-63"/>
          <w:w w:val="100"/>
        </w:rPr>
        <w:t>》</w:t>
      </w:r>
      <w:r>
        <w:rPr>
          <w:spacing w:val="-120"/>
          <w:w w:val="100"/>
        </w:rPr>
        <w:t>、</w:t>
      </w:r>
      <w:r>
        <w:rPr>
          <w:spacing w:val="-3"/>
          <w:w w:val="100"/>
        </w:rPr>
        <w:t>《</w:t>
      </w:r>
      <w:r>
        <w:rPr>
          <w:w w:val="100"/>
        </w:rPr>
        <w:t>上</w:t>
      </w:r>
    </w:p>
    <w:p>
      <w:pPr>
        <w:pStyle w:val="BodyText"/>
        <w:spacing w:line="272" w:lineRule="exact" w:before="19"/>
        <w:ind w:left="238" w:right="303"/>
        <w:jc w:val="left"/>
      </w:pPr>
      <w:r>
        <w:rPr/>
        <w:t>海证券报》、《证券时报》、《证券日报》和上海证券交易所网站：</w:t>
      </w:r>
      <w:hyperlink r:id="rId10">
        <w:r>
          <w:rPr>
            <w:rFonts w:ascii="Times New Roman" w:hAnsi="Times New Roman" w:cs="Times New Roman" w:eastAsia="Times New Roman" w:hint="default"/>
          </w:rPr>
          <w:t>http://www.sse.com.cn</w:t>
        </w:r>
      </w:hyperlink>
      <w:r>
        <w:rPr>
          <w:rFonts w:ascii="Times New Roman" w:hAnsi="Times New Roman" w:cs="Times New Roman" w:eastAsia="Times New Roman" w:hint="default"/>
          <w:spacing w:val="42"/>
        </w:rPr>
        <w:t> </w:t>
      </w:r>
      <w:r>
        <w:rPr/>
        <w:t>刊登</w:t>
      </w:r>
      <w:r>
        <w:rPr>
          <w:w w:val="100"/>
        </w:rPr>
        <w:t> </w:t>
      </w:r>
      <w:r>
        <w:rPr/>
        <w:t>的</w:t>
      </w:r>
      <w:r>
        <w:rPr>
          <w:spacing w:val="-55"/>
        </w:rPr>
        <w:t> </w:t>
      </w:r>
      <w:r>
        <w:rPr>
          <w:rFonts w:ascii="Times New Roman" w:hAnsi="Times New Roman" w:cs="Times New Roman" w:eastAsia="Times New Roman" w:hint="default"/>
        </w:rPr>
        <w:t>2016</w:t>
      </w:r>
      <w:r>
        <w:rPr>
          <w:rFonts w:ascii="Times New Roman" w:hAnsi="Times New Roman" w:cs="Times New Roman" w:eastAsia="Times New Roman" w:hint="default"/>
        </w:rPr>
        <w:t>—</w:t>
      </w:r>
      <w:r>
        <w:rPr>
          <w:rFonts w:ascii="Times New Roman" w:hAnsi="Times New Roman" w:cs="Times New Roman" w:eastAsia="Times New Roman" w:hint="default"/>
        </w:rPr>
        <w:t>004</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2016</w:t>
      </w:r>
      <w:r>
        <w:rPr>
          <w:rFonts w:ascii="Times New Roman" w:hAnsi="Times New Roman" w:cs="Times New Roman" w:eastAsia="Times New Roman" w:hint="default"/>
        </w:rPr>
        <w:t>—</w:t>
      </w:r>
      <w:r>
        <w:rPr>
          <w:rFonts w:ascii="Times New Roman" w:hAnsi="Times New Roman" w:cs="Times New Roman" w:eastAsia="Times New Roman" w:hint="default"/>
        </w:rPr>
        <w:t>023</w:t>
      </w:r>
      <w:r>
        <w:rPr>
          <w:rFonts w:ascii="Times New Roman" w:hAnsi="Times New Roman" w:cs="Times New Roman" w:eastAsia="Times New Roman" w:hint="default"/>
          <w:spacing w:val="-2"/>
        </w:rPr>
        <w:t> </w:t>
      </w:r>
      <w:r>
        <w:rPr/>
        <w:t>号公告。</w:t>
      </w:r>
    </w:p>
    <w:p>
      <w:pPr>
        <w:spacing w:after="0" w:line="272" w:lineRule="exact"/>
        <w:jc w:val="left"/>
        <w:sectPr>
          <w:pgSz w:w="11910" w:h="16840"/>
          <w:pgMar w:header="0" w:footer="1195" w:top="1120" w:bottom="1380" w:left="156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72" w:lineRule="exact" w:before="64"/>
        <w:ind w:right="4869"/>
        <w:jc w:val="left"/>
      </w:pPr>
      <w:r>
        <w:rPr>
          <w:spacing w:val="-2"/>
        </w:rPr>
        <w:t>审计期间改聘会计师事务所的情况说明</w:t>
      </w:r>
      <w:r>
        <w:rPr>
          <w:spacing w:val="-72"/>
        </w:rPr>
        <w:t> </w:t>
      </w:r>
      <w:r>
        <w:rPr>
          <w:spacing w:val="-72"/>
        </w:rPr>
      </w:r>
      <w:r>
        <w:rPr/>
        <w:t>不适用</w:t>
      </w:r>
    </w:p>
    <w:p>
      <w:pPr>
        <w:pStyle w:val="Heading3"/>
        <w:spacing w:line="240" w:lineRule="auto" w:before="34"/>
        <w:ind w:left="138" w:right="123"/>
        <w:jc w:val="left"/>
        <w:rPr>
          <w:b w:val="0"/>
          <w:bCs w:val="0"/>
        </w:rPr>
      </w:pPr>
      <w:r>
        <w:rPr/>
        <w:t>六、面临暂停上市风险的情况</w:t>
      </w:r>
      <w:r>
        <w:rPr>
          <w:b w:val="0"/>
          <w:bCs w:val="0"/>
        </w:rPr>
      </w:r>
    </w:p>
    <w:p>
      <w:pPr>
        <w:pStyle w:val="Heading3"/>
        <w:spacing w:line="266" w:lineRule="auto" w:before="56"/>
        <w:ind w:left="138" w:right="2840"/>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w w:val="100"/>
        </w:rPr>
        <w:t> </w:t>
      </w:r>
      <w:r>
        <w:rPr>
          <w:rFonts w:ascii="宋体" w:hAnsi="宋体" w:cs="宋体" w:eastAsia="宋体" w:hint="default"/>
          <w:b w:val="0"/>
          <w:bCs w:val="0"/>
        </w:rPr>
        <w:t>不适用</w:t>
      </w:r>
    </w:p>
    <w:p>
      <w:pPr>
        <w:spacing w:line="240" w:lineRule="auto" w:before="6"/>
        <w:rPr>
          <w:rFonts w:ascii="宋体" w:hAnsi="宋体" w:cs="宋体" w:eastAsia="宋体" w:hint="default"/>
          <w:sz w:val="23"/>
          <w:szCs w:val="23"/>
        </w:rPr>
      </w:pPr>
    </w:p>
    <w:p>
      <w:pPr>
        <w:pStyle w:val="Heading3"/>
        <w:spacing w:line="240" w:lineRule="auto"/>
        <w:ind w:left="138" w:right="123"/>
        <w:jc w:val="left"/>
        <w:rPr>
          <w:b w:val="0"/>
          <w:bCs w:val="0"/>
        </w:rPr>
      </w:pPr>
      <w:r>
        <w:rPr/>
        <w:t>七、破产重整相关事项</w:t>
      </w:r>
      <w:r>
        <w:rPr>
          <w:b w:val="0"/>
          <w:bCs w:val="0"/>
        </w:rPr>
      </w:r>
    </w:p>
    <w:p>
      <w:pPr>
        <w:pStyle w:val="BodyText"/>
        <w:spacing w:line="240" w:lineRule="auto" w:before="56"/>
        <w:ind w:right="12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123"/>
        <w:jc w:val="left"/>
        <w:rPr>
          <w:b w:val="0"/>
          <w:bCs w:val="0"/>
        </w:rPr>
      </w:pPr>
      <w:r>
        <w:rPr/>
        <w:t>八、重大诉讼、仲裁事项</w:t>
      </w:r>
      <w:r>
        <w:rPr>
          <w:b w:val="0"/>
          <w:bCs w:val="0"/>
        </w:rPr>
      </w:r>
    </w:p>
    <w:p>
      <w:pPr>
        <w:pStyle w:val="BodyText"/>
        <w:spacing w:line="240" w:lineRule="auto" w:before="59"/>
        <w:ind w:right="123"/>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7"/>
        <w:ind w:right="96"/>
        <w:jc w:val="left"/>
        <w:rPr>
          <w:b w:val="0"/>
          <w:bCs w:val="0"/>
        </w:rPr>
      </w:pPr>
      <w:r>
        <w:rPr/>
        <w:t>九、上市公司及其董事、监事、高级管理人员、控股股东、实际控制人、收购人处罚及整改情况</w:t>
      </w:r>
      <w:r>
        <w:rPr>
          <w:b w:val="0"/>
          <w:bCs w:val="0"/>
        </w:rPr>
      </w:r>
    </w:p>
    <w:p>
      <w:pPr>
        <w:spacing w:line="290" w:lineRule="auto" w:before="56"/>
        <w:ind w:left="218" w:right="24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十、报告期内公司及其控股股东、实际控制人诚信状况的说明</w:t>
      </w:r>
      <w:r>
        <w:rPr>
          <w:rFonts w:ascii="宋体" w:hAnsi="宋体" w:cs="宋体" w:eastAsia="宋体" w:hint="default"/>
          <w:spacing w:val="-1"/>
          <w:sz w:val="21"/>
          <w:szCs w:val="21"/>
        </w:rPr>
      </w:r>
    </w:p>
    <w:p>
      <w:pPr>
        <w:pStyle w:val="BodyText"/>
        <w:spacing w:line="240" w:lineRule="auto" w:before="12"/>
        <w:ind w:left="218" w:right="96"/>
        <w:jc w:val="left"/>
      </w:pPr>
      <w:r>
        <w:rPr>
          <w:spacing w:val="-2"/>
        </w:rPr>
        <w:t>公司及控股股东、实际控制人诚信状况良好，不存在未履行法院生效判决、所负数额较大的债务</w:t>
      </w:r>
      <w:r>
        <w:rPr>
          <w:spacing w:val="-25"/>
        </w:rPr>
        <w:t> </w:t>
      </w:r>
      <w:r>
        <w:rPr>
          <w:spacing w:val="-25"/>
        </w:rPr>
      </w:r>
      <w:r>
        <w:rPr/>
        <w:t>到期未清偿等情况。</w:t>
      </w:r>
    </w:p>
    <w:p>
      <w:pPr>
        <w:spacing w:line="240" w:lineRule="auto" w:before="3"/>
        <w:rPr>
          <w:rFonts w:ascii="宋体" w:hAnsi="宋体" w:cs="宋体" w:eastAsia="宋体" w:hint="default"/>
          <w:sz w:val="25"/>
          <w:szCs w:val="25"/>
        </w:rPr>
      </w:pPr>
    </w:p>
    <w:p>
      <w:pPr>
        <w:pStyle w:val="Heading3"/>
        <w:spacing w:line="240" w:lineRule="auto"/>
        <w:ind w:right="2465"/>
        <w:jc w:val="left"/>
        <w:rPr>
          <w:b w:val="0"/>
          <w:bCs w:val="0"/>
        </w:rPr>
      </w:pPr>
      <w:r>
        <w:rPr/>
        <w:t>十一、公司股权激励计划、员工持股计划或其他员工激励情况及其影响</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465"/>
        <w:jc w:val="left"/>
        <w:rPr>
          <w:b w:val="0"/>
          <w:bCs w:val="0"/>
        </w:rPr>
      </w:pPr>
      <w:r>
        <w:rPr/>
        <w:t>十二、重大关联交易</w:t>
      </w:r>
      <w:r>
        <w:rPr>
          <w:b w:val="0"/>
          <w:bCs w:val="0"/>
        </w:rPr>
      </w:r>
    </w:p>
    <w:p>
      <w:pPr>
        <w:pStyle w:val="BodyText"/>
        <w:spacing w:line="240" w:lineRule="auto" w:before="59"/>
        <w:ind w:left="218" w:right="2465"/>
        <w:jc w:val="left"/>
      </w:pPr>
      <w:r>
        <w:rPr/>
        <w:t>√适用</w:t>
      </w:r>
      <w:r>
        <w:rPr>
          <w:spacing w:val="-1"/>
        </w:rPr>
        <w:t> </w:t>
      </w:r>
      <w:r>
        <w:rPr/>
        <w:t>□不适用</w:t>
      </w:r>
    </w:p>
    <w:p>
      <w:pPr>
        <w:pStyle w:val="Heading3"/>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32"/>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6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第</w:t>
            </w:r>
            <w:r>
              <w:rPr>
                <w:rFonts w:ascii="宋体" w:hAnsi="宋体" w:cs="宋体" w:eastAsia="宋体" w:hint="default"/>
                <w:w w:val="100"/>
                <w:sz w:val="21"/>
                <w:szCs w:val="21"/>
              </w:rPr>
              <w:t>八</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三</w:t>
            </w:r>
            <w:r>
              <w:rPr>
                <w:rFonts w:ascii="宋体" w:hAnsi="宋体" w:cs="宋体" w:eastAsia="宋体" w:hint="default"/>
                <w:spacing w:val="-3"/>
                <w:w w:val="100"/>
                <w:sz w:val="21"/>
                <w:szCs w:val="21"/>
              </w:rPr>
              <w:t>次</w:t>
            </w:r>
            <w:r>
              <w:rPr>
                <w:rFonts w:ascii="宋体" w:hAnsi="宋体" w:cs="宋体" w:eastAsia="宋体" w:hint="default"/>
                <w:w w:val="100"/>
                <w:sz w:val="21"/>
                <w:szCs w:val="21"/>
              </w:rPr>
              <w:t>会议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104"/>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关于</w:t>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pacing w:val="2"/>
                <w:sz w:val="21"/>
                <w:szCs w:val="21"/>
              </w:rPr>
              <w:t>公司全资子公司签署智慧南宁项目战略合作框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sz w:val="21"/>
                <w:szCs w:val="21"/>
              </w:rPr>
              <w:t>架协议补充协议的议案》，同意南宁市智诚合讯</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6"/>
                <w:w w:val="100"/>
                <w:sz w:val="21"/>
                <w:szCs w:val="21"/>
              </w:rPr>
              <w:t>信息技术有限公司与南宁市人民政府、上海斐讯</w:t>
            </w:r>
            <w:r>
              <w:rPr>
                <w:rFonts w:ascii="宋体" w:hAnsi="宋体" w:cs="宋体" w:eastAsia="宋体" w:hint="default"/>
                <w:w w:val="100"/>
                <w:sz w:val="21"/>
                <w:szCs w:val="21"/>
              </w:rPr>
              <w:t> </w:t>
            </w:r>
            <w:r>
              <w:rPr>
                <w:rFonts w:ascii="宋体" w:hAnsi="宋体" w:cs="宋体" w:eastAsia="宋体" w:hint="default"/>
                <w:spacing w:val="-7"/>
                <w:w w:val="100"/>
                <w:sz w:val="21"/>
                <w:szCs w:val="21"/>
              </w:rPr>
              <w:t>数据通信技术有限公司签署《关于智慧南宁项目</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战略合作框架协议之补充协议》。</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详见</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的</w:t>
            </w:r>
            <w:r>
              <w:rPr>
                <w:rFonts w:ascii="宋体" w:hAnsi="宋体" w:cs="宋体" w:eastAsia="宋体" w:hint="default"/>
                <w:w w:val="100"/>
                <w:sz w:val="21"/>
                <w:szCs w:val="21"/>
              </w:rPr>
              <w:t>中国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r>
              <w:rPr>
                <w:rFonts w:ascii="宋体" w:hAnsi="宋体" w:cs="宋体" w:eastAsia="宋体" w:hint="default"/>
                <w:spacing w:val="-106"/>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证券</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pacing w:val="-7"/>
                <w:sz w:val="21"/>
                <w:szCs w:val="21"/>
              </w:rPr>
              <w:t>报、证券时报、证券日报和上海证券交易所网站</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公告。</w:t>
            </w:r>
          </w:p>
        </w:tc>
      </w:tr>
      <w:tr>
        <w:trPr>
          <w:trHeight w:val="16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第</w:t>
            </w:r>
            <w:r>
              <w:rPr>
                <w:rFonts w:ascii="宋体" w:hAnsi="宋体" w:cs="宋体" w:eastAsia="宋体" w:hint="default"/>
                <w:w w:val="100"/>
                <w:sz w:val="21"/>
                <w:szCs w:val="21"/>
              </w:rPr>
              <w:t>八</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六</w:t>
            </w:r>
            <w:r>
              <w:rPr>
                <w:rFonts w:ascii="宋体" w:hAnsi="宋体" w:cs="宋体" w:eastAsia="宋体" w:hint="default"/>
                <w:spacing w:val="-3"/>
                <w:w w:val="100"/>
                <w:sz w:val="21"/>
                <w:szCs w:val="21"/>
              </w:rPr>
              <w:t>次</w:t>
            </w:r>
            <w:r>
              <w:rPr>
                <w:rFonts w:ascii="宋体" w:hAnsi="宋体" w:cs="宋体" w:eastAsia="宋体" w:hint="default"/>
                <w:w w:val="100"/>
                <w:sz w:val="21"/>
                <w:szCs w:val="21"/>
              </w:rPr>
              <w:t>会议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104"/>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关于</w:t>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pacing w:val="2"/>
                <w:sz w:val="21"/>
                <w:szCs w:val="21"/>
              </w:rPr>
              <w:t>公司签署宁波杭州湾新区智慧城市项目战略合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sz w:val="21"/>
                <w:szCs w:val="21"/>
              </w:rPr>
              <w:t>作协议的议案》，同意公司与宁波杭州湾新区开</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7"/>
                <w:w w:val="100"/>
                <w:sz w:val="21"/>
                <w:szCs w:val="21"/>
              </w:rPr>
              <w:t>发建设管理委员会、公司关联方上海斐讯数据通</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w w:val="100"/>
                <w:sz w:val="21"/>
                <w:szCs w:val="21"/>
              </w:rPr>
              <w:t>信技术有限公司签署《关于宁波杭州湾新区智慧</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城市项目战略合作协议》。</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详见</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的</w:t>
            </w:r>
            <w:r>
              <w:rPr>
                <w:rFonts w:ascii="宋体" w:hAnsi="宋体" w:cs="宋体" w:eastAsia="宋体" w:hint="default"/>
                <w:w w:val="100"/>
                <w:sz w:val="21"/>
                <w:szCs w:val="21"/>
              </w:rPr>
              <w:t>中国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r>
              <w:rPr>
                <w:rFonts w:ascii="宋体" w:hAnsi="宋体" w:cs="宋体" w:eastAsia="宋体" w:hint="default"/>
                <w:spacing w:val="-106"/>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证券</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pacing w:val="-7"/>
                <w:sz w:val="21"/>
                <w:szCs w:val="21"/>
              </w:rPr>
              <w:t>报、证券时报、证券日报和上海证券交易所网站</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公告。</w:t>
            </w:r>
          </w:p>
        </w:tc>
      </w:tr>
      <w:tr>
        <w:trPr>
          <w:trHeight w:val="137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第</w:t>
            </w:r>
            <w:r>
              <w:rPr>
                <w:rFonts w:ascii="宋体" w:hAnsi="宋体" w:cs="宋体" w:eastAsia="宋体" w:hint="default"/>
                <w:w w:val="100"/>
                <w:sz w:val="21"/>
                <w:szCs w:val="21"/>
              </w:rPr>
              <w:t>八</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八</w:t>
            </w:r>
            <w:r>
              <w:rPr>
                <w:rFonts w:ascii="宋体" w:hAnsi="宋体" w:cs="宋体" w:eastAsia="宋体" w:hint="default"/>
                <w:spacing w:val="-3"/>
                <w:w w:val="100"/>
                <w:sz w:val="21"/>
                <w:szCs w:val="21"/>
              </w:rPr>
              <w:t>次</w:t>
            </w:r>
            <w:r>
              <w:rPr>
                <w:rFonts w:ascii="宋体" w:hAnsi="宋体" w:cs="宋体" w:eastAsia="宋体" w:hint="default"/>
                <w:w w:val="100"/>
                <w:sz w:val="21"/>
                <w:szCs w:val="21"/>
              </w:rPr>
              <w:t>会议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104"/>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关于</w:t>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pacing w:val="2"/>
                <w:sz w:val="21"/>
                <w:szCs w:val="21"/>
              </w:rPr>
              <w:t>公司签署湖南华容县智慧城市战略合作协议的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sz w:val="21"/>
                <w:szCs w:val="21"/>
              </w:rPr>
              <w:t>议案》，同意公司与岳阳市华容县人民政府、公</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司关联方上海斐讯数据通信技术有限公司签署</w:t>
            </w:r>
            <w:r>
              <w:rPr>
                <w:rFonts w:ascii="宋体" w:hAnsi="宋体" w:cs="宋体" w:eastAsia="宋体" w:hint="default"/>
                <w:sz w:val="21"/>
                <w:szCs w:val="21"/>
              </w:rPr>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《湖南华容县智慧城市战略合作协议》。</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详见</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的</w:t>
            </w:r>
            <w:r>
              <w:rPr>
                <w:rFonts w:ascii="宋体" w:hAnsi="宋体" w:cs="宋体" w:eastAsia="宋体" w:hint="default"/>
                <w:w w:val="100"/>
                <w:sz w:val="21"/>
                <w:szCs w:val="21"/>
              </w:rPr>
              <w:t>中国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r>
              <w:rPr>
                <w:rFonts w:ascii="宋体" w:hAnsi="宋体" w:cs="宋体" w:eastAsia="宋体" w:hint="default"/>
                <w:spacing w:val="-106"/>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证券</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pacing w:val="-7"/>
                <w:sz w:val="21"/>
                <w:szCs w:val="21"/>
              </w:rPr>
              <w:t>报、证券时报、证券日报和上海证券交易所网站</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公告。</w:t>
            </w:r>
          </w:p>
        </w:tc>
      </w:tr>
      <w:tr>
        <w:trPr>
          <w:trHeight w:val="82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公司展开了第八届董事会第十九次会议审议通</w:t>
            </w:r>
            <w:r>
              <w:rPr>
                <w:rFonts w:ascii="宋体" w:hAnsi="宋体" w:cs="宋体" w:eastAsia="宋体" w:hint="default"/>
                <w:sz w:val="21"/>
                <w:szCs w:val="21"/>
              </w:rPr>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pacing w:val="-6"/>
                <w:w w:val="100"/>
                <w:sz w:val="21"/>
                <w:szCs w:val="21"/>
              </w:rPr>
              <w:t>过了《关于与顾国平签署</w:t>
            </w:r>
            <w:r>
              <w:rPr>
                <w:rFonts w:ascii="Calibri" w:hAnsi="Calibri" w:cs="Calibri" w:eastAsia="Calibri" w:hint="default"/>
                <w:spacing w:val="-6"/>
                <w:w w:val="100"/>
                <w:sz w:val="21"/>
                <w:szCs w:val="21"/>
              </w:rPr>
              <w:t>&lt;</w:t>
            </w:r>
            <w:r>
              <w:rPr>
                <w:rFonts w:ascii="宋体" w:hAnsi="宋体" w:cs="宋体" w:eastAsia="宋体" w:hint="default"/>
                <w:spacing w:val="-6"/>
                <w:w w:val="100"/>
                <w:sz w:val="21"/>
                <w:szCs w:val="21"/>
              </w:rPr>
              <w:t>债务豁免协议的议案</w:t>
            </w:r>
            <w:r>
              <w:rPr>
                <w:rFonts w:ascii="Calibri" w:hAnsi="Calibri" w:cs="Calibri" w:eastAsia="Calibri" w:hint="default"/>
                <w:spacing w:val="-6"/>
                <w:w w:val="100"/>
                <w:sz w:val="21"/>
                <w:szCs w:val="21"/>
              </w:rPr>
              <w:t>&gt;</w:t>
            </w:r>
            <w:r>
              <w:rPr>
                <w:rFonts w:ascii="Calibri" w:hAnsi="Calibri" w:cs="Calibri" w:eastAsia="Calibri" w:hint="default"/>
                <w:spacing w:val="-46"/>
                <w:w w:val="100"/>
                <w:sz w:val="21"/>
                <w:szCs w:val="21"/>
              </w:rPr>
              <w:t> </w:t>
            </w:r>
            <w:r>
              <w:rPr>
                <w:rFonts w:ascii="宋体" w:hAnsi="宋体" w:cs="宋体" w:eastAsia="宋体" w:hint="default"/>
                <w:sz w:val="21"/>
                <w:szCs w:val="21"/>
              </w:rPr>
              <w:t>的议案》</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日和</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日的</w:t>
            </w:r>
          </w:p>
          <w:p>
            <w:pPr>
              <w:pStyle w:val="TableParagraph"/>
              <w:spacing w:line="272" w:lineRule="exact" w:before="18"/>
              <w:ind w:left="103" w:right="98"/>
              <w:jc w:val="left"/>
              <w:rPr>
                <w:rFonts w:ascii="宋体" w:hAnsi="宋体" w:cs="宋体" w:eastAsia="宋体" w:hint="default"/>
                <w:sz w:val="21"/>
                <w:szCs w:val="21"/>
              </w:rPr>
            </w:pPr>
            <w:r>
              <w:rPr>
                <w:rFonts w:ascii="宋体" w:hAnsi="宋体" w:cs="宋体" w:eastAsia="宋体" w:hint="default"/>
                <w:spacing w:val="-7"/>
                <w:sz w:val="21"/>
                <w:szCs w:val="21"/>
              </w:rPr>
              <w:t>中国证券报、上海证券报、证券时报、证券日报</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和上海证券交易所网站公告。</w:t>
            </w:r>
          </w:p>
        </w:tc>
      </w:tr>
    </w:tbl>
    <w:p>
      <w:pPr>
        <w:spacing w:line="240" w:lineRule="auto" w:before="2"/>
        <w:rPr>
          <w:rFonts w:ascii="宋体" w:hAnsi="宋体" w:cs="宋体" w:eastAsia="宋体" w:hint="default"/>
          <w:b/>
          <w:bCs/>
          <w:sz w:val="20"/>
          <w:szCs w:val="20"/>
        </w:rPr>
      </w:pPr>
    </w:p>
    <w:p>
      <w:pPr>
        <w:pStyle w:val="Heading3"/>
        <w:spacing w:line="240" w:lineRule="auto" w:before="36"/>
        <w:ind w:right="2465"/>
        <w:jc w:val="left"/>
        <w:rPr>
          <w:b w:val="0"/>
          <w:bCs w:val="0"/>
        </w:rPr>
      </w:pPr>
      <w:r>
        <w:rPr>
          <w:rFonts w:ascii="宋体" w:hAnsi="宋体" w:cs="宋体" w:eastAsia="宋体" w:hint="default"/>
        </w:rPr>
        <w:t>2</w:t>
      </w:r>
      <w:r>
        <w:rPr/>
        <w:t>、</w:t>
      </w:r>
      <w:r>
        <w:rPr>
          <w:spacing w:val="-3"/>
        </w:rPr>
        <w:t> </w:t>
      </w:r>
      <w:r>
        <w:rPr/>
        <w:t>临时公告未披露的事项</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29"/>
        <w:ind w:right="2465"/>
        <w:jc w:val="left"/>
        <w:rPr>
          <w:b w:val="0"/>
          <w:bCs w:val="0"/>
        </w:rPr>
      </w:pPr>
      <w:r>
        <w:rPr>
          <w:rFonts w:ascii="宋体" w:hAnsi="宋体" w:cs="宋体" w:eastAsia="宋体" w:hint="default"/>
        </w:rPr>
        <w:t>1</w:t>
      </w:r>
      <w:r>
        <w:rPr/>
        <w:t>、</w:t>
      </w:r>
      <w:r>
        <w:rPr>
          <w:spacing w:val="-6"/>
        </w:rPr>
        <w:t> </w:t>
      </w:r>
      <w:r>
        <w:rPr/>
        <w:t>已在临时公告披露，但有后续实施的进展或变化的事项</w:t>
      </w:r>
      <w:r>
        <w:rPr>
          <w:b w:val="0"/>
          <w:bCs w:val="0"/>
        </w:rPr>
      </w:r>
    </w:p>
    <w:p>
      <w:pPr>
        <w:pStyle w:val="BodyText"/>
        <w:spacing w:line="232" w:lineRule="auto" w:before="66"/>
        <w:ind w:left="218" w:right="227" w:firstLine="419"/>
        <w:jc w:val="both"/>
      </w:pPr>
      <w:r>
        <w:rPr>
          <w:w w:val="100"/>
        </w:rPr>
        <w:t>经公司</w:t>
      </w:r>
      <w:r>
        <w:rPr>
          <w:spacing w:val="-73"/>
          <w:w w:val="100"/>
        </w:rPr>
        <w:t> </w:t>
      </w:r>
      <w:r>
        <w:rPr>
          <w:rFonts w:ascii="Times New Roman" w:hAnsi="Times New Roman" w:cs="Times New Roman" w:eastAsia="Times New Roman" w:hint="default"/>
          <w:w w:val="100"/>
        </w:rPr>
        <w:t>2014</w:t>
      </w:r>
      <w:r>
        <w:rPr>
          <w:rFonts w:ascii="Times New Roman" w:hAnsi="Times New Roman" w:cs="Times New Roman" w:eastAsia="Times New Roman" w:hint="default"/>
          <w:spacing w:val="-20"/>
          <w:w w:val="100"/>
        </w:rPr>
        <w:t> </w:t>
      </w:r>
      <w:r>
        <w:rPr>
          <w:w w:val="100"/>
        </w:rPr>
        <w:t>年</w:t>
      </w:r>
      <w:r>
        <w:rPr>
          <w:spacing w:val="-70"/>
          <w:w w:val="100"/>
        </w:rPr>
        <w:t> </w:t>
      </w:r>
      <w:r>
        <w:rPr>
          <w:rFonts w:ascii="Times New Roman" w:hAnsi="Times New Roman" w:cs="Times New Roman" w:eastAsia="Times New Roman" w:hint="default"/>
          <w:w w:val="100"/>
        </w:rPr>
        <w:t>11</w:t>
      </w:r>
      <w:r>
        <w:rPr>
          <w:rFonts w:ascii="Times New Roman" w:hAnsi="Times New Roman" w:cs="Times New Roman" w:eastAsia="Times New Roman" w:hint="default"/>
          <w:spacing w:val="-20"/>
          <w:w w:val="100"/>
        </w:rPr>
        <w:t> </w:t>
      </w:r>
      <w:r>
        <w:rPr>
          <w:w w:val="100"/>
        </w:rPr>
        <w:t>月</w:t>
      </w:r>
      <w:r>
        <w:rPr>
          <w:spacing w:val="-70"/>
          <w:w w:val="100"/>
        </w:rPr>
        <w:t> </w:t>
      </w:r>
      <w:r>
        <w:rPr>
          <w:rFonts w:ascii="Times New Roman" w:hAnsi="Times New Roman" w:cs="Times New Roman" w:eastAsia="Times New Roman" w:hint="default"/>
          <w:w w:val="100"/>
        </w:rPr>
        <w:t>14</w:t>
      </w:r>
      <w:r>
        <w:rPr>
          <w:rFonts w:ascii="Times New Roman" w:hAnsi="Times New Roman" w:cs="Times New Roman" w:eastAsia="Times New Roman" w:hint="default"/>
          <w:spacing w:val="-20"/>
          <w:w w:val="100"/>
        </w:rPr>
        <w:t> </w:t>
      </w:r>
      <w:r>
        <w:rPr>
          <w:spacing w:val="-6"/>
          <w:w w:val="100"/>
        </w:rPr>
        <w:t>日召开的第七届董事会第三十八次会议、</w:t>
      </w:r>
      <w:r>
        <w:rPr>
          <w:rFonts w:ascii="Times New Roman" w:hAnsi="Times New Roman" w:cs="Times New Roman" w:eastAsia="Times New Roman" w:hint="default"/>
          <w:spacing w:val="-6"/>
          <w:w w:val="100"/>
        </w:rPr>
        <w:t>2014</w:t>
      </w:r>
      <w:r>
        <w:rPr>
          <w:rFonts w:ascii="Times New Roman" w:hAnsi="Times New Roman" w:cs="Times New Roman" w:eastAsia="Times New Roman" w:hint="default"/>
          <w:spacing w:val="-18"/>
          <w:w w:val="100"/>
        </w:rPr>
        <w:t> </w:t>
      </w:r>
      <w:r>
        <w:rPr>
          <w:w w:val="100"/>
        </w:rPr>
        <w:t>年</w:t>
      </w:r>
      <w:r>
        <w:rPr>
          <w:spacing w:val="-70"/>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17"/>
          <w:w w:val="100"/>
        </w:rPr>
        <w:t> </w:t>
      </w:r>
      <w:r>
        <w:rPr>
          <w:w w:val="100"/>
        </w:rPr>
        <w:t>月</w:t>
      </w:r>
      <w:r>
        <w:rPr>
          <w:spacing w:val="-73"/>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8"/>
          <w:w w:val="100"/>
        </w:rPr>
        <w:t> </w:t>
      </w:r>
      <w:r>
        <w:rPr>
          <w:spacing w:val="-1"/>
          <w:w w:val="100"/>
        </w:rPr>
        <w:t>日召开的</w:t>
      </w:r>
      <w:r>
        <w:rPr>
          <w:spacing w:val="-71"/>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w w:val="100"/>
        </w:rPr>
        <w:t> </w:t>
      </w:r>
      <w:r>
        <w:rPr>
          <w:spacing w:val="-6"/>
        </w:rPr>
        <w:t>年第三次临时股东大会审议通过了《关于公司向关联方借款的议案》。为满足公司业务开展需要，</w:t>
      </w:r>
      <w:r>
        <w:rPr>
          <w:spacing w:val="-54"/>
        </w:rPr>
        <w:t> </w:t>
      </w:r>
      <w:r>
        <w:rPr>
          <w:spacing w:val="-54"/>
        </w:rPr>
      </w:r>
      <w:r>
        <w:rPr>
          <w:spacing w:val="-2"/>
        </w:rPr>
        <w:t>保证公司日常资金顺利周转，同意公司向关联方顾国平或其指定的第三方申请总金额不超过人民</w:t>
      </w:r>
      <w:r>
        <w:rPr>
          <w:spacing w:val="-25"/>
        </w:rPr>
        <w:t> </w:t>
      </w:r>
      <w:r>
        <w:rPr>
          <w:spacing w:val="-25"/>
        </w:rPr>
      </w:r>
      <w:r>
        <w:rPr/>
        <w:t>币</w:t>
      </w:r>
      <w:r>
        <w:rPr>
          <w:spacing w:val="-53"/>
        </w:rPr>
        <w:t> </w:t>
      </w:r>
      <w:r>
        <w:rPr>
          <w:rFonts w:ascii="Times New Roman" w:hAnsi="Times New Roman" w:cs="Times New Roman" w:eastAsia="Times New Roman" w:hint="default"/>
        </w:rPr>
        <w:t>2 </w:t>
      </w:r>
      <w:r>
        <w:rPr/>
        <w:t>亿元的无息借款，借款期限为</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个月。其中，不超过人民币</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亿元的借款将用于补充公司日</w:t>
      </w:r>
    </w:p>
    <w:p>
      <w:pPr>
        <w:pStyle w:val="BodyText"/>
        <w:spacing w:line="272" w:lineRule="exact" w:before="12"/>
        <w:ind w:left="218" w:right="232"/>
        <w:jc w:val="left"/>
      </w:pPr>
      <w:r>
        <w:rPr/>
        <w:t>常经营所需流动资金，不超过人民币</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亿元的借款将用于对公司全资子公司南宁市智诚合讯信息</w:t>
      </w:r>
      <w:r>
        <w:rPr>
          <w:w w:val="100"/>
        </w:rPr>
        <w:t> </w:t>
      </w:r>
      <w:r>
        <w:rPr/>
        <w:t>技术有限公司进行增资。</w:t>
      </w:r>
    </w:p>
    <w:p>
      <w:pPr>
        <w:spacing w:after="0" w:line="272" w:lineRule="exact"/>
        <w:jc w:val="left"/>
        <w:sectPr>
          <w:pgSz w:w="11910" w:h="16840"/>
          <w:pgMar w:header="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218" w:right="228" w:firstLine="419"/>
        <w:jc w:val="right"/>
        <w:rPr>
          <w:rFonts w:ascii="Times New Roman" w:hAnsi="Times New Roman" w:cs="Times New Roman" w:eastAsia="Times New Roman" w:hint="default"/>
        </w:rPr>
      </w:pPr>
      <w:r>
        <w:rPr>
          <w:spacing w:val="-2"/>
        </w:rPr>
        <w:t>顾国平先生为支持公司发展，改善公司经营状况，决定豁免公司对其负有之部分债务，豁免</w:t>
      </w:r>
      <w:r>
        <w:rPr>
          <w:w w:val="100"/>
        </w:rPr>
        <w:t> </w:t>
      </w:r>
      <w:r>
        <w:rPr/>
        <w:t>债务金额为人民币</w:t>
      </w:r>
      <w:r>
        <w:rPr>
          <w:spacing w:val="-32"/>
        </w:rPr>
        <w:t> </w:t>
      </w:r>
      <w:r>
        <w:rPr>
          <w:rFonts w:ascii="Times New Roman" w:hAnsi="Times New Roman" w:cs="Times New Roman" w:eastAsia="Times New Roman" w:hint="default"/>
        </w:rPr>
        <w:t>2,500</w:t>
      </w:r>
      <w:r>
        <w:rPr>
          <w:rFonts w:ascii="Times New Roman" w:hAnsi="Times New Roman" w:cs="Times New Roman" w:eastAsia="Times New Roman" w:hint="default"/>
          <w:spacing w:val="18"/>
        </w:rPr>
        <w:t> </w:t>
      </w:r>
      <w:r>
        <w:rPr/>
        <w:t>万元，并与公司于</w:t>
      </w:r>
      <w:r>
        <w:rPr>
          <w:spacing w:val="-3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8"/>
        </w:rPr>
        <w:t> </w:t>
      </w:r>
      <w:r>
        <w:rPr/>
        <w:t>年</w:t>
      </w:r>
      <w:r>
        <w:rPr>
          <w:spacing w:val="-32"/>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32"/>
        </w:rPr>
        <w:t> </w:t>
      </w:r>
      <w:r>
        <w:rPr>
          <w:rFonts w:ascii="Times New Roman" w:hAnsi="Times New Roman" w:cs="Times New Roman" w:eastAsia="Times New Roman" w:hint="default"/>
        </w:rPr>
        <w:t>24</w:t>
      </w:r>
      <w:r>
        <w:rPr>
          <w:rFonts w:ascii="Times New Roman" w:hAnsi="Times New Roman" w:cs="Times New Roman" w:eastAsia="Times New Roman" w:hint="default"/>
          <w:spacing w:val="20"/>
        </w:rPr>
        <w:t> </w:t>
      </w:r>
      <w:r>
        <w:rPr/>
        <w:t>日签署了《债务豁免协议》。</w:t>
      </w:r>
      <w:r>
        <w:rPr>
          <w:rFonts w:ascii="Times New Roman" w:hAnsi="Times New Roman" w:cs="Times New Roman" w:eastAsia="Times New Roman" w:hint="default"/>
        </w:rPr>
        <w:t>2015</w:t>
      </w:r>
    </w:p>
    <w:p>
      <w:pPr>
        <w:pStyle w:val="BodyText"/>
        <w:spacing w:line="274" w:lineRule="exact" w:before="6"/>
        <w:ind w:left="218" w:right="222"/>
        <w:jc w:val="left"/>
      </w:pP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日，公司召开了第八届董事会第十九次会议审议通过了《关于与顾国平签署</w:t>
      </w:r>
      <w:r>
        <w:rPr>
          <w:rFonts w:ascii="Times New Roman" w:hAnsi="Times New Roman" w:cs="Times New Roman" w:eastAsia="Times New Roman" w:hint="default"/>
        </w:rPr>
        <w:t>&lt;</w:t>
      </w:r>
      <w:r>
        <w:rPr/>
        <w:t>债务豁</w:t>
      </w:r>
      <w:r>
        <w:rPr>
          <w:w w:val="100"/>
        </w:rPr>
        <w:t> </w:t>
      </w:r>
      <w:r>
        <w:rPr/>
        <w:t>免协议</w:t>
      </w:r>
      <w:r>
        <w:rPr>
          <w:rFonts w:ascii="Times New Roman" w:hAnsi="Times New Roman" w:cs="Times New Roman" w:eastAsia="Times New Roman" w:hint="default"/>
        </w:rPr>
        <w:t>&gt;</w:t>
      </w:r>
      <w:r>
        <w:rPr/>
        <w:t>的议案》。</w:t>
      </w:r>
    </w:p>
    <w:p>
      <w:pPr>
        <w:spacing w:line="240" w:lineRule="auto" w:before="4"/>
        <w:rPr>
          <w:rFonts w:ascii="宋体" w:hAnsi="宋体" w:cs="宋体" w:eastAsia="宋体" w:hint="default"/>
          <w:sz w:val="16"/>
          <w:szCs w:val="16"/>
        </w:rPr>
      </w:pPr>
    </w:p>
    <w:p>
      <w:pPr>
        <w:pStyle w:val="BodyText"/>
        <w:tabs>
          <w:tab w:pos="1051" w:val="left" w:leader="none"/>
        </w:tabs>
        <w:spacing w:line="240" w:lineRule="auto"/>
        <w:ind w:left="0" w:right="230"/>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1985"/>
        <w:gridCol w:w="1560"/>
        <w:gridCol w:w="1561"/>
        <w:gridCol w:w="1709"/>
      </w:tblGrid>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借款合同签订日期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5"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10,000,000</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35,000,000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35,000,000</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15,000,000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15,000,000</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2,000,000</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20,000,000</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Times New Roman" w:hAnsi="Times New Roman" w:cs="Times New Roman" w:eastAsia="Times New Roman" w:hint="default"/>
                <w:sz w:val="21"/>
                <w:szCs w:val="21"/>
              </w:rPr>
            </w:pPr>
            <w:r>
              <w:rPr>
                <w:rFonts w:ascii="Times New Roman"/>
                <w:sz w:val="21"/>
              </w:rPr>
              <w:t>-25,000,000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Times New Roman" w:hAnsi="Times New Roman" w:cs="Times New Roman" w:eastAsia="Times New Roman" w:hint="default"/>
                <w:sz w:val="21"/>
                <w:szCs w:val="21"/>
              </w:rPr>
            </w:pPr>
            <w:r>
              <w:rPr>
                <w:rFonts w:ascii="Times New Roman"/>
                <w:sz w:val="21"/>
              </w:rPr>
              <w:t>-25,000,000</w:t>
            </w:r>
          </w:p>
        </w:tc>
      </w:tr>
    </w:tbl>
    <w:p>
      <w:pPr>
        <w:spacing w:line="240" w:lineRule="auto" w:before="2"/>
        <w:rPr>
          <w:rFonts w:ascii="宋体" w:hAnsi="宋体" w:cs="宋体" w:eastAsia="宋体" w:hint="default"/>
          <w:sz w:val="20"/>
          <w:szCs w:val="20"/>
        </w:rPr>
      </w:pPr>
    </w:p>
    <w:p>
      <w:pPr>
        <w:pStyle w:val="Heading3"/>
        <w:spacing w:line="240" w:lineRule="auto" w:before="36"/>
        <w:ind w:right="2465"/>
        <w:jc w:val="left"/>
        <w:rPr>
          <w:b w:val="0"/>
          <w:bCs w:val="0"/>
        </w:rPr>
      </w:pPr>
      <w:r>
        <w:rPr>
          <w:rFonts w:ascii="宋体" w:hAnsi="宋体" w:cs="宋体" w:eastAsia="宋体" w:hint="default"/>
        </w:rPr>
        <w:t>2</w:t>
      </w:r>
      <w:r>
        <w:rPr/>
        <w:t>、</w:t>
      </w:r>
      <w:r>
        <w:rPr>
          <w:spacing w:val="-3"/>
        </w:rPr>
        <w:t> </w:t>
      </w:r>
      <w:r>
        <w:rPr/>
        <w:t>临时公告未披露的事项</w:t>
      </w:r>
      <w:r>
        <w:rPr>
          <w:b w:val="0"/>
          <w:bCs w:val="0"/>
        </w:rPr>
      </w:r>
    </w:p>
    <w:p>
      <w:pPr>
        <w:tabs>
          <w:tab w:pos="1057" w:val="left" w:leader="none"/>
        </w:tabs>
        <w:spacing w:line="290" w:lineRule="auto" w:before="56"/>
        <w:ind w:left="218" w:right="61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十三、重大合同及其履行情况</w:t>
      </w:r>
      <w:r>
        <w:rPr>
          <w:rFonts w:ascii="宋体" w:hAnsi="宋体" w:cs="宋体" w:eastAsia="宋体" w:hint="default"/>
          <w:b/>
          <w:bCs/>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托管、承包、租赁事项</w:t>
      </w:r>
      <w:r>
        <w:rPr>
          <w:rFonts w:ascii="宋体" w:hAnsi="宋体" w:cs="宋体" w:eastAsia="宋体" w:hint="default"/>
          <w:spacing w:val="-1"/>
          <w:sz w:val="21"/>
          <w:szCs w:val="21"/>
        </w:rPr>
      </w:r>
    </w:p>
    <w:p>
      <w:pPr>
        <w:tabs>
          <w:tab w:pos="1057" w:val="left" w:leader="none"/>
        </w:tabs>
        <w:spacing w:line="290" w:lineRule="auto" w:before="12"/>
        <w:ind w:left="218" w:right="73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12"/>
        <w:ind w:left="218" w:right="2465"/>
        <w:jc w:val="left"/>
      </w:pPr>
      <w:r>
        <w:rPr/>
        <w:t>□适用</w:t>
      </w:r>
      <w:r>
        <w:rPr>
          <w:spacing w:val="-1"/>
        </w:rPr>
        <w:t> </w:t>
      </w:r>
      <w:r>
        <w:rPr/>
        <w:t>√不适用</w:t>
      </w:r>
    </w:p>
    <w:p>
      <w:pPr>
        <w:pStyle w:val="Heading3"/>
        <w:tabs>
          <w:tab w:pos="1057" w:val="left" w:leader="none"/>
        </w:tabs>
        <w:spacing w:line="290" w:lineRule="auto" w:before="58"/>
        <w:ind w:right="506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spacing w:line="290" w:lineRule="auto" w:before="14"/>
        <w:ind w:left="218" w:right="73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委托贷款情况</w:t>
      </w:r>
      <w:r>
        <w:rPr>
          <w:rFonts w:ascii="宋体" w:hAnsi="宋体" w:cs="宋体" w:eastAsia="宋体" w:hint="default"/>
          <w:sz w:val="21"/>
          <w:szCs w:val="21"/>
        </w:rPr>
      </w:r>
    </w:p>
    <w:p>
      <w:pPr>
        <w:pStyle w:val="BodyText"/>
        <w:spacing w:line="240" w:lineRule="auto" w:before="14"/>
        <w:ind w:left="218" w:right="2465"/>
        <w:jc w:val="left"/>
      </w:pPr>
      <w:r>
        <w:rPr/>
        <w:t>□适用</w:t>
      </w:r>
      <w:r>
        <w:rPr>
          <w:spacing w:val="-1"/>
        </w:rPr>
        <w:t> </w:t>
      </w:r>
      <w:r>
        <w:rPr/>
        <w:t>√不适用</w:t>
      </w:r>
    </w:p>
    <w:p>
      <w:pPr>
        <w:pStyle w:val="Heading3"/>
        <w:spacing w:line="240" w:lineRule="auto" w:before="56"/>
        <w:ind w:right="2465"/>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tabs>
          <w:tab w:pos="1057" w:val="left" w:leader="none"/>
        </w:tabs>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其他重大合同</w:t>
      </w:r>
      <w:r>
        <w:rPr>
          <w:rFonts w:ascii="宋体" w:hAnsi="宋体" w:cs="宋体" w:eastAsia="宋体" w:hint="default"/>
          <w:b/>
          <w:bCs/>
          <w:spacing w:val="-104"/>
          <w:sz w:val="21"/>
          <w:szCs w:val="21"/>
        </w:rPr>
        <w:t> </w:t>
      </w:r>
      <w:r>
        <w:rPr>
          <w:rFonts w:ascii="宋体" w:hAnsi="宋体" w:cs="宋体" w:eastAsia="宋体" w:hint="default"/>
          <w:spacing w:val="-2"/>
          <w:sz w:val="21"/>
          <w:szCs w:val="21"/>
        </w:rPr>
        <w:t>报告期内，公司签署了五个智慧城市框架协议：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33" w:space="1891"/>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1558"/>
        <w:gridCol w:w="1985"/>
        <w:gridCol w:w="1853"/>
      </w:tblGrid>
      <w:tr>
        <w:trPr>
          <w:trHeight w:val="55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合作对方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框架协议金额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（亿元）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66" w:right="0"/>
              <w:jc w:val="left"/>
              <w:rPr>
                <w:rFonts w:ascii="宋体" w:hAnsi="宋体" w:cs="宋体" w:eastAsia="宋体" w:hint="default"/>
                <w:sz w:val="21"/>
                <w:szCs w:val="21"/>
              </w:rPr>
            </w:pPr>
            <w:r>
              <w:rPr>
                <w:rFonts w:ascii="宋体" w:hAnsi="宋体" w:cs="宋体" w:eastAsia="宋体" w:hint="default"/>
                <w:sz w:val="21"/>
                <w:szCs w:val="21"/>
              </w:rPr>
              <w:t>签订日期</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履行期限</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宁波杭州湾新区开发建设管理委员会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岳阳市华容县人民政府</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11.2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靖江市人民政府</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15.41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泰兴市人民政府</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宿州人民政府</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bl>
    <w:p>
      <w:pPr>
        <w:spacing w:line="240" w:lineRule="auto" w:before="5"/>
        <w:rPr>
          <w:rFonts w:ascii="宋体" w:hAnsi="宋体" w:cs="宋体" w:eastAsia="宋体" w:hint="default"/>
          <w:sz w:val="15"/>
          <w:szCs w:val="15"/>
        </w:rPr>
      </w:pPr>
    </w:p>
    <w:p>
      <w:pPr>
        <w:pStyle w:val="BodyText"/>
        <w:spacing w:line="240" w:lineRule="auto" w:before="36"/>
        <w:ind w:left="218" w:right="2465"/>
        <w:jc w:val="left"/>
      </w:pPr>
      <w:r>
        <w:rPr/>
        <w:t>报告期内，公司签署了六个智慧城市合同：</w:t>
      </w:r>
    </w:p>
    <w:p>
      <w:pPr>
        <w:spacing w:line="240" w:lineRule="auto" w:before="11"/>
        <w:rPr>
          <w:rFonts w:ascii="宋体" w:hAnsi="宋体" w:cs="宋体" w:eastAsia="宋体" w:hint="default"/>
          <w:sz w:val="17"/>
          <w:szCs w:val="17"/>
        </w:rPr>
      </w:pPr>
    </w:p>
    <w:p>
      <w:pPr>
        <w:pStyle w:val="BodyText"/>
        <w:tabs>
          <w:tab w:pos="1051" w:val="left" w:leader="none"/>
        </w:tabs>
        <w:spacing w:line="240" w:lineRule="auto" w:before="36"/>
        <w:ind w:left="0" w:right="242"/>
        <w:jc w:val="right"/>
      </w:pPr>
      <w:r>
        <w:rPr>
          <w:spacing w:val="-2"/>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1558"/>
        <w:gridCol w:w="1985"/>
        <w:gridCol w:w="1853"/>
      </w:tblGrid>
      <w:tr>
        <w:trPr>
          <w:trHeight w:val="55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合同名称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52" w:right="0"/>
              <w:jc w:val="left"/>
              <w:rPr>
                <w:rFonts w:ascii="宋体" w:hAnsi="宋体" w:cs="宋体" w:eastAsia="宋体" w:hint="default"/>
                <w:sz w:val="21"/>
                <w:szCs w:val="21"/>
              </w:rPr>
            </w:pPr>
            <w:r>
              <w:rPr>
                <w:rFonts w:ascii="宋体" w:hAnsi="宋体" w:cs="宋体" w:eastAsia="宋体" w:hint="default"/>
                <w:sz w:val="21"/>
                <w:szCs w:val="21"/>
              </w:rPr>
              <w:t>合同金额</w:t>
            </w:r>
          </w:p>
          <w:p>
            <w:pPr>
              <w:pStyle w:val="TableParagraph"/>
              <w:spacing w:line="273" w:lineRule="exact"/>
              <w:ind w:left="352" w:right="0"/>
              <w:jc w:val="left"/>
              <w:rPr>
                <w:rFonts w:ascii="宋体" w:hAnsi="宋体" w:cs="宋体" w:eastAsia="宋体" w:hint="default"/>
                <w:sz w:val="21"/>
                <w:szCs w:val="21"/>
              </w:rPr>
            </w:pPr>
            <w:r>
              <w:rPr>
                <w:rFonts w:ascii="宋体" w:hAnsi="宋体" w:cs="宋体" w:eastAsia="宋体" w:hint="default"/>
                <w:sz w:val="21"/>
                <w:szCs w:val="21"/>
              </w:rPr>
              <w:t>（亿元）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6" w:right="0"/>
              <w:jc w:val="left"/>
              <w:rPr>
                <w:rFonts w:ascii="宋体" w:hAnsi="宋体" w:cs="宋体" w:eastAsia="宋体" w:hint="default"/>
                <w:sz w:val="21"/>
                <w:szCs w:val="21"/>
              </w:rPr>
            </w:pPr>
            <w:r>
              <w:rPr>
                <w:rFonts w:ascii="宋体" w:hAnsi="宋体" w:cs="宋体" w:eastAsia="宋体" w:hint="default"/>
                <w:sz w:val="21"/>
                <w:szCs w:val="21"/>
              </w:rPr>
              <w:t>签订日期</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1" w:right="0"/>
              <w:jc w:val="left"/>
              <w:rPr>
                <w:rFonts w:ascii="宋体" w:hAnsi="宋体" w:cs="宋体" w:eastAsia="宋体" w:hint="default"/>
                <w:sz w:val="21"/>
                <w:szCs w:val="21"/>
              </w:rPr>
            </w:pPr>
            <w:r>
              <w:rPr>
                <w:rFonts w:ascii="宋体" w:hAnsi="宋体" w:cs="宋体" w:eastAsia="宋体" w:hint="default"/>
                <w:sz w:val="21"/>
                <w:szCs w:val="21"/>
              </w:rPr>
              <w:t>建设周期</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西安市机关干部住宅智慧社区项目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8.29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bl>
    <w:p>
      <w:pPr>
        <w:spacing w:after="0" w:line="257"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3"/>
        <w:gridCol w:w="1558"/>
        <w:gridCol w:w="1985"/>
        <w:gridCol w:w="1853"/>
      </w:tblGrid>
      <w:tr>
        <w:trPr>
          <w:trHeight w:val="55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重庆两江智慧政务系统、智慧金融系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统及运营项目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Times New Roman" w:hAnsi="Times New Roman" w:cs="Times New Roman" w:eastAsia="Times New Roman" w:hint="default"/>
                <w:sz w:val="21"/>
                <w:szCs w:val="21"/>
              </w:rPr>
            </w:pPr>
            <w:r>
              <w:rPr>
                <w:rFonts w:ascii="Times New Roman"/>
                <w:sz w:val="21"/>
              </w:rPr>
              <w:t>1.54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宁波杭州湾新区滨海六路智慧交通</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PPP </w:t>
            </w:r>
            <w:r>
              <w:rPr>
                <w:rFonts w:ascii="宋体" w:hAnsi="宋体" w:cs="宋体" w:eastAsia="宋体" w:hint="default"/>
                <w:sz w:val="21"/>
                <w:szCs w:val="21"/>
              </w:rPr>
              <w:t>建设合同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4.61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湖南华容工业集中区智慧创新产业园</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PPP </w:t>
            </w:r>
            <w:r>
              <w:rPr>
                <w:rFonts w:ascii="宋体" w:hAnsi="宋体" w:cs="宋体" w:eastAsia="宋体" w:hint="default"/>
                <w:sz w:val="21"/>
                <w:szCs w:val="21"/>
              </w:rPr>
              <w:t>建设合同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3.72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沈阳市智慧沈北项目共建合同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靖江市智慧新港城项目</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PPP </w:t>
            </w:r>
            <w:r>
              <w:rPr>
                <w:rFonts w:ascii="宋体" w:hAnsi="宋体" w:cs="宋体" w:eastAsia="宋体" w:hint="default"/>
                <w:sz w:val="21"/>
                <w:szCs w:val="21"/>
              </w:rPr>
              <w:t>共建合同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7.69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未来两年</w:t>
            </w:r>
          </w:p>
        </w:tc>
      </w:tr>
    </w:tbl>
    <w:p>
      <w:pPr>
        <w:spacing w:line="240" w:lineRule="auto" w:before="2"/>
        <w:rPr>
          <w:rFonts w:ascii="宋体" w:hAnsi="宋体" w:cs="宋体" w:eastAsia="宋体" w:hint="default"/>
          <w:sz w:val="20"/>
          <w:szCs w:val="20"/>
        </w:rPr>
      </w:pPr>
    </w:p>
    <w:p>
      <w:pPr>
        <w:pStyle w:val="Heading3"/>
        <w:spacing w:line="240" w:lineRule="auto" w:before="36"/>
        <w:ind w:right="0"/>
        <w:jc w:val="both"/>
        <w:rPr>
          <w:b w:val="0"/>
          <w:bCs w:val="0"/>
        </w:rPr>
      </w:pPr>
      <w:r>
        <w:rPr/>
        <w:t>十四、其他重大事项的说明</w:t>
      </w:r>
      <w:r>
        <w:rPr>
          <w:b w:val="0"/>
          <w:bCs w:val="0"/>
        </w:rPr>
      </w:r>
    </w:p>
    <w:p>
      <w:pPr>
        <w:pStyle w:val="BodyText"/>
        <w:spacing w:line="275" w:lineRule="exact" w:before="56"/>
        <w:ind w:left="218" w:right="0"/>
        <w:jc w:val="both"/>
      </w:pPr>
      <w:r>
        <w:rPr/>
        <w:t>√适用</w:t>
      </w:r>
      <w:r>
        <w:rPr>
          <w:spacing w:val="-1"/>
        </w:rPr>
        <w:t> </w:t>
      </w:r>
      <w:r>
        <w:rPr/>
        <w:t>□不适用</w:t>
      </w:r>
    </w:p>
    <w:p>
      <w:pPr>
        <w:pStyle w:val="BodyText"/>
        <w:spacing w:line="281" w:lineRule="exact"/>
        <w:ind w:left="218" w:right="0"/>
        <w:jc w:val="both"/>
      </w:pPr>
      <w:r>
        <w:rPr/>
        <w:t>公司于</w:t>
      </w:r>
      <w:r>
        <w:rPr>
          <w:spacing w:val="-3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7"/>
        </w:rPr>
        <w:t> </w:t>
      </w:r>
      <w:r>
        <w:rPr/>
        <w:t>年</w:t>
      </w:r>
      <w:r>
        <w:rPr>
          <w:spacing w:val="-33"/>
        </w:rPr>
        <w:t> </w:t>
      </w:r>
      <w:r>
        <w:rPr>
          <w:rFonts w:ascii="Times New Roman" w:hAnsi="Times New Roman" w:cs="Times New Roman" w:eastAsia="Times New Roman" w:hint="default"/>
        </w:rPr>
        <w:t>7</w:t>
      </w:r>
      <w:r>
        <w:rPr>
          <w:rFonts w:ascii="Times New Roman" w:hAnsi="Times New Roman" w:cs="Times New Roman" w:eastAsia="Times New Roman" w:hint="default"/>
          <w:spacing w:val="19"/>
        </w:rPr>
        <w:t> </w:t>
      </w:r>
      <w:r>
        <w:rPr/>
        <w:t>月</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日披露《关于筹划非公开发行股票事项并继续停牌的公告》，公司股票于</w:t>
      </w:r>
    </w:p>
    <w:p>
      <w:pPr>
        <w:pStyle w:val="BodyText"/>
        <w:spacing w:line="230" w:lineRule="auto"/>
        <w:ind w:left="218" w:right="228"/>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日开市起继续停牌。公司基于对发展智慧城市业务的可行性论证，拟筹划通过向顾</w:t>
      </w:r>
      <w:r>
        <w:rPr>
          <w:spacing w:val="-100"/>
        </w:rPr>
        <w:t> </w:t>
      </w:r>
      <w:r>
        <w:rPr>
          <w:spacing w:val="-100"/>
        </w:rPr>
      </w:r>
      <w:r>
        <w:rPr>
          <w:spacing w:val="-1"/>
        </w:rPr>
        <w:t>国平等九名特定对象非公开发行股票方式募集资金以发展智慧城市为主的经营业务。本次非公开</w:t>
      </w:r>
      <w:r>
        <w:rPr>
          <w:spacing w:val="-55"/>
        </w:rPr>
        <w:t> </w:t>
      </w:r>
      <w:r>
        <w:rPr>
          <w:spacing w:val="-55"/>
        </w:rPr>
      </w:r>
      <w:r>
        <w:rPr>
          <w:spacing w:val="-4"/>
        </w:rPr>
        <w:t>发行募集资金总额（含发行费用）不超过</w:t>
      </w:r>
      <w:r>
        <w:rPr>
          <w:spacing w:val="-38"/>
        </w:rPr>
        <w:t> </w:t>
      </w:r>
      <w:r>
        <w:rPr>
          <w:rFonts w:ascii="Times New Roman" w:hAnsi="Times New Roman" w:cs="Times New Roman" w:eastAsia="Times New Roman" w:hint="default"/>
        </w:rPr>
        <w:t>235,000</w:t>
      </w:r>
      <w:r>
        <w:rPr>
          <w:rFonts w:ascii="Times New Roman" w:hAnsi="Times New Roman" w:cs="Times New Roman" w:eastAsia="Times New Roman" w:hint="default"/>
          <w:spacing w:val="15"/>
        </w:rPr>
        <w:t> </w:t>
      </w:r>
      <w:r>
        <w:rPr>
          <w:spacing w:val="-6"/>
        </w:rPr>
        <w:t>万元（含</w:t>
      </w:r>
      <w:r>
        <w:rPr>
          <w:spacing w:val="-41"/>
        </w:rPr>
        <w:t> </w:t>
      </w:r>
      <w:r>
        <w:rPr>
          <w:rFonts w:ascii="Times New Roman" w:hAnsi="Times New Roman" w:cs="Times New Roman" w:eastAsia="Times New Roman" w:hint="default"/>
        </w:rPr>
        <w:t>235,000</w:t>
      </w:r>
      <w:r>
        <w:rPr>
          <w:rFonts w:ascii="Times New Roman" w:hAnsi="Times New Roman" w:cs="Times New Roman" w:eastAsia="Times New Roman" w:hint="default"/>
          <w:spacing w:val="15"/>
        </w:rPr>
        <w:t> </w:t>
      </w:r>
      <w:r>
        <w:rPr>
          <w:spacing w:val="-5"/>
        </w:rPr>
        <w:t>万元），扣除发行费用后的募</w:t>
      </w:r>
    </w:p>
    <w:p>
      <w:pPr>
        <w:pStyle w:val="BodyText"/>
        <w:spacing w:line="266" w:lineRule="exact"/>
        <w:ind w:left="218" w:right="0"/>
        <w:jc w:val="both"/>
      </w:pPr>
      <w:r>
        <w:rPr>
          <w:w w:val="100"/>
        </w:rPr>
        <w:t>集资</w:t>
      </w:r>
      <w:r>
        <w:rPr>
          <w:spacing w:val="-3"/>
          <w:w w:val="100"/>
        </w:rPr>
        <w:t>金</w:t>
      </w:r>
      <w:r>
        <w:rPr>
          <w:w w:val="100"/>
        </w:rPr>
        <w:t>净</w:t>
      </w:r>
      <w:r>
        <w:rPr>
          <w:spacing w:val="-3"/>
          <w:w w:val="100"/>
        </w:rPr>
        <w:t>额</w:t>
      </w:r>
      <w:r>
        <w:rPr>
          <w:w w:val="100"/>
        </w:rPr>
        <w:t>拟</w:t>
      </w:r>
      <w:r>
        <w:rPr>
          <w:spacing w:val="-3"/>
          <w:w w:val="100"/>
        </w:rPr>
        <w:t>投</w:t>
      </w:r>
      <w:r>
        <w:rPr>
          <w:w w:val="100"/>
        </w:rPr>
        <w:t>入</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4,12</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39</w:t>
      </w:r>
      <w:r>
        <w:rPr>
          <w:rFonts w:ascii="Times New Roman" w:hAnsi="Times New Roman" w:cs="Times New Roman" w:eastAsia="Times New Roman" w:hint="default"/>
        </w:rPr>
        <w:t> </w:t>
      </w:r>
      <w:r>
        <w:rPr>
          <w:spacing w:val="-3"/>
          <w:w w:val="100"/>
        </w:rPr>
        <w:t>万</w:t>
      </w:r>
      <w:r>
        <w:rPr>
          <w:w w:val="100"/>
        </w:rPr>
        <w:t>元</w:t>
      </w:r>
      <w:r>
        <w:rPr>
          <w:spacing w:val="-3"/>
          <w:w w:val="100"/>
        </w:rPr>
        <w:t>用</w:t>
      </w:r>
      <w:r>
        <w:rPr>
          <w:w w:val="100"/>
        </w:rPr>
        <w:t>于</w:t>
      </w:r>
      <w:r>
        <w:rPr>
          <w:spacing w:val="-3"/>
          <w:w w:val="100"/>
        </w:rPr>
        <w:t>智</w:t>
      </w:r>
      <w:r>
        <w:rPr>
          <w:w w:val="100"/>
        </w:rPr>
        <w:t>慧</w:t>
      </w:r>
      <w:r>
        <w:rPr>
          <w:spacing w:val="-3"/>
          <w:w w:val="100"/>
        </w:rPr>
        <w:t>城</w:t>
      </w:r>
      <w:r>
        <w:rPr>
          <w:w w:val="100"/>
        </w:rPr>
        <w:t>市</w:t>
      </w:r>
      <w:r>
        <w:rPr>
          <w:spacing w:val="-3"/>
          <w:w w:val="100"/>
        </w:rPr>
        <w:t>研发</w:t>
      </w:r>
      <w:r>
        <w:rPr>
          <w:w w:val="100"/>
        </w:rPr>
        <w:t>与运</w:t>
      </w:r>
      <w:r>
        <w:rPr>
          <w:spacing w:val="-3"/>
          <w:w w:val="100"/>
        </w:rPr>
        <w:t>营</w:t>
      </w:r>
      <w:r>
        <w:rPr>
          <w:w w:val="100"/>
        </w:rPr>
        <w:t>中</w:t>
      </w:r>
      <w:r>
        <w:rPr>
          <w:spacing w:val="-3"/>
          <w:w w:val="100"/>
        </w:rPr>
        <w:t>心</w:t>
      </w:r>
      <w:r>
        <w:rPr>
          <w:w w:val="100"/>
        </w:rPr>
        <w:t>项</w:t>
      </w:r>
      <w:r>
        <w:rPr>
          <w:spacing w:val="-3"/>
          <w:w w:val="100"/>
        </w:rPr>
        <w:t>目</w:t>
      </w:r>
      <w:r>
        <w:rPr>
          <w:spacing w:val="-94"/>
          <w:w w:val="100"/>
        </w:rPr>
        <w:t>，</w:t>
      </w:r>
      <w:r>
        <w:rPr>
          <w:w w:val="100"/>
        </w:rPr>
        <w:t>剩</w:t>
      </w:r>
      <w:r>
        <w:rPr>
          <w:spacing w:val="-3"/>
          <w:w w:val="100"/>
        </w:rPr>
        <w:t>余</w:t>
      </w:r>
      <w:r>
        <w:rPr>
          <w:w w:val="100"/>
        </w:rPr>
        <w:t>资</w:t>
      </w:r>
      <w:r>
        <w:rPr>
          <w:spacing w:val="-3"/>
          <w:w w:val="100"/>
        </w:rPr>
        <w:t>金</w:t>
      </w:r>
      <w:r>
        <w:rPr>
          <w:w w:val="100"/>
        </w:rPr>
        <w:t>用于</w:t>
      </w:r>
      <w:r>
        <w:rPr>
          <w:spacing w:val="-3"/>
          <w:w w:val="100"/>
        </w:rPr>
        <w:t>补</w:t>
      </w:r>
      <w:r>
        <w:rPr>
          <w:w w:val="100"/>
        </w:rPr>
        <w:t>充</w:t>
      </w:r>
      <w:r>
        <w:rPr>
          <w:spacing w:val="-3"/>
          <w:w w:val="100"/>
        </w:rPr>
        <w:t>智</w:t>
      </w:r>
      <w:r>
        <w:rPr>
          <w:w w:val="100"/>
        </w:rPr>
        <w:t>慧</w:t>
      </w:r>
      <w:r>
        <w:rPr>
          <w:spacing w:val="-3"/>
          <w:w w:val="100"/>
        </w:rPr>
        <w:t>城</w:t>
      </w:r>
      <w:r>
        <w:rPr>
          <w:w w:val="100"/>
        </w:rPr>
        <w:t>市</w:t>
      </w:r>
    </w:p>
    <w:p>
      <w:pPr>
        <w:pStyle w:val="BodyText"/>
        <w:spacing w:line="230" w:lineRule="auto"/>
        <w:ind w:left="218" w:right="227"/>
        <w:jc w:val="both"/>
      </w:pPr>
      <w:r>
        <w:rPr/>
        <w:t>业务的营运资金，支持公司战略转型。</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28</w:t>
      </w:r>
      <w:r>
        <w:rPr>
          <w:rFonts w:ascii="Times New Roman" w:hAnsi="Times New Roman" w:cs="Times New Roman" w:eastAsia="Times New Roman" w:hint="default"/>
          <w:spacing w:val="12"/>
        </w:rPr>
        <w:t> </w:t>
      </w:r>
      <w:r>
        <w:rPr/>
        <w:t>日，中国证券监督管理委员会发行审核委</w:t>
      </w:r>
      <w:r>
        <w:rPr>
          <w:w w:val="100"/>
        </w:rPr>
        <w:t> </w:t>
      </w:r>
      <w:r>
        <w:rPr>
          <w:spacing w:val="-1"/>
        </w:rPr>
        <w:t>员会对公司非公开发行股票的申请进行了审核。根据审核结果，公司本次非公开发行股票的申请</w:t>
      </w:r>
      <w:r>
        <w:rPr>
          <w:spacing w:val="-55"/>
        </w:rPr>
        <w:t> </w:t>
      </w:r>
      <w:r>
        <w:rPr>
          <w:spacing w:val="-55"/>
        </w:rPr>
      </w:r>
      <w:r>
        <w:rPr/>
        <w:t>未获得审核通过。</w:t>
      </w:r>
    </w:p>
    <w:p>
      <w:pPr>
        <w:spacing w:line="240" w:lineRule="auto" w:before="4"/>
        <w:rPr>
          <w:rFonts w:ascii="宋体" w:hAnsi="宋体" w:cs="宋体" w:eastAsia="宋体" w:hint="default"/>
          <w:sz w:val="25"/>
          <w:szCs w:val="25"/>
        </w:rPr>
      </w:pPr>
    </w:p>
    <w:p>
      <w:pPr>
        <w:pStyle w:val="Heading3"/>
        <w:tabs>
          <w:tab w:pos="861" w:val="left" w:leader="none"/>
        </w:tabs>
        <w:spacing w:line="290" w:lineRule="auto"/>
        <w:ind w:right="5691"/>
        <w:jc w:val="left"/>
        <w:rPr>
          <w:b w:val="0"/>
          <w:bCs w:val="0"/>
        </w:rPr>
      </w:pPr>
      <w:r>
        <w:rPr>
          <w:spacing w:val="-1"/>
        </w:rPr>
        <w:t>十五、积极履行社会责任的工作情况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社会责任工作情况</w:t>
      </w:r>
      <w:r>
        <w:rPr>
          <w:b w:val="0"/>
          <w:bCs w:val="0"/>
        </w:rPr>
      </w:r>
    </w:p>
    <w:p>
      <w:pPr>
        <w:pStyle w:val="BodyText"/>
        <w:spacing w:line="232" w:lineRule="auto" w:before="22"/>
        <w:ind w:left="218" w:right="228" w:firstLine="422"/>
        <w:jc w:val="both"/>
      </w:pPr>
      <w:r>
        <w:rPr>
          <w:spacing w:val="-1"/>
        </w:rPr>
        <w:t>公司努力为客户提供</w:t>
      </w:r>
      <w:r>
        <w:rPr>
          <w:rFonts w:ascii="Times New Roman" w:hAnsi="Times New Roman" w:cs="Times New Roman" w:eastAsia="Times New Roman" w:hint="default"/>
          <w:spacing w:val="-1"/>
        </w:rPr>
        <w:t>“</w:t>
      </w:r>
      <w:r>
        <w:rPr>
          <w:spacing w:val="-1"/>
        </w:rPr>
        <w:t>专业、高效、优质、诚信</w:t>
      </w:r>
      <w:r>
        <w:rPr>
          <w:rFonts w:ascii="Times New Roman" w:hAnsi="Times New Roman" w:cs="Times New Roman" w:eastAsia="Times New Roman" w:hint="default"/>
          <w:spacing w:val="-1"/>
        </w:rPr>
        <w:t>”</w:t>
      </w:r>
      <w:r>
        <w:rPr>
          <w:spacing w:val="-1"/>
        </w:rPr>
        <w:t>的服务，为股东创造良好回报、保护股东权</w:t>
      </w:r>
      <w:r>
        <w:rPr>
          <w:w w:val="100"/>
        </w:rPr>
        <w:t> </w:t>
      </w:r>
      <w:r>
        <w:rPr>
          <w:spacing w:val="-7"/>
        </w:rPr>
        <w:t>益，和合作伙伴共同成长，为员工提供发展平台，为社会创造公共价值，积极承担对客户、股东、</w:t>
      </w:r>
      <w:r>
        <w:rPr>
          <w:spacing w:val="-13"/>
        </w:rPr>
        <w:t> </w:t>
      </w:r>
      <w:r>
        <w:rPr>
          <w:spacing w:val="-13"/>
        </w:rPr>
      </w:r>
      <w:r>
        <w:rPr>
          <w:spacing w:val="-1"/>
        </w:rPr>
        <w:t>合作伙伴、员工、社会等相关利益体的社会责任，努力实现公司与客户、股东、合作伙伴、员工</w:t>
      </w:r>
      <w:r>
        <w:rPr>
          <w:spacing w:val="-55"/>
        </w:rPr>
        <w:t> </w:t>
      </w:r>
      <w:r>
        <w:rPr>
          <w:spacing w:val="-55"/>
        </w:rPr>
      </w:r>
      <w:r>
        <w:rPr/>
        <w:t>和社会的和谐发展。</w:t>
      </w:r>
    </w:p>
    <w:p>
      <w:pPr>
        <w:pStyle w:val="BodyText"/>
        <w:spacing w:line="272" w:lineRule="exact" w:before="27"/>
        <w:ind w:left="429" w:right="96" w:firstLine="211"/>
        <w:jc w:val="left"/>
      </w:pPr>
      <w:r>
        <w:rPr>
          <w:rFonts w:ascii="Times New Roman" w:hAnsi="Times New Roman" w:cs="Times New Roman" w:eastAsia="Times New Roman" w:hint="default"/>
        </w:rPr>
        <w:t>1</w:t>
      </w:r>
      <w:r>
        <w:rPr/>
        <w:t>、客户责任</w:t>
      </w:r>
      <w:r>
        <w:rPr>
          <w:w w:val="100"/>
        </w:rPr>
        <w:t> </w:t>
      </w:r>
      <w:r>
        <w:rPr>
          <w:spacing w:val="-1"/>
        </w:rPr>
        <w:t>公司作为物业管理服务的提供商，拥有一支专业的物业管理及服务团队，公司注重打造良好的</w:t>
      </w:r>
    </w:p>
    <w:p>
      <w:pPr>
        <w:pStyle w:val="BodyText"/>
        <w:spacing w:line="272" w:lineRule="exact" w:before="1"/>
        <w:ind w:left="218" w:right="228"/>
        <w:jc w:val="both"/>
      </w:pPr>
      <w:r>
        <w:rPr>
          <w:spacing w:val="-1"/>
        </w:rPr>
        <w:t>服务意识，按照诚实守信、互利共赢、合法合规的原则，与客户保持了良好的合作关系，并通过</w:t>
      </w:r>
      <w:r>
        <w:rPr>
          <w:spacing w:val="-55"/>
        </w:rPr>
        <w:t> </w:t>
      </w:r>
      <w:r>
        <w:rPr>
          <w:spacing w:val="-55"/>
        </w:rPr>
      </w:r>
      <w:r>
        <w:rPr/>
        <w:t>改善服务方法、加强服务手段等方式，为公司客户提供更加全方位的物业管理服务。</w:t>
      </w:r>
    </w:p>
    <w:p>
      <w:pPr>
        <w:pStyle w:val="BodyText"/>
        <w:spacing w:line="272" w:lineRule="exact" w:before="1"/>
        <w:ind w:left="640" w:right="96"/>
        <w:jc w:val="left"/>
      </w:pPr>
      <w:r>
        <w:rPr>
          <w:rFonts w:ascii="Times New Roman" w:hAnsi="Times New Roman" w:cs="Times New Roman" w:eastAsia="Times New Roman" w:hint="default"/>
        </w:rPr>
        <w:t>2</w:t>
      </w:r>
      <w:r>
        <w:rPr/>
        <w:t>、股东责任</w:t>
      </w:r>
      <w:r>
        <w:rPr>
          <w:w w:val="100"/>
        </w:rPr>
        <w:t> </w:t>
      </w:r>
      <w:r>
        <w:rPr>
          <w:spacing w:val="-2"/>
        </w:rPr>
        <w:t>公司严格执行《投资者关系管理制度》，加强与投资者之间的信息沟通，切实保护投资者特</w:t>
      </w:r>
    </w:p>
    <w:p>
      <w:pPr>
        <w:pStyle w:val="BodyText"/>
        <w:spacing w:line="272" w:lineRule="exact" w:before="1"/>
        <w:ind w:left="218" w:right="123"/>
        <w:jc w:val="left"/>
      </w:pPr>
      <w:r>
        <w:rPr/>
        <w:t>别是中小投资者的合法权益。公司严格执行《公司未来三年</w:t>
      </w:r>
      <w:r>
        <w:rPr>
          <w:rFonts w:ascii="Times New Roman" w:hAnsi="Times New Roman" w:cs="Times New Roman" w:eastAsia="Times New Roman" w:hint="default"/>
        </w:rPr>
        <w:t>(2014-2016</w:t>
      </w:r>
      <w:r>
        <w:rPr>
          <w:rFonts w:ascii="Times New Roman" w:hAnsi="Times New Roman" w:cs="Times New Roman" w:eastAsia="Times New Roman" w:hint="default"/>
          <w:spacing w:val="-2"/>
        </w:rPr>
        <w:t> </w:t>
      </w:r>
      <w:r>
        <w:rPr>
          <w:spacing w:val="-4"/>
        </w:rPr>
        <w:t>年度</w:t>
      </w:r>
      <w:r>
        <w:rPr>
          <w:rFonts w:ascii="Times New Roman" w:hAnsi="Times New Roman" w:cs="Times New Roman" w:eastAsia="Times New Roman" w:hint="default"/>
          <w:spacing w:val="-4"/>
        </w:rPr>
        <w:t>)</w:t>
      </w:r>
      <w:r>
        <w:rPr>
          <w:spacing w:val="-4"/>
        </w:rPr>
        <w:t>股东回报规划》，以</w:t>
      </w:r>
      <w:r>
        <w:rPr>
          <w:w w:val="100"/>
        </w:rPr>
        <w:t> </w:t>
      </w:r>
      <w:r>
        <w:rPr/>
        <w:t>期建立健全公司的股东回报机制</w:t>
      </w:r>
      <w:r>
        <w:rPr>
          <w:rFonts w:ascii="Times New Roman" w:hAnsi="Times New Roman" w:cs="Times New Roman" w:eastAsia="Times New Roman" w:hint="default"/>
        </w:rPr>
        <w:t>,  </w:t>
      </w:r>
      <w:r>
        <w:rPr/>
        <w:t>增加利润分配政策决策透明度和可操作性</w:t>
      </w:r>
      <w:r>
        <w:rPr>
          <w:rFonts w:ascii="Times New Roman" w:hAnsi="Times New Roman" w:cs="Times New Roman" w:eastAsia="Times New Roman" w:hint="default"/>
        </w:rPr>
        <w:t>,  </w:t>
      </w:r>
      <w:r>
        <w:rPr/>
        <w:t>积极回报广大股东。</w:t>
      </w:r>
    </w:p>
    <w:p>
      <w:pPr>
        <w:pStyle w:val="BodyText"/>
        <w:spacing w:line="272" w:lineRule="exact" w:before="1"/>
        <w:ind w:left="640" w:right="96"/>
        <w:jc w:val="left"/>
      </w:pPr>
      <w:r>
        <w:rPr>
          <w:rFonts w:ascii="Times New Roman" w:hAnsi="Times New Roman" w:cs="Times New Roman" w:eastAsia="Times New Roman" w:hint="default"/>
        </w:rPr>
        <w:t>3</w:t>
      </w:r>
      <w:r>
        <w:rPr/>
        <w:t>、员工责任</w:t>
      </w:r>
      <w:r>
        <w:rPr>
          <w:w w:val="100"/>
        </w:rPr>
        <w:t> </w:t>
      </w:r>
      <w:r>
        <w:rPr>
          <w:spacing w:val="-2"/>
        </w:rPr>
        <w:t>公司坚持以人为本，在规范用工、薪酬福利制度、员工培训、员工关怀、员工发展等方面采</w:t>
      </w:r>
    </w:p>
    <w:p>
      <w:pPr>
        <w:pStyle w:val="BodyText"/>
        <w:spacing w:line="272" w:lineRule="exact" w:before="1"/>
        <w:ind w:left="218" w:right="228"/>
        <w:jc w:val="both"/>
      </w:pPr>
      <w:r>
        <w:rPr>
          <w:spacing w:val="-1"/>
        </w:rPr>
        <w:t>取积极有力的措施保障员工的合法权益。公司制定多项规章制度保障和规范员工的招聘环节，明</w:t>
      </w:r>
      <w:r>
        <w:rPr>
          <w:spacing w:val="-55"/>
        </w:rPr>
        <w:t> </w:t>
      </w:r>
      <w:r>
        <w:rPr>
          <w:spacing w:val="-55"/>
        </w:rPr>
      </w:r>
      <w:r>
        <w:rPr>
          <w:spacing w:val="-1"/>
        </w:rPr>
        <w:t>确员工的各项权利；根据行业水平，建立了公平、有竞争力的薪酬体系与调薪机制；根据公司的</w:t>
      </w:r>
    </w:p>
    <w:p>
      <w:pPr>
        <w:pStyle w:val="BodyText"/>
        <w:spacing w:line="272" w:lineRule="exact" w:before="1"/>
        <w:ind w:left="218" w:right="228"/>
        <w:jc w:val="both"/>
      </w:pPr>
      <w:r>
        <w:rPr>
          <w:spacing w:val="-1"/>
        </w:rPr>
        <w:t>发展战略和管理需要，积极鼓励员工参与公司内部及外部的各种培训；通过设立工会，与员工保</w:t>
      </w:r>
      <w:r>
        <w:rPr>
          <w:spacing w:val="-55"/>
        </w:rPr>
        <w:t> </w:t>
      </w:r>
      <w:r>
        <w:rPr>
          <w:spacing w:val="-55"/>
        </w:rPr>
      </w:r>
      <w:r>
        <w:rPr>
          <w:spacing w:val="-1"/>
        </w:rPr>
        <w:t>持积极沟通，不断改善员工办公条件，力求为员工创建良好、安全、祥和的工作环境；为员工进</w:t>
      </w:r>
      <w:r>
        <w:rPr>
          <w:spacing w:val="-55"/>
        </w:rPr>
        <w:t> </w:t>
      </w:r>
      <w:r>
        <w:rPr>
          <w:spacing w:val="-55"/>
        </w:rPr>
      </w:r>
      <w:r>
        <w:rPr/>
        <w:t>行职业规划，每年提供适量管理岗位，通过竞聘的方式为员工提供快速发展的通道。</w:t>
      </w:r>
    </w:p>
    <w:p>
      <w:pPr>
        <w:pStyle w:val="BodyText"/>
        <w:spacing w:line="272" w:lineRule="exact" w:before="1"/>
        <w:ind w:left="640" w:right="96"/>
        <w:jc w:val="left"/>
      </w:pPr>
      <w:r>
        <w:rPr>
          <w:rFonts w:ascii="Times New Roman" w:hAnsi="Times New Roman" w:cs="Times New Roman" w:eastAsia="Times New Roman" w:hint="default"/>
        </w:rPr>
        <w:t>4</w:t>
      </w:r>
      <w:r>
        <w:rPr/>
        <w:t>、伙伴责任</w:t>
      </w:r>
      <w:r>
        <w:rPr>
          <w:w w:val="100"/>
        </w:rPr>
        <w:t> </w:t>
      </w:r>
      <w:r>
        <w:rPr>
          <w:spacing w:val="-1"/>
        </w:rPr>
        <w:t>公司坚持</w:t>
      </w:r>
      <w:r>
        <w:rPr>
          <w:rFonts w:ascii="Times New Roman" w:hAnsi="Times New Roman" w:cs="Times New Roman" w:eastAsia="Times New Roman" w:hint="default"/>
          <w:spacing w:val="-1"/>
        </w:rPr>
        <w:t>“</w:t>
      </w:r>
      <w:r>
        <w:rPr>
          <w:spacing w:val="-1"/>
        </w:rPr>
        <w:t>公平、公正、合理、合法</w:t>
      </w:r>
      <w:r>
        <w:rPr>
          <w:rFonts w:ascii="Times New Roman" w:hAnsi="Times New Roman" w:cs="Times New Roman" w:eastAsia="Times New Roman" w:hint="default"/>
          <w:spacing w:val="-1"/>
        </w:rPr>
        <w:t>”</w:t>
      </w:r>
      <w:r>
        <w:rPr>
          <w:spacing w:val="-1"/>
        </w:rPr>
        <w:t>的商业准则，与资质、信誉、产品和服务品质好的供应</w:t>
      </w:r>
    </w:p>
    <w:p>
      <w:pPr>
        <w:pStyle w:val="BodyText"/>
        <w:spacing w:line="272" w:lineRule="exact" w:before="1"/>
        <w:ind w:left="218" w:right="228"/>
        <w:jc w:val="both"/>
      </w:pPr>
      <w:r>
        <w:rPr>
          <w:spacing w:val="-1"/>
        </w:rPr>
        <w:t>商建立长期战略合作伙伴关系，通过严谨的合同履约监控机制和淘汰机制，促进供应链上下游伙</w:t>
      </w:r>
      <w:r>
        <w:rPr>
          <w:spacing w:val="-55"/>
        </w:rPr>
        <w:t> </w:t>
      </w:r>
      <w:r>
        <w:rPr>
          <w:spacing w:val="-55"/>
        </w:rPr>
      </w:r>
      <w:r>
        <w:rPr/>
        <w:t>伴的共同进步和发展，与他们互利共赢、共创新价值。</w:t>
      </w:r>
    </w:p>
    <w:p>
      <w:pPr>
        <w:pStyle w:val="BodyText"/>
        <w:spacing w:line="272" w:lineRule="exact" w:before="1"/>
        <w:ind w:left="640" w:right="96"/>
        <w:jc w:val="left"/>
      </w:pPr>
      <w:r>
        <w:rPr>
          <w:rFonts w:ascii="Times New Roman" w:hAnsi="Times New Roman" w:cs="Times New Roman" w:eastAsia="Times New Roman" w:hint="default"/>
        </w:rPr>
        <w:t>5</w:t>
      </w:r>
      <w:r>
        <w:rPr/>
        <w:t>、社会责任</w:t>
      </w:r>
      <w:r>
        <w:rPr>
          <w:w w:val="100"/>
        </w:rPr>
        <w:t> </w:t>
      </w:r>
      <w:r>
        <w:rPr>
          <w:spacing w:val="-2"/>
        </w:rPr>
        <w:t>公司以诚信纳税回馈社会，随着公司业务的逐步发展，公司将创造更好的效益来提供更多的</w:t>
      </w:r>
    </w:p>
    <w:p>
      <w:pPr>
        <w:pStyle w:val="BodyText"/>
        <w:spacing w:line="249" w:lineRule="exact"/>
        <w:ind w:left="218" w:right="0"/>
        <w:jc w:val="both"/>
      </w:pPr>
      <w:r>
        <w:rPr/>
        <w:t>税收，从而承担更多的社会责任，为社会服务。另外，随着公司规模的不断扩大，公司将加大用</w:t>
      </w:r>
    </w:p>
    <w:p>
      <w:pPr>
        <w:spacing w:after="0" w:line="249" w:lineRule="exact"/>
        <w:jc w:val="both"/>
        <w:sectPr>
          <w:pgSz w:w="11910" w:h="16840"/>
          <w:pgMar w:header="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right="123"/>
        <w:jc w:val="left"/>
      </w:pPr>
      <w:r>
        <w:rPr>
          <w:spacing w:val="-1"/>
        </w:rPr>
        <w:t>工需求量，并且随着公司业务在其它地区开拓的同时，充分利用当地的人力资源优势，带动当地</w:t>
      </w:r>
      <w:r>
        <w:rPr>
          <w:spacing w:val="-55"/>
        </w:rPr>
        <w:t> </w:t>
      </w:r>
      <w:r>
        <w:rPr>
          <w:spacing w:val="-55"/>
        </w:rPr>
      </w:r>
      <w:r>
        <w:rPr/>
        <w:t>就业，以回馈社会。</w:t>
      </w:r>
    </w:p>
    <w:p>
      <w:pPr>
        <w:spacing w:line="240" w:lineRule="auto" w:before="3"/>
        <w:rPr>
          <w:rFonts w:ascii="宋体" w:hAnsi="宋体" w:cs="宋体" w:eastAsia="宋体" w:hint="default"/>
          <w:sz w:val="25"/>
          <w:szCs w:val="25"/>
        </w:rPr>
      </w:pPr>
    </w:p>
    <w:p>
      <w:pPr>
        <w:pStyle w:val="Heading3"/>
        <w:tabs>
          <w:tab w:pos="781" w:val="left" w:leader="none"/>
        </w:tabs>
        <w:spacing w:line="290" w:lineRule="auto"/>
        <w:ind w:left="138" w:right="945"/>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属于国家环境保护部门规定的重污染行业的上市公司及其子公司的环保情况说明</w:t>
      </w:r>
      <w:r>
        <w:rPr>
          <w:spacing w:val="-76"/>
        </w:rPr>
        <w:t> </w:t>
      </w:r>
      <w:r>
        <w:rPr>
          <w:spacing w:val="-76"/>
        </w:rPr>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3"/>
        <w:spacing w:line="240" w:lineRule="auto"/>
        <w:ind w:left="138" w:right="123"/>
        <w:jc w:val="left"/>
        <w:rPr>
          <w:b w:val="0"/>
          <w:bCs w:val="0"/>
        </w:rPr>
      </w:pPr>
      <w:r>
        <w:rPr/>
        <w:t>十六、可转换公司债券情况</w:t>
      </w:r>
      <w:r>
        <w:rPr>
          <w:b w:val="0"/>
          <w:bCs w:val="0"/>
        </w:rPr>
      </w:r>
    </w:p>
    <w:p>
      <w:pPr>
        <w:pStyle w:val="BodyText"/>
        <w:spacing w:line="240" w:lineRule="auto" w:before="58"/>
        <w:ind w:right="123"/>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576" w:val="left" w:leader="none"/>
        </w:tabs>
        <w:spacing w:line="240" w:lineRule="auto" w:before="162"/>
        <w:ind w:left="2316" w:right="96"/>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3"/>
        <w:tabs>
          <w:tab w:pos="784" w:val="left" w:leader="none"/>
        </w:tabs>
        <w:spacing w:line="278" w:lineRule="auto"/>
        <w:ind w:right="63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Cambria" w:hAnsi="Cambria" w:cs="Cambria" w:eastAsia="Cambria" w:hint="default"/>
        </w:rPr>
        <w:t>1</w:t>
      </w:r>
      <w:r>
        <w:rPr/>
        <w:t>、</w:t>
      </w:r>
      <w:r>
        <w:rPr>
          <w:spacing w:val="-22"/>
        </w:rPr>
        <w:t> </w:t>
      </w:r>
      <w:r>
        <w:rPr/>
        <w:t>普通股股份变动情况表</w:t>
      </w:r>
      <w:r>
        <w:rPr>
          <w:b w:val="0"/>
          <w:bCs w:val="0"/>
        </w:rPr>
      </w:r>
    </w:p>
    <w:p>
      <w:pPr>
        <w:pStyle w:val="BodyText"/>
        <w:spacing w:line="240" w:lineRule="auto"/>
        <w:ind w:left="218" w:right="2465"/>
        <w:jc w:val="left"/>
      </w:pPr>
      <w:r>
        <w:rPr/>
        <w:t>报告期内，公司普通股股份总数及股本结构未发生变化。</w:t>
      </w:r>
    </w:p>
    <w:p>
      <w:pPr>
        <w:spacing w:line="240" w:lineRule="auto" w:before="3"/>
        <w:rPr>
          <w:rFonts w:ascii="宋体" w:hAnsi="宋体" w:cs="宋体" w:eastAsia="宋体" w:hint="default"/>
          <w:sz w:val="25"/>
          <w:szCs w:val="25"/>
        </w:rPr>
      </w:pPr>
    </w:p>
    <w:p>
      <w:pPr>
        <w:pStyle w:val="Heading3"/>
        <w:tabs>
          <w:tab w:pos="784" w:val="left" w:leader="none"/>
        </w:tabs>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465"/>
        <w:jc w:val="left"/>
        <w:rPr>
          <w:b w:val="0"/>
          <w:bCs w:val="0"/>
        </w:rPr>
      </w:pPr>
      <w:r>
        <w:rPr/>
        <w:t>二、</w:t>
      </w:r>
      <w:r>
        <w:rPr>
          <w:spacing w:val="-74"/>
        </w:rPr>
        <w:t> </w:t>
      </w:r>
      <w:r>
        <w:rPr/>
        <w:t>证券发行与上市情况</w:t>
      </w:r>
      <w:r>
        <w:rPr>
          <w:b w:val="0"/>
          <w:bCs w:val="0"/>
        </w:rPr>
      </w:r>
    </w:p>
    <w:p>
      <w:pPr>
        <w:spacing w:line="266" w:lineRule="auto" w:before="56"/>
        <w:ind w:left="218" w:right="464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截至报告期内证券发行情况</w:t>
      </w:r>
      <w:r>
        <w:rPr>
          <w:rFonts w:ascii="宋体" w:hAnsi="宋体" w:cs="宋体" w:eastAsia="宋体" w:hint="default"/>
          <w:b/>
          <w:bCs/>
          <w:w w:val="100"/>
          <w:sz w:val="21"/>
          <w:szCs w:val="21"/>
        </w:rPr>
        <w:t> </w:t>
      </w:r>
      <w:r>
        <w:rPr>
          <w:rFonts w:ascii="宋体" w:hAnsi="宋体" w:cs="宋体" w:eastAsia="宋体" w:hint="default"/>
          <w:sz w:val="21"/>
          <w:szCs w:val="21"/>
        </w:rPr>
        <w:t>截至报告期末，公司近</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年未有证券发行情况。</w:t>
      </w:r>
    </w:p>
    <w:p>
      <w:pPr>
        <w:spacing w:line="240" w:lineRule="auto" w:before="6"/>
        <w:rPr>
          <w:rFonts w:ascii="宋体" w:hAnsi="宋体" w:cs="宋体" w:eastAsia="宋体" w:hint="default"/>
          <w:sz w:val="23"/>
          <w:szCs w:val="23"/>
        </w:rPr>
      </w:pPr>
    </w:p>
    <w:p>
      <w:pPr>
        <w:spacing w:line="247" w:lineRule="auto" w:before="0"/>
        <w:ind w:left="218" w:right="96"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公司普通股股份总数及股东结构变动及公司资产和负债结构的变动情况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报告期内，公司未有因送股、转增股本、配股、增发新股、非公开发行股票、权证行权、实施股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权激励计划、企业合并、可转换公司债券转股、减资、内部职工股上市、债券发行或其他原因引</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起公司股份总数及股东结构的变动、公司资产和负债结构的变动情况。</w:t>
      </w:r>
    </w:p>
    <w:p>
      <w:pPr>
        <w:spacing w:line="240" w:lineRule="auto" w:before="10"/>
        <w:rPr>
          <w:rFonts w:ascii="宋体" w:hAnsi="宋体" w:cs="宋体" w:eastAsia="宋体" w:hint="default"/>
          <w:sz w:val="24"/>
          <w:szCs w:val="24"/>
        </w:rPr>
      </w:pPr>
    </w:p>
    <w:p>
      <w:pPr>
        <w:spacing w:line="264" w:lineRule="auto" w:before="0"/>
        <w:ind w:left="218" w:right="246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现存的内部职工股情况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截至报告期末，公司未有内部职工股的情况。</w:t>
      </w:r>
    </w:p>
    <w:p>
      <w:pPr>
        <w:spacing w:line="240" w:lineRule="auto" w:before="8"/>
        <w:rPr>
          <w:rFonts w:ascii="宋体" w:hAnsi="宋体" w:cs="宋体" w:eastAsia="宋体" w:hint="default"/>
          <w:sz w:val="23"/>
          <w:szCs w:val="23"/>
        </w:rPr>
      </w:pPr>
    </w:p>
    <w:p>
      <w:pPr>
        <w:pStyle w:val="Heading3"/>
        <w:spacing w:line="240" w:lineRule="auto"/>
        <w:ind w:right="2465"/>
        <w:jc w:val="left"/>
        <w:rPr>
          <w:b w:val="0"/>
          <w:bCs w:val="0"/>
        </w:rPr>
      </w:pPr>
      <w:r>
        <w:rPr/>
        <w:t>三、</w:t>
      </w:r>
      <w:r>
        <w:rPr>
          <w:spacing w:val="-80"/>
        </w:rPr>
        <w:t> </w:t>
      </w:r>
      <w:r>
        <w:rPr/>
        <w:t>股东和实际控制人情况</w:t>
      </w:r>
      <w:r>
        <w:rPr>
          <w:b w:val="0"/>
          <w:bCs w:val="0"/>
        </w:rPr>
      </w:r>
    </w:p>
    <w:p>
      <w:pPr>
        <w:pStyle w:val="Heading3"/>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32,415</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37,315</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3"/>
        <w:rPr>
          <w:rFonts w:ascii="宋体" w:hAnsi="宋体" w:cs="宋体" w:eastAsia="宋体" w:hint="default"/>
          <w:b/>
          <w:bCs/>
          <w:sz w:val="19"/>
          <w:szCs w:val="19"/>
        </w:rPr>
      </w:pPr>
    </w:p>
    <w:p>
      <w:pPr>
        <w:pStyle w:val="Heading3"/>
        <w:spacing w:line="240" w:lineRule="auto" w:before="36"/>
        <w:ind w:right="9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after="0" w:line="240" w:lineRule="auto"/>
        <w:jc w:val="left"/>
        <w:sectPr>
          <w:footerReference w:type="default" r:id="rId34"/>
          <w:pgSz w:w="11910" w:h="16840"/>
          <w:pgMar w:footer="1195" w:header="0" w:top="1120" w:bottom="1380" w:left="1580" w:right="1040"/>
        </w:sectPr>
      </w:pPr>
    </w:p>
    <w:p>
      <w:pPr>
        <w:spacing w:line="240" w:lineRule="auto" w:before="4"/>
        <w:rPr>
          <w:rFonts w:ascii="宋体" w:hAnsi="宋体" w:cs="宋体" w:eastAsia="宋体" w:hint="default"/>
          <w:b/>
          <w:bCs/>
          <w:sz w:val="25"/>
          <w:szCs w:val="25"/>
        </w:rPr>
      </w:pPr>
    </w:p>
    <w:p>
      <w:pPr>
        <w:pStyle w:val="BodyText"/>
        <w:spacing w:line="240" w:lineRule="auto" w:before="36"/>
        <w:ind w:left="0" w:right="230"/>
        <w:jc w:val="right"/>
      </w:pPr>
      <w:r>
        <w:rPr>
          <w:spacing w:val="-1"/>
        </w:rPr>
        <w:t>单位</w:t>
      </w:r>
      <w:r>
        <w:rPr>
          <w:rFonts w:ascii="宋体" w:hAnsi="宋体" w:cs="宋体" w:eastAsia="宋体" w:hint="default"/>
          <w:spacing w:val="-1"/>
        </w:rPr>
        <w:t>:</w:t>
      </w:r>
      <w:r>
        <w:rPr>
          <w:spacing w:val="-1"/>
        </w:rPr>
        <w:t>股</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1274"/>
        <w:gridCol w:w="1001"/>
        <w:gridCol w:w="274"/>
        <w:gridCol w:w="852"/>
        <w:gridCol w:w="708"/>
        <w:gridCol w:w="337"/>
        <w:gridCol w:w="372"/>
        <w:gridCol w:w="269"/>
        <w:gridCol w:w="300"/>
        <w:gridCol w:w="859"/>
      </w:tblGrid>
      <w:tr>
        <w:trPr>
          <w:trHeight w:val="283"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4" w:hRule="exact"/>
        </w:trPr>
        <w:tc>
          <w:tcPr>
            <w:tcW w:w="28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523" w:right="105"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275"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525" w:right="103"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264" w:right="0"/>
              <w:jc w:val="left"/>
              <w:rPr>
                <w:rFonts w:ascii="Times New Roman" w:hAnsi="Times New Roman" w:cs="Times New Roman" w:eastAsia="Times New Roman" w:hint="default"/>
                <w:sz w:val="21"/>
                <w:szCs w:val="21"/>
              </w:rPr>
            </w:pPr>
            <w:r>
              <w:rPr>
                <w:rFonts w:ascii="Times New Roman"/>
                <w:sz w:val="21"/>
              </w:rPr>
              <w:t>(%)</w:t>
            </w:r>
          </w:p>
        </w:tc>
        <w:tc>
          <w:tcPr>
            <w:tcW w:w="708" w:type="dxa"/>
            <w:vMerge w:val="restart"/>
            <w:tcBorders>
              <w:top w:val="single" w:sz="4" w:space="0" w:color="000000"/>
              <w:left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持有</w:t>
            </w: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售条</w:t>
            </w:r>
            <w:r>
              <w:rPr>
                <w:rFonts w:ascii="宋体" w:hAnsi="宋体" w:cs="宋体" w:eastAsia="宋体" w:hint="default"/>
                <w:spacing w:val="-103"/>
                <w:sz w:val="21"/>
                <w:szCs w:val="21"/>
              </w:rPr>
              <w:t> </w:t>
            </w:r>
            <w:r>
              <w:rPr>
                <w:rFonts w:ascii="宋体" w:hAnsi="宋体" w:cs="宋体" w:eastAsia="宋体" w:hint="default"/>
                <w:sz w:val="21"/>
                <w:szCs w:val="21"/>
              </w:rPr>
              <w:t>件股</w:t>
            </w:r>
            <w:r>
              <w:rPr>
                <w:rFonts w:ascii="宋体" w:hAnsi="宋体" w:cs="宋体" w:eastAsia="宋体" w:hint="default"/>
                <w:spacing w:val="-103"/>
                <w:sz w:val="21"/>
                <w:szCs w:val="21"/>
              </w:rPr>
              <w:t> </w:t>
            </w:r>
            <w:r>
              <w:rPr>
                <w:rFonts w:ascii="宋体" w:hAnsi="宋体" w:cs="宋体" w:eastAsia="宋体" w:hint="default"/>
                <w:sz w:val="21"/>
                <w:szCs w:val="21"/>
              </w:rPr>
              <w:t>份数</w:t>
            </w:r>
            <w:r>
              <w:rPr>
                <w:rFonts w:ascii="宋体" w:hAnsi="宋体" w:cs="宋体" w:eastAsia="宋体" w:hint="default"/>
                <w:spacing w:val="-103"/>
                <w:sz w:val="21"/>
                <w:szCs w:val="21"/>
              </w:rPr>
              <w:t> </w:t>
            </w:r>
            <w:r>
              <w:rPr>
                <w:rFonts w:ascii="宋体" w:hAnsi="宋体" w:cs="宋体" w:eastAsia="宋体" w:hint="default"/>
                <w:sz w:val="21"/>
                <w:szCs w:val="21"/>
              </w:rPr>
              <w:t>量</w:t>
            </w:r>
          </w:p>
        </w:tc>
        <w:tc>
          <w:tcPr>
            <w:tcW w:w="12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13" w:right="211"/>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090" w:hRule="exact"/>
        </w:trPr>
        <w:tc>
          <w:tcPr>
            <w:tcW w:w="280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5" w:type="dxa"/>
            <w:gridSpan w:val="2"/>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9" w:right="135"/>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2" w:right="173"/>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859" w:type="dxa"/>
            <w:vMerge/>
            <w:tcBorders>
              <w:left w:val="single" w:sz="4" w:space="0" w:color="000000"/>
              <w:bottom w:val="single" w:sz="4" w:space="0" w:color="000000"/>
              <w:right w:val="single" w:sz="4" w:space="0" w:color="000000"/>
            </w:tcBorders>
          </w:tcPr>
          <w:p>
            <w:pP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w w:val="100"/>
                <w:sz w:val="21"/>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5" w:right="0"/>
              <w:jc w:val="left"/>
              <w:rPr>
                <w:rFonts w:ascii="Times New Roman" w:hAnsi="Times New Roman" w:cs="Times New Roman" w:eastAsia="Times New Roman" w:hint="default"/>
                <w:sz w:val="21"/>
                <w:szCs w:val="21"/>
              </w:rPr>
            </w:pPr>
            <w:r>
              <w:rPr>
                <w:rFonts w:ascii="Times New Roman"/>
                <w:sz w:val="21"/>
              </w:rPr>
              <w:t>14,000,000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gridSpan w:val="2"/>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然人</w:t>
            </w:r>
          </w:p>
        </w:tc>
      </w:tr>
      <w:tr>
        <w:trPr>
          <w:trHeight w:val="826"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德邦创新资本－浦发银行－</w:t>
            </w:r>
          </w:p>
          <w:p>
            <w:pPr>
              <w:pStyle w:val="TableParagraph"/>
              <w:spacing w:line="274" w:lineRule="exact" w:before="24"/>
              <w:ind w:left="103" w:right="166"/>
              <w:jc w:val="left"/>
              <w:rPr>
                <w:rFonts w:ascii="宋体" w:hAnsi="宋体" w:cs="宋体" w:eastAsia="宋体" w:hint="default"/>
                <w:sz w:val="21"/>
                <w:szCs w:val="21"/>
              </w:rPr>
            </w:pPr>
            <w:r>
              <w:rPr>
                <w:rFonts w:ascii="宋体" w:hAnsi="宋体" w:cs="宋体" w:eastAsia="宋体" w:hint="default"/>
                <w:sz w:val="21"/>
                <w:szCs w:val="21"/>
              </w:rPr>
              <w:t>德邦创新资本慧金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号专项</w:t>
            </w:r>
            <w:r>
              <w:rPr>
                <w:rFonts w:ascii="宋体" w:hAnsi="宋体" w:cs="宋体" w:eastAsia="宋体" w:hint="default"/>
                <w:w w:val="100"/>
                <w:sz w:val="21"/>
                <w:szCs w:val="21"/>
              </w:rPr>
              <w:t> </w:t>
            </w:r>
            <w:r>
              <w:rPr>
                <w:rFonts w:ascii="宋体" w:hAnsi="宋体" w:cs="宋体" w:eastAsia="宋体" w:hint="default"/>
                <w:sz w:val="21"/>
                <w:szCs w:val="21"/>
              </w:rPr>
              <w:t>资产管理计划</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8,415,174</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21" w:right="0"/>
              <w:jc w:val="left"/>
              <w:rPr>
                <w:rFonts w:ascii="Times New Roman" w:hAnsi="Times New Roman" w:cs="Times New Roman" w:eastAsia="Times New Roman" w:hint="default"/>
                <w:sz w:val="21"/>
                <w:szCs w:val="21"/>
              </w:rPr>
            </w:pPr>
            <w:r>
              <w:rPr>
                <w:rFonts w:ascii="Times New Roman"/>
                <w:sz w:val="21"/>
              </w:rPr>
              <w:t>8,415,174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gridSpan w:val="2"/>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上海和熙投资管理有限公司</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－和熙成长型</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号基金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7,500,000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21" w:right="0"/>
              <w:jc w:val="left"/>
              <w:rPr>
                <w:rFonts w:ascii="Times New Roman" w:hAnsi="Times New Roman" w:cs="Times New Roman" w:eastAsia="Times New Roman" w:hint="default"/>
                <w:sz w:val="21"/>
                <w:szCs w:val="21"/>
              </w:rPr>
            </w:pPr>
            <w:r>
              <w:rPr>
                <w:rFonts w:ascii="Times New Roman"/>
                <w:sz w:val="21"/>
              </w:rPr>
              <w:t>7,500,000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gridSpan w:val="2"/>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广西壮族自治区分行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-3,000,000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21" w:right="0"/>
              <w:jc w:val="left"/>
              <w:rPr>
                <w:rFonts w:ascii="Times New Roman" w:hAnsi="Times New Roman" w:cs="Times New Roman" w:eastAsia="Times New Roman" w:hint="default"/>
                <w:sz w:val="21"/>
                <w:szCs w:val="21"/>
              </w:rPr>
            </w:pPr>
            <w:r>
              <w:rPr>
                <w:rFonts w:ascii="Times New Roman"/>
                <w:sz w:val="21"/>
              </w:rPr>
              <w:t>6,802,070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gridSpan w:val="2"/>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华安未来资产－工商银行－</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汇增</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号资产管理计划</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6,436,601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1" w:right="0"/>
              <w:jc w:val="left"/>
              <w:rPr>
                <w:rFonts w:ascii="Times New Roman" w:hAnsi="Times New Roman" w:cs="Times New Roman" w:eastAsia="Times New Roman" w:hint="default"/>
                <w:sz w:val="21"/>
                <w:szCs w:val="21"/>
              </w:rPr>
            </w:pPr>
            <w:r>
              <w:rPr>
                <w:rFonts w:ascii="Times New Roman"/>
                <w:sz w:val="21"/>
              </w:rPr>
              <w:t>6,436,601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gridSpan w:val="2"/>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华安未来资产－工商银行－</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汇增</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号资产管理计划</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6,100,000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1" w:right="0"/>
              <w:jc w:val="left"/>
              <w:rPr>
                <w:rFonts w:ascii="Times New Roman" w:hAnsi="Times New Roman" w:cs="Times New Roman" w:eastAsia="Times New Roman" w:hint="default"/>
                <w:sz w:val="21"/>
                <w:szCs w:val="21"/>
              </w:rPr>
            </w:pPr>
            <w:r>
              <w:rPr>
                <w:rFonts w:ascii="Times New Roman"/>
                <w:sz w:val="21"/>
              </w:rPr>
              <w:t>6,100,000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gridSpan w:val="2"/>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孙伟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w w:val="100"/>
                <w:sz w:val="21"/>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1" w:right="0"/>
              <w:jc w:val="left"/>
              <w:rPr>
                <w:rFonts w:ascii="Times New Roman" w:hAnsi="Times New Roman" w:cs="Times New Roman" w:eastAsia="Times New Roman" w:hint="default"/>
                <w:sz w:val="21"/>
                <w:szCs w:val="21"/>
              </w:rPr>
            </w:pPr>
            <w:r>
              <w:rPr>
                <w:rFonts w:ascii="Times New Roman"/>
                <w:sz w:val="21"/>
              </w:rPr>
              <w:t>6,000,000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gridSpan w:val="2"/>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然人</w:t>
            </w:r>
          </w:p>
        </w:tc>
      </w:tr>
      <w:tr>
        <w:trPr>
          <w:trHeight w:val="55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华安未来资产－工商银行－</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汇增</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号资产管理计划</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5,265,100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21" w:right="0"/>
              <w:jc w:val="left"/>
              <w:rPr>
                <w:rFonts w:ascii="Times New Roman" w:hAnsi="Times New Roman" w:cs="Times New Roman" w:eastAsia="Times New Roman" w:hint="default"/>
                <w:sz w:val="21"/>
                <w:szCs w:val="21"/>
              </w:rPr>
            </w:pPr>
            <w:r>
              <w:rPr>
                <w:rFonts w:ascii="Times New Roman"/>
                <w:sz w:val="21"/>
              </w:rPr>
              <w:t>5,265,100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1.33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w w:val="100"/>
                <w:sz w:val="21"/>
              </w:rPr>
              <w:t>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gridSpan w:val="2"/>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中国工商银行－广发策略优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选混合型证券投资基金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5,193,616</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1" w:right="0"/>
              <w:jc w:val="left"/>
              <w:rPr>
                <w:rFonts w:ascii="Times New Roman" w:hAnsi="Times New Roman" w:cs="Times New Roman" w:eastAsia="Times New Roman" w:hint="default"/>
                <w:sz w:val="21"/>
                <w:szCs w:val="21"/>
              </w:rPr>
            </w:pPr>
            <w:r>
              <w:rPr>
                <w:rFonts w:ascii="Times New Roman"/>
                <w:sz w:val="21"/>
              </w:rPr>
              <w:t>5,193,616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gridSpan w:val="2"/>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82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w:t>
            </w:r>
          </w:p>
          <w:p>
            <w:pPr>
              <w:pStyle w:val="TableParagraph"/>
              <w:spacing w:line="272" w:lineRule="exact" w:before="27"/>
              <w:ind w:left="103" w:right="166"/>
              <w:jc w:val="left"/>
              <w:rPr>
                <w:rFonts w:ascii="宋体" w:hAnsi="宋体" w:cs="宋体" w:eastAsia="宋体" w:hint="default"/>
                <w:sz w:val="21"/>
                <w:szCs w:val="21"/>
              </w:rPr>
            </w:pPr>
            <w:r>
              <w:rPr>
                <w:rFonts w:ascii="宋体" w:hAnsi="宋体" w:cs="宋体" w:eastAsia="宋体" w:hint="default"/>
                <w:spacing w:val="-2"/>
                <w:sz w:val="21"/>
                <w:szCs w:val="21"/>
              </w:rPr>
              <w:t>－华安媒体互联网混合型证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券投资基金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4,937,748</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21" w:right="0"/>
              <w:jc w:val="left"/>
              <w:rPr>
                <w:rFonts w:ascii="Times New Roman" w:hAnsi="Times New Roman" w:cs="Times New Roman" w:eastAsia="Times New Roman" w:hint="default"/>
                <w:sz w:val="21"/>
                <w:szCs w:val="21"/>
              </w:rPr>
            </w:pPr>
            <w:r>
              <w:rPr>
                <w:rFonts w:ascii="Times New Roman"/>
                <w:sz w:val="21"/>
              </w:rPr>
              <w:t>4,937,748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gridSpan w:val="2"/>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6" w:right="107" w:hanging="209"/>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281"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5079"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170" w:type="dxa"/>
            <w:gridSpan w:val="4"/>
            <w:vMerge w:val="restart"/>
            <w:tcBorders>
              <w:top w:val="single" w:sz="4" w:space="0" w:color="000000"/>
              <w:left w:val="single" w:sz="4" w:space="0" w:color="000000"/>
              <w:right w:val="single" w:sz="4" w:space="0" w:color="000000"/>
            </w:tcBorders>
          </w:tcPr>
          <w:p>
            <w:pPr>
              <w:pStyle w:val="TableParagraph"/>
              <w:spacing w:line="272" w:lineRule="exact" w:before="1"/>
              <w:ind w:left="659" w:right="130" w:hanging="526"/>
              <w:jc w:val="left"/>
              <w:rPr>
                <w:rFonts w:ascii="宋体" w:hAnsi="宋体" w:cs="宋体" w:eastAsia="宋体" w:hint="default"/>
                <w:sz w:val="21"/>
                <w:szCs w:val="21"/>
              </w:rPr>
            </w:pPr>
            <w:r>
              <w:rPr>
                <w:rFonts w:ascii="宋体" w:hAnsi="宋体" w:cs="宋体" w:eastAsia="宋体" w:hint="default"/>
                <w:sz w:val="21"/>
                <w:szCs w:val="21"/>
              </w:rPr>
              <w:t>持有无限售条件流通</w:t>
            </w:r>
            <w:r>
              <w:rPr>
                <w:rFonts w:ascii="宋体" w:hAnsi="宋体" w:cs="宋体" w:eastAsia="宋体" w:hint="default"/>
                <w:w w:val="100"/>
                <w:sz w:val="21"/>
                <w:szCs w:val="21"/>
              </w:rPr>
              <w:t> </w:t>
            </w:r>
            <w:r>
              <w:rPr>
                <w:rFonts w:ascii="宋体" w:hAnsi="宋体" w:cs="宋体" w:eastAsia="宋体" w:hint="default"/>
                <w:sz w:val="21"/>
                <w:szCs w:val="21"/>
              </w:rPr>
              <w:t>股的数量</w:t>
            </w:r>
          </w:p>
        </w:tc>
        <w:tc>
          <w:tcPr>
            <w:tcW w:w="18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5079" w:type="dxa"/>
            <w:gridSpan w:val="3"/>
            <w:vMerge/>
            <w:tcBorders>
              <w:left w:val="single" w:sz="4" w:space="0" w:color="000000"/>
              <w:bottom w:val="single" w:sz="4" w:space="0" w:color="000000"/>
              <w:right w:val="single" w:sz="4" w:space="0" w:color="000000"/>
            </w:tcBorders>
          </w:tcPr>
          <w:p>
            <w:pPr/>
          </w:p>
        </w:tc>
        <w:tc>
          <w:tcPr>
            <w:tcW w:w="2170" w:type="dxa"/>
            <w:gridSpan w:val="4"/>
            <w:vMerge/>
            <w:tcBorders>
              <w:left w:val="single" w:sz="4" w:space="0" w:color="000000"/>
              <w:bottom w:val="single" w:sz="4" w:space="0" w:color="000000"/>
              <w:right w:val="single" w:sz="4" w:space="0" w:color="000000"/>
            </w:tcBorders>
          </w:tcPr>
          <w:p>
            <w:pPr/>
          </w:p>
        </w:tc>
        <w:tc>
          <w:tcPr>
            <w:tcW w:w="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826" w:hRule="exact"/>
        </w:trPr>
        <w:tc>
          <w:tcPr>
            <w:tcW w:w="50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21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07" w:right="0"/>
              <w:jc w:val="left"/>
              <w:rPr>
                <w:rFonts w:ascii="Times New Roman" w:hAnsi="Times New Roman" w:cs="Times New Roman" w:eastAsia="Times New Roman" w:hint="default"/>
                <w:sz w:val="21"/>
                <w:szCs w:val="21"/>
              </w:rPr>
            </w:pPr>
            <w:r>
              <w:rPr>
                <w:rFonts w:ascii="Times New Roman"/>
                <w:sz w:val="21"/>
              </w:rPr>
              <w:t>14,000,000</w:t>
            </w:r>
          </w:p>
        </w:tc>
        <w:tc>
          <w:tcPr>
            <w:tcW w:w="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14,000,000</w:t>
            </w:r>
          </w:p>
        </w:tc>
      </w:tr>
      <w:tr>
        <w:trPr>
          <w:trHeight w:val="828" w:hRule="exact"/>
        </w:trPr>
        <w:tc>
          <w:tcPr>
            <w:tcW w:w="50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before="128"/>
              <w:ind w:left="103" w:right="132"/>
              <w:jc w:val="left"/>
              <w:rPr>
                <w:rFonts w:ascii="宋体" w:hAnsi="宋体" w:cs="宋体" w:eastAsia="宋体" w:hint="default"/>
                <w:sz w:val="21"/>
                <w:szCs w:val="21"/>
              </w:rPr>
            </w:pPr>
            <w:r>
              <w:rPr>
                <w:rFonts w:ascii="宋体" w:hAnsi="宋体" w:cs="宋体" w:eastAsia="宋体" w:hint="default"/>
                <w:sz w:val="21"/>
                <w:szCs w:val="21"/>
              </w:rPr>
              <w:t>德邦创新资本－浦发银行－德邦创新资本慧金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3"/>
                <w:sz w:val="21"/>
                <w:szCs w:val="21"/>
              </w:rPr>
              <w:t>号专</w:t>
            </w:r>
            <w:r>
              <w:rPr>
                <w:rFonts w:ascii="宋体" w:hAnsi="宋体" w:cs="宋体" w:eastAsia="宋体" w:hint="default"/>
                <w:spacing w:val="-3"/>
                <w:w w:val="100"/>
                <w:sz w:val="21"/>
                <w:szCs w:val="21"/>
              </w:rPr>
              <w:t> </w:t>
            </w:r>
            <w:r>
              <w:rPr>
                <w:rFonts w:ascii="宋体" w:hAnsi="宋体" w:cs="宋体" w:eastAsia="宋体" w:hint="default"/>
                <w:sz w:val="21"/>
                <w:szCs w:val="21"/>
              </w:rPr>
              <w:t>项资产管理计划</w:t>
            </w:r>
          </w:p>
        </w:tc>
        <w:tc>
          <w:tcPr>
            <w:tcW w:w="21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59" w:right="0"/>
              <w:jc w:val="left"/>
              <w:rPr>
                <w:rFonts w:ascii="Times New Roman" w:hAnsi="Times New Roman" w:cs="Times New Roman" w:eastAsia="Times New Roman" w:hint="default"/>
                <w:sz w:val="21"/>
                <w:szCs w:val="21"/>
              </w:rPr>
            </w:pPr>
            <w:r>
              <w:rPr>
                <w:rFonts w:ascii="Times New Roman"/>
                <w:sz w:val="21"/>
              </w:rPr>
              <w:t>8,415,174</w:t>
            </w:r>
          </w:p>
        </w:tc>
        <w:tc>
          <w:tcPr>
            <w:tcW w:w="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8,415,174</w:t>
            </w:r>
          </w:p>
        </w:tc>
      </w:tr>
      <w:tr>
        <w:trPr>
          <w:trHeight w:val="826" w:hRule="exact"/>
        </w:trPr>
        <w:tc>
          <w:tcPr>
            <w:tcW w:w="50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上海和熙投资管理有限公司－和熙成长型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号基金</w:t>
            </w:r>
          </w:p>
        </w:tc>
        <w:tc>
          <w:tcPr>
            <w:tcW w:w="21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59" w:right="0"/>
              <w:jc w:val="left"/>
              <w:rPr>
                <w:rFonts w:ascii="Times New Roman" w:hAnsi="Times New Roman" w:cs="Times New Roman" w:eastAsia="Times New Roman" w:hint="default"/>
                <w:sz w:val="21"/>
                <w:szCs w:val="21"/>
              </w:rPr>
            </w:pPr>
            <w:r>
              <w:rPr>
                <w:rFonts w:ascii="Times New Roman"/>
                <w:sz w:val="21"/>
              </w:rPr>
              <w:t>7,500,000</w:t>
            </w:r>
          </w:p>
        </w:tc>
        <w:tc>
          <w:tcPr>
            <w:tcW w:w="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7,500,000</w:t>
            </w:r>
          </w:p>
        </w:tc>
      </w:tr>
      <w:tr>
        <w:trPr>
          <w:trHeight w:val="828" w:hRule="exact"/>
        </w:trPr>
        <w:tc>
          <w:tcPr>
            <w:tcW w:w="50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中国农业银行股份有限公司广西壮族自治区分行</w:t>
            </w:r>
          </w:p>
        </w:tc>
        <w:tc>
          <w:tcPr>
            <w:tcW w:w="21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9" w:right="0"/>
              <w:jc w:val="left"/>
              <w:rPr>
                <w:rFonts w:ascii="Times New Roman" w:hAnsi="Times New Roman" w:cs="Times New Roman" w:eastAsia="Times New Roman" w:hint="default"/>
                <w:sz w:val="21"/>
                <w:szCs w:val="21"/>
              </w:rPr>
            </w:pPr>
            <w:r>
              <w:rPr>
                <w:rFonts w:ascii="Times New Roman"/>
                <w:sz w:val="21"/>
              </w:rPr>
              <w:t>6,802,070</w:t>
            </w:r>
          </w:p>
        </w:tc>
        <w:tc>
          <w:tcPr>
            <w:tcW w:w="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6,802,070</w:t>
            </w:r>
          </w:p>
        </w:tc>
      </w:tr>
      <w:tr>
        <w:trPr>
          <w:trHeight w:val="828" w:hRule="exact"/>
        </w:trPr>
        <w:tc>
          <w:tcPr>
            <w:tcW w:w="50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华安未来资产－工商银行－汇增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号资产管理计划</w:t>
            </w:r>
          </w:p>
        </w:tc>
        <w:tc>
          <w:tcPr>
            <w:tcW w:w="21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59" w:right="0"/>
              <w:jc w:val="left"/>
              <w:rPr>
                <w:rFonts w:ascii="Times New Roman" w:hAnsi="Times New Roman" w:cs="Times New Roman" w:eastAsia="Times New Roman" w:hint="default"/>
                <w:sz w:val="21"/>
                <w:szCs w:val="21"/>
              </w:rPr>
            </w:pPr>
            <w:r>
              <w:rPr>
                <w:rFonts w:ascii="Times New Roman"/>
                <w:sz w:val="21"/>
              </w:rPr>
              <w:t>6,436,601</w:t>
            </w:r>
          </w:p>
        </w:tc>
        <w:tc>
          <w:tcPr>
            <w:tcW w:w="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6,436,601</w:t>
            </w:r>
          </w:p>
        </w:tc>
      </w:tr>
    </w:tbl>
    <w:p>
      <w:pPr>
        <w:spacing w:after="0" w:line="240" w:lineRule="auto"/>
        <w:jc w:val="left"/>
        <w:rPr>
          <w:rFonts w:ascii="Times New Roman" w:hAnsi="Times New Roman" w:cs="Times New Roman" w:eastAsia="Times New Roman" w:hint="default"/>
          <w:sz w:val="21"/>
          <w:szCs w:val="21"/>
        </w:rPr>
        <w:sectPr>
          <w:footerReference w:type="default" r:id="rId35"/>
          <w:pgSz w:w="11910" w:h="16840"/>
          <w:pgMar w:footer="1195" w:header="0" w:top="1120" w:bottom="1380" w:left="1580" w:right="1040"/>
          <w:pgNumType w:start="4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079"/>
        <w:gridCol w:w="2170"/>
        <w:gridCol w:w="641"/>
        <w:gridCol w:w="1159"/>
      </w:tblGrid>
      <w:tr>
        <w:trPr>
          <w:trHeight w:val="828" w:hRule="exact"/>
        </w:trPr>
        <w:tc>
          <w:tcPr>
            <w:tcW w:w="5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华安未来资产－工商银行－汇增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号资产管理计划</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59" w:right="0"/>
              <w:jc w:val="left"/>
              <w:rPr>
                <w:rFonts w:ascii="Times New Roman" w:hAnsi="Times New Roman" w:cs="Times New Roman" w:eastAsia="Times New Roman" w:hint="default"/>
                <w:sz w:val="21"/>
                <w:szCs w:val="21"/>
              </w:rPr>
            </w:pPr>
            <w:r>
              <w:rPr>
                <w:rFonts w:ascii="Times New Roman"/>
                <w:sz w:val="21"/>
              </w:rPr>
              <w:t>6,100,000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6,100,000</w:t>
            </w:r>
          </w:p>
        </w:tc>
      </w:tr>
      <w:tr>
        <w:trPr>
          <w:trHeight w:val="828" w:hRule="exact"/>
        </w:trPr>
        <w:tc>
          <w:tcPr>
            <w:tcW w:w="5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孙伟</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59" w:right="0"/>
              <w:jc w:val="left"/>
              <w:rPr>
                <w:rFonts w:ascii="Times New Roman" w:hAnsi="Times New Roman" w:cs="Times New Roman" w:eastAsia="Times New Roman" w:hint="default"/>
                <w:sz w:val="21"/>
                <w:szCs w:val="21"/>
              </w:rPr>
            </w:pPr>
            <w:r>
              <w:rPr>
                <w:rFonts w:ascii="Times New Roman"/>
                <w:sz w:val="21"/>
              </w:rPr>
              <w:t>6,000,000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6,000,000</w:t>
            </w:r>
          </w:p>
        </w:tc>
      </w:tr>
      <w:tr>
        <w:trPr>
          <w:trHeight w:val="826" w:hRule="exact"/>
        </w:trPr>
        <w:tc>
          <w:tcPr>
            <w:tcW w:w="5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华安未来资产－工商银行－汇增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号资产管理计划</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59" w:right="0"/>
              <w:jc w:val="left"/>
              <w:rPr>
                <w:rFonts w:ascii="Times New Roman" w:hAnsi="Times New Roman" w:cs="Times New Roman" w:eastAsia="Times New Roman" w:hint="default"/>
                <w:sz w:val="21"/>
                <w:szCs w:val="21"/>
              </w:rPr>
            </w:pPr>
            <w:r>
              <w:rPr>
                <w:rFonts w:ascii="Times New Roman"/>
                <w:sz w:val="21"/>
              </w:rPr>
              <w:t>5,265,100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5,265,100</w:t>
            </w:r>
          </w:p>
        </w:tc>
      </w:tr>
      <w:tr>
        <w:trPr>
          <w:trHeight w:val="828" w:hRule="exact"/>
        </w:trPr>
        <w:tc>
          <w:tcPr>
            <w:tcW w:w="5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中国工商银行－广发策略优选混合型证券投资基金</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59" w:right="0"/>
              <w:jc w:val="left"/>
              <w:rPr>
                <w:rFonts w:ascii="Times New Roman" w:hAnsi="Times New Roman" w:cs="Times New Roman" w:eastAsia="Times New Roman" w:hint="default"/>
                <w:sz w:val="21"/>
                <w:szCs w:val="21"/>
              </w:rPr>
            </w:pPr>
            <w:r>
              <w:rPr>
                <w:rFonts w:ascii="Times New Roman"/>
                <w:sz w:val="21"/>
              </w:rPr>
              <w:t>5,193,616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5,193,616</w:t>
            </w:r>
          </w:p>
        </w:tc>
      </w:tr>
      <w:tr>
        <w:trPr>
          <w:trHeight w:val="826" w:hRule="exact"/>
        </w:trPr>
        <w:tc>
          <w:tcPr>
            <w:tcW w:w="50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3" w:right="130"/>
              <w:jc w:val="left"/>
              <w:rPr>
                <w:rFonts w:ascii="宋体" w:hAnsi="宋体" w:cs="宋体" w:eastAsia="宋体" w:hint="default"/>
                <w:sz w:val="21"/>
                <w:szCs w:val="21"/>
              </w:rPr>
            </w:pPr>
            <w:r>
              <w:rPr>
                <w:rFonts w:ascii="宋体" w:hAnsi="宋体" w:cs="宋体" w:eastAsia="宋体" w:hint="default"/>
                <w:spacing w:val="-2"/>
                <w:sz w:val="21"/>
                <w:szCs w:val="21"/>
              </w:rPr>
              <w:t>中国工商银行股份有限公司－华安媒体互联网混合型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证券投资基金</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59" w:right="0"/>
              <w:jc w:val="left"/>
              <w:rPr>
                <w:rFonts w:ascii="Times New Roman" w:hAnsi="Times New Roman" w:cs="Times New Roman" w:eastAsia="Times New Roman" w:hint="default"/>
                <w:sz w:val="21"/>
                <w:szCs w:val="21"/>
              </w:rPr>
            </w:pPr>
            <w:r>
              <w:rPr>
                <w:rFonts w:ascii="Times New Roman"/>
                <w:sz w:val="21"/>
              </w:rPr>
              <w:t>4,937,748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4,937,748</w:t>
            </w:r>
          </w:p>
        </w:tc>
      </w:tr>
      <w:tr>
        <w:trPr>
          <w:trHeight w:val="2462" w:hRule="exact"/>
        </w:trPr>
        <w:tc>
          <w:tcPr>
            <w:tcW w:w="5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3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德邦创新资本－浦发银行－德邦创新资</w:t>
            </w:r>
          </w:p>
          <w:p>
            <w:pPr>
              <w:pStyle w:val="TableParagraph"/>
              <w:spacing w:line="280" w:lineRule="exact"/>
              <w:ind w:left="103" w:right="0"/>
              <w:jc w:val="both"/>
              <w:rPr>
                <w:rFonts w:ascii="宋体" w:hAnsi="宋体" w:cs="宋体" w:eastAsia="宋体" w:hint="default"/>
                <w:sz w:val="21"/>
                <w:szCs w:val="21"/>
              </w:rPr>
            </w:pPr>
            <w:r>
              <w:rPr>
                <w:rFonts w:ascii="宋体" w:hAnsi="宋体" w:cs="宋体" w:eastAsia="宋体" w:hint="default"/>
                <w:sz w:val="21"/>
                <w:szCs w:val="21"/>
              </w:rPr>
              <w:t>本慧金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4"/>
                <w:sz w:val="21"/>
                <w:szCs w:val="21"/>
              </w:rPr>
              <w:t> </w:t>
            </w:r>
            <w:r>
              <w:rPr>
                <w:rFonts w:ascii="宋体" w:hAnsi="宋体" w:cs="宋体" w:eastAsia="宋体" w:hint="default"/>
                <w:spacing w:val="-4"/>
                <w:sz w:val="21"/>
                <w:szCs w:val="21"/>
              </w:rPr>
              <w:t>号专项资产管理计划、上海和熙</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投资管理有限公司－和熙成长型</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pacing w:val="-3"/>
                <w:sz w:val="21"/>
                <w:szCs w:val="21"/>
              </w:rPr>
              <w:t>号基</w:t>
            </w:r>
            <w:r>
              <w:rPr>
                <w:rFonts w:ascii="宋体" w:hAnsi="宋体" w:cs="宋体" w:eastAsia="宋体" w:hint="default"/>
                <w:sz w:val="21"/>
                <w:szCs w:val="21"/>
              </w:rPr>
            </w:r>
          </w:p>
          <w:p>
            <w:pPr>
              <w:pStyle w:val="TableParagraph"/>
              <w:spacing w:line="272" w:lineRule="exact" w:before="18"/>
              <w:ind w:left="103" w:right="96"/>
              <w:jc w:val="both"/>
              <w:rPr>
                <w:rFonts w:ascii="宋体" w:hAnsi="宋体" w:cs="宋体" w:eastAsia="宋体" w:hint="default"/>
                <w:sz w:val="21"/>
                <w:szCs w:val="21"/>
              </w:rPr>
            </w:pPr>
            <w:r>
              <w:rPr>
                <w:rFonts w:ascii="宋体" w:hAnsi="宋体" w:cs="宋体" w:eastAsia="宋体" w:hint="default"/>
                <w:spacing w:val="-3"/>
                <w:sz w:val="21"/>
                <w:szCs w:val="21"/>
              </w:rPr>
              <w:t>金、华安未来资产－工商银行－汇增</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w:t>
            </w:r>
            <w:r>
              <w:rPr>
                <w:rFonts w:ascii="宋体" w:hAnsi="宋体" w:cs="宋体" w:eastAsia="宋体" w:hint="default"/>
                <w:spacing w:val="-102"/>
                <w:sz w:val="21"/>
                <w:szCs w:val="21"/>
              </w:rPr>
              <w:t> </w:t>
            </w:r>
            <w:r>
              <w:rPr>
                <w:rFonts w:ascii="宋体" w:hAnsi="宋体" w:cs="宋体" w:eastAsia="宋体" w:hint="default"/>
                <w:spacing w:val="-3"/>
                <w:sz w:val="21"/>
                <w:szCs w:val="21"/>
              </w:rPr>
              <w:t>资产管理计划、华安未来资产－工商银行</w:t>
            </w:r>
          </w:p>
          <w:p>
            <w:pPr>
              <w:pStyle w:val="TableParagraph"/>
              <w:spacing w:line="255" w:lineRule="exact"/>
              <w:ind w:left="103" w:right="0"/>
              <w:jc w:val="both"/>
              <w:rPr>
                <w:rFonts w:ascii="宋体" w:hAnsi="宋体" w:cs="宋体" w:eastAsia="宋体" w:hint="default"/>
                <w:sz w:val="21"/>
                <w:szCs w:val="21"/>
              </w:rPr>
            </w:pPr>
            <w:r>
              <w:rPr>
                <w:rFonts w:ascii="宋体" w:hAnsi="宋体" w:cs="宋体" w:eastAsia="宋体" w:hint="default"/>
                <w:sz w:val="21"/>
                <w:szCs w:val="21"/>
              </w:rPr>
              <w:t>－汇增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5"/>
                <w:sz w:val="21"/>
                <w:szCs w:val="21"/>
              </w:rPr>
              <w:t> </w:t>
            </w:r>
            <w:r>
              <w:rPr>
                <w:rFonts w:ascii="宋体" w:hAnsi="宋体" w:cs="宋体" w:eastAsia="宋体" w:hint="default"/>
                <w:spacing w:val="-4"/>
                <w:sz w:val="21"/>
                <w:szCs w:val="21"/>
              </w:rPr>
              <w:t>号资产管理计划、华安未来资产</w:t>
            </w:r>
          </w:p>
          <w:p>
            <w:pPr>
              <w:pStyle w:val="TableParagraph"/>
              <w:spacing w:line="230" w:lineRule="auto"/>
              <w:ind w:left="103" w:right="96"/>
              <w:jc w:val="both"/>
              <w:rPr>
                <w:rFonts w:ascii="宋体" w:hAnsi="宋体" w:cs="宋体" w:eastAsia="宋体" w:hint="default"/>
                <w:sz w:val="21"/>
                <w:szCs w:val="21"/>
              </w:rPr>
            </w:pPr>
            <w:r>
              <w:rPr>
                <w:rFonts w:ascii="宋体" w:hAnsi="宋体" w:cs="宋体" w:eastAsia="宋体" w:hint="default"/>
                <w:sz w:val="21"/>
                <w:szCs w:val="21"/>
              </w:rPr>
              <w:t>－工商银行－汇增</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号资产管理计划为公</w:t>
            </w:r>
            <w:r>
              <w:rPr>
                <w:rFonts w:ascii="宋体" w:hAnsi="宋体" w:cs="宋体" w:eastAsia="宋体" w:hint="default"/>
                <w:w w:val="100"/>
                <w:sz w:val="21"/>
                <w:szCs w:val="21"/>
              </w:rPr>
              <w:t> </w:t>
            </w:r>
            <w:r>
              <w:rPr>
                <w:rFonts w:ascii="宋体" w:hAnsi="宋体" w:cs="宋体" w:eastAsia="宋体" w:hint="default"/>
                <w:spacing w:val="-3"/>
                <w:sz w:val="21"/>
                <w:szCs w:val="21"/>
              </w:rPr>
              <w:t>司董事长顾国平先生一致行动人，以上持</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股共计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33,716,875</w:t>
            </w:r>
            <w:r>
              <w:rPr>
                <w:rFonts w:ascii="宋体" w:hAnsi="宋体" w:cs="宋体" w:eastAsia="宋体" w:hint="default"/>
                <w:sz w:val="21"/>
                <w:szCs w:val="21"/>
              </w:rPr>
              <w:t>。</w:t>
            </w:r>
          </w:p>
        </w:tc>
      </w:tr>
    </w:tbl>
    <w:p>
      <w:pPr>
        <w:spacing w:line="240" w:lineRule="auto" w:before="13"/>
        <w:rPr>
          <w:rFonts w:ascii="宋体" w:hAnsi="宋体" w:cs="宋体" w:eastAsia="宋体" w:hint="default"/>
          <w:sz w:val="19"/>
          <w:szCs w:val="19"/>
        </w:rPr>
      </w:pPr>
    </w:p>
    <w:p>
      <w:pPr>
        <w:pStyle w:val="Heading3"/>
        <w:spacing w:line="240" w:lineRule="auto" w:before="36"/>
        <w:ind w:right="2465"/>
        <w:jc w:val="left"/>
        <w:rPr>
          <w:b w:val="0"/>
          <w:bCs w:val="0"/>
        </w:rPr>
      </w:pPr>
      <w:r>
        <w:rPr/>
        <w:t>四、</w:t>
      </w:r>
      <w:r>
        <w:rPr>
          <w:spacing w:val="-79"/>
        </w:rPr>
        <w:t> </w:t>
      </w:r>
      <w:r>
        <w:rPr/>
        <w:t>控股股东及实际控制人情况</w:t>
      </w:r>
      <w:r>
        <w:rPr>
          <w:b w:val="0"/>
          <w:bCs w:val="0"/>
        </w:rPr>
      </w:r>
    </w:p>
    <w:p>
      <w:pPr>
        <w:pStyle w:val="Heading3"/>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自然人</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慧球科技董事长</w:t>
            </w:r>
          </w:p>
        </w:tc>
      </w:tr>
    </w:tbl>
    <w:p>
      <w:pPr>
        <w:pStyle w:val="BodyText"/>
        <w:spacing w:line="247" w:lineRule="exact"/>
        <w:ind w:left="638" w:right="96"/>
        <w:jc w:val="left"/>
      </w:pPr>
      <w:r>
        <w:rPr/>
        <w:t>公司于</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spacing w:val="-5"/>
        </w:rPr>
        <w:t>日公布了《关于股东权益变动暨公司控股股东、实际控制人变更的提示</w:t>
      </w:r>
    </w:p>
    <w:p>
      <w:pPr>
        <w:pStyle w:val="BodyText"/>
        <w:spacing w:line="272" w:lineRule="exact"/>
        <w:ind w:left="218" w:right="96"/>
        <w:jc w:val="left"/>
      </w:pPr>
      <w:r>
        <w:rPr/>
        <w:t>性公告》。截至公告之日，顾国平先生及其一致行动人和熙 </w:t>
      </w:r>
      <w:r>
        <w:rPr>
          <w:rFonts w:ascii="Times New Roman" w:hAnsi="Times New Roman" w:cs="Times New Roman" w:eastAsia="Times New Roman" w:hint="default"/>
        </w:rPr>
        <w:t>2  </w:t>
      </w:r>
      <w:r>
        <w:rPr/>
        <w:t>号基金、华安汇增 </w:t>
      </w: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号、华安汇</w:t>
      </w:r>
    </w:p>
    <w:p>
      <w:pPr>
        <w:pStyle w:val="BodyText"/>
        <w:spacing w:line="228" w:lineRule="auto" w:before="3"/>
        <w:ind w:left="218" w:right="224"/>
        <w:jc w:val="left"/>
        <w:rPr>
          <w:rFonts w:ascii="Times New Roman" w:hAnsi="Times New Roman" w:cs="Times New Roman" w:eastAsia="Times New Roman" w:hint="default"/>
        </w:rPr>
      </w:pPr>
      <w:r>
        <w:rPr/>
        <w:t>增 </w:t>
      </w:r>
      <w:r>
        <w:rPr>
          <w:rFonts w:ascii="Times New Roman" w:hAnsi="Times New Roman" w:cs="Times New Roman" w:eastAsia="Times New Roman" w:hint="default"/>
        </w:rPr>
        <w:t>2 </w:t>
      </w:r>
      <w:r>
        <w:rPr/>
        <w:t>号、华安汇增 </w:t>
      </w:r>
      <w:r>
        <w:rPr>
          <w:rFonts w:ascii="Times New Roman" w:hAnsi="Times New Roman" w:cs="Times New Roman" w:eastAsia="Times New Roman" w:hint="default"/>
        </w:rPr>
        <w:t>3 </w:t>
      </w:r>
      <w:r>
        <w:rPr/>
        <w:t>号及德邦慧金 </w:t>
      </w:r>
      <w:r>
        <w:rPr>
          <w:rFonts w:ascii="Times New Roman" w:hAnsi="Times New Roman" w:cs="Times New Roman" w:eastAsia="Times New Roman" w:hint="default"/>
        </w:rPr>
        <w:t>1 </w:t>
      </w:r>
      <w:r>
        <w:rPr/>
        <w:t>号合计持有公司股份 </w:t>
      </w:r>
      <w:r>
        <w:rPr>
          <w:rFonts w:ascii="Times New Roman" w:hAnsi="Times New Roman" w:cs="Times New Roman" w:eastAsia="Times New Roman" w:hint="default"/>
        </w:rPr>
        <w:t>34,716,875</w:t>
      </w:r>
      <w:r>
        <w:rPr>
          <w:rFonts w:ascii="Times New Roman" w:hAnsi="Times New Roman" w:cs="Times New Roman" w:eastAsia="Times New Roman" w:hint="default"/>
          <w:spacing w:val="45"/>
        </w:rPr>
        <w:t> </w:t>
      </w:r>
      <w:r>
        <w:rPr/>
        <w:t>股，占公司总股本的</w:t>
      </w:r>
      <w:r>
        <w:rPr>
          <w:w w:val="100"/>
        </w:rPr>
        <w:t> </w:t>
      </w:r>
      <w:r>
        <w:rPr>
          <w:rFonts w:ascii="Times New Roman" w:hAnsi="Times New Roman" w:cs="Times New Roman" w:eastAsia="Times New Roman" w:hint="default"/>
        </w:rPr>
        <w:t>8.79%</w:t>
      </w:r>
      <w:r>
        <w:rPr/>
        <w:t>。本次权益变动完成后，根据《公司法》、《上市公司收购管理办法》</w:t>
      </w:r>
      <w:r>
        <w:rPr>
          <w:spacing w:val="-14"/>
        </w:rPr>
        <w:t> </w:t>
      </w:r>
      <w:r>
        <w:rPr/>
        <w:t>及《上海证券交易</w:t>
      </w:r>
      <w:r>
        <w:rPr>
          <w:w w:val="100"/>
        </w:rPr>
        <w:t> </w:t>
      </w:r>
      <w:r>
        <w:rPr>
          <w:spacing w:val="-2"/>
        </w:rPr>
        <w:t>所股票上市规则》等相关法律法规对控股股东、实际控制人的定义，公司经研究讨论，认为根据</w:t>
      </w:r>
      <w:r>
        <w:rPr>
          <w:spacing w:val="-25"/>
        </w:rPr>
        <w:t> </w:t>
      </w:r>
      <w:r>
        <w:rPr>
          <w:spacing w:val="-25"/>
        </w:rPr>
      </w:r>
      <w:r>
        <w:rPr>
          <w:spacing w:val="-2"/>
        </w:rPr>
        <w:t>慧球科技目前股东情况以及治理情况，顾国平先生为公司控股股东、实际控制人。（详见</w:t>
      </w:r>
      <w:r>
        <w:rPr>
          <w:spacing w:val="25"/>
        </w:rPr>
        <w:t> </w:t>
      </w:r>
      <w:r>
        <w:rPr>
          <w:rFonts w:ascii="Times New Roman" w:hAnsi="Times New Roman" w:cs="Times New Roman" w:eastAsia="Times New Roman" w:hint="default"/>
          <w:spacing w:val="-1"/>
        </w:rPr>
        <w:t>2016</w:t>
      </w:r>
    </w:p>
    <w:p>
      <w:pPr>
        <w:pStyle w:val="BodyText"/>
        <w:spacing w:line="276" w:lineRule="exact"/>
        <w:ind w:left="218" w:right="96"/>
        <w:jc w:val="left"/>
      </w:pP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日《关于股东权益变动暨公司控股股东、实际控制人变更的提示性公告》）</w:t>
      </w:r>
    </w:p>
    <w:p>
      <w:pPr>
        <w:spacing w:line="240" w:lineRule="auto" w:before="11"/>
        <w:rPr>
          <w:rFonts w:ascii="宋体" w:hAnsi="宋体" w:cs="宋体" w:eastAsia="宋体" w:hint="default"/>
          <w:sz w:val="23"/>
          <w:szCs w:val="23"/>
        </w:rPr>
      </w:pPr>
    </w:p>
    <w:p>
      <w:pPr>
        <w:pStyle w:val="Heading3"/>
        <w:tabs>
          <w:tab w:pos="637" w:val="left" w:leader="none"/>
        </w:tabs>
        <w:spacing w:line="240" w:lineRule="auto"/>
        <w:ind w:right="2465"/>
        <w:jc w:val="left"/>
        <w:rPr>
          <w:b w:val="0"/>
          <w:bCs w:val="0"/>
        </w:rPr>
      </w:pPr>
      <w:r>
        <w:rPr>
          <w:rFonts w:ascii="宋体" w:hAnsi="宋体" w:cs="宋体" w:eastAsia="宋体" w:hint="default"/>
          <w:w w:val="95"/>
        </w:rPr>
        <w:t>2</w:t>
        <w:tab/>
      </w:r>
      <w:r>
        <w:rPr/>
        <w:t>公司不存在控股股东情况的特别说明</w:t>
      </w:r>
      <w:r>
        <w:rPr>
          <w:b w:val="0"/>
          <w:bCs w:val="0"/>
        </w:rPr>
      </w:r>
    </w:p>
    <w:p>
      <w:pPr>
        <w:pStyle w:val="BodyText"/>
        <w:spacing w:line="281" w:lineRule="exact" w:before="58"/>
        <w:ind w:left="638" w:right="9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日，中国证券登记结算有限责任公司上海分公司根据广西壮族自治区北海市</w:t>
      </w:r>
    </w:p>
    <w:p>
      <w:pPr>
        <w:pStyle w:val="BodyText"/>
        <w:spacing w:line="272" w:lineRule="exact"/>
        <w:ind w:left="218" w:right="96"/>
        <w:jc w:val="left"/>
      </w:pPr>
      <w:r>
        <w:rPr/>
        <w:t>中级人民法院（</w:t>
      </w:r>
      <w:r>
        <w:rPr>
          <w:rFonts w:ascii="Times New Roman" w:hAnsi="Times New Roman" w:cs="Times New Roman" w:eastAsia="Times New Roman" w:hint="default"/>
        </w:rPr>
        <w:t>2010</w:t>
      </w:r>
      <w:r>
        <w:rPr/>
        <w:t>）北执一查字第</w:t>
      </w:r>
      <w:r>
        <w:rPr>
          <w:spacing w:val="-55"/>
        </w:rPr>
        <w:t> </w:t>
      </w:r>
      <w:r>
        <w:rPr>
          <w:rFonts w:ascii="Times New Roman" w:hAnsi="Times New Roman" w:cs="Times New Roman" w:eastAsia="Times New Roman" w:hint="default"/>
        </w:rPr>
        <w:t>28-21</w:t>
      </w:r>
      <w:r>
        <w:rPr>
          <w:rFonts w:ascii="Times New Roman" w:hAnsi="Times New Roman" w:cs="Times New Roman" w:eastAsia="Times New Roman" w:hint="default"/>
          <w:spacing w:val="-3"/>
        </w:rPr>
        <w:t> </w:t>
      </w:r>
      <w:r>
        <w:rPr/>
        <w:t>号《协助扣划通知书》的要求，将公司股东北生集团</w:t>
      </w:r>
    </w:p>
    <w:p>
      <w:pPr>
        <w:pStyle w:val="BodyText"/>
        <w:spacing w:line="232" w:lineRule="auto"/>
        <w:ind w:left="218" w:right="96"/>
        <w:jc w:val="left"/>
      </w:pPr>
      <w:r>
        <w:rPr/>
        <w:t>所持有的公司</w:t>
      </w:r>
      <w:r>
        <w:rPr>
          <w:spacing w:val="-54"/>
        </w:rPr>
        <w:t> </w:t>
      </w:r>
      <w:r>
        <w:rPr>
          <w:rFonts w:ascii="Times New Roman" w:hAnsi="Times New Roman" w:cs="Times New Roman" w:eastAsia="Times New Roman" w:hint="default"/>
        </w:rPr>
        <w:t>28,011,200</w:t>
      </w:r>
      <w:r>
        <w:rPr>
          <w:rFonts w:ascii="Times New Roman" w:hAnsi="Times New Roman" w:cs="Times New Roman" w:eastAsia="Times New Roman" w:hint="default"/>
          <w:spacing w:val="-3"/>
        </w:rPr>
        <w:t> </w:t>
      </w:r>
      <w:r>
        <w:rPr/>
        <w:t>股无限售流通股划转至瑞尔德嘉，划转后，北生集团对公司已不具有实</w:t>
      </w:r>
      <w:r>
        <w:rPr>
          <w:w w:val="100"/>
        </w:rPr>
        <w:t> </w:t>
      </w:r>
      <w:r>
        <w:rPr>
          <w:spacing w:val="-4"/>
          <w:w w:val="100"/>
        </w:rPr>
        <w:t>际控制力，同时考虑到公司目前除北生集团外的其他前五大股东持股比例较为接近且均占比较小，</w:t>
      </w:r>
      <w:r>
        <w:rPr>
          <w:spacing w:val="-86"/>
          <w:w w:val="100"/>
        </w:rPr>
        <w:t> </w:t>
      </w:r>
      <w:r>
        <w:rPr>
          <w:spacing w:val="-86"/>
          <w:w w:val="100"/>
        </w:rPr>
      </w:r>
      <w:r>
        <w:rPr/>
        <w:t>均无法依其持有的股份对应之表决权而对公司经营决策产生重大影响，至此，公司自股份扣划之</w:t>
      </w:r>
      <w:r>
        <w:rPr>
          <w:w w:val="100"/>
        </w:rPr>
        <w:t> </w:t>
      </w:r>
      <w:r>
        <w:rPr/>
        <w:t>日起无控股股东。</w:t>
      </w:r>
    </w:p>
    <w:p>
      <w:pPr>
        <w:pStyle w:val="BodyText"/>
        <w:spacing w:line="281" w:lineRule="exact"/>
        <w:ind w:left="638" w:right="96"/>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5"/>
        </w:rPr>
        <w:t>日，公司认为顾国平先生为公司控股股东、实际控制人。（详见</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9</w:t>
      </w:r>
    </w:p>
    <w:p>
      <w:pPr>
        <w:pStyle w:val="BodyText"/>
        <w:spacing w:line="265" w:lineRule="exact"/>
        <w:ind w:left="218" w:right="96"/>
        <w:jc w:val="left"/>
      </w:pPr>
      <w:r>
        <w:rPr/>
        <w:t>日《关于股东权益变动暨公司控股股东、实际控制人变更的提示性公告》）</w:t>
      </w:r>
    </w:p>
    <w:p>
      <w:pPr>
        <w:spacing w:after="0" w:line="265" w:lineRule="exact"/>
        <w:jc w:val="left"/>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637" w:val="left" w:leader="none"/>
        </w:tabs>
        <w:spacing w:line="290" w:lineRule="auto" w:before="177"/>
        <w:ind w:right="5060"/>
        <w:jc w:val="left"/>
        <w:rPr>
          <w:rFonts w:ascii="宋体" w:hAnsi="宋体" w:cs="宋体" w:eastAsia="宋体" w:hint="default"/>
          <w:b w:val="0"/>
          <w:bCs w:val="0"/>
        </w:rPr>
      </w:pPr>
      <w:r>
        <w:rPr>
          <w:rFonts w:ascii="宋体" w:hAnsi="宋体" w:cs="宋体" w:eastAsia="宋体" w:hint="default"/>
          <w:w w:val="95"/>
        </w:rPr>
        <w:t>3</w:t>
        <w:tab/>
      </w:r>
      <w:r>
        <w:rPr>
          <w:spacing w:val="-1"/>
        </w:rPr>
        <w:t>报告期内控股股东变更情况索引及日期</w:t>
      </w:r>
      <w:r>
        <w:rPr>
          <w:spacing w:val="-89"/>
        </w:rPr>
        <w:t> </w:t>
      </w:r>
      <w:r>
        <w:rPr>
          <w:spacing w:val="-89"/>
        </w:rPr>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3"/>
        <w:tabs>
          <w:tab w:pos="637" w:val="left" w:leader="none"/>
        </w:tabs>
        <w:spacing w:line="240" w:lineRule="auto"/>
        <w:ind w:right="2465"/>
        <w:jc w:val="left"/>
        <w:rPr>
          <w:b w:val="0"/>
          <w:bCs w:val="0"/>
        </w:rPr>
      </w:pPr>
      <w:r>
        <w:rPr>
          <w:rFonts w:ascii="宋体" w:hAnsi="宋体" w:cs="宋体" w:eastAsia="宋体" w:hint="default"/>
          <w:w w:val="95"/>
        </w:rPr>
        <w:t>4</w:t>
        <w:tab/>
      </w:r>
      <w:r>
        <w:rPr/>
        <w:t>公司与控股股东之间的产权及控制关系的方框图</w:t>
      </w:r>
      <w:r>
        <w:rPr>
          <w:b w:val="0"/>
          <w:bCs w:val="0"/>
        </w:rPr>
      </w:r>
    </w:p>
    <w:p>
      <w:pPr>
        <w:spacing w:line="240" w:lineRule="auto" w:before="1"/>
        <w:rPr>
          <w:rFonts w:ascii="宋体" w:hAnsi="宋体" w:cs="宋体" w:eastAsia="宋体" w:hint="default"/>
          <w:b/>
          <w:bCs/>
          <w:sz w:val="7"/>
          <w:szCs w:val="7"/>
        </w:rPr>
      </w:pPr>
    </w:p>
    <w:p>
      <w:pPr>
        <w:spacing w:line="5200" w:lineRule="exact"/>
        <w:ind w:left="217"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5637810" cy="3302508"/>
            <wp:effectExtent l="0" t="0" r="0" b="0"/>
            <wp:docPr id="3" name="image13.png" descr=""/>
            <wp:cNvGraphicFramePr>
              <a:graphicFrameLocks noChangeAspect="1"/>
            </wp:cNvGraphicFramePr>
            <a:graphic>
              <a:graphicData uri="http://schemas.openxmlformats.org/drawingml/2006/picture">
                <pic:pic>
                  <pic:nvPicPr>
                    <pic:cNvPr id="4" name="image13.png"/>
                    <pic:cNvPicPr/>
                  </pic:nvPicPr>
                  <pic:blipFill>
                    <a:blip r:embed="rId36" cstate="print"/>
                    <a:stretch>
                      <a:fillRect/>
                    </a:stretch>
                  </pic:blipFill>
                  <pic:spPr>
                    <a:xfrm>
                      <a:off x="0" y="0"/>
                      <a:ext cx="5637810" cy="3302508"/>
                    </a:xfrm>
                    <a:prstGeom prst="rect">
                      <a:avLst/>
                    </a:prstGeom>
                  </pic:spPr>
                </pic:pic>
              </a:graphicData>
            </a:graphic>
          </wp:inline>
        </w:drawing>
      </w:r>
      <w:r>
        <w:rPr>
          <w:rFonts w:ascii="宋体" w:hAnsi="宋体" w:cs="宋体" w:eastAsia="宋体" w:hint="default"/>
          <w:position w:val="-103"/>
          <w:sz w:val="20"/>
          <w:szCs w:val="20"/>
        </w:rPr>
      </w:r>
    </w:p>
    <w:p>
      <w:pPr>
        <w:spacing w:line="240" w:lineRule="auto" w:before="4"/>
        <w:rPr>
          <w:rFonts w:ascii="宋体" w:hAnsi="宋体" w:cs="宋体" w:eastAsia="宋体" w:hint="default"/>
          <w:b/>
          <w:bCs/>
          <w:sz w:val="20"/>
          <w:szCs w:val="20"/>
        </w:rPr>
      </w:pPr>
    </w:p>
    <w:p>
      <w:pPr>
        <w:pStyle w:val="Heading3"/>
        <w:tabs>
          <w:tab w:pos="642" w:val="left" w:leader="none"/>
        </w:tabs>
        <w:spacing w:line="528" w:lineRule="auto"/>
        <w:ind w:right="7168"/>
        <w:jc w:val="left"/>
        <w:rPr>
          <w:b w:val="0"/>
          <w:bCs w:val="0"/>
        </w:rPr>
      </w:pPr>
      <w:r>
        <w:rPr/>
        <w:pict>
          <v:shape style="position:absolute;margin-left:84.264pt;margin-top:51.623672pt;width:453.2pt;height:86.0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92"/>
                    <w:gridCol w:w="5658"/>
                  </w:tblGrid>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顾国平</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慧球科技董事长</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自然人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BodyText"/>
        <w:spacing w:line="281" w:lineRule="exact" w:before="36"/>
        <w:ind w:left="638" w:right="96"/>
        <w:jc w:val="left"/>
      </w:pPr>
      <w:r>
        <w:rPr/>
        <w:t>公司于</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spacing w:val="-5"/>
        </w:rPr>
        <w:t>日公布了《关于股东权益变动暨公司控股股东、实际控制人变更的提示</w:t>
      </w:r>
    </w:p>
    <w:p>
      <w:pPr>
        <w:pStyle w:val="BodyText"/>
        <w:spacing w:line="272" w:lineRule="exact"/>
        <w:ind w:left="218" w:right="96"/>
        <w:jc w:val="left"/>
      </w:pPr>
      <w:r>
        <w:rPr/>
        <w:t>性公告》。截至公告之日，顾国平先生及其一致行动人和熙 </w:t>
      </w:r>
      <w:r>
        <w:rPr>
          <w:rFonts w:ascii="Times New Roman" w:hAnsi="Times New Roman" w:cs="Times New Roman" w:eastAsia="Times New Roman" w:hint="default"/>
        </w:rPr>
        <w:t>2  </w:t>
      </w:r>
      <w:r>
        <w:rPr/>
        <w:t>号基金、华安汇增 </w:t>
      </w:r>
      <w:r>
        <w:rPr>
          <w:rFonts w:ascii="Times New Roman" w:hAnsi="Times New Roman" w:cs="Times New Roman" w:eastAsia="Times New Roman" w:hint="default"/>
        </w:rPr>
        <w:t>1 </w:t>
      </w:r>
      <w:r>
        <w:rPr>
          <w:rFonts w:ascii="Times New Roman" w:hAnsi="Times New Roman" w:cs="Times New Roman" w:eastAsia="Times New Roman" w:hint="default"/>
          <w:spacing w:val="8"/>
        </w:rPr>
        <w:t> </w:t>
      </w:r>
      <w:r>
        <w:rPr/>
        <w:t>号、华安汇</w:t>
      </w:r>
    </w:p>
    <w:p>
      <w:pPr>
        <w:pStyle w:val="BodyText"/>
        <w:spacing w:line="228" w:lineRule="auto" w:before="3"/>
        <w:ind w:left="218" w:right="228"/>
        <w:jc w:val="both"/>
        <w:rPr>
          <w:rFonts w:ascii="Times New Roman" w:hAnsi="Times New Roman" w:cs="Times New Roman" w:eastAsia="Times New Roman" w:hint="default"/>
        </w:rPr>
      </w:pPr>
      <w:r>
        <w:rPr/>
        <w:t>增</w:t>
      </w:r>
      <w:r>
        <w:rPr>
          <w:spacing w:val="20"/>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spacing w:val="2"/>
        </w:rPr>
        <w:t>号、华安汇增</w:t>
      </w:r>
      <w:r>
        <w:rPr>
          <w:spacing w:val="20"/>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spacing w:val="2"/>
        </w:rPr>
        <w:t>号及德邦慧金</w:t>
      </w:r>
      <w:r>
        <w:rPr>
          <w:spacing w:val="20"/>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2"/>
        </w:rPr>
        <w:t>号合计持有公司股份</w:t>
      </w:r>
      <w:r>
        <w:rPr>
          <w:spacing w:val="20"/>
        </w:rPr>
        <w:t> </w:t>
      </w:r>
      <w:r>
        <w:rPr>
          <w:rFonts w:ascii="Times New Roman" w:hAnsi="Times New Roman" w:cs="Times New Roman" w:eastAsia="Times New Roman" w:hint="default"/>
        </w:rPr>
        <w:t>34,716,875</w:t>
      </w:r>
      <w:r>
        <w:rPr>
          <w:rFonts w:ascii="Times New Roman" w:hAnsi="Times New Roman" w:cs="Times New Roman" w:eastAsia="Times New Roman" w:hint="default"/>
          <w:spacing w:val="11"/>
        </w:rPr>
        <w:t> </w:t>
      </w:r>
      <w:r>
        <w:rPr>
          <w:spacing w:val="2"/>
        </w:rPr>
        <w:t>股，占公司总股本的</w:t>
      </w:r>
      <w:r>
        <w:rPr>
          <w:spacing w:val="-103"/>
        </w:rPr>
        <w:t> </w:t>
      </w:r>
      <w:r>
        <w:rPr>
          <w:spacing w:val="-103"/>
        </w:rPr>
      </w:r>
      <w:r>
        <w:rPr>
          <w:rFonts w:ascii="Times New Roman" w:hAnsi="Times New Roman" w:cs="Times New Roman" w:eastAsia="Times New Roman" w:hint="default"/>
        </w:rPr>
        <w:t>8.79%</w:t>
      </w:r>
      <w:r>
        <w:rPr/>
        <w:t>。本次权益变动完成后，根据《公司法》、《上市公司收购管理办法》</w:t>
      </w:r>
      <w:r>
        <w:rPr>
          <w:spacing w:val="-14"/>
        </w:rPr>
        <w:t> </w:t>
      </w:r>
      <w:r>
        <w:rPr/>
        <w:t>及《上海证券交易</w:t>
      </w:r>
      <w:r>
        <w:rPr>
          <w:w w:val="100"/>
        </w:rPr>
        <w:t> </w:t>
      </w:r>
      <w:r>
        <w:rPr>
          <w:spacing w:val="-1"/>
        </w:rPr>
        <w:t>所股票上市规则》等相关法律法规对控股股东、实际控制人的定义，公司经研究讨论，认为根据</w:t>
      </w:r>
      <w:r>
        <w:rPr>
          <w:spacing w:val="-55"/>
        </w:rPr>
        <w:t> </w:t>
      </w:r>
      <w:r>
        <w:rPr>
          <w:spacing w:val="-55"/>
        </w:rPr>
      </w:r>
      <w:r>
        <w:rPr/>
        <w:t>慧球科技目前股东情况以及治理情况，顾国平先生为公司控股股东、实际控制人。（详见 </w:t>
      </w:r>
      <w:r>
        <w:rPr>
          <w:spacing w:val="7"/>
        </w:rPr>
        <w:t> </w:t>
      </w:r>
      <w:r>
        <w:rPr>
          <w:rFonts w:ascii="Times New Roman" w:hAnsi="Times New Roman" w:cs="Times New Roman" w:eastAsia="Times New Roman" w:hint="default"/>
        </w:rPr>
        <w:t>2016</w:t>
      </w:r>
    </w:p>
    <w:p>
      <w:pPr>
        <w:pStyle w:val="BodyText"/>
        <w:spacing w:line="276" w:lineRule="exact"/>
        <w:ind w:left="218" w:right="96"/>
        <w:jc w:val="left"/>
      </w:pP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日《关于股东权益变动暨公司控股股东、实际控制人变更的提示性公告》）</w:t>
      </w:r>
    </w:p>
    <w:p>
      <w:pPr>
        <w:pStyle w:val="Heading3"/>
        <w:tabs>
          <w:tab w:pos="642" w:val="left" w:leader="none"/>
        </w:tabs>
        <w:spacing w:line="240" w:lineRule="auto" w:before="40"/>
        <w:ind w:right="2465"/>
        <w:jc w:val="left"/>
        <w:rPr>
          <w:b w:val="0"/>
          <w:bCs w:val="0"/>
        </w:rPr>
      </w:pPr>
      <w:r>
        <w:rPr>
          <w:rFonts w:ascii="宋体" w:hAnsi="宋体" w:cs="宋体" w:eastAsia="宋体" w:hint="default"/>
          <w:w w:val="95"/>
        </w:rPr>
        <w:t>2</w:t>
        <w:tab/>
      </w:r>
      <w:r>
        <w:rPr/>
        <w:t>公司不存在实际控制人情况的特别说明</w:t>
      </w:r>
      <w:r>
        <w:rPr>
          <w:b w:val="0"/>
          <w:bCs w:val="0"/>
        </w:rPr>
      </w:r>
    </w:p>
    <w:p>
      <w:pPr>
        <w:pStyle w:val="BodyText"/>
        <w:spacing w:line="281" w:lineRule="exact" w:before="58"/>
        <w:ind w:left="638" w:right="9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日，中国证券登记结算有限责任公司上海分公司根据广西壮族自治区北海市</w:t>
      </w:r>
    </w:p>
    <w:p>
      <w:pPr>
        <w:pStyle w:val="BodyText"/>
        <w:spacing w:line="272" w:lineRule="exact"/>
        <w:ind w:left="218" w:right="96"/>
        <w:jc w:val="left"/>
      </w:pPr>
      <w:r>
        <w:rPr/>
        <w:t>中级人民法院（</w:t>
      </w:r>
      <w:r>
        <w:rPr>
          <w:rFonts w:ascii="Times New Roman" w:hAnsi="Times New Roman" w:cs="Times New Roman" w:eastAsia="Times New Roman" w:hint="default"/>
        </w:rPr>
        <w:t>2010</w:t>
      </w:r>
      <w:r>
        <w:rPr/>
        <w:t>）北执一查字第 </w:t>
      </w:r>
      <w:r>
        <w:rPr>
          <w:rFonts w:ascii="Times New Roman" w:hAnsi="Times New Roman" w:cs="Times New Roman" w:eastAsia="Times New Roman" w:hint="default"/>
        </w:rPr>
        <w:t>28-21</w:t>
      </w:r>
      <w:r>
        <w:rPr>
          <w:rFonts w:ascii="Times New Roman" w:hAnsi="Times New Roman" w:cs="Times New Roman" w:eastAsia="Times New Roman" w:hint="default"/>
          <w:spacing w:val="-13"/>
        </w:rPr>
        <w:t> </w:t>
      </w:r>
      <w:r>
        <w:rPr/>
        <w:t>号《协助扣划通知书》的要求，将公司股东北生集团</w:t>
      </w:r>
    </w:p>
    <w:p>
      <w:pPr>
        <w:pStyle w:val="BodyText"/>
        <w:spacing w:line="232" w:lineRule="auto"/>
        <w:ind w:left="218" w:right="96"/>
        <w:jc w:val="left"/>
      </w:pPr>
      <w:r>
        <w:rPr/>
        <w:t>所持有的公司</w:t>
      </w:r>
      <w:r>
        <w:rPr>
          <w:spacing w:val="-49"/>
        </w:rPr>
        <w:t> </w:t>
      </w:r>
      <w:r>
        <w:rPr>
          <w:rFonts w:ascii="Times New Roman" w:hAnsi="Times New Roman" w:cs="Times New Roman" w:eastAsia="Times New Roman" w:hint="default"/>
        </w:rPr>
        <w:t>28,011,200</w:t>
      </w:r>
      <w:r>
        <w:rPr>
          <w:rFonts w:ascii="Times New Roman" w:hAnsi="Times New Roman" w:cs="Times New Roman" w:eastAsia="Times New Roman" w:hint="default"/>
          <w:spacing w:val="4"/>
        </w:rPr>
        <w:t> </w:t>
      </w:r>
      <w:r>
        <w:rPr/>
        <w:t>股无限售流通股划转至瑞尔德嘉，划转后，北生集团对公司已不具有实</w:t>
      </w:r>
      <w:r>
        <w:rPr>
          <w:w w:val="100"/>
        </w:rPr>
        <w:t> </w:t>
      </w:r>
      <w:r>
        <w:rPr>
          <w:spacing w:val="-4"/>
          <w:w w:val="100"/>
        </w:rPr>
        <w:t>际控制力，同时考虑到公司目前除北生集团外的其他前五大股东持股比例较为接近且均占比较小，</w:t>
      </w:r>
      <w:r>
        <w:rPr>
          <w:spacing w:val="-86"/>
          <w:w w:val="100"/>
        </w:rPr>
        <w:t> </w:t>
      </w:r>
      <w:r>
        <w:rPr>
          <w:spacing w:val="-86"/>
          <w:w w:val="100"/>
        </w:rPr>
      </w:r>
      <w:r>
        <w:rPr/>
        <w:t>均无法依其持有的股份对应之表决权而对公司经营决策产生重大影响，至此，公司自股份扣划之</w:t>
      </w:r>
      <w:r>
        <w:rPr>
          <w:spacing w:val="-97"/>
        </w:rPr>
        <w:t> </w:t>
      </w:r>
      <w:r>
        <w:rPr>
          <w:spacing w:val="-97"/>
        </w:rPr>
      </w:r>
      <w:r>
        <w:rPr/>
        <w:t>日起无实际控制人。</w:t>
      </w:r>
    </w:p>
    <w:p>
      <w:pPr>
        <w:spacing w:after="0" w:line="232" w:lineRule="auto"/>
        <w:jc w:val="left"/>
        <w:sectPr>
          <w:pgSz w:w="11910" w:h="16840"/>
          <w:pgMar w:header="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82" w:lineRule="exact" w:before="36"/>
        <w:ind w:left="558" w:right="96"/>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5"/>
        </w:rPr>
        <w:t>日，公司认为顾国平先生为公司控股股东、实际控制人。（详见</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9</w:t>
      </w:r>
    </w:p>
    <w:p>
      <w:pPr>
        <w:pStyle w:val="BodyText"/>
        <w:spacing w:line="266" w:lineRule="exact"/>
        <w:ind w:right="96"/>
        <w:jc w:val="left"/>
      </w:pPr>
      <w:r>
        <w:rPr/>
        <w:t>日《关于股东权益变动暨公司控股股东、实际控制人变更的提示性公告》）</w:t>
      </w:r>
    </w:p>
    <w:p>
      <w:pPr>
        <w:spacing w:line="240" w:lineRule="auto" w:before="3"/>
        <w:rPr>
          <w:rFonts w:ascii="宋体" w:hAnsi="宋体" w:cs="宋体" w:eastAsia="宋体" w:hint="default"/>
          <w:sz w:val="25"/>
          <w:szCs w:val="25"/>
        </w:rPr>
      </w:pPr>
    </w:p>
    <w:p>
      <w:pPr>
        <w:pStyle w:val="Heading3"/>
        <w:tabs>
          <w:tab w:pos="562" w:val="left" w:leader="none"/>
        </w:tabs>
        <w:spacing w:line="290" w:lineRule="auto"/>
        <w:ind w:left="138" w:right="4924"/>
        <w:jc w:val="left"/>
        <w:rPr>
          <w:rFonts w:ascii="宋体" w:hAnsi="宋体" w:cs="宋体" w:eastAsia="宋体" w:hint="default"/>
          <w:b w:val="0"/>
          <w:bCs w:val="0"/>
        </w:rPr>
      </w:pPr>
      <w:r>
        <w:rPr>
          <w:rFonts w:ascii="宋体" w:hAnsi="宋体" w:cs="宋体" w:eastAsia="宋体" w:hint="default"/>
          <w:w w:val="95"/>
        </w:rPr>
        <w:t>3</w:t>
        <w:tab/>
      </w:r>
      <w:r>
        <w:rPr>
          <w:spacing w:val="-1"/>
        </w:rPr>
        <w:t>报告期内实际控制人变更情况索引及日期</w:t>
      </w:r>
      <w:r>
        <w:rPr>
          <w:spacing w:val="-87"/>
        </w:rPr>
        <w:t> </w:t>
      </w:r>
      <w:r>
        <w:rPr>
          <w:spacing w:val="-87"/>
        </w:rPr>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3"/>
        <w:tabs>
          <w:tab w:pos="562" w:val="left" w:leader="none"/>
        </w:tabs>
        <w:spacing w:line="240" w:lineRule="auto"/>
        <w:ind w:left="138" w:right="2465"/>
        <w:jc w:val="left"/>
        <w:rPr>
          <w:b w:val="0"/>
          <w:bCs w:val="0"/>
        </w:rPr>
      </w:pPr>
      <w:r>
        <w:rPr>
          <w:rFonts w:ascii="宋体" w:hAnsi="宋体" w:cs="宋体" w:eastAsia="宋体" w:hint="default"/>
          <w:w w:val="95"/>
        </w:rPr>
        <w:t>4</w:t>
        <w:tab/>
      </w:r>
      <w:r>
        <w:rPr/>
        <w:t>公司与实际控制人之间的产权及控制关系的方框图</w:t>
      </w:r>
      <w:r>
        <w:rPr>
          <w:b w:val="0"/>
          <w:bCs w:val="0"/>
        </w:rPr>
      </w:r>
    </w:p>
    <w:p>
      <w:pPr>
        <w:spacing w:line="240" w:lineRule="auto" w:before="1"/>
        <w:rPr>
          <w:rFonts w:ascii="宋体" w:hAnsi="宋体" w:cs="宋体" w:eastAsia="宋体" w:hint="default"/>
          <w:b/>
          <w:bCs/>
          <w:sz w:val="7"/>
          <w:szCs w:val="7"/>
        </w:rPr>
      </w:pPr>
    </w:p>
    <w:p>
      <w:pPr>
        <w:spacing w:line="5247" w:lineRule="exact"/>
        <w:ind w:left="137" w:right="0" w:firstLine="0"/>
        <w:rPr>
          <w:rFonts w:ascii="宋体" w:hAnsi="宋体" w:cs="宋体" w:eastAsia="宋体" w:hint="default"/>
          <w:sz w:val="20"/>
          <w:szCs w:val="20"/>
        </w:rPr>
      </w:pPr>
      <w:r>
        <w:rPr>
          <w:rFonts w:ascii="宋体" w:hAnsi="宋体" w:cs="宋体" w:eastAsia="宋体" w:hint="default"/>
          <w:position w:val="-104"/>
          <w:sz w:val="20"/>
          <w:szCs w:val="20"/>
        </w:rPr>
        <w:drawing>
          <wp:inline distT="0" distB="0" distL="0" distR="0">
            <wp:extent cx="5533009" cy="3331845"/>
            <wp:effectExtent l="0" t="0" r="0" b="0"/>
            <wp:docPr id="5" name="image14.png" descr=""/>
            <wp:cNvGraphicFramePr>
              <a:graphicFrameLocks noChangeAspect="1"/>
            </wp:cNvGraphicFramePr>
            <a:graphic>
              <a:graphicData uri="http://schemas.openxmlformats.org/drawingml/2006/picture">
                <pic:pic>
                  <pic:nvPicPr>
                    <pic:cNvPr id="6" name="image14.png"/>
                    <pic:cNvPicPr/>
                  </pic:nvPicPr>
                  <pic:blipFill>
                    <a:blip r:embed="rId37" cstate="print"/>
                    <a:stretch>
                      <a:fillRect/>
                    </a:stretch>
                  </pic:blipFill>
                  <pic:spPr>
                    <a:xfrm>
                      <a:off x="0" y="0"/>
                      <a:ext cx="5533009" cy="3331845"/>
                    </a:xfrm>
                    <a:prstGeom prst="rect">
                      <a:avLst/>
                    </a:prstGeom>
                  </pic:spPr>
                </pic:pic>
              </a:graphicData>
            </a:graphic>
          </wp:inline>
        </w:drawing>
      </w:r>
      <w:r>
        <w:rPr>
          <w:rFonts w:ascii="宋体" w:hAnsi="宋体" w:cs="宋体" w:eastAsia="宋体" w:hint="default"/>
          <w:position w:val="-104"/>
          <w:sz w:val="20"/>
          <w:szCs w:val="20"/>
        </w:rPr>
      </w:r>
    </w:p>
    <w:p>
      <w:pPr>
        <w:spacing w:line="240" w:lineRule="auto" w:before="6"/>
        <w:rPr>
          <w:rFonts w:ascii="宋体" w:hAnsi="宋体" w:cs="宋体" w:eastAsia="宋体" w:hint="default"/>
          <w:b/>
          <w:bCs/>
          <w:sz w:val="19"/>
          <w:szCs w:val="19"/>
        </w:rPr>
      </w:pPr>
    </w:p>
    <w:p>
      <w:pPr>
        <w:pStyle w:val="Heading3"/>
        <w:tabs>
          <w:tab w:pos="562" w:val="left" w:leader="none"/>
        </w:tabs>
        <w:spacing w:line="240" w:lineRule="auto"/>
        <w:ind w:left="138" w:right="2465"/>
        <w:jc w:val="left"/>
        <w:rPr>
          <w:b w:val="0"/>
          <w:bCs w:val="0"/>
        </w:rPr>
      </w:pPr>
      <w:r>
        <w:rPr>
          <w:rFonts w:ascii="宋体" w:hAnsi="宋体" w:cs="宋体" w:eastAsia="宋体" w:hint="default"/>
          <w:w w:val="95"/>
        </w:rPr>
        <w:t>5</w:t>
        <w:tab/>
      </w:r>
      <w:r>
        <w:rPr/>
        <w:t>实际控制人通过信托或其他资产管理方式控制公司</w:t>
      </w:r>
      <w:r>
        <w:rPr>
          <w:b w:val="0"/>
          <w:bCs w:val="0"/>
        </w:rPr>
      </w:r>
    </w:p>
    <w:p>
      <w:pPr>
        <w:pStyle w:val="BodyText"/>
        <w:spacing w:line="281" w:lineRule="exact" w:before="58"/>
        <w:ind w:right="0"/>
        <w:jc w:val="left"/>
      </w:pPr>
      <w:r>
        <w:rPr>
          <w:w w:val="100"/>
        </w:rPr>
        <w:t>截至</w:t>
      </w:r>
      <w:r>
        <w:rPr>
          <w:spacing w:val="-70"/>
        </w:rPr>
        <w:t> </w:t>
      </w:r>
      <w:r>
        <w:rPr>
          <w:rFonts w:ascii="Times New Roman" w:hAnsi="Times New Roman" w:cs="Times New Roman" w:eastAsia="Times New Roman" w:hint="default"/>
          <w:w w:val="100"/>
        </w:rPr>
        <w:t>2016</w:t>
      </w:r>
      <w:r>
        <w:rPr>
          <w:rFonts w:ascii="Times New Roman" w:hAnsi="Times New Roman" w:cs="Times New Roman" w:eastAsia="Times New Roman" w:hint="default"/>
          <w:spacing w:val="-17"/>
        </w:rPr>
        <w:t> </w:t>
      </w:r>
      <w:r>
        <w:rPr>
          <w:w w:val="100"/>
        </w:rPr>
        <w:t>年</w:t>
      </w:r>
      <w:r>
        <w:rPr>
          <w:spacing w:val="-69"/>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7"/>
        </w:rPr>
        <w:t> </w:t>
      </w:r>
      <w:r>
        <w:rPr>
          <w:w w:val="100"/>
        </w:rPr>
        <w:t>月</w:t>
      </w:r>
      <w:r>
        <w:rPr>
          <w:spacing w:val="-69"/>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17"/>
        </w:rPr>
        <w:t> </w:t>
      </w:r>
      <w:r>
        <w:rPr>
          <w:w w:val="100"/>
        </w:rPr>
        <w:t>日</w:t>
      </w:r>
      <w:r>
        <w:rPr>
          <w:spacing w:val="-108"/>
          <w:w w:val="100"/>
        </w:rPr>
        <w:t>，</w:t>
      </w:r>
      <w:r>
        <w:rPr>
          <w:w w:val="100"/>
        </w:rPr>
        <w:t>公</w:t>
      </w:r>
      <w:r>
        <w:rPr>
          <w:spacing w:val="-3"/>
          <w:w w:val="100"/>
        </w:rPr>
        <w:t>司</w:t>
      </w:r>
      <w:r>
        <w:rPr>
          <w:w w:val="100"/>
        </w:rPr>
        <w:t>实际</w:t>
      </w:r>
      <w:r>
        <w:rPr>
          <w:spacing w:val="-3"/>
          <w:w w:val="100"/>
        </w:rPr>
        <w:t>控</w:t>
      </w:r>
      <w:r>
        <w:rPr>
          <w:w w:val="100"/>
        </w:rPr>
        <w:t>制</w:t>
      </w:r>
      <w:r>
        <w:rPr>
          <w:spacing w:val="-3"/>
          <w:w w:val="100"/>
        </w:rPr>
        <w:t>人</w:t>
      </w:r>
      <w:r>
        <w:rPr>
          <w:w w:val="100"/>
        </w:rPr>
        <w:t>顾</w:t>
      </w:r>
      <w:r>
        <w:rPr>
          <w:spacing w:val="-3"/>
          <w:w w:val="100"/>
        </w:rPr>
        <w:t>国</w:t>
      </w:r>
      <w:r>
        <w:rPr>
          <w:w w:val="100"/>
        </w:rPr>
        <w:t>平</w:t>
      </w:r>
      <w:r>
        <w:rPr>
          <w:spacing w:val="-3"/>
          <w:w w:val="100"/>
        </w:rPr>
        <w:t>先</w:t>
      </w:r>
      <w:r>
        <w:rPr>
          <w:w w:val="100"/>
        </w:rPr>
        <w:t>生</w:t>
      </w:r>
      <w:r>
        <w:rPr>
          <w:spacing w:val="-3"/>
          <w:w w:val="100"/>
        </w:rPr>
        <w:t>及</w:t>
      </w:r>
      <w:r>
        <w:rPr>
          <w:w w:val="100"/>
        </w:rPr>
        <w:t>其一</w:t>
      </w:r>
      <w:r>
        <w:rPr>
          <w:spacing w:val="-3"/>
          <w:w w:val="100"/>
        </w:rPr>
        <w:t>致</w:t>
      </w:r>
      <w:r>
        <w:rPr>
          <w:w w:val="100"/>
        </w:rPr>
        <w:t>行</w:t>
      </w:r>
      <w:r>
        <w:rPr>
          <w:spacing w:val="-3"/>
          <w:w w:val="100"/>
        </w:rPr>
        <w:t>动</w:t>
      </w:r>
      <w:r>
        <w:rPr>
          <w:w w:val="100"/>
        </w:rPr>
        <w:t>人</w:t>
      </w:r>
      <w:r>
        <w:rPr>
          <w:spacing w:val="-3"/>
          <w:w w:val="100"/>
        </w:rPr>
        <w:t>和</w:t>
      </w:r>
      <w:r>
        <w:rPr>
          <w:w w:val="100"/>
        </w:rPr>
        <w:t>熙</w:t>
      </w:r>
      <w:r>
        <w:rPr/>
        <w:t> </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3"/>
          <w:w w:val="100"/>
        </w:rPr>
        <w:t>号基</w:t>
      </w:r>
      <w:r>
        <w:rPr>
          <w:w w:val="100"/>
        </w:rPr>
        <w:t>金</w:t>
      </w:r>
      <w:r>
        <w:rPr>
          <w:spacing w:val="-106"/>
          <w:w w:val="100"/>
        </w:rPr>
        <w:t>、</w:t>
      </w:r>
      <w:r>
        <w:rPr>
          <w:spacing w:val="-3"/>
          <w:w w:val="100"/>
        </w:rPr>
        <w:t>华</w:t>
      </w:r>
      <w:r>
        <w:rPr>
          <w:w w:val="100"/>
        </w:rPr>
        <w:t>安</w:t>
      </w:r>
      <w:r>
        <w:rPr>
          <w:spacing w:val="-3"/>
          <w:w w:val="100"/>
        </w:rPr>
        <w:t>汇</w:t>
      </w:r>
      <w:r>
        <w:rPr>
          <w:w w:val="100"/>
        </w:rPr>
        <w:t>增</w:t>
      </w:r>
      <w:r>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3"/>
          <w:w w:val="100"/>
        </w:rPr>
        <w:t>号、</w:t>
      </w:r>
      <w:r>
        <w:rPr>
          <w:w w:val="100"/>
        </w:rPr>
      </w:r>
    </w:p>
    <w:p>
      <w:pPr>
        <w:pStyle w:val="BodyText"/>
        <w:spacing w:line="274" w:lineRule="exact" w:before="16"/>
        <w:ind w:right="307"/>
        <w:jc w:val="left"/>
      </w:pPr>
      <w:r>
        <w:rPr/>
        <w:t>华安汇增 </w:t>
      </w:r>
      <w:r>
        <w:rPr>
          <w:rFonts w:ascii="Times New Roman" w:hAnsi="Times New Roman" w:cs="Times New Roman" w:eastAsia="Times New Roman" w:hint="default"/>
        </w:rPr>
        <w:t>2 </w:t>
      </w:r>
      <w:r>
        <w:rPr/>
        <w:t>号、华安汇增 </w:t>
      </w:r>
      <w:r>
        <w:rPr>
          <w:rFonts w:ascii="Times New Roman" w:hAnsi="Times New Roman" w:cs="Times New Roman" w:eastAsia="Times New Roman" w:hint="default"/>
        </w:rPr>
        <w:t>3 </w:t>
      </w:r>
      <w:r>
        <w:rPr/>
        <w:t>号及德邦慧金 </w:t>
      </w:r>
      <w:r>
        <w:rPr>
          <w:rFonts w:ascii="Times New Roman" w:hAnsi="Times New Roman" w:cs="Times New Roman" w:eastAsia="Times New Roman" w:hint="default"/>
        </w:rPr>
        <w:t>1 </w:t>
      </w:r>
      <w:r>
        <w:rPr/>
        <w:t>号合计持有公司股份 </w:t>
      </w:r>
      <w:r>
        <w:rPr>
          <w:rFonts w:ascii="Times New Roman" w:hAnsi="Times New Roman" w:cs="Times New Roman" w:eastAsia="Times New Roman" w:hint="default"/>
        </w:rPr>
        <w:t>34,716,875</w:t>
      </w:r>
      <w:r>
        <w:rPr>
          <w:rFonts w:ascii="Times New Roman" w:hAnsi="Times New Roman" w:cs="Times New Roman" w:eastAsia="Times New Roman" w:hint="default"/>
          <w:spacing w:val="3"/>
        </w:rPr>
        <w:t> </w:t>
      </w:r>
      <w:r>
        <w:rPr/>
        <w:t>股，占公司总股</w:t>
      </w:r>
      <w:r>
        <w:rPr>
          <w:w w:val="100"/>
        </w:rPr>
        <w:t> </w:t>
      </w:r>
      <w:r>
        <w:rPr/>
        <w:t>本的</w:t>
      </w:r>
      <w:r>
        <w:rPr>
          <w:spacing w:val="-1"/>
        </w:rPr>
        <w:t> </w:t>
      </w:r>
      <w:r>
        <w:rPr>
          <w:rFonts w:ascii="Times New Roman" w:hAnsi="Times New Roman" w:cs="Times New Roman" w:eastAsia="Times New Roman" w:hint="default"/>
        </w:rPr>
        <w:t>8.79%</w:t>
      </w:r>
      <w:r>
        <w:rPr/>
        <w:t>。</w:t>
      </w:r>
    </w:p>
    <w:p>
      <w:pPr>
        <w:spacing w:line="240" w:lineRule="auto" w:before="4"/>
        <w:rPr>
          <w:rFonts w:ascii="宋体" w:hAnsi="宋体" w:cs="宋体" w:eastAsia="宋体" w:hint="default"/>
          <w:sz w:val="23"/>
          <w:szCs w:val="23"/>
        </w:rPr>
      </w:pPr>
    </w:p>
    <w:p>
      <w:pPr>
        <w:pStyle w:val="Heading3"/>
        <w:spacing w:line="264" w:lineRule="auto"/>
        <w:ind w:left="138" w:right="5337"/>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w w:val="100"/>
        </w:rPr>
        <w:t> </w:t>
      </w:r>
      <w:r>
        <w:rPr>
          <w:rFonts w:ascii="宋体" w:hAnsi="宋体" w:cs="宋体" w:eastAsia="宋体" w:hint="default"/>
          <w:b w:val="0"/>
          <w:bCs w:val="0"/>
        </w:rPr>
        <w:t>无</w:t>
      </w:r>
    </w:p>
    <w:p>
      <w:pPr>
        <w:spacing w:line="240" w:lineRule="auto" w:before="9"/>
        <w:rPr>
          <w:rFonts w:ascii="宋体" w:hAnsi="宋体" w:cs="宋体" w:eastAsia="宋体" w:hint="default"/>
          <w:sz w:val="23"/>
          <w:szCs w:val="23"/>
        </w:rPr>
      </w:pPr>
    </w:p>
    <w:p>
      <w:pPr>
        <w:spacing w:line="290" w:lineRule="auto" w:before="0"/>
        <w:ind w:left="138" w:right="2465"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78"/>
          <w:sz w:val="21"/>
          <w:szCs w:val="21"/>
        </w:rPr>
        <w:t> </w:t>
      </w:r>
      <w:r>
        <w:rPr>
          <w:rFonts w:ascii="宋体" w:hAnsi="宋体" w:cs="宋体" w:eastAsia="宋体" w:hint="default"/>
          <w:b/>
          <w:bCs/>
          <w:sz w:val="21"/>
          <w:szCs w:val="21"/>
        </w:rPr>
        <w:t>其他持股在百分之十以上的法人股东</w:t>
      </w:r>
      <w:r>
        <w:rPr>
          <w:rFonts w:ascii="宋体" w:hAnsi="宋体" w:cs="宋体" w:eastAsia="宋体" w:hint="default"/>
          <w:b/>
          <w:bCs/>
          <w:w w:val="100"/>
          <w:sz w:val="21"/>
          <w:szCs w:val="21"/>
        </w:rPr>
        <w:t> </w:t>
      </w:r>
      <w:r>
        <w:rPr>
          <w:rFonts w:ascii="宋体" w:hAnsi="宋体" w:cs="宋体" w:eastAsia="宋体" w:hint="default"/>
          <w:spacing w:val="-2"/>
          <w:sz w:val="21"/>
          <w:szCs w:val="21"/>
        </w:rPr>
        <w:t>截至报告期末，公司无持股在百分之十以上的法人股东。</w:t>
      </w:r>
    </w:p>
    <w:p>
      <w:pPr>
        <w:spacing w:line="240" w:lineRule="auto" w:before="11"/>
        <w:rPr>
          <w:rFonts w:ascii="宋体" w:hAnsi="宋体" w:cs="宋体" w:eastAsia="宋体" w:hint="default"/>
          <w:sz w:val="21"/>
          <w:szCs w:val="21"/>
        </w:rPr>
      </w:pPr>
    </w:p>
    <w:p>
      <w:pPr>
        <w:pStyle w:val="Heading3"/>
        <w:spacing w:line="240" w:lineRule="auto"/>
        <w:ind w:left="138" w:right="2465"/>
        <w:jc w:val="left"/>
        <w:rPr>
          <w:b w:val="0"/>
          <w:bCs w:val="0"/>
        </w:rPr>
      </w:pPr>
      <w:r>
        <w:rPr/>
        <w:t>六、</w:t>
      </w:r>
      <w:r>
        <w:rPr>
          <w:spacing w:val="-77"/>
        </w:rPr>
        <w:t> </w:t>
      </w:r>
      <w:r>
        <w:rPr/>
        <w:t>股份限制减持情况说明</w:t>
      </w:r>
      <w:r>
        <w:rPr>
          <w:b w:val="0"/>
          <w:bCs w:val="0"/>
        </w:rPr>
      </w:r>
    </w:p>
    <w:p>
      <w:pPr>
        <w:pStyle w:val="BodyText"/>
        <w:spacing w:line="240" w:lineRule="auto" w:before="56"/>
        <w:ind w:right="2465"/>
        <w:jc w:val="left"/>
      </w:pPr>
      <w:r>
        <w:rPr/>
        <w:t>□适用√不适用</w:t>
      </w:r>
    </w:p>
    <w:p>
      <w:pPr>
        <w:spacing w:line="240" w:lineRule="auto" w:before="1"/>
        <w:rPr>
          <w:rFonts w:ascii="宋体" w:hAnsi="宋体" w:cs="宋体" w:eastAsia="宋体" w:hint="default"/>
          <w:sz w:val="24"/>
          <w:szCs w:val="24"/>
        </w:rPr>
      </w:pPr>
    </w:p>
    <w:p>
      <w:pPr>
        <w:pStyle w:val="Heading1"/>
        <w:tabs>
          <w:tab w:pos="4199" w:val="left" w:leader="none"/>
        </w:tabs>
        <w:spacing w:line="240" w:lineRule="auto"/>
        <w:ind w:left="2939" w:right="2465"/>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2465"/>
        <w:jc w:val="left"/>
      </w:pPr>
      <w:r>
        <w:rPr/>
        <w:t>□适用</w:t>
      </w:r>
      <w:r>
        <w:rPr>
          <w:spacing w:val="-1"/>
        </w:rPr>
        <w:t> </w:t>
      </w:r>
      <w:r>
        <w:rPr/>
        <w:t>√不适用</w:t>
      </w:r>
    </w:p>
    <w:p>
      <w:pPr>
        <w:spacing w:after="0" w:line="240" w:lineRule="auto"/>
        <w:jc w:val="left"/>
        <w:sectPr>
          <w:pgSz w:w="11910" w:h="16840"/>
          <w:pgMar w:header="0" w:footer="1195" w:top="1120" w:bottom="1380" w:left="1660" w:right="96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8"/>
          <w:footerReference w:type="default" r:id="rId39"/>
          <w:pgSz w:w="16840" w:h="11910" w:orient="landscape"/>
          <w:pgMar w:header="880" w:footer="1195" w:top="1120" w:bottom="1380" w:left="1300" w:right="1200"/>
          <w:pgNumType w:start="45"/>
        </w:sectPr>
      </w:pPr>
    </w:p>
    <w:p>
      <w:pPr>
        <w:pStyle w:val="Heading3"/>
        <w:spacing w:line="240" w:lineRule="auto" w:before="36"/>
        <w:ind w:left="224" w:right="-15"/>
        <w:jc w:val="left"/>
        <w:rPr>
          <w:b w:val="0"/>
          <w:bCs w:val="0"/>
        </w:rPr>
      </w:pPr>
      <w:r>
        <w:rPr/>
        <w:t>一、持股变动情况及报酬情况</w:t>
      </w:r>
      <w:r>
        <w:rPr>
          <w:b w:val="0"/>
          <w:bCs w:val="0"/>
        </w:rPr>
      </w:r>
    </w:p>
    <w:p>
      <w:pPr>
        <w:pStyle w:val="Heading3"/>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63"/>
        <w:gridCol w:w="1085"/>
        <w:gridCol w:w="790"/>
        <w:gridCol w:w="793"/>
        <w:gridCol w:w="1130"/>
        <w:gridCol w:w="1130"/>
        <w:gridCol w:w="1040"/>
        <w:gridCol w:w="2105"/>
        <w:gridCol w:w="1333"/>
        <w:gridCol w:w="1061"/>
        <w:gridCol w:w="1296"/>
        <w:gridCol w:w="1373"/>
      </w:tblGrid>
      <w:tr>
        <w:trPr>
          <w:trHeight w:val="1100"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0" w:right="137" w:hanging="212"/>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0" w:right="137"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4" w:right="195"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年末持股数</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6" w:right="130"/>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6" w:right="101"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20" w:right="110"/>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70" w:right="151"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董事长、</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34,716,875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34,716,875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张凌兴</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72.92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王忠华</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40.46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5"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郑敏</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花炳灿</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李占国</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刘士林</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顾建华</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监事会主</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39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36.27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5"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顾云峰</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17.7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陈琳</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28.24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苏忠</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董事会秘</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pacing w:val="-3"/>
                <w:sz w:val="21"/>
                <w:szCs w:val="21"/>
              </w:rPr>
              <w:t>11</w:t>
            </w:r>
            <w:r>
              <w:rPr>
                <w:rFonts w:ascii="Times New Roman" w:hAnsi="Times New Roman" w:cs="Times New Roman" w:eastAsia="Times New Roman" w:hint="default"/>
                <w:sz w:val="21"/>
                <w:szCs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63"/>
        <w:gridCol w:w="1085"/>
        <w:gridCol w:w="790"/>
        <w:gridCol w:w="793"/>
        <w:gridCol w:w="1130"/>
        <w:gridCol w:w="1130"/>
        <w:gridCol w:w="1040"/>
        <w:gridCol w:w="2105"/>
        <w:gridCol w:w="1333"/>
        <w:gridCol w:w="1061"/>
        <w:gridCol w:w="1296"/>
        <w:gridCol w:w="1373"/>
      </w:tblGrid>
      <w:tr>
        <w:trPr>
          <w:trHeight w:val="554" w:hRule="exact"/>
        </w:trPr>
        <w:tc>
          <w:tcPr>
            <w:tcW w:w="96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书、副总</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79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0"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
              <w:jc w:val="right"/>
              <w:rPr>
                <w:rFonts w:ascii="宋体" w:hAnsi="宋体" w:cs="宋体" w:eastAsia="宋体" w:hint="default"/>
                <w:sz w:val="21"/>
                <w:szCs w:val="21"/>
              </w:rPr>
            </w:pPr>
            <w:r>
              <w:rPr>
                <w:rFonts w:ascii="宋体" w:hAnsi="宋体" w:cs="宋体" w:eastAsia="宋体" w:hint="default"/>
                <w:sz w:val="21"/>
                <w:szCs w:val="21"/>
              </w:rPr>
              <w:t>潘大明</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监事会主</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29.84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1"/>
              <w:jc w:val="right"/>
              <w:rPr>
                <w:rFonts w:ascii="宋体" w:hAnsi="宋体" w:cs="宋体" w:eastAsia="宋体" w:hint="default"/>
                <w:sz w:val="21"/>
                <w:szCs w:val="21"/>
              </w:rPr>
            </w:pPr>
            <w:r>
              <w:rPr>
                <w:rFonts w:ascii="宋体" w:hAnsi="宋体" w:cs="宋体" w:eastAsia="宋体" w:hint="default"/>
                <w:sz w:val="21"/>
                <w:szCs w:val="21"/>
              </w:rPr>
              <w:t>合计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040"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34,716,875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34,716,875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305.43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年起至今担任上海斐讯数据通信技术有限公司董事长；</w:t>
            </w:r>
            <w:r>
              <w:rPr>
                <w:rFonts w:ascii="Times New Roman" w:hAnsi="Times New Roman" w:cs="Times New Roman" w:eastAsia="Times New Roman" w:hint="default"/>
                <w:spacing w:val="-3"/>
                <w:sz w:val="21"/>
                <w:szCs w:val="21"/>
              </w:rPr>
              <w:t>2008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年至</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月期间担任上海斐讯数据通信技术有限公司总裁；目</w:t>
            </w:r>
          </w:p>
          <w:p>
            <w:pPr>
              <w:pStyle w:val="TableParagraph"/>
              <w:spacing w:line="272" w:lineRule="exact" w:before="19"/>
              <w:ind w:left="103" w:right="104"/>
              <w:jc w:val="left"/>
              <w:rPr>
                <w:rFonts w:ascii="宋体" w:hAnsi="宋体" w:cs="宋体" w:eastAsia="宋体" w:hint="default"/>
                <w:sz w:val="21"/>
                <w:szCs w:val="21"/>
              </w:rPr>
            </w:pPr>
            <w:r>
              <w:rPr>
                <w:rFonts w:ascii="宋体" w:hAnsi="宋体" w:cs="宋体" w:eastAsia="宋体" w:hint="default"/>
                <w:sz w:val="21"/>
                <w:szCs w:val="21"/>
              </w:rPr>
              <w:t>前兼任上海斐讯投资有限公司执行董事、上海沪斐深万投资管理有限公司执行董事、上海斐持志同投资有限公司执行董事、上海众翔科</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技发展有限公司执行董事、上海画楼西畔投资合伙企业（有限合伙）执行事务合伙人；</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月起担任慧球科技董事长、总经理。</w:t>
            </w:r>
          </w:p>
        </w:tc>
      </w:tr>
      <w:tr>
        <w:trPr>
          <w:trHeight w:val="252"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张凌兴</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月期间在思科（网讯）网络技术有限公司任资深信息技术经理；</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月在上海斐讯数据通</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信技术有限公司历任副总裁、高级副总裁，目前担任上海斐讯数据通信技术有限公司首席运营官；</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月起担任慧球科技董事。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王忠华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月担任上海斐讯数据通信技术有限公司董事、副总裁，并于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月起担任上海斐讯数据通信技术有限公司副</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月起担任慧球科技董事。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郑敏</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年期间历任</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UT</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斯达康通讯有限公司工程师、总监、副总裁、高级副总裁等职务；</w:t>
            </w:r>
            <w:r>
              <w:rPr>
                <w:rFonts w:ascii="Times New Roman" w:hAnsi="Times New Roman" w:cs="Times New Roman" w:eastAsia="Times New Roman" w:hint="default"/>
                <w:spacing w:val="-4"/>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年加入上海斐讯数据通信技术有限</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公司，现任上海斐讯数据通信技术有限公司董事、首席执行官；</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月起担任慧球科技董事。</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花炳灿</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年担任华东建筑设计研究院有限公司现代都市建筑设计院总工程师；</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月起担任慧球科技独立董事。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李占国</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年担任上海电机学院教授：</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月起担任慧球科技独立董事。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刘士林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年担任上海交通大学教授；</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月起担任慧球科技独立董事。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顾建华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月期间担任上海斐讯数据通信技术有限公司董事、副总裁，</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月起担任上海斐讯数据通信技术有限公司监</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事会主席；</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月起担任慧球科技监事会主席。</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顾云峰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月期间历任上海斐讯数据通信技术有限公司采购中心总经理、总裁特助、工会主席，</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月起担任上海</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斐讯数据通信技术有限公司监事会监事；</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月起担任慧球科技监事。</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月历任福建浔兴拉链科技股份有限公司董事长秘书、企划部经理、证券部经理；</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任宁波</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CQY</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视讯股份有限公司证券事务代表；</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 </w:t>
            </w:r>
            <w:r>
              <w:rPr>
                <w:rFonts w:ascii="宋体" w:hAnsi="宋体" w:cs="宋体" w:eastAsia="宋体" w:hint="default"/>
                <w:spacing w:val="-3"/>
                <w:sz w:val="21"/>
                <w:szCs w:val="21"/>
              </w:rPr>
              <w:t>月，任麦王环境技术股份有限公司证券事务代表；</w:t>
            </w:r>
            <w:r>
              <w:rPr>
                <w:rFonts w:ascii="Times New Roman" w:hAnsi="Times New Roman" w:cs="Times New Roman" w:eastAsia="Times New Roman" w:hint="default"/>
                <w:spacing w:val="-3"/>
                <w:sz w:val="21"/>
                <w:szCs w:val="21"/>
              </w:rPr>
              <w:t>2014</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月任上海斐讯数据通信技术有限公司证券事务代表；</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月起担任慧球科技监事、证券事务代表。</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月浙江乔治白服饰有限公司担任副总经理、董事长秘书；</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月担任上海斐讯数据通信技术有限公司董</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事长秘书；</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月起担任慧球科技副总经理、董事会秘书。</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潘大明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1990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月至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月历任上海电机学院工作校办主任、后勤保障处处长、高等职业技术学院（李斌技师学院）党总支书记等职</w:t>
            </w:r>
          </w:p>
        </w:tc>
      </w:tr>
    </w:tbl>
    <w:p>
      <w:pPr>
        <w:spacing w:after="0" w:line="257"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11"/>
        <w:rPr>
          <w:rFonts w:ascii="Times New Roman" w:hAnsi="Times New Roman" w:cs="Times New Roman" w:eastAsia="Times New Roman" w:hint="default"/>
          <w:sz w:val="12"/>
          <w:szCs w:val="12"/>
        </w:rPr>
      </w:pPr>
    </w:p>
    <w:p>
      <w:pPr>
        <w:spacing w:line="573" w:lineRule="exact"/>
        <w:ind w:left="1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705pt;height:28.7pt;mso-position-horizontal-relative:char;mso-position-vertical-relative:line" coordorigin="0,0" coordsize="14100,574">
            <v:group style="position:absolute;left:10;top:10;width:1376;height:2" coordorigin="10,10" coordsize="1376,2">
              <v:shape style="position:absolute;left:10;top:10;width:1376;height:2" coordorigin="10,10" coordsize="1376,0" path="m10,10l1385,10e" filled="false" stroked="true" strokeweight=".48pt" strokecolor="#000000">
                <v:path arrowok="t"/>
              </v:shape>
            </v:group>
            <v:group style="position:absolute;left:1395;top:10;width:12696;height:2" coordorigin="1395,10" coordsize="12696,2">
              <v:shape style="position:absolute;left:1395;top:10;width:12696;height:2" coordorigin="1395,10" coordsize="12696,0" path="m1395,10l14090,10e" filled="false" stroked="true" strokeweight=".48pt" strokecolor="#000000">
                <v:path arrowok="t"/>
              </v:shape>
            </v:group>
            <v:group style="position:absolute;left:5;top:5;width:2;height:564" coordorigin="5,5" coordsize="2,564">
              <v:shape style="position:absolute;left:5;top:5;width:2;height:564" coordorigin="5,5" coordsize="0,564" path="m5,5l5,569e" filled="false" stroked="true" strokeweight=".48pt" strokecolor="#000000">
                <v:path arrowok="t"/>
              </v:shape>
            </v:group>
            <v:group style="position:absolute;left:10;top:564;width:1376;height:2" coordorigin="10,564" coordsize="1376,2">
              <v:shape style="position:absolute;left:10;top:564;width:1376;height:2" coordorigin="10,564" coordsize="1376,0" path="m10,564l1385,564e" filled="false" stroked="true" strokeweight=".48pt" strokecolor="#000000">
                <v:path arrowok="t"/>
              </v:shape>
            </v:group>
            <v:group style="position:absolute;left:1390;top:5;width:2;height:564" coordorigin="1390,5" coordsize="2,564">
              <v:shape style="position:absolute;left:1390;top:5;width:2;height:564" coordorigin="1390,5" coordsize="0,564" path="m1390,5l1390,569e" filled="false" stroked="true" strokeweight=".48pt" strokecolor="#000000">
                <v:path arrowok="t"/>
              </v:shape>
            </v:group>
            <v:group style="position:absolute;left:1395;top:564;width:12696;height:2" coordorigin="1395,564" coordsize="12696,2">
              <v:shape style="position:absolute;left:1395;top:564;width:12696;height:2" coordorigin="1395,564" coordsize="12696,0" path="m1395,564l14090,564e" filled="false" stroked="true" strokeweight=".48pt" strokecolor="#000000">
                <v:path arrowok="t"/>
              </v:shape>
            </v:group>
            <v:group style="position:absolute;left:14095;top:5;width:2;height:564" coordorigin="14095,5" coordsize="2,564">
              <v:shape style="position:absolute;left:14095;top:5;width:2;height:564" coordorigin="14095,5" coordsize="0,564" path="m14095,5l14095,569e" filled="false" stroked="true" strokeweight=".47998pt" strokecolor="#000000">
                <v:path arrowok="t"/>
              </v:shape>
              <v:shape style="position:absolute;left:1390;top:10;width:12706;height:555" type="#_x0000_t202" filled="false" stroked="false">
                <v:textbox inset="0,0,0,0">
                  <w:txbxContent>
                    <w:p>
                      <w:pPr>
                        <w:spacing w:line="223" w:lineRule="auto" w:before="0"/>
                        <w:ind w:left="108" w:right="103" w:firstLine="0"/>
                        <w:jc w:val="left"/>
                        <w:rPr>
                          <w:rFonts w:ascii="宋体" w:hAnsi="宋体" w:cs="宋体" w:eastAsia="宋体" w:hint="default"/>
                          <w:sz w:val="21"/>
                          <w:szCs w:val="21"/>
                        </w:rPr>
                      </w:pPr>
                      <w:r>
                        <w:rPr>
                          <w:rFonts w:ascii="宋体" w:hAnsi="宋体" w:cs="宋体" w:eastAsia="宋体" w:hint="default"/>
                          <w:spacing w:val="-4"/>
                          <w:sz w:val="21"/>
                          <w:szCs w:val="21"/>
                        </w:rPr>
                        <w:t>务；</w:t>
                      </w:r>
                      <w:r>
                        <w:rPr>
                          <w:rFonts w:ascii="Times New Roman" w:hAnsi="Times New Roman" w:cs="Times New Roman" w:eastAsia="Times New Roman" w:hint="default"/>
                          <w:spacing w:val="-4"/>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pacing w:val="-3"/>
                          <w:sz w:val="21"/>
                          <w:szCs w:val="21"/>
                        </w:rPr>
                        <w:t>月至今担任上海斐讯数据通信技术有限公司副总裁、斐讯学院常务副院长等职务；</w:t>
                      </w:r>
                      <w:r>
                        <w:rPr>
                          <w:rFonts w:ascii="Times New Roman" w:hAnsi="Times New Roman" w:cs="Times New Roman" w:eastAsia="Times New Roman" w:hint="default"/>
                          <w:spacing w:val="-3"/>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月至今担任慧球科技监事会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主席。</w:t>
                      </w:r>
                    </w:p>
                  </w:txbxContent>
                </v:textbox>
                <w10:wrap type="none"/>
              </v:shape>
            </v:group>
          </v:group>
        </w:pict>
      </w:r>
      <w:r>
        <w:rPr>
          <w:rFonts w:ascii="Times New Roman" w:hAnsi="Times New Roman" w:cs="Times New Roman" w:eastAsia="Times New Roman" w:hint="default"/>
          <w:position w:val="-10"/>
          <w:sz w:val="20"/>
          <w:szCs w:val="20"/>
        </w:rPr>
      </w:r>
    </w:p>
    <w:p>
      <w:pPr>
        <w:spacing w:line="240" w:lineRule="auto" w:before="1"/>
        <w:rPr>
          <w:rFonts w:ascii="Times New Roman" w:hAnsi="Times New Roman" w:cs="Times New Roman" w:eastAsia="Times New Roman" w:hint="default"/>
          <w:sz w:val="17"/>
          <w:szCs w:val="17"/>
        </w:rPr>
      </w:pPr>
    </w:p>
    <w:p>
      <w:pPr>
        <w:pStyle w:val="BodyText"/>
        <w:spacing w:line="274" w:lineRule="exact" w:before="36"/>
        <w:ind w:left="224" w:right="0"/>
        <w:jc w:val="left"/>
      </w:pPr>
      <w:r>
        <w:rPr/>
        <w:t>其它情况说明</w:t>
      </w:r>
    </w:p>
    <w:p>
      <w:pPr>
        <w:pStyle w:val="BodyText"/>
        <w:spacing w:line="280" w:lineRule="exact"/>
        <w:ind w:left="224" w:right="0"/>
        <w:jc w:val="left"/>
        <w:rPr>
          <w:rFonts w:ascii="Times New Roman" w:hAnsi="Times New Roman" w:cs="Times New Roman" w:eastAsia="Times New Roman" w:hint="default"/>
        </w:rPr>
      </w:pPr>
      <w:r>
        <w:rPr/>
        <w:t>顾云峰先生于</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spacing w:val="-6"/>
        </w:rPr>
        <w:t>日辞去慧球科技监事会主席一职；陈琳女士于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spacing w:val="-5"/>
        </w:rPr>
        <w:t>日辞去慧球科技证券事务代表及监事职务；郑敏先生于</w:t>
      </w:r>
      <w:r>
        <w:rPr>
          <w:spacing w:val="-46"/>
        </w:rPr>
        <w:t> </w:t>
      </w:r>
      <w:r>
        <w:rPr>
          <w:rFonts w:ascii="Times New Roman" w:hAnsi="Times New Roman" w:cs="Times New Roman" w:eastAsia="Times New Roman" w:hint="default"/>
        </w:rPr>
        <w:t>2016</w:t>
      </w:r>
    </w:p>
    <w:p>
      <w:pPr>
        <w:pStyle w:val="BodyText"/>
        <w:spacing w:line="281" w:lineRule="exact"/>
        <w:ind w:left="224" w:right="0"/>
        <w:jc w:val="left"/>
      </w:pP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日辞去慧球科技董事及审计委员会职务；苏忠先生于</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日辞去慧球科技慧球科技副总经理及董事会秘书职务。</w:t>
      </w:r>
    </w:p>
    <w:p>
      <w:pPr>
        <w:spacing w:line="240" w:lineRule="auto" w:before="0"/>
        <w:rPr>
          <w:rFonts w:ascii="宋体" w:hAnsi="宋体" w:cs="宋体" w:eastAsia="宋体" w:hint="default"/>
          <w:sz w:val="24"/>
          <w:szCs w:val="24"/>
        </w:rPr>
      </w:pPr>
    </w:p>
    <w:p>
      <w:pPr>
        <w:pStyle w:val="Heading3"/>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Heading3"/>
        <w:spacing w:line="290" w:lineRule="auto" w:before="32"/>
        <w:ind w:left="224" w:right="7897"/>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224" w:right="0"/>
        <w:jc w:val="left"/>
      </w:pPr>
      <w:r>
        <w:rPr/>
        <w:t>□适用 √不适用</w:t>
      </w:r>
    </w:p>
    <w:p>
      <w:pPr>
        <w:pStyle w:val="Heading3"/>
        <w:spacing w:line="240" w:lineRule="auto" w:before="58"/>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上海斐讯数据通信技术有限公司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上海斐讯投资有限公司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上海沪斐深万投资管理有限公司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上海斐持志同投资有限公司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上海众翔科技发展有限公司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上海画楼西畔投资合伙企业（有限合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上海古寻投资合伙企业（有限合伙）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上海绿影长亭投资合伙企业</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有限合</w:t>
            </w:r>
            <w:r>
              <w:rPr>
                <w:rFonts w:ascii="宋体" w:hAnsi="宋体" w:cs="宋体" w:eastAsia="宋体" w:hint="default"/>
                <w:sz w:val="21"/>
                <w:szCs w:val="21"/>
              </w:rPr>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伙</w:t>
            </w:r>
            <w:r>
              <w:rPr>
                <w:rFonts w:ascii="Times New Roman" w:hAnsi="Times New Roman" w:cs="Times New Roman" w:eastAsia="Times New Roman" w:hint="default"/>
                <w:sz w:val="21"/>
                <w:szCs w:val="21"/>
              </w:rPr>
              <w:t>)</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上海共佳投资合伙企业（有限合伙）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张凌兴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上海斐讯数据通信技术有限公司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首席运营官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王忠华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上海斐讯数据通信技术有限公司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王忠华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上海众翔信息系统有限公司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郑敏</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上海斐讯数据通信技术有限公司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董事、首席执行官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bl>
    <w:p>
      <w:pPr>
        <w:spacing w:after="0" w:line="257"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花炳灿</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华东建筑设计研究院有限公司现代都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市建筑设计院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李占国</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上海电机学院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刘士林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上海交通大学</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顾建华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上海斐讯数据通信技术有限公司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顾建华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上海斐讯投资有限公司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顾建华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上海沪斐深万投资管理有限公司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顾建华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上海斐持志同投资有限公司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顾建华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上海众翔科技发展有限公司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顾云峰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上海斐讯数据通信技术有限公司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3"/>
        <w:spacing w:line="240" w:lineRule="auto" w:before="36"/>
        <w:ind w:left="224" w:right="0"/>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公司董事、监事的报酬由公司股东大会决定，高级管理人员报酬由公司董事会决定</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根据公司实际情况及绩效考核办法执行</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305.43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211.36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2"/>
        <w:rPr>
          <w:rFonts w:ascii="宋体" w:hAnsi="宋体" w:cs="宋体" w:eastAsia="宋体" w:hint="default"/>
          <w:b/>
          <w:bCs/>
          <w:sz w:val="20"/>
          <w:szCs w:val="20"/>
        </w:rPr>
      </w:pPr>
    </w:p>
    <w:p>
      <w:pPr>
        <w:pStyle w:val="Heading3"/>
        <w:spacing w:line="240" w:lineRule="auto" w:before="36"/>
        <w:ind w:left="224" w:right="0"/>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顾建华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辞职</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潘大明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r>
    </w:tbl>
    <w:p>
      <w:pPr>
        <w:spacing w:line="240" w:lineRule="auto" w:before="2"/>
        <w:rPr>
          <w:rFonts w:ascii="宋体" w:hAnsi="宋体" w:cs="宋体" w:eastAsia="宋体" w:hint="default"/>
          <w:b/>
          <w:bCs/>
          <w:sz w:val="20"/>
          <w:szCs w:val="20"/>
        </w:rPr>
      </w:pPr>
    </w:p>
    <w:p>
      <w:pPr>
        <w:pStyle w:val="Heading3"/>
        <w:spacing w:line="240" w:lineRule="auto" w:before="36"/>
        <w:ind w:left="224" w:right="0"/>
        <w:jc w:val="left"/>
        <w:rPr>
          <w:b w:val="0"/>
          <w:bCs w:val="0"/>
        </w:rPr>
      </w:pPr>
      <w:r>
        <w:rPr/>
        <w:t>五、近三年受证券监管机构处罚的情况说明</w:t>
      </w:r>
      <w:r>
        <w:rPr>
          <w:b w:val="0"/>
          <w:bCs w:val="0"/>
        </w:rPr>
      </w:r>
    </w:p>
    <w:p>
      <w:pPr>
        <w:pStyle w:val="BodyText"/>
        <w:spacing w:line="240" w:lineRule="auto" w:before="57"/>
        <w:ind w:left="224" w:right="0"/>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5"/>
        <w:ind w:right="2465"/>
        <w:jc w:val="left"/>
        <w:rPr>
          <w:b w:val="0"/>
          <w:bCs w:val="0"/>
        </w:rPr>
      </w:pPr>
      <w:r>
        <w:rPr/>
        <w:t>六、母公司和主要子公司的员工情况</w:t>
      </w:r>
      <w:r>
        <w:rPr>
          <w:b w:val="0"/>
          <w:bCs w:val="0"/>
        </w:rPr>
      </w:r>
    </w:p>
    <w:p>
      <w:pPr>
        <w:pStyle w:val="Heading3"/>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274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329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603</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344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z w:val="21"/>
              </w:rPr>
              <w:t>28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41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高层管理人员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品质人员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工程人员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客服人员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秩序保安人员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64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保洁绿化</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31</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603</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292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311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603</w:t>
            </w:r>
          </w:p>
        </w:tc>
      </w:tr>
    </w:tbl>
    <w:p>
      <w:pPr>
        <w:spacing w:line="240" w:lineRule="auto" w:before="12"/>
        <w:rPr>
          <w:rFonts w:ascii="宋体" w:hAnsi="宋体" w:cs="宋体" w:eastAsia="宋体" w:hint="default"/>
          <w:b/>
          <w:bCs/>
          <w:sz w:val="19"/>
          <w:szCs w:val="19"/>
        </w:rPr>
      </w:pPr>
    </w:p>
    <w:p>
      <w:pPr>
        <w:pStyle w:val="Heading3"/>
        <w:spacing w:line="240" w:lineRule="auto" w:before="36"/>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37" w:lineRule="auto" w:before="34"/>
        <w:ind w:left="218" w:right="237" w:firstLine="419"/>
        <w:jc w:val="both"/>
      </w:pPr>
      <w:r>
        <w:rPr>
          <w:spacing w:val="-2"/>
        </w:rPr>
        <w:t>公司的薪酬政策是在国家法律法规框架内基于公司发展战略和公司组织架构特点而制定，为</w:t>
      </w:r>
      <w:r>
        <w:rPr>
          <w:w w:val="100"/>
        </w:rPr>
        <w:t> </w:t>
      </w:r>
      <w:r>
        <w:rPr>
          <w:spacing w:val="-2"/>
        </w:rPr>
        <w:t>了保证公司战略及人才战略的实施，公司实行宽幅薪酬，以员工对组织绩效的支持为主要的衡量</w:t>
      </w:r>
      <w:r>
        <w:rPr>
          <w:spacing w:val="-25"/>
        </w:rPr>
        <w:t> </w:t>
      </w:r>
      <w:r>
        <w:rPr>
          <w:spacing w:val="-25"/>
        </w:rPr>
      </w:r>
      <w:r>
        <w:rPr/>
        <w:t>标准，结合员工个人素质确定其薪酬标准，保证薪酬的牵引性和浮动性。</w:t>
      </w:r>
    </w:p>
    <w:p>
      <w:pPr>
        <w:spacing w:line="240" w:lineRule="auto" w:before="4"/>
        <w:rPr>
          <w:rFonts w:ascii="宋体" w:hAnsi="宋体" w:cs="宋体" w:eastAsia="宋体" w:hint="default"/>
          <w:sz w:val="25"/>
          <w:szCs w:val="25"/>
        </w:rPr>
      </w:pPr>
    </w:p>
    <w:p>
      <w:pPr>
        <w:pStyle w:val="Heading3"/>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29"/>
        <w:ind w:left="218" w:right="237" w:firstLine="419"/>
        <w:jc w:val="both"/>
      </w:pPr>
      <w:r>
        <w:rPr>
          <w:spacing w:val="-2"/>
        </w:rPr>
        <w:t>为了全面提升公司全体员工的专业技术能力，公司建立了培训资源共享平台，每月把当月的</w:t>
      </w:r>
      <w:r>
        <w:rPr>
          <w:w w:val="100"/>
        </w:rPr>
        <w:t> </w:t>
      </w:r>
      <w:r>
        <w:rPr/>
        <w:t>培训计划共享于平台之上，鼓励公司员工在工作之余积极参与相关培训。</w:t>
      </w:r>
    </w:p>
    <w:p>
      <w:pPr>
        <w:pStyle w:val="BodyText"/>
        <w:spacing w:line="274" w:lineRule="exact" w:before="22"/>
        <w:ind w:left="638" w:right="96"/>
        <w:jc w:val="left"/>
      </w:pPr>
      <w:r>
        <w:rPr/>
        <w:t>公司的专业技术培训分为“公司级培训”和“部门级培训”两种：</w:t>
      </w:r>
      <w:r>
        <w:rPr>
          <w:w w:val="100"/>
        </w:rPr>
        <w:t> </w:t>
      </w:r>
      <w:r>
        <w:rPr>
          <w:spacing w:val="-2"/>
        </w:rPr>
        <w:t>公司级培训：指由公司组织的各种培训，内容包括特定人员参与的培训课程及全员均可参与</w:t>
      </w:r>
    </w:p>
    <w:p>
      <w:pPr>
        <w:pStyle w:val="BodyText"/>
        <w:spacing w:line="245" w:lineRule="exact"/>
        <w:ind w:left="218" w:right="96"/>
        <w:jc w:val="left"/>
      </w:pPr>
      <w:r>
        <w:rPr/>
        <w:t>的通用能力课程，前者包括新员工培训、各级别管理者管理能力培训、大型培训项目等，后者主</w:t>
      </w:r>
    </w:p>
    <w:p>
      <w:pPr>
        <w:pStyle w:val="BodyText"/>
        <w:spacing w:line="272" w:lineRule="exact" w:before="27"/>
        <w:ind w:left="638" w:right="2465" w:hanging="420"/>
        <w:jc w:val="left"/>
      </w:pPr>
      <w:r>
        <w:rPr/>
        <w:t>要为通用工作方法和工作技巧类培训等；</w:t>
      </w:r>
      <w:r>
        <w:rPr>
          <w:w w:val="100"/>
        </w:rPr>
        <w:t> </w:t>
      </w:r>
      <w:r>
        <w:rPr>
          <w:spacing w:val="-2"/>
        </w:rPr>
        <w:t>部门级培训：主要为各部门自行组织的专业培训。</w:t>
      </w:r>
    </w:p>
    <w:p>
      <w:pPr>
        <w:spacing w:after="0" w:line="272" w:lineRule="exact"/>
        <w:jc w:val="left"/>
        <w:sectPr>
          <w:headerReference w:type="default" r:id="rId40"/>
          <w:footerReference w:type="default" r:id="rId41"/>
          <w:pgSz w:w="11910" w:h="16840"/>
          <w:pgMar w:header="882" w:footer="1195" w:top="1120" w:bottom="1380" w:left="1580" w:right="1040"/>
          <w:pgNumType w:start="4"/>
        </w:sectPr>
      </w:pPr>
    </w:p>
    <w:p>
      <w:pPr>
        <w:spacing w:line="240" w:lineRule="auto" w:before="9"/>
        <w:rPr>
          <w:rFonts w:ascii="宋体" w:hAnsi="宋体" w:cs="宋体" w:eastAsia="宋体" w:hint="default"/>
          <w:sz w:val="25"/>
          <w:szCs w:val="25"/>
        </w:rPr>
      </w:pPr>
    </w:p>
    <w:p>
      <w:pPr>
        <w:pStyle w:val="Heading1"/>
        <w:tabs>
          <w:tab w:pos="1262" w:val="left" w:leader="none"/>
        </w:tabs>
        <w:spacing w:line="240" w:lineRule="auto" w:before="14"/>
        <w:ind w:left="2" w:right="0"/>
        <w:jc w:val="center"/>
        <w:rPr>
          <w:b w:val="0"/>
          <w:bCs w:val="0"/>
        </w:rPr>
      </w:pPr>
      <w:bookmarkStart w:name="_TOC_250003" w:id="9"/>
      <w:r>
        <w:rPr>
          <w:w w:val="95"/>
        </w:rPr>
        <w:t>第九节</w:t>
        <w:tab/>
      </w:r>
      <w:r>
        <w:rPr/>
        <w:t>公司治理</w:t>
      </w:r>
      <w:bookmarkEnd w:id="9"/>
      <w:r>
        <w:rPr>
          <w:b w:val="0"/>
          <w:bCs w:val="0"/>
        </w:rPr>
      </w:r>
    </w:p>
    <w:p>
      <w:pPr>
        <w:spacing w:line="240" w:lineRule="auto" w:before="7"/>
        <w:rPr>
          <w:rFonts w:ascii="黑体" w:hAnsi="黑体" w:cs="黑体" w:eastAsia="黑体" w:hint="default"/>
          <w:b/>
          <w:bCs/>
          <w:sz w:val="16"/>
          <w:szCs w:val="16"/>
        </w:rPr>
      </w:pPr>
    </w:p>
    <w:p>
      <w:pPr>
        <w:pStyle w:val="Heading3"/>
        <w:spacing w:line="240" w:lineRule="auto" w:before="36"/>
        <w:ind w:right="0"/>
        <w:jc w:val="left"/>
        <w:rPr>
          <w:b w:val="0"/>
          <w:bCs w:val="0"/>
        </w:rPr>
      </w:pPr>
      <w:r>
        <w:rPr/>
        <w:t>一、公司治理相关情况说明</w:t>
      </w:r>
      <w:r>
        <w:rPr>
          <w:b w:val="0"/>
          <w:bCs w:val="0"/>
        </w:rPr>
      </w:r>
    </w:p>
    <w:p>
      <w:pPr>
        <w:pStyle w:val="BodyText"/>
        <w:spacing w:line="237" w:lineRule="auto" w:before="157"/>
        <w:ind w:left="218" w:right="217" w:firstLine="419"/>
        <w:jc w:val="both"/>
      </w:pPr>
      <w:r>
        <w:rPr>
          <w:spacing w:val="-2"/>
        </w:rPr>
        <w:t>报告期内，公司严格按照《公司法》、《证券法》、《上市公司治理准则》和中国证监会、</w:t>
      </w:r>
      <w:r>
        <w:rPr>
          <w:w w:val="100"/>
        </w:rPr>
        <w:t> </w:t>
      </w:r>
      <w:r>
        <w:rPr>
          <w:spacing w:val="-2"/>
        </w:rPr>
        <w:t>上海证券交易所有关法律法规的要求，不断完善公司法人治理结构，规范公司经营运作。公司现</w:t>
      </w:r>
      <w:r>
        <w:rPr>
          <w:spacing w:val="-25"/>
        </w:rPr>
        <w:t> </w:t>
      </w:r>
      <w:r>
        <w:rPr>
          <w:spacing w:val="-25"/>
        </w:rPr>
      </w:r>
      <w:r>
        <w:rPr>
          <w:spacing w:val="-2"/>
        </w:rPr>
        <w:t>存的股东大会、董事会、监事会和高级管理人员组成的治理架构，形成了权力机构、决策机构、</w:t>
      </w:r>
      <w:r>
        <w:rPr>
          <w:spacing w:val="-25"/>
        </w:rPr>
        <w:t> </w:t>
      </w:r>
      <w:r>
        <w:rPr>
          <w:spacing w:val="-25"/>
        </w:rPr>
      </w:r>
      <w:r>
        <w:rPr>
          <w:spacing w:val="-2"/>
        </w:rPr>
        <w:t>监督机构和管理层之间权责分明、运作规范的制衡机制。公司的法人治理结构符合现代企业制度</w:t>
      </w:r>
      <w:r>
        <w:rPr>
          <w:spacing w:val="-25"/>
        </w:rPr>
        <w:t> </w:t>
      </w:r>
      <w:r>
        <w:rPr>
          <w:spacing w:val="-25"/>
        </w:rPr>
      </w:r>
      <w:r>
        <w:rPr/>
        <w:t>和《上市公司治理准则》的要求。</w:t>
      </w:r>
    </w:p>
    <w:p>
      <w:pPr>
        <w:pStyle w:val="BodyText"/>
        <w:spacing w:line="274" w:lineRule="exact" w:before="22"/>
        <w:ind w:left="638" w:right="0" w:hanging="420"/>
        <w:jc w:val="left"/>
      </w:pPr>
      <w:r>
        <w:rPr>
          <w:rFonts w:ascii="Times New Roman" w:hAnsi="Times New Roman" w:cs="Times New Roman" w:eastAsia="Times New Roman" w:hint="default"/>
        </w:rPr>
        <w:t>1</w:t>
      </w:r>
      <w:r>
        <w:rPr/>
        <w:t>、股东与股东大会</w:t>
      </w:r>
      <w:r>
        <w:rPr>
          <w:w w:val="100"/>
        </w:rPr>
        <w:t> </w:t>
      </w:r>
      <w:r>
        <w:rPr>
          <w:spacing w:val="-2"/>
        </w:rPr>
        <w:t>公司能够按照《公司章程》、《股东大会议事规则》规定召集、召开股东大会，尊重中小股</w:t>
      </w:r>
    </w:p>
    <w:p>
      <w:pPr>
        <w:pStyle w:val="BodyText"/>
        <w:spacing w:line="246" w:lineRule="exact"/>
        <w:ind w:left="218" w:right="0"/>
        <w:jc w:val="left"/>
      </w:pPr>
      <w:r>
        <w:rPr/>
        <w:t>东的意见，保护各方股东的合法权益，依法审议、表决议案，确保股东享有平等权利。公司股东</w:t>
      </w:r>
    </w:p>
    <w:p>
      <w:pPr>
        <w:pStyle w:val="BodyText"/>
        <w:spacing w:line="272" w:lineRule="exact" w:before="27"/>
        <w:ind w:left="218" w:right="0"/>
        <w:jc w:val="left"/>
      </w:pPr>
      <w:r>
        <w:rPr>
          <w:spacing w:val="-2"/>
        </w:rPr>
        <w:t>大会对关联交易严格按规定的程序进行，关联股东在表决时实行回避，保证关联交易符合公开、</w:t>
      </w:r>
      <w:r>
        <w:rPr>
          <w:spacing w:val="-25"/>
        </w:rPr>
        <w:t> </w:t>
      </w:r>
      <w:r>
        <w:rPr>
          <w:spacing w:val="-25"/>
        </w:rPr>
      </w:r>
      <w:r>
        <w:rPr/>
        <w:t>公平、公正、合理的原则。</w:t>
      </w:r>
    </w:p>
    <w:p>
      <w:pPr>
        <w:pStyle w:val="BodyText"/>
        <w:spacing w:line="272" w:lineRule="exact" w:before="1"/>
        <w:ind w:left="640" w:right="0" w:hanging="423"/>
        <w:jc w:val="left"/>
      </w:pPr>
      <w:r>
        <w:rPr>
          <w:rFonts w:ascii="Times New Roman" w:hAnsi="Times New Roman" w:cs="Times New Roman" w:eastAsia="Times New Roman" w:hint="default"/>
        </w:rPr>
        <w:t>2</w:t>
      </w:r>
      <w:r>
        <w:rPr/>
        <w:t>、控股股东和上市公司</w:t>
      </w:r>
      <w:r>
        <w:rPr>
          <w:w w:val="100"/>
        </w:rPr>
        <w:t> </w:t>
      </w:r>
      <w:r>
        <w:rPr>
          <w:spacing w:val="-2"/>
        </w:rPr>
        <w:t>公司控股股东依法行使权利、承担义务，公司未发生为控股股东担保或控股股东占用上市公</w:t>
      </w:r>
    </w:p>
    <w:p>
      <w:pPr>
        <w:pStyle w:val="BodyText"/>
        <w:spacing w:line="247" w:lineRule="exact"/>
        <w:ind w:left="218" w:right="0"/>
        <w:jc w:val="left"/>
      </w:pPr>
      <w:r>
        <w:rPr/>
        <w:t>司资金的情况，不存在控股股东利用其控股地位损害公司和中小股东利益的现象。</w:t>
      </w:r>
    </w:p>
    <w:p>
      <w:pPr>
        <w:pStyle w:val="BodyText"/>
        <w:spacing w:line="274" w:lineRule="exact" w:before="24"/>
        <w:ind w:left="640" w:right="0" w:hanging="423"/>
        <w:jc w:val="left"/>
      </w:pPr>
      <w:r>
        <w:rPr>
          <w:rFonts w:ascii="Times New Roman" w:hAnsi="Times New Roman" w:cs="Times New Roman" w:eastAsia="Times New Roman" w:hint="default"/>
        </w:rPr>
        <w:t>3</w:t>
      </w:r>
      <w:r>
        <w:rPr/>
        <w:t>、董事与董事会</w:t>
      </w:r>
      <w:r>
        <w:rPr>
          <w:w w:val="100"/>
        </w:rPr>
        <w:t> </w:t>
      </w:r>
      <w:r>
        <w:rPr>
          <w:spacing w:val="-2"/>
        </w:rPr>
        <w:t>董事会能够按照《公司章程》和《议事规则》的要求召集、召开，能够充分发挥专门委员会</w:t>
      </w:r>
    </w:p>
    <w:p>
      <w:pPr>
        <w:pStyle w:val="BodyText"/>
        <w:spacing w:line="244" w:lineRule="exact"/>
        <w:ind w:left="218" w:right="0"/>
        <w:jc w:val="left"/>
      </w:pPr>
      <w:r>
        <w:rPr/>
        <w:t>的作用，独立董事严格认真、勤勉尽责，审议报告期内发生的关联交易事项，并发表独立意见。</w:t>
      </w:r>
    </w:p>
    <w:p>
      <w:pPr>
        <w:pStyle w:val="BodyText"/>
        <w:spacing w:line="274" w:lineRule="exact" w:before="24"/>
        <w:ind w:left="640" w:right="0" w:hanging="423"/>
        <w:jc w:val="left"/>
      </w:pPr>
      <w:r>
        <w:rPr>
          <w:rFonts w:ascii="Times New Roman" w:hAnsi="Times New Roman" w:cs="Times New Roman" w:eastAsia="Times New Roman" w:hint="default"/>
        </w:rPr>
        <w:t>4</w:t>
      </w:r>
      <w:r>
        <w:rPr/>
        <w:t>、监事与监事会</w:t>
      </w:r>
      <w:r>
        <w:rPr>
          <w:w w:val="100"/>
        </w:rPr>
        <w:t> </w:t>
      </w:r>
      <w:r>
        <w:rPr>
          <w:spacing w:val="-2"/>
        </w:rPr>
        <w:t>公司监事会由三人组成，其中职工监事一人。报告期内，监事会全体成员均列席了全部董事</w:t>
      </w:r>
    </w:p>
    <w:p>
      <w:pPr>
        <w:pStyle w:val="BodyText"/>
        <w:spacing w:line="245" w:lineRule="exact"/>
        <w:ind w:left="218" w:right="0"/>
        <w:jc w:val="left"/>
      </w:pPr>
      <w:r>
        <w:rPr/>
        <w:t>会会议，并对公司财务以及公司董事、高级管理人员履行职责的合法、合规性进行监督，努力维</w:t>
      </w:r>
    </w:p>
    <w:p>
      <w:pPr>
        <w:pStyle w:val="BodyText"/>
        <w:spacing w:line="273" w:lineRule="exact"/>
        <w:ind w:left="218" w:right="0"/>
        <w:jc w:val="left"/>
      </w:pPr>
      <w:r>
        <w:rPr/>
        <w:t>护公司和股东合法权益。</w:t>
      </w:r>
    </w:p>
    <w:p>
      <w:pPr>
        <w:pStyle w:val="BodyText"/>
        <w:spacing w:line="281" w:lineRule="exact"/>
        <w:ind w:left="218" w:right="0"/>
        <w:jc w:val="left"/>
      </w:pPr>
      <w:r>
        <w:rPr>
          <w:rFonts w:ascii="Times New Roman" w:hAnsi="Times New Roman" w:cs="Times New Roman" w:eastAsia="Times New Roman" w:hint="default"/>
        </w:rPr>
        <w:t>5</w:t>
      </w:r>
      <w:r>
        <w:rPr/>
        <w:t>、利益相关者</w:t>
      </w:r>
    </w:p>
    <w:p>
      <w:pPr>
        <w:pStyle w:val="BodyText"/>
        <w:spacing w:line="272" w:lineRule="exact" w:before="19"/>
        <w:ind w:left="218" w:right="208" w:firstLine="422"/>
        <w:jc w:val="both"/>
      </w:pPr>
      <w:r>
        <w:rPr>
          <w:spacing w:val="-7"/>
        </w:rPr>
        <w:t>公司能够尊重和维护相关利益者的合法权益，积极推动公司稳健发展，努力实现股东、员工、</w:t>
      </w:r>
      <w:r>
        <w:rPr>
          <w:w w:val="100"/>
        </w:rPr>
        <w:t> </w:t>
      </w:r>
      <w:r>
        <w:rPr/>
        <w:t>社会各方面利益的协调平衡。</w:t>
      </w:r>
    </w:p>
    <w:p>
      <w:pPr>
        <w:pStyle w:val="BodyText"/>
        <w:spacing w:line="272" w:lineRule="exact" w:before="1"/>
        <w:ind w:left="640" w:right="0" w:hanging="423"/>
        <w:jc w:val="left"/>
      </w:pPr>
      <w:r>
        <w:rPr>
          <w:rFonts w:ascii="Times New Roman" w:hAnsi="Times New Roman" w:cs="Times New Roman" w:eastAsia="Times New Roman" w:hint="default"/>
        </w:rPr>
        <w:t>6</w:t>
      </w:r>
      <w:r>
        <w:rPr/>
        <w:t>、信息披露与透明度</w:t>
      </w:r>
      <w:r>
        <w:rPr>
          <w:w w:val="100"/>
        </w:rPr>
        <w:t> </w:t>
      </w:r>
      <w:r>
        <w:rPr>
          <w:spacing w:val="-2"/>
        </w:rPr>
        <w:t>公司董事会秘书负责信息披露工作，接待股东来访和咨询，指定《中国证券报》、《上海证</w:t>
      </w:r>
    </w:p>
    <w:p>
      <w:pPr>
        <w:pStyle w:val="BodyText"/>
        <w:spacing w:line="272" w:lineRule="exact" w:before="1"/>
        <w:ind w:left="218" w:right="0"/>
        <w:jc w:val="left"/>
      </w:pPr>
      <w:r>
        <w:rPr>
          <w:spacing w:val="-2"/>
        </w:rPr>
        <w:t>券报》、《证券时报》、《证券日报》为公司信息披露报刊。公司的信息披露严格按照中国证监</w:t>
      </w:r>
      <w:r>
        <w:rPr>
          <w:spacing w:val="-25"/>
        </w:rPr>
        <w:t> </w:t>
      </w:r>
      <w:r>
        <w:rPr>
          <w:spacing w:val="-25"/>
        </w:rPr>
      </w:r>
      <w:r>
        <w:rPr>
          <w:spacing w:val="-2"/>
        </w:rPr>
        <w:t>会有关规定和上海证券交易所《上市规则》的要求，确保信息披露的真实、准确、及时、完整以</w:t>
      </w:r>
    </w:p>
    <w:p>
      <w:pPr>
        <w:pStyle w:val="BodyText"/>
        <w:spacing w:line="272" w:lineRule="exact" w:before="1"/>
        <w:ind w:left="638" w:right="0" w:hanging="420"/>
        <w:jc w:val="left"/>
      </w:pPr>
      <w:r>
        <w:rPr/>
        <w:t>及所有股东能够平等获取信息的权利。</w:t>
      </w:r>
      <w:r>
        <w:rPr>
          <w:w w:val="100"/>
        </w:rPr>
        <w:t> </w:t>
      </w:r>
      <w:r>
        <w:rPr>
          <w:spacing w:val="-2"/>
        </w:rPr>
        <w:t>另外，公司已建立《内幕信息知情人登记管理制度》，并根据制度规定，及时进行内幕信息</w:t>
      </w:r>
    </w:p>
    <w:p>
      <w:pPr>
        <w:pStyle w:val="BodyText"/>
        <w:spacing w:line="272" w:lineRule="exact" w:before="1"/>
        <w:ind w:left="638" w:right="316" w:hanging="420"/>
        <w:jc w:val="left"/>
      </w:pPr>
      <w:r>
        <w:rPr/>
        <w:t>知情人登记备案。</w:t>
      </w:r>
      <w:r>
        <w:rPr>
          <w:w w:val="100"/>
        </w:rPr>
        <w:t> </w:t>
      </w:r>
      <w:r>
        <w:rPr>
          <w:spacing w:val="-2"/>
        </w:rPr>
        <w:t>报告期内，公司修订及制定的制度有《公司章程》、《募集资金管理办法》。</w:t>
      </w:r>
    </w:p>
    <w:p>
      <w:pPr>
        <w:spacing w:line="240" w:lineRule="auto" w:before="10"/>
        <w:rPr>
          <w:rFonts w:ascii="宋体" w:hAnsi="宋体" w:cs="宋体" w:eastAsia="宋体" w:hint="default"/>
          <w:sz w:val="18"/>
          <w:szCs w:val="18"/>
        </w:rPr>
      </w:pPr>
    </w:p>
    <w:p>
      <w:pPr>
        <w:pStyle w:val="BodyText"/>
        <w:spacing w:line="240" w:lineRule="auto"/>
        <w:ind w:left="218" w:right="0"/>
        <w:jc w:val="left"/>
      </w:pPr>
      <w:r>
        <w:rPr>
          <w:spacing w:val="-2"/>
        </w:rPr>
        <w:t>公司治理与中国证监会相关规定的要求是否存在重大差异；如有重大差异，应当说明原因</w:t>
      </w:r>
      <w:r>
        <w:rPr>
          <w:spacing w:val="-33"/>
        </w:rPr>
        <w:t> </w:t>
      </w:r>
      <w:r>
        <w:rPr>
          <w:spacing w:val="-33"/>
        </w:rPr>
      </w:r>
      <w:r>
        <w:rPr/>
        <w:t>公司治理与《公司法》和中国证监会相关规定的要求不存在差异。</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二、股东大会情况简介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801"/>
        <w:gridCol w:w="1985"/>
        <w:gridCol w:w="2126"/>
        <w:gridCol w:w="2127"/>
      </w:tblGrid>
      <w:tr>
        <w:trPr>
          <w:trHeight w:val="55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的查询索引</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年第二次临时股东大会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年第三次临时股东大会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5"/>
        <w:rPr>
          <w:rFonts w:ascii="宋体" w:hAnsi="宋体" w:cs="宋体" w:eastAsia="宋体" w:hint="default"/>
          <w:b/>
          <w:bCs/>
          <w:sz w:val="15"/>
          <w:szCs w:val="15"/>
        </w:rPr>
      </w:pPr>
    </w:p>
    <w:p>
      <w:pPr>
        <w:pStyle w:val="BodyText"/>
        <w:spacing w:line="237" w:lineRule="auto" w:before="38"/>
        <w:ind w:left="218" w:right="0"/>
        <w:jc w:val="left"/>
      </w:pPr>
      <w:r>
        <w:rPr/>
        <w:t>股东大会情况说明</w:t>
      </w:r>
      <w:r>
        <w:rPr>
          <w:w w:val="100"/>
        </w:rPr>
        <w:t> </w:t>
      </w:r>
      <w:r>
        <w:rPr>
          <w:spacing w:val="-2"/>
        </w:rPr>
        <w:t>公司股东大会的召集、召开、表决程序符合有关法律法规及公司章程的规定，会议的出席</w:t>
      </w:r>
      <w:r>
        <w:rPr>
          <w:spacing w:val="-31"/>
        </w:rPr>
        <w:t> </w:t>
      </w:r>
      <w:r>
        <w:rPr>
          <w:spacing w:val="-31"/>
        </w:rPr>
      </w:r>
      <w:r>
        <w:rPr/>
        <w:t>会议人员资格合法有效，会议的表决结果合法有效。</w:t>
      </w:r>
    </w:p>
    <w:p>
      <w:pPr>
        <w:spacing w:after="0" w:line="237" w:lineRule="auto"/>
        <w:jc w:val="left"/>
        <w:sectPr>
          <w:pgSz w:w="11910" w:h="16840"/>
          <w:pgMar w:header="882"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5"/>
        <w:ind w:right="2465"/>
        <w:jc w:val="left"/>
        <w:rPr>
          <w:b w:val="0"/>
          <w:bCs w:val="0"/>
        </w:rPr>
      </w:pPr>
      <w:r>
        <w:rPr/>
        <w:t>三、董事履行职责情况</w:t>
      </w:r>
      <w:r>
        <w:rPr>
          <w:b w:val="0"/>
          <w:bCs w:val="0"/>
        </w:rPr>
      </w:r>
    </w:p>
    <w:p>
      <w:pPr>
        <w:pStyle w:val="Heading3"/>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顾国平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75"/>
              <w:jc w:val="right"/>
              <w:rPr>
                <w:rFonts w:ascii="Times New Roman" w:hAnsi="Times New Roman" w:cs="Times New Roman" w:eastAsia="Times New Roman" w:hint="default"/>
                <w:sz w:val="21"/>
                <w:szCs w:val="21"/>
              </w:rPr>
            </w:pPr>
            <w:r>
              <w:rPr>
                <w:rFonts w:ascii="Times New Roman"/>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张凌兴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75"/>
              <w:jc w:val="right"/>
              <w:rPr>
                <w:rFonts w:ascii="Times New Roman" w:hAnsi="Times New Roman" w:cs="Times New Roman" w:eastAsia="Times New Roman" w:hint="default"/>
                <w:sz w:val="21"/>
                <w:szCs w:val="21"/>
              </w:rPr>
            </w:pPr>
            <w:r>
              <w:rPr>
                <w:rFonts w:ascii="Times New Roman"/>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王忠华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75"/>
              <w:jc w:val="right"/>
              <w:rPr>
                <w:rFonts w:ascii="Times New Roman" w:hAnsi="Times New Roman" w:cs="Times New Roman" w:eastAsia="Times New Roman" w:hint="default"/>
                <w:sz w:val="21"/>
                <w:szCs w:val="21"/>
              </w:rPr>
            </w:pPr>
            <w:r>
              <w:rPr>
                <w:rFonts w:ascii="Times New Roman"/>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4</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郑敏</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75"/>
              <w:jc w:val="right"/>
              <w:rPr>
                <w:rFonts w:ascii="Times New Roman" w:hAnsi="Times New Roman" w:cs="Times New Roman" w:eastAsia="Times New Roman" w:hint="default"/>
                <w:sz w:val="21"/>
                <w:szCs w:val="21"/>
              </w:rPr>
            </w:pPr>
            <w:r>
              <w:rPr>
                <w:rFonts w:ascii="Times New Roman"/>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57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花炳灿</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75"/>
              <w:jc w:val="right"/>
              <w:rPr>
                <w:rFonts w:ascii="Times New Roman" w:hAnsi="Times New Roman" w:cs="Times New Roman" w:eastAsia="Times New Roman" w:hint="default"/>
                <w:sz w:val="21"/>
                <w:szCs w:val="21"/>
              </w:rPr>
            </w:pPr>
            <w:r>
              <w:rPr>
                <w:rFonts w:ascii="Times New Roman"/>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李占国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75"/>
              <w:jc w:val="right"/>
              <w:rPr>
                <w:rFonts w:ascii="Times New Roman" w:hAnsi="Times New Roman" w:cs="Times New Roman" w:eastAsia="Times New Roman" w:hint="default"/>
                <w:sz w:val="21"/>
                <w:szCs w:val="21"/>
              </w:rPr>
            </w:pPr>
            <w:r>
              <w:rPr>
                <w:rFonts w:ascii="Times New Roman"/>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刘士林</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75"/>
              <w:jc w:val="right"/>
              <w:rPr>
                <w:rFonts w:ascii="Times New Roman" w:hAnsi="Times New Roman" w:cs="Times New Roman" w:eastAsia="Times New Roman" w:hint="default"/>
                <w:sz w:val="21"/>
                <w:szCs w:val="21"/>
              </w:rPr>
            </w:pPr>
            <w:r>
              <w:rPr>
                <w:rFonts w:ascii="Times New Roman"/>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2</w:t>
            </w:r>
          </w:p>
        </w:tc>
      </w:tr>
    </w:tbl>
    <w:p>
      <w:pPr>
        <w:spacing w:line="240" w:lineRule="auto" w:before="7"/>
        <w:rPr>
          <w:rFonts w:ascii="宋体" w:hAnsi="宋体" w:cs="宋体" w:eastAsia="宋体" w:hint="default"/>
          <w:b/>
          <w:bCs/>
          <w:sz w:val="15"/>
          <w:szCs w:val="15"/>
        </w:rPr>
      </w:pPr>
    </w:p>
    <w:p>
      <w:pPr>
        <w:pStyle w:val="BodyText"/>
        <w:spacing w:line="272" w:lineRule="exact" w:before="64"/>
        <w:ind w:left="218" w:right="5063"/>
        <w:jc w:val="left"/>
      </w:pPr>
      <w:r>
        <w:rPr>
          <w:spacing w:val="-2"/>
        </w:rPr>
        <w:t>连续两次未亲自出席董事会会议的说明</w:t>
      </w:r>
      <w:r>
        <w:rPr>
          <w:spacing w:val="-72"/>
        </w:rPr>
        <w:t> </w:t>
      </w:r>
      <w:r>
        <w:rPr>
          <w:spacing w:val="-72"/>
        </w:rPr>
      </w:r>
      <w:r>
        <w:rPr/>
        <w:t>不适用</w:t>
      </w:r>
    </w:p>
    <w:p>
      <w:pPr>
        <w:spacing w:line="240" w:lineRule="auto" w:before="4"/>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3"/>
        <w:rPr>
          <w:rFonts w:ascii="宋体" w:hAnsi="宋体" w:cs="宋体" w:eastAsia="宋体" w:hint="default"/>
          <w:sz w:val="19"/>
          <w:szCs w:val="19"/>
        </w:rPr>
      </w:pPr>
    </w:p>
    <w:p>
      <w:pPr>
        <w:spacing w:line="266" w:lineRule="auto" w:before="36"/>
        <w:ind w:left="218" w:right="96"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报告期内，公司独立董事未对公司本年度的董事会议案及其他非董事会议案事项提出异议。</w:t>
      </w:r>
    </w:p>
    <w:p>
      <w:pPr>
        <w:spacing w:line="240" w:lineRule="auto" w:before="6"/>
        <w:rPr>
          <w:rFonts w:ascii="宋体" w:hAnsi="宋体" w:cs="宋体" w:eastAsia="宋体" w:hint="default"/>
          <w:sz w:val="23"/>
          <w:szCs w:val="23"/>
        </w:rPr>
      </w:pPr>
    </w:p>
    <w:p>
      <w:pPr>
        <w:pStyle w:val="BodyText"/>
        <w:spacing w:line="252" w:lineRule="auto"/>
        <w:ind w:left="218" w:right="96"/>
        <w:jc w:val="left"/>
      </w:pPr>
      <w:r>
        <w:rPr>
          <w:rFonts w:ascii="Calibri" w:hAnsi="Calibri" w:cs="Calibri" w:eastAsia="Calibri" w:hint="default"/>
          <w:b/>
          <w:bCs/>
        </w:rPr>
        <w:t>(</w:t>
      </w:r>
      <w:r>
        <w:rPr>
          <w:rFonts w:ascii="宋体" w:hAnsi="宋体" w:cs="宋体" w:eastAsia="宋体" w:hint="default"/>
          <w:b/>
          <w:bCs/>
        </w:rPr>
        <w:t>三</w:t>
      </w:r>
      <w:r>
        <w:rPr>
          <w:rFonts w:ascii="Calibri" w:hAnsi="Calibri" w:cs="Calibri" w:eastAsia="Calibri" w:hint="default"/>
          <w:b/>
          <w:bCs/>
        </w:rPr>
        <w:t>)</w:t>
      </w:r>
      <w:r>
        <w:rPr>
          <w:rFonts w:ascii="Calibri" w:hAnsi="Calibri" w:cs="Calibri" w:eastAsia="Calibri" w:hint="default"/>
          <w:b/>
          <w:bCs/>
          <w:spacing w:val="32"/>
        </w:rPr>
        <w:t> </w:t>
      </w:r>
      <w:r>
        <w:rPr>
          <w:rFonts w:ascii="宋体" w:hAnsi="宋体" w:cs="宋体" w:eastAsia="宋体" w:hint="default"/>
          <w:b/>
          <w:bCs/>
        </w:rPr>
        <w:t>其他</w:t>
      </w:r>
      <w:r>
        <w:rPr>
          <w:rFonts w:ascii="宋体" w:hAnsi="宋体" w:cs="宋体" w:eastAsia="宋体" w:hint="default"/>
          <w:b/>
          <w:bCs/>
          <w:spacing w:val="-103"/>
        </w:rPr>
        <w:t> </w:t>
      </w:r>
      <w:r>
        <w:rPr/>
        <w:t>报告期内，公司除独立董事外的其他董事未对公司本年度的董事会议案及其他非董事会议案事项</w:t>
      </w:r>
      <w:r>
        <w:rPr>
          <w:w w:val="100"/>
        </w:rPr>
        <w:t> </w:t>
      </w:r>
      <w:r>
        <w:rPr/>
        <w:t>提出异议。</w:t>
      </w:r>
    </w:p>
    <w:p>
      <w:pPr>
        <w:spacing w:line="240" w:lineRule="auto" w:before="3"/>
        <w:rPr>
          <w:rFonts w:ascii="宋体" w:hAnsi="宋体" w:cs="宋体" w:eastAsia="宋体" w:hint="default"/>
          <w:sz w:val="24"/>
          <w:szCs w:val="24"/>
        </w:rPr>
      </w:pPr>
    </w:p>
    <w:p>
      <w:pPr>
        <w:pStyle w:val="Heading3"/>
        <w:spacing w:line="240" w:lineRule="auto"/>
        <w:ind w:left="638" w:right="96" w:hanging="420"/>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40" w:lineRule="auto" w:before="57"/>
        <w:ind w:left="638" w:right="96"/>
        <w:jc w:val="left"/>
      </w:pPr>
      <w:r>
        <w:rPr/>
        <w:t>公司董事会下设战略委员会、提名委员会、审计委员会和薪酬与考核委员会。</w:t>
      </w:r>
      <w:r>
        <w:rPr>
          <w:w w:val="100"/>
        </w:rPr>
        <w:t> </w:t>
      </w:r>
      <w:r>
        <w:rPr>
          <w:spacing w:val="-2"/>
        </w:rPr>
        <w:t>报告期内，董事会战略委员会在公司长期发展战略制定等重大战略决策研究过程中，对公司</w:t>
      </w:r>
    </w:p>
    <w:p>
      <w:pPr>
        <w:pStyle w:val="BodyText"/>
        <w:spacing w:line="274" w:lineRule="exact" w:before="22"/>
        <w:ind w:left="638" w:right="96" w:hanging="420"/>
        <w:jc w:val="left"/>
      </w:pPr>
      <w:r>
        <w:rPr/>
        <w:t>重组、非公开发行等事宜提出了重要的建设性意见，提高了公司重大决策的效率。</w:t>
      </w:r>
      <w:r>
        <w:rPr>
          <w:w w:val="100"/>
        </w:rPr>
        <w:t> </w:t>
      </w:r>
      <w:r>
        <w:rPr>
          <w:spacing w:val="-2"/>
        </w:rPr>
        <w:t>报告期内，董事会审计委员会在公司聘任审计机构、内部控制制度的建设、定期报告编制和</w:t>
      </w:r>
    </w:p>
    <w:p>
      <w:pPr>
        <w:pStyle w:val="BodyText"/>
        <w:spacing w:line="245" w:lineRule="exact"/>
        <w:ind w:left="218" w:right="96"/>
        <w:jc w:val="left"/>
      </w:pPr>
      <w:r>
        <w:rPr/>
        <w:t>年度审计等工作中积极发挥了专业委员会的作用，对拟聘任审计机构的从业资格和专业能力进行</w:t>
      </w:r>
    </w:p>
    <w:p>
      <w:pPr>
        <w:pStyle w:val="BodyText"/>
        <w:spacing w:line="272" w:lineRule="exact" w:before="27"/>
        <w:ind w:left="218" w:right="226"/>
        <w:jc w:val="left"/>
      </w:pPr>
      <w:r>
        <w:rPr>
          <w:spacing w:val="-1"/>
        </w:rPr>
        <w:t>了认真审核，在公司定期报告编制和年度报告审计过程中，与年审会计师积极沟通，审阅财务报</w:t>
      </w:r>
      <w:r>
        <w:rPr>
          <w:spacing w:val="-55"/>
        </w:rPr>
        <w:t> </w:t>
      </w:r>
      <w:r>
        <w:rPr>
          <w:spacing w:val="-55"/>
        </w:rPr>
      </w:r>
      <w:r>
        <w:rPr>
          <w:spacing w:val="-9"/>
          <w:w w:val="100"/>
        </w:rPr>
        <w:t>告，认真履行了专业职责。审议通过了《</w:t>
      </w:r>
      <w:r>
        <w:rPr>
          <w:rFonts w:ascii="Times New Roman" w:hAnsi="Times New Roman" w:cs="Times New Roman" w:eastAsia="Times New Roman" w:hint="default"/>
          <w:spacing w:val="-9"/>
          <w:w w:val="100"/>
        </w:rPr>
        <w:t>2014</w:t>
      </w:r>
      <w:r>
        <w:rPr>
          <w:rFonts w:ascii="Times New Roman" w:hAnsi="Times New Roman" w:cs="Times New Roman" w:eastAsia="Times New Roman" w:hint="default"/>
          <w:w w:val="100"/>
        </w:rPr>
        <w:t> </w:t>
      </w:r>
      <w:r>
        <w:rPr>
          <w:spacing w:val="-12"/>
          <w:w w:val="100"/>
        </w:rPr>
        <w:t>年度财务决算报告》、《</w:t>
      </w:r>
      <w:r>
        <w:rPr>
          <w:rFonts w:ascii="Times New Roman" w:hAnsi="Times New Roman" w:cs="Times New Roman" w:eastAsia="Times New Roman" w:hint="default"/>
          <w:spacing w:val="-12"/>
          <w:w w:val="100"/>
        </w:rPr>
        <w:t>2014</w:t>
      </w:r>
      <w:r>
        <w:rPr>
          <w:rFonts w:ascii="Times New Roman" w:hAnsi="Times New Roman" w:cs="Times New Roman" w:eastAsia="Times New Roman" w:hint="default"/>
          <w:w w:val="100"/>
        </w:rPr>
        <w:t> </w:t>
      </w:r>
      <w:r>
        <w:rPr>
          <w:rFonts w:ascii="Times New Roman" w:hAnsi="Times New Roman" w:cs="Times New Roman" w:eastAsia="Times New Roman" w:hint="default"/>
          <w:spacing w:val="30"/>
          <w:w w:val="100"/>
        </w:rPr>
        <w:t> </w:t>
      </w:r>
      <w:r>
        <w:rPr>
          <w:spacing w:val="-7"/>
          <w:w w:val="100"/>
        </w:rPr>
        <w:t>年度利润分配预案》、</w:t>
      </w:r>
    </w:p>
    <w:p>
      <w:pPr>
        <w:pStyle w:val="BodyText"/>
        <w:spacing w:line="272" w:lineRule="exact" w:before="1"/>
        <w:ind w:left="218" w:right="96"/>
        <w:jc w:val="left"/>
      </w:pPr>
      <w:r>
        <w:rPr>
          <w:spacing w:val="-1"/>
        </w:rPr>
        <w:t>《关于对非标准无保留审计意见涉及事项的专项说明》、《关于延长公司非公开发行股票股东大</w:t>
      </w:r>
      <w:r>
        <w:rPr>
          <w:spacing w:val="-55"/>
        </w:rPr>
        <w:t> </w:t>
      </w:r>
      <w:r>
        <w:rPr>
          <w:spacing w:val="-55"/>
        </w:rPr>
      </w:r>
      <w:r>
        <w:rPr>
          <w:spacing w:val="-1"/>
        </w:rPr>
        <w:t>会决议有效期的议案》、《关于延长授权公司董事会全权办理非公开发行股票相关事宜有效期的</w:t>
      </w:r>
    </w:p>
    <w:p>
      <w:pPr>
        <w:pStyle w:val="BodyText"/>
        <w:spacing w:line="225" w:lineRule="auto"/>
        <w:ind w:left="218" w:right="228"/>
        <w:jc w:val="both"/>
      </w:pPr>
      <w:r>
        <w:rPr/>
        <w:t>议案》、《关于取消</w:t>
      </w:r>
      <w:r>
        <w:rPr>
          <w:rFonts w:ascii="Times New Roman" w:hAnsi="Times New Roman" w:cs="Times New Roman" w:eastAsia="Times New Roman" w:hint="default"/>
        </w:rPr>
        <w:t>&lt;</w:t>
      </w:r>
      <w:r>
        <w:rPr/>
        <w:t>关于延长公司非公开发行股票股东大会决议有效期的议案</w:t>
      </w:r>
      <w:r>
        <w:rPr>
          <w:rFonts w:ascii="Times New Roman" w:hAnsi="Times New Roman" w:cs="Times New Roman" w:eastAsia="Times New Roman" w:hint="default"/>
        </w:rPr>
        <w:t>&gt;</w:t>
      </w:r>
      <w:r>
        <w:rPr/>
        <w:t>和</w:t>
      </w:r>
      <w:r>
        <w:rPr>
          <w:rFonts w:ascii="Times New Roman" w:hAnsi="Times New Roman" w:cs="Times New Roman" w:eastAsia="Times New Roman" w:hint="default"/>
        </w:rPr>
        <w:t>&lt;</w:t>
      </w:r>
      <w:r>
        <w:rPr/>
        <w:t>关于延长授</w:t>
      </w:r>
      <w:r>
        <w:rPr>
          <w:spacing w:val="-30"/>
        </w:rPr>
        <w:t> </w:t>
      </w:r>
      <w:r>
        <w:rPr>
          <w:spacing w:val="-30"/>
        </w:rPr>
      </w:r>
      <w:r>
        <w:rPr>
          <w:spacing w:val="-2"/>
        </w:rPr>
        <w:t>权公司董事会全权办理非公开发行股票相关事宜有效期的议案</w:t>
      </w:r>
      <w:r>
        <w:rPr>
          <w:rFonts w:ascii="Times New Roman" w:hAnsi="Times New Roman" w:cs="Times New Roman" w:eastAsia="Times New Roman" w:hint="default"/>
          <w:spacing w:val="-2"/>
        </w:rPr>
        <w:t>&gt;</w:t>
      </w:r>
      <w:r>
        <w:rPr>
          <w:spacing w:val="-2"/>
        </w:rPr>
        <w:t>的议案》、《关于与顾国平签署</w:t>
      </w:r>
      <w:r>
        <w:rPr>
          <w:rFonts w:ascii="Times New Roman" w:hAnsi="Times New Roman" w:cs="Times New Roman" w:eastAsia="Times New Roman" w:hint="default"/>
          <w:spacing w:val="-2"/>
        </w:rPr>
        <w:t>&lt;</w:t>
      </w:r>
      <w:r>
        <w:rPr>
          <w:rFonts w:ascii="Times New Roman" w:hAnsi="Times New Roman" w:cs="Times New Roman" w:eastAsia="Times New Roman" w:hint="default"/>
          <w:spacing w:val="10"/>
        </w:rPr>
        <w:t> </w:t>
      </w:r>
      <w:r>
        <w:rPr/>
        <w:t>债务豁免协议</w:t>
      </w:r>
      <w:r>
        <w:rPr>
          <w:rFonts w:ascii="Times New Roman" w:hAnsi="Times New Roman" w:cs="Times New Roman" w:eastAsia="Times New Roman" w:hint="default"/>
        </w:rPr>
        <w:t>&gt;</w:t>
      </w:r>
      <w:r>
        <w:rPr/>
        <w:t>的议案》等议案。</w:t>
      </w:r>
    </w:p>
    <w:p>
      <w:pPr>
        <w:pStyle w:val="BodyText"/>
        <w:spacing w:line="274" w:lineRule="exact" w:before="9"/>
        <w:ind w:left="218" w:right="96" w:firstLine="419"/>
        <w:jc w:val="left"/>
      </w:pPr>
      <w:r>
        <w:rPr>
          <w:spacing w:val="-2"/>
        </w:rPr>
        <w:t>报告期内，董事会薪酬与考核委员会对公司董事及高级管理人员的履职及薪酬制度执行情况</w:t>
      </w:r>
      <w:r>
        <w:rPr>
          <w:w w:val="100"/>
        </w:rPr>
        <w:t> </w:t>
      </w:r>
      <w:r>
        <w:rPr/>
        <w:t>进行了监督审查，为董事会建立和完善高管激励机制发挥了专业作用。</w:t>
      </w:r>
    </w:p>
    <w:p>
      <w:pPr>
        <w:spacing w:after="0" w:line="274" w:lineRule="exact"/>
        <w:jc w:val="left"/>
        <w:sectPr>
          <w:footerReference w:type="default" r:id="rId42"/>
          <w:pgSz w:w="11910" w:h="16840"/>
          <w:pgMar w:footer="1195" w:header="882" w:top="1120" w:bottom="1380" w:left="1580" w:right="1040"/>
          <w:pgNumType w:start="51"/>
        </w:sectPr>
      </w:pPr>
    </w:p>
    <w:p>
      <w:pPr>
        <w:spacing w:line="240" w:lineRule="auto" w:before="1"/>
        <w:rPr>
          <w:rFonts w:ascii="宋体" w:hAnsi="宋体" w:cs="宋体" w:eastAsia="宋体" w:hint="default"/>
          <w:sz w:val="25"/>
          <w:szCs w:val="25"/>
        </w:rPr>
      </w:pPr>
    </w:p>
    <w:p>
      <w:pPr>
        <w:spacing w:line="417" w:lineRule="auto" w:before="36"/>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监事会对报告期内的监督事项无异议。</w:t>
      </w:r>
    </w:p>
    <w:p>
      <w:pPr>
        <w:spacing w:line="240" w:lineRule="auto" w:before="6"/>
        <w:rPr>
          <w:rFonts w:ascii="宋体" w:hAnsi="宋体" w:cs="宋体" w:eastAsia="宋体" w:hint="default"/>
          <w:sz w:val="15"/>
          <w:szCs w:val="15"/>
        </w:rPr>
      </w:pPr>
    </w:p>
    <w:p>
      <w:pPr>
        <w:pStyle w:val="Heading3"/>
        <w:spacing w:line="272" w:lineRule="exact"/>
        <w:ind w:left="562" w:right="123"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0" w:lineRule="auto" w:before="34"/>
        <w:ind w:right="123"/>
        <w:jc w:val="left"/>
      </w:pPr>
      <w:r>
        <w:rPr/>
        <w:t>不适用</w:t>
      </w:r>
    </w:p>
    <w:p>
      <w:pPr>
        <w:spacing w:line="240" w:lineRule="auto" w:before="10"/>
        <w:rPr>
          <w:rFonts w:ascii="宋体" w:hAnsi="宋体" w:cs="宋体" w:eastAsia="宋体" w:hint="default"/>
          <w:sz w:val="22"/>
          <w:szCs w:val="22"/>
        </w:rPr>
      </w:pPr>
    </w:p>
    <w:p>
      <w:pPr>
        <w:pStyle w:val="BodyText"/>
        <w:spacing w:line="272" w:lineRule="exact"/>
        <w:ind w:right="2840"/>
        <w:jc w:val="left"/>
      </w:pPr>
      <w:r>
        <w:rPr>
          <w:spacing w:val="-2"/>
        </w:rPr>
        <w:t>存在同业竞争的，公司相应的解决措施、工作进度及后续工作计划</w:t>
      </w:r>
      <w:r>
        <w:rPr>
          <w:spacing w:val="-49"/>
        </w:rPr>
        <w:t> </w:t>
      </w:r>
      <w:r>
        <w:rPr>
          <w:spacing w:val="-49"/>
        </w:rPr>
      </w:r>
      <w:r>
        <w:rPr/>
        <w:t>不适用</w:t>
      </w:r>
    </w:p>
    <w:p>
      <w:pPr>
        <w:spacing w:line="430" w:lineRule="atLeast" w:before="150"/>
        <w:ind w:left="558" w:right="123"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公司建立了高级管理人员的考评、激励与约束机制。公司高管人员实行年薪制，其薪酬由基</w:t>
      </w:r>
    </w:p>
    <w:p>
      <w:pPr>
        <w:pStyle w:val="BodyText"/>
        <w:spacing w:line="237" w:lineRule="auto"/>
        <w:ind w:right="128"/>
        <w:jc w:val="both"/>
      </w:pPr>
      <w:r>
        <w:rPr>
          <w:spacing w:val="-1"/>
        </w:rPr>
        <w:t>本薪资与绩效薪资组成，其中，绩效薪资与考核指标完成情况挂钩，由董事会薪酬与考核委员会</w:t>
      </w:r>
      <w:r>
        <w:rPr>
          <w:spacing w:val="-55"/>
        </w:rPr>
        <w:t> </w:t>
      </w:r>
      <w:r>
        <w:rPr>
          <w:spacing w:val="-55"/>
        </w:rPr>
      </w:r>
      <w:r>
        <w:rPr>
          <w:spacing w:val="-1"/>
        </w:rPr>
        <w:t>根据高管人员的绩效目标完成情况、工作能力、工作态度等进行考评，以确定高管人员本年度的</w:t>
      </w:r>
      <w:r>
        <w:rPr>
          <w:spacing w:val="-55"/>
        </w:rPr>
        <w:t> </w:t>
      </w:r>
      <w:r>
        <w:rPr>
          <w:spacing w:val="-55"/>
        </w:rPr>
      </w:r>
      <w:r>
        <w:rPr/>
        <w:t>绩效薪资。</w:t>
      </w:r>
    </w:p>
    <w:p>
      <w:pPr>
        <w:pStyle w:val="BodyText"/>
        <w:spacing w:line="274" w:lineRule="exact" w:before="22"/>
        <w:ind w:right="123" w:firstLine="419"/>
        <w:jc w:val="left"/>
      </w:pPr>
      <w:r>
        <w:rPr>
          <w:spacing w:val="-2"/>
        </w:rPr>
        <w:t>报告期内，公司高级管理人员能够严格按照《公司章程》及相关法律法规认真履职，积极落</w:t>
      </w:r>
      <w:r>
        <w:rPr>
          <w:w w:val="100"/>
        </w:rPr>
        <w:t> </w:t>
      </w:r>
      <w:r>
        <w:rPr/>
        <w:t>实公司股东大会和董事会的相关决议，较好地完成了本年度的各项任务。</w:t>
      </w:r>
    </w:p>
    <w:p>
      <w:pPr>
        <w:spacing w:line="240" w:lineRule="auto" w:before="4"/>
        <w:rPr>
          <w:rFonts w:ascii="宋体" w:hAnsi="宋体" w:cs="宋体" w:eastAsia="宋体" w:hint="default"/>
          <w:sz w:val="23"/>
          <w:szCs w:val="23"/>
        </w:rPr>
      </w:pPr>
    </w:p>
    <w:p>
      <w:pPr>
        <w:pStyle w:val="Heading3"/>
        <w:spacing w:line="240" w:lineRule="auto"/>
        <w:ind w:left="138" w:right="123"/>
        <w:jc w:val="left"/>
        <w:rPr>
          <w:b w:val="0"/>
          <w:bCs w:val="0"/>
        </w:rPr>
      </w:pPr>
      <w:r>
        <w:rPr/>
        <w:t>八、是否披露内部控制自我评价报告</w:t>
      </w:r>
      <w:r>
        <w:rPr>
          <w:b w:val="0"/>
          <w:bCs w:val="0"/>
        </w:rPr>
      </w:r>
    </w:p>
    <w:p>
      <w:pPr>
        <w:pStyle w:val="BodyText"/>
        <w:spacing w:line="274" w:lineRule="exact" w:before="56"/>
        <w:ind w:right="123"/>
        <w:jc w:val="left"/>
      </w:pPr>
      <w:r>
        <w:rPr/>
        <w:t>√适用</w:t>
      </w:r>
      <w:r>
        <w:rPr>
          <w:spacing w:val="-1"/>
        </w:rPr>
        <w:t> </w:t>
      </w:r>
      <w:r>
        <w:rPr/>
        <w:t>□不适用</w:t>
      </w:r>
    </w:p>
    <w:p>
      <w:pPr>
        <w:pStyle w:val="BodyText"/>
        <w:spacing w:line="280" w:lineRule="exact"/>
        <w:ind w:right="0"/>
        <w:jc w:val="left"/>
      </w:pPr>
      <w:r>
        <w:rPr>
          <w:spacing w:val="-3"/>
        </w:rPr>
        <w:t>公司第八届董事会第二十四次会议审议通过了《公司 </w:t>
      </w:r>
      <w:r>
        <w:rPr>
          <w:rFonts w:ascii="Times New Roman" w:hAnsi="Times New Roman" w:cs="Times New Roman" w:eastAsia="Times New Roman" w:hint="default"/>
        </w:rPr>
        <w:t>2015</w:t>
      </w:r>
      <w:r>
        <w:rPr>
          <w:rFonts w:ascii="Times New Roman" w:hAnsi="Times New Roman" w:cs="Times New Roman" w:eastAsia="Times New Roman" w:hint="default"/>
          <w:spacing w:val="21"/>
        </w:rPr>
        <w:t> </w:t>
      </w:r>
      <w:r>
        <w:rPr>
          <w:spacing w:val="-6"/>
        </w:rPr>
        <w:t>年度内部控制报告评价报告》，全文详</w:t>
      </w:r>
    </w:p>
    <w:p>
      <w:pPr>
        <w:pStyle w:val="BodyText"/>
        <w:spacing w:line="274" w:lineRule="exact" w:before="16"/>
        <w:ind w:right="123"/>
        <w:jc w:val="left"/>
      </w:pPr>
      <w:r>
        <w:rPr/>
        <w:t>见</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日刊登在上海证券交易所</w:t>
      </w:r>
      <w:r>
        <w:rPr>
          <w:spacing w:val="-50"/>
        </w:rPr>
        <w:t> </w:t>
      </w:r>
      <w:hyperlink r:id="rId10">
        <w:r>
          <w:rPr>
            <w:rFonts w:ascii="Times New Roman" w:hAnsi="Times New Roman" w:cs="Times New Roman" w:eastAsia="Times New Roman" w:hint="default"/>
          </w:rPr>
          <w:t>www.sse.com.cn</w:t>
        </w:r>
      </w:hyperlink>
      <w:r>
        <w:rPr>
          <w:rFonts w:ascii="Times New Roman" w:hAnsi="Times New Roman" w:cs="Times New Roman" w:eastAsia="Times New Roman" w:hint="default"/>
          <w:spacing w:val="2"/>
        </w:rPr>
        <w:t> </w:t>
      </w:r>
      <w:r>
        <w:rPr>
          <w:spacing w:val="-5"/>
        </w:rPr>
        <w:t>的《广西慧球科技股份有限公司内部</w:t>
      </w:r>
      <w:r>
        <w:rPr>
          <w:w w:val="100"/>
        </w:rPr>
        <w:t> </w:t>
      </w:r>
      <w:r>
        <w:rPr/>
        <w:t>控制自我评价报告》。</w:t>
      </w:r>
    </w:p>
    <w:p>
      <w:pPr>
        <w:spacing w:line="240" w:lineRule="auto" w:before="9"/>
        <w:rPr>
          <w:rFonts w:ascii="宋体" w:hAnsi="宋体" w:cs="宋体" w:eastAsia="宋体" w:hint="default"/>
          <w:sz w:val="18"/>
          <w:szCs w:val="18"/>
        </w:rPr>
      </w:pPr>
    </w:p>
    <w:p>
      <w:pPr>
        <w:pStyle w:val="BodyText"/>
        <w:spacing w:line="273" w:lineRule="exact"/>
        <w:ind w:right="123"/>
        <w:jc w:val="left"/>
      </w:pPr>
      <w:r>
        <w:rPr/>
        <w:t>报告期内部控制存在重大缺陷情况的说明</w:t>
      </w:r>
    </w:p>
    <w:p>
      <w:pPr>
        <w:pStyle w:val="BodyText"/>
        <w:spacing w:line="273" w:lineRule="exact"/>
        <w:ind w:right="12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ind w:left="138" w:right="123"/>
        <w:jc w:val="left"/>
        <w:rPr>
          <w:b w:val="0"/>
          <w:bCs w:val="0"/>
        </w:rPr>
      </w:pPr>
      <w:r>
        <w:rPr/>
        <w:t>九、内部控制审计报告的相关情况说明</w:t>
      </w:r>
      <w:r>
        <w:rPr>
          <w:b w:val="0"/>
          <w:bCs w:val="0"/>
        </w:rPr>
      </w:r>
    </w:p>
    <w:p>
      <w:pPr>
        <w:pStyle w:val="BodyText"/>
        <w:spacing w:line="240" w:lineRule="auto" w:before="56"/>
        <w:ind w:right="1288"/>
        <w:jc w:val="left"/>
      </w:pPr>
      <w:r>
        <w:rPr/>
        <w:t>公司披露了</w:t>
      </w:r>
      <w:r>
        <w:rPr>
          <w:spacing w:val="-55"/>
        </w:rPr>
        <w:t> </w:t>
      </w:r>
      <w:r>
        <w:rPr>
          <w:rFonts w:ascii="宋体" w:hAnsi="宋体" w:cs="宋体" w:eastAsia="宋体" w:hint="default"/>
        </w:rPr>
        <w:t>2015</w:t>
      </w:r>
      <w:r>
        <w:rPr>
          <w:rFonts w:ascii="宋体" w:hAnsi="宋体" w:cs="宋体" w:eastAsia="宋体" w:hint="default"/>
          <w:spacing w:val="-55"/>
        </w:rPr>
        <w:t> </w:t>
      </w:r>
      <w:r>
        <w:rPr/>
        <w:t>年度内部控制审计报告，详见上海证券交易所网站及本公司网站。</w:t>
      </w:r>
      <w:r>
        <w:rPr>
          <w:w w:val="100"/>
        </w:rPr>
        <w:t> </w:t>
      </w:r>
      <w:r>
        <w:rPr/>
        <w:t>是否披露内部控制审计报告：是</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40"/>
        </w:sectPr>
      </w:pPr>
    </w:p>
    <w:p>
      <w:pPr>
        <w:pStyle w:val="Heading3"/>
        <w:spacing w:line="290" w:lineRule="auto" w:before="36"/>
        <w:ind w:left="138" w:right="-17"/>
        <w:jc w:val="left"/>
        <w:rPr>
          <w:rFonts w:ascii="宋体" w:hAnsi="宋体" w:cs="宋体" w:eastAsia="宋体" w:hint="default"/>
          <w:b w:val="0"/>
          <w:bCs w:val="0"/>
        </w:rPr>
      </w:pPr>
      <w:r>
        <w:rPr/>
        <w:t>十、其他</w:t>
      </w:r>
      <w:r>
        <w:rPr>
          <w:spacing w:val="-103"/>
        </w:rPr>
        <w:t> </w:t>
      </w:r>
      <w:r>
        <w:rPr>
          <w:spacing w:val="-103"/>
        </w:rPr>
      </w:r>
      <w:r>
        <w:rPr>
          <w:rFonts w:ascii="宋体" w:hAnsi="宋体" w:cs="宋体" w:eastAsia="宋体" w:hint="default"/>
          <w:b w:val="0"/>
          <w:bCs w:val="0"/>
        </w:rPr>
        <w:t>无</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4"/>
        <w:rPr>
          <w:rFonts w:ascii="宋体" w:hAnsi="宋体" w:cs="宋体" w:eastAsia="宋体" w:hint="default"/>
          <w:sz w:val="24"/>
          <w:szCs w:val="24"/>
        </w:rPr>
      </w:pPr>
    </w:p>
    <w:p>
      <w:pPr>
        <w:pStyle w:val="Heading1"/>
        <w:tabs>
          <w:tab w:pos="1398" w:val="left" w:leader="none"/>
        </w:tabs>
        <w:spacing w:line="240" w:lineRule="auto"/>
        <w:ind w:left="138" w:right="0"/>
        <w:jc w:val="left"/>
        <w:rPr>
          <w:b w:val="0"/>
          <w:bCs w:val="0"/>
        </w:rPr>
      </w:pPr>
      <w:bookmarkStart w:name="_TOC_250002" w:id="10"/>
      <w:r>
        <w:rPr>
          <w:w w:val="95"/>
        </w:rPr>
        <w:t>第十节</w:t>
        <w:tab/>
      </w:r>
      <w:r>
        <w:rPr/>
        <w:t>公司债券相关情况</w:t>
      </w:r>
      <w:bookmarkEnd w:id="10"/>
      <w:r>
        <w:rPr>
          <w:b w:val="0"/>
          <w:bCs w:val="0"/>
        </w:rPr>
      </w:r>
    </w:p>
    <w:p>
      <w:pPr>
        <w:spacing w:after="0" w:line="240" w:lineRule="auto"/>
        <w:jc w:val="left"/>
        <w:sectPr>
          <w:type w:val="continuous"/>
          <w:pgSz w:w="11910" w:h="16840"/>
          <w:pgMar w:top="1120" w:bottom="1380" w:left="1660" w:right="1140"/>
          <w:cols w:num="2" w:equalWidth="0">
            <w:col w:w="986" w:space="1676"/>
            <w:col w:w="6448"/>
          </w:cols>
        </w:sectPr>
      </w:pPr>
    </w:p>
    <w:p>
      <w:pPr>
        <w:spacing w:line="240" w:lineRule="auto" w:before="7"/>
        <w:rPr>
          <w:rFonts w:ascii="黑体" w:hAnsi="黑体" w:cs="黑体" w:eastAsia="黑体" w:hint="default"/>
          <w:b/>
          <w:bCs/>
          <w:sz w:val="16"/>
          <w:szCs w:val="16"/>
        </w:rPr>
      </w:pPr>
    </w:p>
    <w:p>
      <w:pPr>
        <w:pStyle w:val="BodyText"/>
        <w:spacing w:line="240" w:lineRule="auto" w:before="36"/>
        <w:ind w:right="123"/>
        <w:jc w:val="left"/>
      </w:pPr>
      <w:r>
        <w:rPr/>
        <w:t>□适用</w:t>
      </w:r>
      <w:r>
        <w:rPr>
          <w:spacing w:val="-1"/>
        </w:rPr>
        <w:t> </w:t>
      </w:r>
      <w:r>
        <w:rPr/>
        <w:t>√不适用</w:t>
      </w:r>
    </w:p>
    <w:p>
      <w:pPr>
        <w:spacing w:after="0" w:line="240" w:lineRule="auto"/>
        <w:jc w:val="left"/>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1"/>
        <w:spacing w:line="240" w:lineRule="auto" w:before="14"/>
        <w:ind w:left="2003" w:right="2001"/>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pStyle w:val="Heading3"/>
        <w:spacing w:line="240" w:lineRule="auto" w:before="36"/>
        <w:ind w:left="138" w:right="123"/>
        <w:jc w:val="left"/>
        <w:rPr>
          <w:b w:val="0"/>
          <w:bCs w:val="0"/>
        </w:rPr>
      </w:pPr>
      <w:r>
        <w:rPr/>
        <w:t>一、审计报告</w:t>
      </w:r>
      <w:r>
        <w:rPr>
          <w:b w:val="0"/>
          <w:bCs w:val="0"/>
        </w:rPr>
      </w:r>
    </w:p>
    <w:p>
      <w:pPr>
        <w:pStyle w:val="Heading3"/>
        <w:spacing w:line="240" w:lineRule="auto" w:before="58"/>
        <w:ind w:left="0" w:right="130"/>
        <w:jc w:val="right"/>
        <w:rPr>
          <w:b w:val="0"/>
          <w:bCs w:val="0"/>
        </w:rPr>
      </w:pPr>
      <w:r>
        <w:rPr/>
        <w:t>大华审字</w:t>
      </w:r>
      <w:r>
        <w:rPr>
          <w:rFonts w:ascii="宋体" w:hAnsi="宋体" w:cs="宋体" w:eastAsia="宋体" w:hint="default"/>
        </w:rPr>
        <w:t>[2016]004996</w:t>
      </w:r>
      <w:r>
        <w:rPr/>
        <w:t>号</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Heading3"/>
        <w:spacing w:line="240" w:lineRule="auto" w:before="36"/>
        <w:ind w:left="138" w:right="123"/>
        <w:jc w:val="left"/>
        <w:rPr>
          <w:b w:val="0"/>
          <w:bCs w:val="0"/>
        </w:rPr>
      </w:pPr>
      <w:r>
        <w:rPr/>
        <w:t>广西慧球科技股份有限公司全体股东：</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45"/>
        <w:ind w:left="558" w:right="0"/>
        <w:jc w:val="left"/>
        <w:rPr>
          <w:rFonts w:ascii="宋体" w:hAnsi="宋体" w:cs="宋体" w:eastAsia="宋体" w:hint="default"/>
        </w:rPr>
      </w:pPr>
      <w:r>
        <w:rPr>
          <w:spacing w:val="-3"/>
        </w:rPr>
        <w:t>我们审计了后附的广西慧球科技股份有限公司</w:t>
      </w:r>
      <w:r>
        <w:rPr>
          <w:rFonts w:ascii="宋体" w:hAnsi="宋体" w:cs="宋体" w:eastAsia="宋体" w:hint="default"/>
          <w:spacing w:val="-3"/>
        </w:rPr>
        <w:t>(</w:t>
      </w:r>
      <w:r>
        <w:rPr>
          <w:spacing w:val="-3"/>
        </w:rPr>
        <w:t>以下简称慧球科技公司</w:t>
      </w:r>
      <w:r>
        <w:rPr>
          <w:rFonts w:ascii="宋体" w:hAnsi="宋体" w:cs="宋体" w:eastAsia="宋体" w:hint="default"/>
          <w:spacing w:val="-3"/>
        </w:rPr>
        <w:t>)</w:t>
      </w:r>
      <w:r>
        <w:rPr>
          <w:spacing w:val="-3"/>
        </w:rPr>
        <w:t>财务报表，包括</w:t>
      </w:r>
      <w:r>
        <w:rPr>
          <w:spacing w:val="10"/>
        </w:rPr>
        <w:t> </w:t>
      </w:r>
      <w:r>
        <w:rPr>
          <w:rFonts w:ascii="宋体" w:hAnsi="宋体" w:cs="宋体" w:eastAsia="宋体" w:hint="default"/>
        </w:rPr>
        <w:t>2015</w:t>
      </w:r>
    </w:p>
    <w:p>
      <w:pPr>
        <w:pStyle w:val="BodyText"/>
        <w:spacing w:line="355" w:lineRule="auto" w:before="133"/>
        <w:ind w:right="123"/>
        <w:jc w:val="left"/>
      </w:pPr>
      <w:r>
        <w:rPr/>
        <w:t>年</w:t>
      </w:r>
      <w:r>
        <w:rPr>
          <w:spacing w:val="-39"/>
        </w:rPr>
        <w:t> </w:t>
      </w:r>
      <w:r>
        <w:rPr>
          <w:rFonts w:ascii="宋体" w:hAnsi="宋体" w:cs="宋体" w:eastAsia="宋体" w:hint="default"/>
        </w:rPr>
        <w:t>12</w:t>
      </w:r>
      <w:r>
        <w:rPr>
          <w:rFonts w:ascii="宋体" w:hAnsi="宋体" w:cs="宋体" w:eastAsia="宋体" w:hint="default"/>
          <w:spacing w:val="-42"/>
        </w:rPr>
        <w:t> </w:t>
      </w:r>
      <w:r>
        <w:rPr/>
        <w:t>月</w:t>
      </w:r>
      <w:r>
        <w:rPr>
          <w:spacing w:val="-39"/>
        </w:rPr>
        <w:t> </w:t>
      </w:r>
      <w:r>
        <w:rPr>
          <w:rFonts w:ascii="宋体" w:hAnsi="宋体" w:cs="宋体" w:eastAsia="宋体" w:hint="default"/>
        </w:rPr>
        <w:t>31</w:t>
      </w:r>
      <w:r>
        <w:rPr>
          <w:rFonts w:ascii="宋体" w:hAnsi="宋体" w:cs="宋体" w:eastAsia="宋体" w:hint="default"/>
          <w:spacing w:val="-42"/>
        </w:rPr>
        <w:t> </w:t>
      </w:r>
      <w:r>
        <w:rPr>
          <w:spacing w:val="-3"/>
        </w:rPr>
        <w:t>日的合并及母公司资产负债表，</w:t>
      </w:r>
      <w:r>
        <w:rPr>
          <w:rFonts w:ascii="宋体" w:hAnsi="宋体" w:cs="宋体" w:eastAsia="宋体" w:hint="default"/>
          <w:spacing w:val="-3"/>
        </w:rPr>
        <w:t>2015</w:t>
      </w:r>
      <w:r>
        <w:rPr>
          <w:rFonts w:ascii="宋体" w:hAnsi="宋体" w:cs="宋体" w:eastAsia="宋体" w:hint="default"/>
          <w:spacing w:val="-42"/>
        </w:rPr>
        <w:t> </w:t>
      </w:r>
      <w:r>
        <w:rPr>
          <w:spacing w:val="-3"/>
        </w:rPr>
        <w:t>年度的合并及母公司利润表、合并及母公司现金</w:t>
      </w:r>
      <w:r>
        <w:rPr>
          <w:spacing w:val="-100"/>
        </w:rPr>
        <w:t> </w:t>
      </w:r>
      <w:r>
        <w:rPr>
          <w:spacing w:val="-100"/>
        </w:rPr>
      </w:r>
      <w:r>
        <w:rPr/>
        <w:t>流量表、合并及母公司股东权益变动表，以及财务报表附注。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355" w:lineRule="auto" w:before="0"/>
        <w:ind w:left="558" w:right="123"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4"/>
          <w:sz w:val="21"/>
          <w:szCs w:val="21"/>
        </w:rPr>
        <w:t>编制和公允列报财务报表是慧球科技公司管理层的责任，这种责任包括：（</w:t>
      </w:r>
      <w:r>
        <w:rPr>
          <w:rFonts w:ascii="宋体" w:hAnsi="宋体" w:cs="宋体" w:eastAsia="宋体" w:hint="default"/>
          <w:spacing w:val="-4"/>
          <w:sz w:val="21"/>
          <w:szCs w:val="21"/>
        </w:rPr>
        <w:t>1</w:t>
      </w:r>
      <w:r>
        <w:rPr>
          <w:rFonts w:ascii="宋体" w:hAnsi="宋体" w:cs="宋体" w:eastAsia="宋体" w:hint="default"/>
          <w:spacing w:val="-4"/>
          <w:sz w:val="21"/>
          <w:szCs w:val="21"/>
        </w:rPr>
        <w:t>）按照企业会计</w:t>
      </w:r>
    </w:p>
    <w:p>
      <w:pPr>
        <w:pStyle w:val="BodyText"/>
        <w:spacing w:line="355" w:lineRule="auto" w:before="32"/>
        <w:ind w:right="123"/>
        <w:jc w:val="left"/>
      </w:pPr>
      <w:r>
        <w:rPr>
          <w:spacing w:val="-4"/>
        </w:rPr>
        <w:t>准则的规定编制财务报表，并使其实现公允反映；（</w:t>
      </w:r>
      <w:r>
        <w:rPr>
          <w:rFonts w:ascii="宋体" w:hAnsi="宋体" w:cs="宋体" w:eastAsia="宋体" w:hint="default"/>
          <w:spacing w:val="-4"/>
        </w:rPr>
        <w:t>2</w:t>
      </w:r>
      <w:r>
        <w:rPr>
          <w:spacing w:val="-4"/>
        </w:rPr>
        <w:t>）设计、执行和维护必要的内部控制，以使</w:t>
      </w:r>
      <w:r>
        <w:rPr>
          <w:spacing w:val="-36"/>
        </w:rPr>
        <w:t> </w:t>
      </w:r>
      <w:r>
        <w:rPr>
          <w:spacing w:val="-36"/>
        </w:rPr>
      </w:r>
      <w:r>
        <w:rPr/>
        <w:t>财务报表不存在由于舞弊或错误导致的重大错报。</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355" w:lineRule="auto" w:before="0"/>
        <w:ind w:left="558" w:right="123"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我们的责任是在执行审计工作的基础上对财务报表发表审计意见。我们按照中国注册会计师</w:t>
      </w:r>
    </w:p>
    <w:p>
      <w:pPr>
        <w:pStyle w:val="BodyText"/>
        <w:spacing w:line="357" w:lineRule="auto" w:before="32"/>
        <w:ind w:right="123"/>
        <w:jc w:val="left"/>
      </w:pPr>
      <w:r>
        <w:rPr>
          <w:spacing w:val="-2"/>
        </w:rPr>
        <w:t>审计准则的规定执行了审计工作。中国注册会计师审计准则要求我们遵守职业道德守则，计划和</w:t>
      </w:r>
      <w:r>
        <w:rPr>
          <w:spacing w:val="-25"/>
        </w:rPr>
        <w:t> </w:t>
      </w:r>
      <w:r>
        <w:rPr>
          <w:spacing w:val="-25"/>
        </w:rPr>
      </w:r>
      <w:r>
        <w:rPr/>
        <w:t>执行审计工作以对财务报表是否不存在重大错报获取合理保证。</w:t>
      </w:r>
    </w:p>
    <w:p>
      <w:pPr>
        <w:pStyle w:val="BodyText"/>
        <w:spacing w:line="357" w:lineRule="auto" w:before="30"/>
        <w:ind w:right="137" w:firstLine="419"/>
        <w:jc w:val="both"/>
      </w:pPr>
      <w:r>
        <w:rPr>
          <w:spacing w:val="-2"/>
        </w:rPr>
        <w:t>审计工作涉及实施审计程序，以获取有关财务报表金额和披露的审计证据。选择的审计程序</w:t>
      </w:r>
      <w:r>
        <w:rPr>
          <w:w w:val="100"/>
        </w:rPr>
        <w:t> </w:t>
      </w:r>
      <w:r>
        <w:rPr>
          <w:spacing w:val="-2"/>
        </w:rPr>
        <w:t>取决于注册会计师的判断，包括对由于舞弊或错误导致的财务报表重大错报风险的评估。在进行</w:t>
      </w:r>
      <w:r>
        <w:rPr>
          <w:spacing w:val="-25"/>
        </w:rPr>
        <w:t> </w:t>
      </w:r>
      <w:r>
        <w:rPr>
          <w:spacing w:val="-25"/>
        </w:rPr>
      </w:r>
      <w:r>
        <w:rPr>
          <w:spacing w:val="-2"/>
        </w:rPr>
        <w:t>风险评估时，注册会计师考虑与财务报表编制和公允列报相关的内部控制，以设计恰当的审计程</w:t>
      </w:r>
      <w:r>
        <w:rPr>
          <w:spacing w:val="-25"/>
        </w:rPr>
        <w:t> </w:t>
      </w:r>
      <w:r>
        <w:rPr>
          <w:spacing w:val="-25"/>
        </w:rPr>
      </w:r>
      <w:r>
        <w:rPr>
          <w:spacing w:val="-2"/>
        </w:rPr>
        <w:t>序。审计工作还包括评价管理层选用会计政策的恰当性和作出会计估计的合理性，以及评价财务</w:t>
      </w:r>
      <w:r>
        <w:rPr>
          <w:spacing w:val="-27"/>
        </w:rPr>
        <w:t> </w:t>
      </w:r>
      <w:r>
        <w:rPr>
          <w:spacing w:val="-27"/>
        </w:rPr>
      </w:r>
      <w:r>
        <w:rPr/>
        <w:t>报表的总体列报。</w:t>
      </w:r>
    </w:p>
    <w:p>
      <w:pPr>
        <w:pStyle w:val="BodyText"/>
        <w:spacing w:line="240" w:lineRule="auto" w:before="30"/>
        <w:ind w:left="558" w:right="123"/>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left="558" w:right="123" w:firstLine="2"/>
        <w:jc w:val="left"/>
      </w:pPr>
      <w:r>
        <w:rPr>
          <w:rFonts w:ascii="宋体" w:hAnsi="宋体" w:cs="宋体" w:eastAsia="宋体" w:hint="default"/>
          <w:b/>
          <w:bCs/>
        </w:rPr>
        <w:t>三、审计意见</w:t>
      </w:r>
      <w:r>
        <w:rPr>
          <w:rFonts w:ascii="宋体" w:hAnsi="宋体" w:cs="宋体" w:eastAsia="宋体" w:hint="default"/>
          <w:b/>
          <w:bCs/>
          <w:w w:val="100"/>
        </w:rPr>
        <w:t> </w:t>
      </w:r>
      <w:r>
        <w:rPr>
          <w:spacing w:val="-2"/>
        </w:rPr>
        <w:t>我们认为，慧球科技公司的财务报表在所有重大方面按照企业会计准则的规定编制，公允反</w:t>
      </w:r>
    </w:p>
    <w:p>
      <w:pPr>
        <w:pStyle w:val="BodyText"/>
        <w:spacing w:line="355" w:lineRule="auto" w:before="34"/>
        <w:ind w:right="139"/>
        <w:jc w:val="left"/>
      </w:pPr>
      <w:r>
        <w:rPr/>
        <w:t>映了慧球科技公司</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日的合并及母公司财务状况以及</w:t>
      </w:r>
      <w:r>
        <w:rPr>
          <w:spacing w:val="-53"/>
        </w:rPr>
        <w:t> </w:t>
      </w:r>
      <w:r>
        <w:rPr>
          <w:rFonts w:ascii="宋体" w:hAnsi="宋体" w:cs="宋体" w:eastAsia="宋体" w:hint="default"/>
        </w:rPr>
        <w:t>2015</w:t>
      </w:r>
      <w:r>
        <w:rPr>
          <w:rFonts w:ascii="宋体" w:hAnsi="宋体" w:cs="宋体" w:eastAsia="宋体" w:hint="default"/>
          <w:spacing w:val="-55"/>
        </w:rPr>
        <w:t> </w:t>
      </w:r>
      <w:r>
        <w:rPr/>
        <w:t>年度的合并及母公司经</w:t>
      </w:r>
      <w:r>
        <w:rPr>
          <w:w w:val="100"/>
        </w:rPr>
        <w:t> </w:t>
      </w:r>
      <w:r>
        <w:rPr/>
        <w:t>营成果和现金流量。</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tbl>
      <w:tblPr>
        <w:tblW w:w="0" w:type="auto"/>
        <w:jc w:val="left"/>
        <w:tblInd w:w="631" w:type="dxa"/>
        <w:tblLayout w:type="fixed"/>
        <w:tblCellMar>
          <w:top w:w="0" w:type="dxa"/>
          <w:left w:w="0" w:type="dxa"/>
          <w:bottom w:w="0" w:type="dxa"/>
          <w:right w:w="0" w:type="dxa"/>
        </w:tblCellMar>
        <w:tblLook w:val="01E0"/>
      </w:tblPr>
      <w:tblGrid>
        <w:gridCol w:w="3902"/>
        <w:gridCol w:w="2850"/>
      </w:tblGrid>
      <w:tr>
        <w:trPr>
          <w:trHeight w:val="211" w:hRule="exact"/>
        </w:trPr>
        <w:tc>
          <w:tcPr>
            <w:tcW w:w="3902"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大华会计师事务所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w:t>
            </w:r>
          </w:p>
        </w:tc>
        <w:tc>
          <w:tcPr>
            <w:tcW w:w="2850" w:type="dxa"/>
            <w:tcBorders>
              <w:top w:val="nil" w:sz="6" w:space="0" w:color="auto"/>
              <w:left w:val="nil" w:sz="6" w:space="0" w:color="auto"/>
              <w:bottom w:val="nil" w:sz="6" w:space="0" w:color="auto"/>
              <w:right w:val="nil" w:sz="6" w:space="0" w:color="auto"/>
            </w:tcBorders>
          </w:tcPr>
          <w:p>
            <w:pPr>
              <w:pStyle w:val="TableParagraph"/>
              <w:spacing w:line="211" w:lineRule="exact"/>
              <w:ind w:left="549" w:right="0"/>
              <w:jc w:val="left"/>
              <w:rPr>
                <w:rFonts w:ascii="宋体" w:hAnsi="宋体" w:cs="宋体" w:eastAsia="宋体" w:hint="default"/>
                <w:sz w:val="21"/>
                <w:szCs w:val="21"/>
              </w:rPr>
            </w:pPr>
            <w:r>
              <w:rPr>
                <w:rFonts w:ascii="宋体" w:hAnsi="宋体" w:cs="宋体" w:eastAsia="宋体" w:hint="default"/>
                <w:sz w:val="21"/>
                <w:szCs w:val="21"/>
              </w:rPr>
              <w:t>中国注册会计师：杨劼</w:t>
            </w:r>
          </w:p>
        </w:tc>
      </w:tr>
    </w:tbl>
    <w:p>
      <w:pPr>
        <w:spacing w:after="0" w:line="211" w:lineRule="exact"/>
        <w:jc w:val="left"/>
        <w:rPr>
          <w:rFonts w:ascii="宋体" w:hAnsi="宋体" w:cs="宋体" w:eastAsia="宋体" w:hint="default"/>
          <w:sz w:val="21"/>
          <w:szCs w:val="21"/>
        </w:rPr>
        <w:sectPr>
          <w:pgSz w:w="11910" w:h="16840"/>
          <w:pgMar w:header="882" w:footer="1195"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8"/>
          <w:szCs w:val="28"/>
        </w:rPr>
      </w:pPr>
    </w:p>
    <w:tbl>
      <w:tblPr>
        <w:tblW w:w="0" w:type="auto"/>
        <w:jc w:val="left"/>
        <w:tblInd w:w="1680" w:type="dxa"/>
        <w:tblLayout w:type="fixed"/>
        <w:tblCellMar>
          <w:top w:w="0" w:type="dxa"/>
          <w:left w:w="0" w:type="dxa"/>
          <w:bottom w:w="0" w:type="dxa"/>
          <w:right w:w="0" w:type="dxa"/>
        </w:tblCellMar>
        <w:tblLook w:val="01E0"/>
      </w:tblPr>
      <w:tblGrid>
        <w:gridCol w:w="2328"/>
        <w:gridCol w:w="3588"/>
      </w:tblGrid>
      <w:tr>
        <w:trPr>
          <w:trHeight w:val="912" w:hRule="exact"/>
        </w:trPr>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0"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b/>
                <w:bCs/>
                <w:sz w:val="21"/>
                <w:szCs w:val="21"/>
              </w:rPr>
              <w:t>·</w:t>
            </w:r>
            <w:r>
              <w:rPr>
                <w:rFonts w:ascii="宋体" w:hAnsi="宋体" w:cs="宋体" w:eastAsia="宋体" w:hint="default"/>
                <w:sz w:val="21"/>
                <w:szCs w:val="21"/>
              </w:rPr>
              <w:t>北京</w:t>
            </w:r>
          </w:p>
        </w:tc>
        <w:tc>
          <w:tcPr>
            <w:tcW w:w="3588" w:type="dxa"/>
            <w:tcBorders>
              <w:top w:val="nil" w:sz="6" w:space="0" w:color="auto"/>
              <w:left w:val="nil" w:sz="6" w:space="0" w:color="auto"/>
              <w:bottom w:val="nil" w:sz="6" w:space="0" w:color="auto"/>
              <w:right w:val="nil" w:sz="6" w:space="0" w:color="auto"/>
            </w:tcBorders>
          </w:tcPr>
          <w:p>
            <w:pPr>
              <w:pStyle w:val="TableParagraph"/>
              <w:spacing w:line="211" w:lineRule="exact"/>
              <w:ind w:left="1074" w:right="0"/>
              <w:jc w:val="left"/>
              <w:rPr>
                <w:rFonts w:ascii="宋体" w:hAnsi="宋体" w:cs="宋体" w:eastAsia="宋体" w:hint="default"/>
                <w:sz w:val="21"/>
                <w:szCs w:val="21"/>
              </w:rPr>
            </w:pPr>
            <w:r>
              <w:rPr>
                <w:rFonts w:ascii="宋体" w:hAnsi="宋体" w:cs="宋体" w:eastAsia="宋体" w:hint="default"/>
                <w:sz w:val="21"/>
                <w:szCs w:val="21"/>
              </w:rPr>
              <w:t>中国注册会计师：张洪富</w:t>
            </w:r>
          </w:p>
        </w:tc>
      </w:tr>
      <w:tr>
        <w:trPr>
          <w:trHeight w:val="751" w:hRule="exact"/>
        </w:trPr>
        <w:tc>
          <w:tcPr>
            <w:tcW w:w="2328"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759" w:right="0"/>
              <w:jc w:val="left"/>
              <w:rPr>
                <w:rFonts w:ascii="宋体" w:hAnsi="宋体" w:cs="宋体" w:eastAsia="宋体" w:hint="default"/>
                <w:sz w:val="21"/>
                <w:szCs w:val="21"/>
              </w:rPr>
            </w:pPr>
            <w:r>
              <w:rPr>
                <w:rFonts w:ascii="宋体" w:hAnsi="宋体" w:cs="宋体" w:eastAsia="宋体" w:hint="default"/>
                <w:sz w:val="21"/>
                <w:szCs w:val="21"/>
              </w:rPr>
              <w:t>二〇一六年四月二十八日</w:t>
            </w:r>
          </w:p>
        </w:tc>
      </w:tr>
    </w:tbl>
    <w:p>
      <w:pPr>
        <w:spacing w:after="0" w:line="240" w:lineRule="auto"/>
        <w:jc w:val="left"/>
        <w:rPr>
          <w:rFonts w:ascii="宋体" w:hAnsi="宋体" w:cs="宋体" w:eastAsia="宋体" w:hint="default"/>
          <w:sz w:val="21"/>
          <w:szCs w:val="21"/>
        </w:rPr>
        <w:sectPr>
          <w:pgSz w:w="11910" w:h="16840"/>
          <w:pgMar w:header="882" w:footer="1195"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82" w:footer="1195" w:top="1120" w:bottom="1380" w:left="1580" w:right="1040"/>
        </w:sectPr>
      </w:pPr>
    </w:p>
    <w:p>
      <w:pPr>
        <w:pStyle w:val="Heading3"/>
        <w:spacing w:line="240" w:lineRule="auto" w:before="36"/>
        <w:ind w:right="-16"/>
        <w:jc w:val="left"/>
        <w:rPr>
          <w:b w:val="0"/>
          <w:bCs w:val="0"/>
        </w:rPr>
      </w:pPr>
      <w:r>
        <w:rPr/>
        <w:t>二、财务报表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spacing w:before="0"/>
        <w:ind w:left="218" w:right="37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1488" w:space="2062"/>
            <w:col w:w="5740"/>
          </w:cols>
        </w:sectPr>
      </w:pPr>
    </w:p>
    <w:p>
      <w:pPr>
        <w:pStyle w:val="BodyText"/>
        <w:spacing w:line="271" w:lineRule="exact"/>
        <w:ind w:left="218" w:right="2465"/>
        <w:jc w:val="left"/>
      </w:pPr>
      <w:r>
        <w:rPr/>
        <w:t>编制单位</w:t>
      </w:r>
      <w:r>
        <w:rPr>
          <w:rFonts w:ascii="宋体" w:hAnsi="宋体" w:cs="宋体" w:eastAsia="宋体" w:hint="default"/>
        </w:rPr>
        <w:t>:</w:t>
      </w:r>
      <w:r>
        <w:rPr>
          <w:rFonts w:ascii="宋体" w:hAnsi="宋体" w:cs="宋体" w:eastAsia="宋体" w:hint="default"/>
          <w:spacing w:val="-2"/>
        </w:rPr>
        <w:t> </w:t>
      </w:r>
      <w:r>
        <w:rPr/>
        <w:t>广西慧球科技股份有限公司</w:t>
      </w:r>
    </w:p>
    <w:p>
      <w:pPr>
        <w:pStyle w:val="BodyText"/>
        <w:tabs>
          <w:tab w:pos="946" w:val="left" w:leader="none"/>
        </w:tabs>
        <w:spacing w:line="274"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34,889,587.29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30,730,150.38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22,951,524.24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5,493,086.91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1,353,025.57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622,922.39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13,072,298.07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1,885,013.06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212,773.76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182,972.11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50,727,868.97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123,207,077.9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53,914,144.85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423,835.73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451,954.97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331,929.39</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15,000.00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213,320.31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91,484.33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430,009.50</w:t>
            </w: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1,399,094.93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558,439.30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124,606,172.83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54,472,584.15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1,334,811.00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2,030,439.80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444,963.53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5,443,164.34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3,844,308.85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1,951,144.42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501,549.26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1,649,285.08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2,025,672.59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76,147,810.87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43,337,187.92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88,556,655.51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50,153,682.15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2,601,702.35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2,336,937.63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2,601,702.35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2,336,937.63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91,158,357.86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52,490,619.78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394,793,708.00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394,793,708.00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388,023,103.37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362,183,732.14</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38,483,861.71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38,483,861.71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-788,347,444.48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-793,479,337.48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32,953,228.6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1,981,964.37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494,586.37</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33,447,814.97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1,981,964.37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124,606,172.83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54,472,584.15</w:t>
            </w:r>
          </w:p>
        </w:tc>
      </w:tr>
    </w:tbl>
    <w:p>
      <w:pPr>
        <w:pStyle w:val="BodyText"/>
        <w:tabs>
          <w:tab w:pos="2949" w:val="left" w:leader="none"/>
        </w:tabs>
        <w:spacing w:line="241" w:lineRule="exact"/>
        <w:ind w:left="218" w:right="96"/>
        <w:jc w:val="left"/>
      </w:pPr>
      <w:r>
        <w:rPr>
          <w:spacing w:val="-1"/>
        </w:rPr>
        <w:t>法定代表人：顾国平</w:t>
        <w:tab/>
      </w:r>
      <w:r>
        <w:rPr>
          <w:spacing w:val="-2"/>
        </w:rPr>
        <w:t>主管会计工作负责人：顾国平会计机构负责人：朱军</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广西慧球科技股份有限公司</w:t>
      </w:r>
    </w:p>
    <w:p>
      <w:pPr>
        <w:spacing w:before="36"/>
        <w:ind w:left="41" w:right="-15"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687" w:space="40"/>
            <w:col w:w="1778" w:space="1229"/>
            <w:col w:w="255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578,849.08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1,000,939.14</w:t>
            </w:r>
          </w:p>
        </w:tc>
      </w:tr>
      <w:tr>
        <w:trPr>
          <w:trHeight w:val="56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11,927,766.99</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248,289.54</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3,963,656.67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493,166.78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15,000,000.00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66,718,562.28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16,494,105.92</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95,147,253.24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20,047,253.24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430,009.50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95,582,262.74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20,047,253.24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162,300,825.02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36,541,359.16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167,291.87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78,819.50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333,508.96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2,682.77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141,059,264.72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44,903,710.45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141,560,065.55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44,985,212.72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141,560,065.55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44,985,212.72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394,793,708.00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394,793,708.00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388,023,103.37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362,183,732.14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38,483,861.71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38,483,861.71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-800,559,913.61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-803,905,155.41</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20,740,759.47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-8,443,853.56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162,300,825.02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36,541,359.16</w:t>
            </w:r>
          </w:p>
        </w:tc>
      </w:tr>
    </w:tbl>
    <w:p>
      <w:pPr>
        <w:pStyle w:val="BodyText"/>
        <w:tabs>
          <w:tab w:pos="2949" w:val="left" w:leader="none"/>
        </w:tabs>
        <w:spacing w:line="241" w:lineRule="exact"/>
        <w:ind w:left="218" w:right="96"/>
        <w:jc w:val="left"/>
      </w:pPr>
      <w:r>
        <w:rPr>
          <w:spacing w:val="-1"/>
        </w:rPr>
        <w:t>法定代表人：顾国平</w:t>
        <w:tab/>
      </w:r>
      <w:r>
        <w:rPr>
          <w:spacing w:val="-2"/>
        </w:rPr>
        <w:t>主管会计工作负责人：顾国平会计机构负责人：朱军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92,909,443.18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47,368,751.54</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sz w:val="21"/>
              </w:rPr>
              <w:t>92,909,443.18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47,368,751.54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86,675,527.07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44,833,163.43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63,297,102.43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32,865,558.28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3,172,818.93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2,529,103.77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18,428,255.23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9,299,540.00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653,467.63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-174,997.88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1,123,882.85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313,959.26</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14,469.04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495,618.61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6,248,385.15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3,031,206.72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136,809.08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98,766.82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6,040.80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100,986.58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709,432.23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53,980.27</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6,284,207.65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2,420,541.31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1,157,728.28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1,813,769.29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5,126,479.37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606,772.02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5,131,893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606,772.02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-5,413.63</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5,126,479.37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606,772.02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5,131,893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606,772.02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-5,413.63</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0.002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0.002</w:t>
            </w:r>
          </w:p>
        </w:tc>
      </w:tr>
    </w:tbl>
    <w:p>
      <w:pPr>
        <w:pStyle w:val="BodyText"/>
        <w:tabs>
          <w:tab w:pos="2949" w:val="left" w:leader="none"/>
        </w:tabs>
        <w:spacing w:line="241" w:lineRule="exact"/>
        <w:ind w:left="218" w:right="96"/>
        <w:jc w:val="left"/>
      </w:pPr>
      <w:r>
        <w:rPr>
          <w:spacing w:val="-1"/>
        </w:rPr>
        <w:t>法定代表人：顾国平</w:t>
        <w:tab/>
      </w:r>
      <w:r>
        <w:rPr>
          <w:spacing w:val="-2"/>
        </w:rPr>
        <w:t>主管会计工作负责人：顾国平会计机构负责人：朱军</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3"/>
          <w:pgSz w:w="11910" w:h="16840"/>
          <w:pgMar w:footer="1195" w:header="882" w:top="1120" w:bottom="138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12,443,553.56</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1,010,076.00</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303,575.52</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6,483,109.75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4,830,368.46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838,413.41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-104,286.62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477,606.12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71,822.18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14,469.04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467,509.03</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3,345,241.8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-4,330,394.99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49,000.00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600,000.00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3,345,241.8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-4,881,394.99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3,345,241.8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-4,881,394.99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3,345,241.80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-4,881,394.99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5"/>
              <w:jc w:val="right"/>
              <w:rPr>
                <w:rFonts w:ascii="宋体" w:hAnsi="宋体" w:cs="宋体" w:eastAsia="宋体" w:hint="default"/>
                <w:sz w:val="21"/>
                <w:szCs w:val="21"/>
              </w:rPr>
            </w:pPr>
            <w:r>
              <w:rPr>
                <w:rFonts w:ascii="宋体"/>
                <w:sz w:val="21"/>
              </w:rPr>
              <w:t>-0.01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-0.01</w:t>
            </w:r>
          </w:p>
        </w:tc>
      </w:tr>
    </w:tbl>
    <w:p>
      <w:pPr>
        <w:pStyle w:val="BodyText"/>
        <w:tabs>
          <w:tab w:pos="2949" w:val="left" w:leader="none"/>
        </w:tabs>
        <w:spacing w:line="241" w:lineRule="exact"/>
        <w:ind w:left="218" w:right="96"/>
        <w:jc w:val="left"/>
      </w:pPr>
      <w:r>
        <w:rPr>
          <w:spacing w:val="-1"/>
        </w:rPr>
        <w:t>法定代表人：顾国平</w:t>
        <w:tab/>
      </w:r>
      <w:r>
        <w:rPr>
          <w:spacing w:val="-2"/>
        </w:rPr>
        <w:t>主管会计工作负责人：顾国平会计机构负责人：朱军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44"/>
          <w:pgSz w:w="11910" w:h="16840"/>
          <w:pgMar w:footer="1195" w:header="882" w:top="1120" w:bottom="1380" w:left="1580" w:right="1040"/>
          <w:pgNumType w:start="61"/>
        </w:sectPr>
      </w:pPr>
    </w:p>
    <w:p>
      <w:pPr>
        <w:spacing w:line="272" w:lineRule="exact" w:before="64"/>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74,875,102.64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46,263,166.28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3,162,608.79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37,653,108.59</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78,037,711.43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83,916,274.87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90,672,255.26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12,170,148.23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28,316,545.25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24,590,713.22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6,440,333.15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4,434,283.38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45,047,299.79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45,242,995.94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170,476,433.45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86,438,140.77</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-92,438,722.02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-2,521,865.90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51,780.82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79,458,306.83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51,780.82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79,470,306.83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953,621.89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189,545.00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953,621.89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79,189,545.00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-901,841.07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280,761.83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132,000,000.00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132,500,000.00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51,322,241</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51,322,241.00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81,177,759.00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-12,162,804.09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-2,241,104.07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45,730,150.38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47,971,254.45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33,567,346.29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45,730,150.38</w:t>
            </w:r>
          </w:p>
        </w:tc>
      </w:tr>
    </w:tbl>
    <w:p>
      <w:pPr>
        <w:pStyle w:val="BodyText"/>
        <w:tabs>
          <w:tab w:pos="2949" w:val="left" w:leader="none"/>
        </w:tabs>
        <w:spacing w:line="241" w:lineRule="exact"/>
        <w:ind w:left="218" w:right="96"/>
        <w:jc w:val="left"/>
      </w:pPr>
      <w:r>
        <w:rPr>
          <w:spacing w:val="-1"/>
        </w:rPr>
        <w:t>法定代表人：顾国平</w:t>
        <w:tab/>
      </w:r>
      <w:r>
        <w:rPr>
          <w:spacing w:val="-2"/>
        </w:rPr>
        <w:t>主管会计工作负责人：顾国平会计机构负责人：朱军</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645,000.00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8,252.27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34,166,278.19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653,252.27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34,166,278.19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2,184,151.86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1,080,737.17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536,069.53</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37,476,892.26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33,710,859.35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90,197,113.65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34,791,596.52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-89,543,861.38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-625,318.33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51,780.82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76,430,197.25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51,780.82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76,430,197.25</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430,009.50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75,100,000.00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10,000,000.00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76,000,000.00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75,530,009.50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86,000,000.00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-75,478,228.68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-9,569,802.75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199,600,000.00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199,600,000.00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50,000,000.00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21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149,600,000.00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-15,422,090.06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-10,195,121.08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16,000,939.14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26,196,060.22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578,849.08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16,000,939.14</w:t>
            </w:r>
          </w:p>
        </w:tc>
      </w:tr>
    </w:tbl>
    <w:p>
      <w:pPr>
        <w:pStyle w:val="BodyText"/>
        <w:tabs>
          <w:tab w:pos="2949" w:val="left" w:leader="none"/>
        </w:tabs>
        <w:spacing w:line="241" w:lineRule="exact"/>
        <w:ind w:left="218" w:right="96"/>
        <w:jc w:val="left"/>
      </w:pPr>
      <w:r>
        <w:rPr>
          <w:spacing w:val="-1"/>
        </w:rPr>
        <w:t>法定代表人：顾国平</w:t>
        <w:tab/>
      </w:r>
      <w:r>
        <w:rPr>
          <w:spacing w:val="-2"/>
        </w:rPr>
        <w:t>主管会计工作负责人：顾国平会计机构负责人：朱军</w:t>
      </w:r>
    </w:p>
    <w:p>
      <w:pPr>
        <w:spacing w:after="0" w:line="241" w:lineRule="exact"/>
        <w:jc w:val="left"/>
        <w:sectPr>
          <w:pgSz w:w="11910" w:h="16840"/>
          <w:pgMar w:header="882" w:footer="1195" w:top="112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45"/>
          <w:footerReference w:type="default" r:id="rId46"/>
          <w:pgSz w:w="16840" w:h="11910" w:orient="landscape"/>
          <w:pgMar w:header="882" w:footer="1195" w:top="1120" w:bottom="1380" w:left="1360" w:right="1220"/>
          <w:pgNumType w:start="65"/>
        </w:sectPr>
      </w:pPr>
    </w:p>
    <w:p>
      <w:pPr>
        <w:spacing w:before="36"/>
        <w:ind w:left="632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60" w:right="1220"/>
          <w:cols w:num="2" w:equalWidth="0">
            <w:col w:w="8146" w:space="40"/>
            <w:col w:w="607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0"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57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271" w:right="1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9"/>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89"/>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9"/>
              <w:ind w:left="335" w:right="14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343"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160"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6"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394,793</w:t>
            </w:r>
          </w:p>
          <w:p>
            <w:pPr>
              <w:pStyle w:val="TableParagraph"/>
              <w:spacing w:line="234" w:lineRule="exact"/>
              <w:ind w:left="110" w:right="0"/>
              <w:jc w:val="left"/>
              <w:rPr>
                <w:rFonts w:ascii="宋体" w:hAnsi="宋体" w:cs="宋体" w:eastAsia="宋体" w:hint="default"/>
                <w:sz w:val="18"/>
                <w:szCs w:val="18"/>
              </w:rPr>
            </w:pPr>
            <w:r>
              <w:rPr>
                <w:rFonts w:ascii="宋体"/>
                <w:sz w:val="18"/>
              </w:rPr>
              <w:t>,708.00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362,183</w:t>
            </w:r>
          </w:p>
          <w:p>
            <w:pPr>
              <w:pStyle w:val="TableParagraph"/>
              <w:spacing w:line="234" w:lineRule="exact"/>
              <w:ind w:left="124" w:right="0"/>
              <w:jc w:val="left"/>
              <w:rPr>
                <w:rFonts w:ascii="宋体" w:hAnsi="宋体" w:cs="宋体" w:eastAsia="宋体" w:hint="default"/>
                <w:sz w:val="18"/>
                <w:szCs w:val="18"/>
              </w:rPr>
            </w:pPr>
            <w:r>
              <w:rPr>
                <w:rFonts w:ascii="宋体"/>
                <w:sz w:val="18"/>
              </w:rPr>
              <w:t>,732.14</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38,483,</w:t>
            </w:r>
          </w:p>
          <w:p>
            <w:pPr>
              <w:pStyle w:val="TableParagraph"/>
              <w:spacing w:line="234" w:lineRule="exact"/>
              <w:ind w:left="220" w:right="0"/>
              <w:jc w:val="left"/>
              <w:rPr>
                <w:rFonts w:ascii="宋体" w:hAnsi="宋体" w:cs="宋体" w:eastAsia="宋体" w:hint="default"/>
                <w:sz w:val="18"/>
                <w:szCs w:val="18"/>
              </w:rPr>
            </w:pPr>
            <w:r>
              <w:rPr>
                <w:rFonts w:ascii="宋体"/>
                <w:sz w:val="18"/>
              </w:rPr>
              <w:t>861.71</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-793,47</w:t>
            </w:r>
          </w:p>
          <w:p>
            <w:pPr>
              <w:pStyle w:val="TableParagraph"/>
              <w:spacing w:line="233" w:lineRule="exact"/>
              <w:ind w:right="100"/>
              <w:jc w:val="right"/>
              <w:rPr>
                <w:rFonts w:ascii="宋体" w:hAnsi="宋体" w:cs="宋体" w:eastAsia="宋体" w:hint="default"/>
                <w:sz w:val="18"/>
                <w:szCs w:val="18"/>
              </w:rPr>
            </w:pPr>
            <w:r>
              <w:rPr>
                <w:rFonts w:ascii="宋体"/>
                <w:sz w:val="18"/>
              </w:rPr>
              <w:t>9,337.4</w:t>
            </w:r>
          </w:p>
          <w:p>
            <w:pPr>
              <w:pStyle w:val="TableParagraph"/>
              <w:spacing w:line="234" w:lineRule="exact"/>
              <w:ind w:right="102"/>
              <w:jc w:val="right"/>
              <w:rPr>
                <w:rFonts w:ascii="宋体" w:hAnsi="宋体" w:cs="宋体" w:eastAsia="宋体" w:hint="default"/>
                <w:sz w:val="18"/>
                <w:szCs w:val="18"/>
              </w:rPr>
            </w:pPr>
            <w:r>
              <w:rPr>
                <w:rFonts w:ascii="宋体"/>
                <w:sz w:val="18"/>
              </w:rPr>
              <w:t>8</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1,981,964</w:t>
            </w:r>
          </w:p>
          <w:p>
            <w:pPr>
              <w:pStyle w:val="TableParagraph"/>
              <w:spacing w:line="234" w:lineRule="exact"/>
              <w:ind w:left="710" w:right="0"/>
              <w:jc w:val="left"/>
              <w:rPr>
                <w:rFonts w:ascii="宋体" w:hAnsi="宋体" w:cs="宋体" w:eastAsia="宋体" w:hint="default"/>
                <w:sz w:val="18"/>
                <w:szCs w:val="18"/>
              </w:rPr>
            </w:pPr>
            <w:r>
              <w:rPr>
                <w:rFonts w:ascii="宋体"/>
                <w:sz w:val="18"/>
              </w:rPr>
              <w:t>.37</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394,793</w:t>
            </w:r>
          </w:p>
          <w:p>
            <w:pPr>
              <w:pStyle w:val="TableParagraph"/>
              <w:spacing w:line="234" w:lineRule="exact"/>
              <w:ind w:left="110" w:right="0"/>
              <w:jc w:val="left"/>
              <w:rPr>
                <w:rFonts w:ascii="宋体" w:hAnsi="宋体" w:cs="宋体" w:eastAsia="宋体" w:hint="default"/>
                <w:sz w:val="18"/>
                <w:szCs w:val="18"/>
              </w:rPr>
            </w:pPr>
            <w:r>
              <w:rPr>
                <w:rFonts w:ascii="宋体"/>
                <w:sz w:val="18"/>
              </w:rPr>
              <w:t>,708.00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362,183</w:t>
            </w:r>
          </w:p>
          <w:p>
            <w:pPr>
              <w:pStyle w:val="TableParagraph"/>
              <w:spacing w:line="234" w:lineRule="exact"/>
              <w:ind w:left="124" w:right="0"/>
              <w:jc w:val="left"/>
              <w:rPr>
                <w:rFonts w:ascii="宋体" w:hAnsi="宋体" w:cs="宋体" w:eastAsia="宋体" w:hint="default"/>
                <w:sz w:val="18"/>
                <w:szCs w:val="18"/>
              </w:rPr>
            </w:pPr>
            <w:r>
              <w:rPr>
                <w:rFonts w:ascii="宋体"/>
                <w:sz w:val="18"/>
              </w:rPr>
              <w:t>,732.14</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3848386</w:t>
            </w:r>
          </w:p>
          <w:p>
            <w:pPr>
              <w:pStyle w:val="TableParagraph"/>
              <w:spacing w:line="234" w:lineRule="exact"/>
              <w:ind w:left="400" w:right="0"/>
              <w:jc w:val="left"/>
              <w:rPr>
                <w:rFonts w:ascii="宋体" w:hAnsi="宋体" w:cs="宋体" w:eastAsia="宋体" w:hint="default"/>
                <w:sz w:val="18"/>
                <w:szCs w:val="18"/>
              </w:rPr>
            </w:pPr>
            <w:r>
              <w:rPr>
                <w:rFonts w:ascii="宋体"/>
                <w:sz w:val="18"/>
              </w:rPr>
              <w:t>1.71</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-793479</w:t>
            </w:r>
          </w:p>
          <w:p>
            <w:pPr>
              <w:pStyle w:val="TableParagraph"/>
              <w:spacing w:line="234" w:lineRule="exact"/>
              <w:ind w:left="220" w:right="0"/>
              <w:jc w:val="left"/>
              <w:rPr>
                <w:rFonts w:ascii="宋体" w:hAnsi="宋体" w:cs="宋体" w:eastAsia="宋体" w:hint="default"/>
                <w:sz w:val="18"/>
                <w:szCs w:val="18"/>
              </w:rPr>
            </w:pPr>
            <w:r>
              <w:rPr>
                <w:rFonts w:ascii="宋体"/>
                <w:sz w:val="18"/>
              </w:rPr>
              <w:t>337.48</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1,981,964</w:t>
            </w:r>
          </w:p>
          <w:p>
            <w:pPr>
              <w:pStyle w:val="TableParagraph"/>
              <w:spacing w:line="234" w:lineRule="exact"/>
              <w:ind w:left="710" w:right="0"/>
              <w:jc w:val="left"/>
              <w:rPr>
                <w:rFonts w:ascii="宋体" w:hAnsi="宋体" w:cs="宋体" w:eastAsia="宋体" w:hint="default"/>
                <w:sz w:val="18"/>
                <w:szCs w:val="18"/>
              </w:rPr>
            </w:pPr>
            <w:r>
              <w:rPr>
                <w:rFonts w:ascii="宋体"/>
                <w:sz w:val="18"/>
              </w:rPr>
              <w:t>.37</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25,839,</w:t>
            </w:r>
          </w:p>
          <w:p>
            <w:pPr>
              <w:pStyle w:val="TableParagraph"/>
              <w:spacing w:line="234" w:lineRule="exact"/>
              <w:ind w:left="215" w:right="0"/>
              <w:jc w:val="left"/>
              <w:rPr>
                <w:rFonts w:ascii="宋体" w:hAnsi="宋体" w:cs="宋体" w:eastAsia="宋体" w:hint="default"/>
                <w:sz w:val="18"/>
                <w:szCs w:val="18"/>
              </w:rPr>
            </w:pPr>
            <w:r>
              <w:rPr>
                <w:rFonts w:ascii="宋体"/>
                <w:sz w:val="18"/>
              </w:rPr>
              <w:t>371.23</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5,131,8</w:t>
            </w:r>
          </w:p>
          <w:p>
            <w:pPr>
              <w:pStyle w:val="TableParagraph"/>
              <w:spacing w:line="234" w:lineRule="exact"/>
              <w:ind w:right="98"/>
              <w:jc w:val="right"/>
              <w:rPr>
                <w:rFonts w:ascii="宋体" w:hAnsi="宋体" w:cs="宋体" w:eastAsia="宋体" w:hint="default"/>
                <w:sz w:val="18"/>
                <w:szCs w:val="18"/>
              </w:rPr>
            </w:pPr>
            <w:r>
              <w:rPr>
                <w:rFonts w:ascii="宋体"/>
                <w:sz w:val="18"/>
              </w:rPr>
              <w:t>93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494586.37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31,465,85</w:t>
            </w:r>
          </w:p>
          <w:p>
            <w:pPr>
              <w:pStyle w:val="TableParagraph"/>
              <w:spacing w:line="234" w:lineRule="exact"/>
              <w:ind w:left="710" w:right="0"/>
              <w:jc w:val="left"/>
              <w:rPr>
                <w:rFonts w:ascii="宋体" w:hAnsi="宋体" w:cs="宋体" w:eastAsia="宋体" w:hint="default"/>
                <w:sz w:val="18"/>
                <w:szCs w:val="18"/>
              </w:rPr>
            </w:pPr>
            <w:r>
              <w:rPr>
                <w:rFonts w:ascii="宋体"/>
                <w:sz w:val="18"/>
              </w:rPr>
              <w:t>0.6</w:t>
            </w: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7" w:right="0"/>
              <w:jc w:val="center"/>
              <w:rPr>
                <w:rFonts w:ascii="宋体" w:hAnsi="宋体" w:cs="宋体" w:eastAsia="宋体" w:hint="default"/>
                <w:sz w:val="18"/>
                <w:szCs w:val="18"/>
              </w:rPr>
            </w:pPr>
            <w:r>
              <w:rPr>
                <w:rFonts w:ascii="宋体"/>
                <w:sz w:val="18"/>
              </w:rPr>
              <w:t>5,131,8</w:t>
            </w:r>
          </w:p>
          <w:p>
            <w:pPr>
              <w:pStyle w:val="TableParagraph"/>
              <w:spacing w:line="234" w:lineRule="exact"/>
              <w:ind w:left="207" w:right="0"/>
              <w:jc w:val="center"/>
              <w:rPr>
                <w:rFonts w:ascii="宋体" w:hAnsi="宋体" w:cs="宋体" w:eastAsia="宋体" w:hint="default"/>
                <w:sz w:val="18"/>
                <w:szCs w:val="18"/>
              </w:rPr>
            </w:pPr>
            <w:r>
              <w:rPr>
                <w:rFonts w:ascii="宋体"/>
                <w:sz w:val="18"/>
              </w:rPr>
              <w:t>93.00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-5,413.63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5,126,479</w:t>
            </w:r>
          </w:p>
          <w:p>
            <w:pPr>
              <w:pStyle w:val="TableParagraph"/>
              <w:spacing w:line="234" w:lineRule="exact"/>
              <w:ind w:left="710" w:right="0"/>
              <w:jc w:val="left"/>
              <w:rPr>
                <w:rFonts w:ascii="宋体" w:hAnsi="宋体" w:cs="宋体" w:eastAsia="宋体" w:hint="default"/>
                <w:sz w:val="18"/>
                <w:szCs w:val="18"/>
              </w:rPr>
            </w:pPr>
            <w:r>
              <w:rPr>
                <w:rFonts w:ascii="宋体"/>
                <w:sz w:val="18"/>
              </w:rPr>
              <w:t>.37</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25,839,</w:t>
            </w:r>
          </w:p>
          <w:p>
            <w:pPr>
              <w:pStyle w:val="TableParagraph"/>
              <w:spacing w:line="234" w:lineRule="exact"/>
              <w:ind w:left="215" w:right="0"/>
              <w:jc w:val="left"/>
              <w:rPr>
                <w:rFonts w:ascii="宋体" w:hAnsi="宋体" w:cs="宋体" w:eastAsia="宋体" w:hint="default"/>
                <w:sz w:val="18"/>
                <w:szCs w:val="18"/>
              </w:rPr>
            </w:pPr>
            <w:r>
              <w:rPr>
                <w:rFonts w:ascii="宋体"/>
                <w:sz w:val="18"/>
              </w:rPr>
              <w:t>371.23</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500,000.0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26,339,37</w:t>
            </w:r>
          </w:p>
          <w:p>
            <w:pPr>
              <w:pStyle w:val="TableParagraph"/>
              <w:spacing w:line="234" w:lineRule="exact"/>
              <w:ind w:left="622" w:right="0"/>
              <w:jc w:val="left"/>
              <w:rPr>
                <w:rFonts w:ascii="宋体" w:hAnsi="宋体" w:cs="宋体" w:eastAsia="宋体" w:hint="default"/>
                <w:sz w:val="18"/>
                <w:szCs w:val="18"/>
              </w:rPr>
            </w:pPr>
            <w:r>
              <w:rPr>
                <w:rFonts w:ascii="宋体"/>
                <w:sz w:val="18"/>
              </w:rPr>
              <w:t>1.23</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500,000.0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500,000.0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25,839,</w:t>
            </w:r>
          </w:p>
          <w:p>
            <w:pPr>
              <w:pStyle w:val="TableParagraph"/>
              <w:spacing w:line="240" w:lineRule="auto"/>
              <w:ind w:left="215" w:right="0"/>
              <w:jc w:val="left"/>
              <w:rPr>
                <w:rFonts w:ascii="宋体" w:hAnsi="宋体" w:cs="宋体" w:eastAsia="宋体" w:hint="default"/>
                <w:sz w:val="18"/>
                <w:szCs w:val="18"/>
              </w:rPr>
            </w:pPr>
            <w:r>
              <w:rPr>
                <w:rFonts w:ascii="宋体"/>
                <w:sz w:val="18"/>
              </w:rPr>
              <w:t>371.23</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25,839,37</w:t>
            </w:r>
          </w:p>
          <w:p>
            <w:pPr>
              <w:pStyle w:val="TableParagraph"/>
              <w:spacing w:line="240" w:lineRule="auto"/>
              <w:ind w:left="622" w:right="0"/>
              <w:jc w:val="left"/>
              <w:rPr>
                <w:rFonts w:ascii="宋体" w:hAnsi="宋体" w:cs="宋体" w:eastAsia="宋体" w:hint="default"/>
                <w:sz w:val="18"/>
                <w:szCs w:val="18"/>
              </w:rPr>
            </w:pPr>
            <w:r>
              <w:rPr>
                <w:rFonts w:ascii="宋体"/>
                <w:sz w:val="18"/>
              </w:rPr>
              <w:t>1.23</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394,793</w:t>
            </w:r>
          </w:p>
          <w:p>
            <w:pPr>
              <w:pStyle w:val="TableParagraph"/>
              <w:spacing w:line="234" w:lineRule="exact"/>
              <w:ind w:left="110" w:right="0"/>
              <w:jc w:val="left"/>
              <w:rPr>
                <w:rFonts w:ascii="宋体" w:hAnsi="宋体" w:cs="宋体" w:eastAsia="宋体" w:hint="default"/>
                <w:sz w:val="18"/>
                <w:szCs w:val="18"/>
              </w:rPr>
            </w:pPr>
            <w:r>
              <w:rPr>
                <w:rFonts w:ascii="宋体"/>
                <w:sz w:val="18"/>
              </w:rPr>
              <w:t>,708.00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388,023</w:t>
            </w:r>
          </w:p>
          <w:p>
            <w:pPr>
              <w:pStyle w:val="TableParagraph"/>
              <w:spacing w:line="234" w:lineRule="exact"/>
              <w:ind w:left="124" w:right="0"/>
              <w:jc w:val="left"/>
              <w:rPr>
                <w:rFonts w:ascii="宋体" w:hAnsi="宋体" w:cs="宋体" w:eastAsia="宋体" w:hint="default"/>
                <w:sz w:val="18"/>
                <w:szCs w:val="18"/>
              </w:rPr>
            </w:pPr>
            <w:r>
              <w:rPr>
                <w:rFonts w:ascii="宋体"/>
                <w:sz w:val="18"/>
              </w:rPr>
              <w:t>,103.37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38,483,</w:t>
            </w:r>
          </w:p>
          <w:p>
            <w:pPr>
              <w:pStyle w:val="TableParagraph"/>
              <w:spacing w:line="234" w:lineRule="exact"/>
              <w:ind w:left="220" w:right="0"/>
              <w:jc w:val="left"/>
              <w:rPr>
                <w:rFonts w:ascii="宋体" w:hAnsi="宋体" w:cs="宋体" w:eastAsia="宋体" w:hint="default"/>
                <w:sz w:val="18"/>
                <w:szCs w:val="18"/>
              </w:rPr>
            </w:pPr>
            <w:r>
              <w:rPr>
                <w:rFonts w:ascii="宋体"/>
                <w:sz w:val="18"/>
              </w:rPr>
              <w:t>861.71</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-788,34</w:t>
            </w:r>
          </w:p>
          <w:p>
            <w:pPr>
              <w:pStyle w:val="TableParagraph"/>
              <w:spacing w:line="233" w:lineRule="exact"/>
              <w:ind w:right="100"/>
              <w:jc w:val="right"/>
              <w:rPr>
                <w:rFonts w:ascii="宋体" w:hAnsi="宋体" w:cs="宋体" w:eastAsia="宋体" w:hint="default"/>
                <w:sz w:val="18"/>
                <w:szCs w:val="18"/>
              </w:rPr>
            </w:pPr>
            <w:r>
              <w:rPr>
                <w:rFonts w:ascii="宋体"/>
                <w:sz w:val="18"/>
              </w:rPr>
              <w:t>7,444.4</w:t>
            </w:r>
          </w:p>
          <w:p>
            <w:pPr>
              <w:pStyle w:val="TableParagraph"/>
              <w:spacing w:line="234" w:lineRule="exact"/>
              <w:ind w:right="102"/>
              <w:jc w:val="right"/>
              <w:rPr>
                <w:rFonts w:ascii="宋体" w:hAnsi="宋体" w:cs="宋体" w:eastAsia="宋体" w:hint="default"/>
                <w:sz w:val="18"/>
                <w:szCs w:val="18"/>
              </w:rPr>
            </w:pPr>
            <w:r>
              <w:rPr>
                <w:rFonts w:ascii="宋体"/>
                <w:sz w:val="18"/>
              </w:rPr>
              <w:t>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494,586.3</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33,447,81</w:t>
            </w:r>
          </w:p>
          <w:p>
            <w:pPr>
              <w:pStyle w:val="TableParagraph"/>
              <w:spacing w:line="234" w:lineRule="exact"/>
              <w:ind w:left="622" w:right="0"/>
              <w:jc w:val="left"/>
              <w:rPr>
                <w:rFonts w:ascii="宋体" w:hAnsi="宋体" w:cs="宋体" w:eastAsia="宋体" w:hint="default"/>
                <w:sz w:val="18"/>
                <w:szCs w:val="18"/>
              </w:rPr>
            </w:pPr>
            <w:r>
              <w:rPr>
                <w:rFonts w:ascii="宋体"/>
                <w:sz w:val="18"/>
              </w:rPr>
              <w:t>4.97</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357" w:right="17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278" w:right="18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51" w:right="156"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394,793</w:t>
            </w:r>
          </w:p>
          <w:p>
            <w:pPr>
              <w:pStyle w:val="TableParagraph"/>
              <w:spacing w:line="234" w:lineRule="exact"/>
              <w:ind w:left="124" w:right="0"/>
              <w:jc w:val="left"/>
              <w:rPr>
                <w:rFonts w:ascii="宋体" w:hAnsi="宋体" w:cs="宋体" w:eastAsia="宋体" w:hint="default"/>
                <w:sz w:val="18"/>
                <w:szCs w:val="18"/>
              </w:rPr>
            </w:pPr>
            <w:r>
              <w:rPr>
                <w:rFonts w:ascii="宋体"/>
                <w:sz w:val="18"/>
              </w:rPr>
              <w:t>,708.00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362,183</w:t>
            </w:r>
          </w:p>
          <w:p>
            <w:pPr>
              <w:pStyle w:val="TableParagraph"/>
              <w:spacing w:line="234" w:lineRule="exact"/>
              <w:ind w:left="127" w:right="0"/>
              <w:jc w:val="left"/>
              <w:rPr>
                <w:rFonts w:ascii="宋体" w:hAnsi="宋体" w:cs="宋体" w:eastAsia="宋体" w:hint="default"/>
                <w:sz w:val="18"/>
                <w:szCs w:val="18"/>
              </w:rPr>
            </w:pPr>
            <w:r>
              <w:rPr>
                <w:rFonts w:ascii="宋体"/>
                <w:sz w:val="18"/>
              </w:rPr>
              <w:t>,732.14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38,483,</w:t>
            </w:r>
          </w:p>
          <w:p>
            <w:pPr>
              <w:pStyle w:val="TableParagraph"/>
              <w:spacing w:line="234" w:lineRule="exact"/>
              <w:ind w:left="218" w:right="0"/>
              <w:jc w:val="left"/>
              <w:rPr>
                <w:rFonts w:ascii="宋体" w:hAnsi="宋体" w:cs="宋体" w:eastAsia="宋体" w:hint="default"/>
                <w:sz w:val="18"/>
                <w:szCs w:val="18"/>
              </w:rPr>
            </w:pPr>
            <w:r>
              <w:rPr>
                <w:rFonts w:ascii="宋体"/>
                <w:sz w:val="18"/>
              </w:rPr>
              <w:t>861.71</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-794,08</w:t>
            </w:r>
          </w:p>
          <w:p>
            <w:pPr>
              <w:pStyle w:val="TableParagraph"/>
              <w:spacing w:line="233" w:lineRule="exact"/>
              <w:ind w:right="98"/>
              <w:jc w:val="right"/>
              <w:rPr>
                <w:rFonts w:ascii="宋体" w:hAnsi="宋体" w:cs="宋体" w:eastAsia="宋体" w:hint="default"/>
                <w:sz w:val="18"/>
                <w:szCs w:val="18"/>
              </w:rPr>
            </w:pPr>
            <w:r>
              <w:rPr>
                <w:rFonts w:ascii="宋体"/>
                <w:sz w:val="18"/>
              </w:rPr>
              <w:t>6,109.5</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4" w:right="0"/>
              <w:jc w:val="left"/>
              <w:rPr>
                <w:rFonts w:ascii="宋体" w:hAnsi="宋体" w:cs="宋体" w:eastAsia="宋体" w:hint="default"/>
                <w:sz w:val="18"/>
                <w:szCs w:val="18"/>
              </w:rPr>
            </w:pPr>
            <w:r>
              <w:rPr>
                <w:rFonts w:ascii="宋体"/>
                <w:sz w:val="18"/>
              </w:rPr>
              <w:t>1,375,192</w:t>
            </w:r>
          </w:p>
          <w:p>
            <w:pPr>
              <w:pStyle w:val="TableParagraph"/>
              <w:spacing w:line="234" w:lineRule="exact"/>
              <w:ind w:left="725" w:right="0"/>
              <w:jc w:val="left"/>
              <w:rPr>
                <w:rFonts w:ascii="宋体" w:hAnsi="宋体" w:cs="宋体" w:eastAsia="宋体" w:hint="default"/>
                <w:sz w:val="18"/>
                <w:szCs w:val="18"/>
              </w:rPr>
            </w:pPr>
            <w:r>
              <w:rPr>
                <w:rFonts w:ascii="宋体"/>
                <w:sz w:val="18"/>
              </w:rPr>
              <w:t>.35</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394,793</w:t>
            </w:r>
          </w:p>
          <w:p>
            <w:pPr>
              <w:pStyle w:val="TableParagraph"/>
              <w:spacing w:line="240" w:lineRule="auto"/>
              <w:ind w:left="124" w:right="0"/>
              <w:jc w:val="left"/>
              <w:rPr>
                <w:rFonts w:ascii="宋体" w:hAnsi="宋体" w:cs="宋体" w:eastAsia="宋体" w:hint="default"/>
                <w:sz w:val="18"/>
                <w:szCs w:val="18"/>
              </w:rPr>
            </w:pPr>
            <w:r>
              <w:rPr>
                <w:rFonts w:ascii="宋体"/>
                <w:sz w:val="18"/>
              </w:rPr>
              <w:t>,708.00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362,183</w:t>
            </w:r>
          </w:p>
          <w:p>
            <w:pPr>
              <w:pStyle w:val="TableParagraph"/>
              <w:spacing w:line="240" w:lineRule="auto"/>
              <w:ind w:left="127" w:right="0"/>
              <w:jc w:val="left"/>
              <w:rPr>
                <w:rFonts w:ascii="宋体" w:hAnsi="宋体" w:cs="宋体" w:eastAsia="宋体" w:hint="default"/>
                <w:sz w:val="18"/>
                <w:szCs w:val="18"/>
              </w:rPr>
            </w:pPr>
            <w:r>
              <w:rPr>
                <w:rFonts w:ascii="宋体"/>
                <w:sz w:val="18"/>
              </w:rPr>
              <w:t>,732.14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38,483,</w:t>
            </w:r>
          </w:p>
          <w:p>
            <w:pPr>
              <w:pStyle w:val="TableParagraph"/>
              <w:spacing w:line="240" w:lineRule="auto"/>
              <w:ind w:left="218" w:right="0"/>
              <w:jc w:val="left"/>
              <w:rPr>
                <w:rFonts w:ascii="宋体" w:hAnsi="宋体" w:cs="宋体" w:eastAsia="宋体" w:hint="default"/>
                <w:sz w:val="18"/>
                <w:szCs w:val="18"/>
              </w:rPr>
            </w:pPr>
            <w:r>
              <w:rPr>
                <w:rFonts w:ascii="宋体"/>
                <w:sz w:val="18"/>
              </w:rPr>
              <w:t>861.71</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-794,08</w:t>
            </w:r>
          </w:p>
          <w:p>
            <w:pPr>
              <w:pStyle w:val="TableParagraph"/>
              <w:spacing w:line="234" w:lineRule="exact"/>
              <w:ind w:right="98"/>
              <w:jc w:val="right"/>
              <w:rPr>
                <w:rFonts w:ascii="宋体" w:hAnsi="宋体" w:cs="宋体" w:eastAsia="宋体" w:hint="default"/>
                <w:sz w:val="18"/>
                <w:szCs w:val="18"/>
              </w:rPr>
            </w:pPr>
            <w:r>
              <w:rPr>
                <w:rFonts w:ascii="宋体"/>
                <w:sz w:val="18"/>
              </w:rPr>
              <w:t>6,109.5</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1,375,192</w:t>
            </w:r>
          </w:p>
          <w:p>
            <w:pPr>
              <w:pStyle w:val="TableParagraph"/>
              <w:spacing w:line="240" w:lineRule="auto"/>
              <w:ind w:left="725" w:right="0"/>
              <w:jc w:val="left"/>
              <w:rPr>
                <w:rFonts w:ascii="宋体" w:hAnsi="宋体" w:cs="宋体" w:eastAsia="宋体" w:hint="default"/>
                <w:sz w:val="18"/>
                <w:szCs w:val="18"/>
              </w:rPr>
            </w:pPr>
            <w:r>
              <w:rPr>
                <w:rFonts w:ascii="宋体"/>
                <w:sz w:val="18"/>
              </w:rPr>
              <w:t>.35</w:t>
            </w:r>
          </w:p>
        </w:tc>
      </w:tr>
    </w:tbl>
    <w:p>
      <w:pPr>
        <w:spacing w:after="0" w:line="240" w:lineRule="auto"/>
        <w:jc w:val="left"/>
        <w:rPr>
          <w:rFonts w:ascii="宋体" w:hAnsi="宋体" w:cs="宋体" w:eastAsia="宋体" w:hint="default"/>
          <w:sz w:val="18"/>
          <w:szCs w:val="18"/>
        </w:rPr>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606,772</w:t>
            </w:r>
          </w:p>
          <w:p>
            <w:pPr>
              <w:pStyle w:val="TableParagraph"/>
              <w:spacing w:line="234" w:lineRule="exact"/>
              <w:ind w:left="489" w:right="0"/>
              <w:jc w:val="left"/>
              <w:rPr>
                <w:rFonts w:ascii="宋体" w:hAnsi="宋体" w:cs="宋体" w:eastAsia="宋体" w:hint="default"/>
                <w:sz w:val="18"/>
                <w:szCs w:val="18"/>
              </w:rPr>
            </w:pPr>
            <w:r>
              <w:rPr>
                <w:rFonts w:ascii="宋体"/>
                <w:sz w:val="18"/>
              </w:rPr>
              <w:t>.02</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606,772.0</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606,772</w:t>
            </w:r>
          </w:p>
          <w:p>
            <w:pPr>
              <w:pStyle w:val="TableParagraph"/>
              <w:spacing w:line="234" w:lineRule="exact"/>
              <w:ind w:left="489" w:right="0"/>
              <w:jc w:val="left"/>
              <w:rPr>
                <w:rFonts w:ascii="宋体" w:hAnsi="宋体" w:cs="宋体" w:eastAsia="宋体" w:hint="default"/>
                <w:sz w:val="18"/>
                <w:szCs w:val="18"/>
              </w:rPr>
            </w:pPr>
            <w:r>
              <w:rPr>
                <w:rFonts w:ascii="宋体"/>
                <w:sz w:val="18"/>
              </w:rPr>
              <w:t>.02</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606,772.0</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394,793</w:t>
            </w:r>
          </w:p>
          <w:p>
            <w:pPr>
              <w:pStyle w:val="TableParagraph"/>
              <w:spacing w:line="240" w:lineRule="auto"/>
              <w:ind w:left="124" w:right="0"/>
              <w:jc w:val="left"/>
              <w:rPr>
                <w:rFonts w:ascii="宋体" w:hAnsi="宋体" w:cs="宋体" w:eastAsia="宋体" w:hint="default"/>
                <w:sz w:val="18"/>
                <w:szCs w:val="18"/>
              </w:rPr>
            </w:pPr>
            <w:r>
              <w:rPr>
                <w:rFonts w:ascii="宋体"/>
                <w:sz w:val="18"/>
              </w:rPr>
              <w:t>,708.00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362,183</w:t>
            </w:r>
          </w:p>
          <w:p>
            <w:pPr>
              <w:pStyle w:val="TableParagraph"/>
              <w:spacing w:line="240" w:lineRule="auto"/>
              <w:ind w:left="127" w:right="0"/>
              <w:jc w:val="left"/>
              <w:rPr>
                <w:rFonts w:ascii="宋体" w:hAnsi="宋体" w:cs="宋体" w:eastAsia="宋体" w:hint="default"/>
                <w:sz w:val="18"/>
                <w:szCs w:val="18"/>
              </w:rPr>
            </w:pPr>
            <w:r>
              <w:rPr>
                <w:rFonts w:ascii="宋体"/>
                <w:sz w:val="18"/>
              </w:rPr>
              <w:t>,732.14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38,483,</w:t>
            </w:r>
          </w:p>
          <w:p>
            <w:pPr>
              <w:pStyle w:val="TableParagraph"/>
              <w:spacing w:line="240" w:lineRule="auto"/>
              <w:ind w:left="218" w:right="0"/>
              <w:jc w:val="left"/>
              <w:rPr>
                <w:rFonts w:ascii="宋体" w:hAnsi="宋体" w:cs="宋体" w:eastAsia="宋体" w:hint="default"/>
                <w:sz w:val="18"/>
                <w:szCs w:val="18"/>
              </w:rPr>
            </w:pPr>
            <w:r>
              <w:rPr>
                <w:rFonts w:ascii="宋体"/>
                <w:sz w:val="18"/>
              </w:rPr>
              <w:t>861.71</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-793,47</w:t>
            </w:r>
          </w:p>
          <w:p>
            <w:pPr>
              <w:pStyle w:val="TableParagraph"/>
              <w:spacing w:line="234" w:lineRule="exact"/>
              <w:ind w:right="98"/>
              <w:jc w:val="right"/>
              <w:rPr>
                <w:rFonts w:ascii="宋体" w:hAnsi="宋体" w:cs="宋体" w:eastAsia="宋体" w:hint="default"/>
                <w:sz w:val="18"/>
                <w:szCs w:val="18"/>
              </w:rPr>
            </w:pPr>
            <w:r>
              <w:rPr>
                <w:rFonts w:ascii="宋体"/>
                <w:sz w:val="18"/>
              </w:rPr>
              <w:t>9,337.4</w:t>
            </w:r>
          </w:p>
          <w:p>
            <w:pPr>
              <w:pStyle w:val="TableParagraph"/>
              <w:spacing w:line="234" w:lineRule="exact"/>
              <w:ind w:right="101"/>
              <w:jc w:val="right"/>
              <w:rPr>
                <w:rFonts w:ascii="宋体" w:hAnsi="宋体" w:cs="宋体" w:eastAsia="宋体" w:hint="default"/>
                <w:sz w:val="18"/>
                <w:szCs w:val="18"/>
              </w:rPr>
            </w:pPr>
            <w:r>
              <w:rPr>
                <w:rFonts w:ascii="宋体"/>
                <w:sz w:val="18"/>
              </w:rPr>
              <w:t>8</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1,981,964</w:t>
            </w:r>
          </w:p>
          <w:p>
            <w:pPr>
              <w:pStyle w:val="TableParagraph"/>
              <w:spacing w:line="240" w:lineRule="auto"/>
              <w:ind w:left="725" w:right="0"/>
              <w:jc w:val="left"/>
              <w:rPr>
                <w:rFonts w:ascii="宋体" w:hAnsi="宋体" w:cs="宋体" w:eastAsia="宋体" w:hint="default"/>
                <w:sz w:val="18"/>
                <w:szCs w:val="18"/>
              </w:rPr>
            </w:pPr>
            <w:r>
              <w:rPr>
                <w:rFonts w:ascii="宋体"/>
                <w:sz w:val="18"/>
              </w:rPr>
              <w:t>.37</w:t>
            </w:r>
          </w:p>
        </w:tc>
      </w:tr>
    </w:tbl>
    <w:p>
      <w:pPr>
        <w:pStyle w:val="BodyText"/>
        <w:tabs>
          <w:tab w:pos="2915" w:val="left" w:leader="none"/>
        </w:tabs>
        <w:spacing w:line="241" w:lineRule="exact"/>
        <w:ind w:left="184" w:right="0"/>
        <w:jc w:val="left"/>
      </w:pPr>
      <w:r>
        <w:rPr>
          <w:spacing w:val="-1"/>
        </w:rPr>
        <w:t>法定代表人：顾国平</w:t>
        <w:tab/>
      </w:r>
      <w:r>
        <w:rPr>
          <w:spacing w:val="-2"/>
        </w:rPr>
        <w:t>主管会计工作负责人：顾国平会计机构负责人：朱军</w:t>
      </w:r>
    </w:p>
    <w:p>
      <w:pPr>
        <w:spacing w:after="0" w:line="241" w:lineRule="exact"/>
        <w:jc w:val="left"/>
        <w:sectPr>
          <w:pgSz w:w="16840" w:h="11910" w:orient="landscape"/>
          <w:pgMar w:header="882" w:footer="1195" w:top="1120" w:bottom="1380" w:left="1340" w:right="1220"/>
        </w:sectPr>
      </w:pPr>
    </w:p>
    <w:p>
      <w:pPr>
        <w:spacing w:line="272" w:lineRule="exact" w:before="145"/>
        <w:ind w:left="632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592" w:val="left" w:leader="none"/>
        </w:tabs>
        <w:spacing w:line="240" w:lineRule="auto" w:before="139"/>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pgSz w:w="16840" w:h="11910" w:orient="landscape"/>
          <w:pgMar w:header="882" w:footer="1195" w:top="1120" w:bottom="1380" w:left="1360" w:right="1280"/>
          <w:cols w:num="2" w:equalWidth="0">
            <w:col w:w="8251" w:space="40"/>
            <w:col w:w="5909"/>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50"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394,793,7</w:t>
            </w:r>
          </w:p>
          <w:p>
            <w:pPr>
              <w:pStyle w:val="TableParagraph"/>
              <w:spacing w:line="234" w:lineRule="exact"/>
              <w:ind w:left="511" w:right="0"/>
              <w:jc w:val="left"/>
              <w:rPr>
                <w:rFonts w:ascii="宋体" w:hAnsi="宋体" w:cs="宋体" w:eastAsia="宋体" w:hint="default"/>
                <w:sz w:val="18"/>
                <w:szCs w:val="18"/>
              </w:rPr>
            </w:pPr>
            <w:r>
              <w:rPr>
                <w:rFonts w:ascii="宋体"/>
                <w:sz w:val="18"/>
              </w:rPr>
              <w:t>08.00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362,183,7</w:t>
            </w:r>
          </w:p>
          <w:p>
            <w:pPr>
              <w:pStyle w:val="TableParagraph"/>
              <w:spacing w:line="234" w:lineRule="exact"/>
              <w:ind w:left="472" w:right="0"/>
              <w:jc w:val="left"/>
              <w:rPr>
                <w:rFonts w:ascii="宋体" w:hAnsi="宋体" w:cs="宋体" w:eastAsia="宋体" w:hint="default"/>
                <w:sz w:val="18"/>
                <w:szCs w:val="18"/>
              </w:rPr>
            </w:pPr>
            <w:r>
              <w:rPr>
                <w:rFonts w:ascii="宋体"/>
                <w:sz w:val="18"/>
              </w:rPr>
              <w:t>32.14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38,483,8</w:t>
            </w:r>
          </w:p>
          <w:p>
            <w:pPr>
              <w:pStyle w:val="TableParagraph"/>
              <w:spacing w:line="234" w:lineRule="exact"/>
              <w:ind w:left="455" w:right="0"/>
              <w:jc w:val="left"/>
              <w:rPr>
                <w:rFonts w:ascii="宋体" w:hAnsi="宋体" w:cs="宋体" w:eastAsia="宋体" w:hint="default"/>
                <w:sz w:val="18"/>
                <w:szCs w:val="18"/>
              </w:rPr>
            </w:pPr>
            <w:r>
              <w:rPr>
                <w:rFonts w:ascii="宋体"/>
                <w:sz w:val="18"/>
              </w:rPr>
              <w:t>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-803,905</w:t>
            </w:r>
          </w:p>
          <w:p>
            <w:pPr>
              <w:pStyle w:val="TableParagraph"/>
              <w:spacing w:line="234" w:lineRule="exact"/>
              <w:ind w:left="261" w:right="0"/>
              <w:jc w:val="left"/>
              <w:rPr>
                <w:rFonts w:ascii="宋体" w:hAnsi="宋体" w:cs="宋体" w:eastAsia="宋体" w:hint="default"/>
                <w:sz w:val="18"/>
                <w:szCs w:val="18"/>
              </w:rPr>
            </w:pPr>
            <w:r>
              <w:rPr>
                <w:rFonts w:ascii="宋体"/>
                <w:sz w:val="18"/>
              </w:rPr>
              <w:t>,155.41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-8,443,85</w:t>
            </w:r>
          </w:p>
          <w:p>
            <w:pPr>
              <w:pStyle w:val="TableParagraph"/>
              <w:spacing w:line="234" w:lineRule="exact"/>
              <w:ind w:left="552" w:right="0"/>
              <w:jc w:val="left"/>
              <w:rPr>
                <w:rFonts w:ascii="宋体" w:hAnsi="宋体" w:cs="宋体" w:eastAsia="宋体" w:hint="default"/>
                <w:sz w:val="18"/>
                <w:szCs w:val="18"/>
              </w:rPr>
            </w:pPr>
            <w:r>
              <w:rPr>
                <w:rFonts w:ascii="宋体"/>
                <w:sz w:val="18"/>
              </w:rPr>
              <w:t>3.56</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394,793,7</w:t>
            </w:r>
          </w:p>
          <w:p>
            <w:pPr>
              <w:pStyle w:val="TableParagraph"/>
              <w:spacing w:line="240" w:lineRule="auto"/>
              <w:ind w:left="511" w:right="0"/>
              <w:jc w:val="left"/>
              <w:rPr>
                <w:rFonts w:ascii="宋体" w:hAnsi="宋体" w:cs="宋体" w:eastAsia="宋体" w:hint="default"/>
                <w:sz w:val="18"/>
                <w:szCs w:val="18"/>
              </w:rPr>
            </w:pPr>
            <w:r>
              <w:rPr>
                <w:rFonts w:ascii="宋体"/>
                <w:sz w:val="18"/>
              </w:rPr>
              <w:t>08.00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362,183,7</w:t>
            </w:r>
          </w:p>
          <w:p>
            <w:pPr>
              <w:pStyle w:val="TableParagraph"/>
              <w:spacing w:line="240" w:lineRule="auto"/>
              <w:ind w:left="472" w:right="0"/>
              <w:jc w:val="left"/>
              <w:rPr>
                <w:rFonts w:ascii="宋体" w:hAnsi="宋体" w:cs="宋体" w:eastAsia="宋体" w:hint="default"/>
                <w:sz w:val="18"/>
                <w:szCs w:val="18"/>
              </w:rPr>
            </w:pPr>
            <w:r>
              <w:rPr>
                <w:rFonts w:ascii="宋体"/>
                <w:sz w:val="18"/>
              </w:rPr>
              <w:t>32.14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38,483,8</w:t>
            </w:r>
          </w:p>
          <w:p>
            <w:pPr>
              <w:pStyle w:val="TableParagraph"/>
              <w:spacing w:line="240" w:lineRule="auto"/>
              <w:ind w:left="455" w:right="0"/>
              <w:jc w:val="left"/>
              <w:rPr>
                <w:rFonts w:ascii="宋体" w:hAnsi="宋体" w:cs="宋体" w:eastAsia="宋体" w:hint="default"/>
                <w:sz w:val="18"/>
                <w:szCs w:val="18"/>
              </w:rPr>
            </w:pPr>
            <w:r>
              <w:rPr>
                <w:rFonts w:ascii="宋体"/>
                <w:sz w:val="18"/>
              </w:rPr>
              <w:t>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-803,905</w:t>
            </w:r>
          </w:p>
          <w:p>
            <w:pPr>
              <w:pStyle w:val="TableParagraph"/>
              <w:spacing w:line="240" w:lineRule="auto"/>
              <w:ind w:left="261" w:right="0"/>
              <w:jc w:val="left"/>
              <w:rPr>
                <w:rFonts w:ascii="宋体" w:hAnsi="宋体" w:cs="宋体" w:eastAsia="宋体" w:hint="default"/>
                <w:sz w:val="18"/>
                <w:szCs w:val="18"/>
              </w:rPr>
            </w:pPr>
            <w:r>
              <w:rPr>
                <w:rFonts w:ascii="宋体"/>
                <w:sz w:val="18"/>
              </w:rPr>
              <w:t>,155.41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-8,443,85</w:t>
            </w:r>
          </w:p>
          <w:p>
            <w:pPr>
              <w:pStyle w:val="TableParagraph"/>
              <w:spacing w:line="240" w:lineRule="auto"/>
              <w:ind w:left="552" w:right="0"/>
              <w:jc w:val="left"/>
              <w:rPr>
                <w:rFonts w:ascii="宋体" w:hAnsi="宋体" w:cs="宋体" w:eastAsia="宋体" w:hint="default"/>
                <w:sz w:val="18"/>
                <w:szCs w:val="18"/>
              </w:rPr>
            </w:pPr>
            <w:r>
              <w:rPr>
                <w:rFonts w:ascii="宋体"/>
                <w:sz w:val="18"/>
              </w:rPr>
              <w:t>3.56</w:t>
            </w:r>
          </w:p>
        </w:tc>
      </w:tr>
      <w:tr>
        <w:trPr>
          <w:trHeight w:val="71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25,839,37</w:t>
            </w:r>
          </w:p>
          <w:p>
            <w:pPr>
              <w:pStyle w:val="TableParagraph"/>
              <w:spacing w:line="234" w:lineRule="exact"/>
              <w:ind w:left="561" w:right="0"/>
              <w:jc w:val="left"/>
              <w:rPr>
                <w:rFonts w:ascii="宋体" w:hAnsi="宋体" w:cs="宋体" w:eastAsia="宋体" w:hint="default"/>
                <w:sz w:val="18"/>
                <w:szCs w:val="18"/>
              </w:rPr>
            </w:pPr>
            <w:r>
              <w:rPr>
                <w:rFonts w:ascii="宋体"/>
                <w:sz w:val="18"/>
              </w:rPr>
              <w:t>1.23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3,345,24</w:t>
            </w:r>
          </w:p>
          <w:p>
            <w:pPr>
              <w:pStyle w:val="TableParagraph"/>
              <w:spacing w:line="234" w:lineRule="exact"/>
              <w:ind w:left="621" w:right="0"/>
              <w:jc w:val="left"/>
              <w:rPr>
                <w:rFonts w:ascii="宋体" w:hAnsi="宋体" w:cs="宋体" w:eastAsia="宋体" w:hint="default"/>
                <w:sz w:val="18"/>
                <w:szCs w:val="18"/>
              </w:rPr>
            </w:pPr>
            <w:r>
              <w:rPr>
                <w:rFonts w:ascii="宋体"/>
                <w:sz w:val="18"/>
              </w:rPr>
              <w:t>1.8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5"/>
              <w:jc w:val="righ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z w:val="18"/>
                <w:szCs w:val="18"/>
              </w:rPr>
              <w:t>，</w:t>
            </w:r>
          </w:p>
          <w:p>
            <w:pPr>
              <w:pStyle w:val="TableParagraph"/>
              <w:spacing w:line="234" w:lineRule="exact"/>
              <w:ind w:right="95"/>
              <w:jc w:val="right"/>
              <w:rPr>
                <w:rFonts w:ascii="宋体" w:hAnsi="宋体" w:cs="宋体" w:eastAsia="宋体" w:hint="default"/>
                <w:sz w:val="18"/>
                <w:szCs w:val="18"/>
              </w:rPr>
            </w:pPr>
            <w:r>
              <w:rPr>
                <w:rFonts w:ascii="宋体"/>
                <w:sz w:val="18"/>
              </w:rPr>
              <w:t>184,613.0</w:t>
            </w:r>
          </w:p>
          <w:p>
            <w:pPr>
              <w:pStyle w:val="TableParagraph"/>
              <w:spacing w:line="240" w:lineRule="auto"/>
              <w:ind w:right="97"/>
              <w:jc w:val="right"/>
              <w:rPr>
                <w:rFonts w:ascii="宋体" w:hAnsi="宋体" w:cs="宋体" w:eastAsia="宋体" w:hint="default"/>
                <w:sz w:val="18"/>
                <w:szCs w:val="18"/>
              </w:rPr>
            </w:pPr>
            <w:r>
              <w:rPr>
                <w:rFonts w:ascii="宋体"/>
                <w:sz w:val="18"/>
              </w:rPr>
              <w:t>3</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3,345,24</w:t>
            </w:r>
          </w:p>
          <w:p>
            <w:pPr>
              <w:pStyle w:val="TableParagraph"/>
              <w:spacing w:line="240" w:lineRule="auto"/>
              <w:ind w:left="621" w:right="0"/>
              <w:jc w:val="left"/>
              <w:rPr>
                <w:rFonts w:ascii="宋体" w:hAnsi="宋体" w:cs="宋体" w:eastAsia="宋体" w:hint="default"/>
                <w:sz w:val="18"/>
                <w:szCs w:val="18"/>
              </w:rPr>
            </w:pPr>
            <w:r>
              <w:rPr>
                <w:rFonts w:ascii="宋体"/>
                <w:sz w:val="18"/>
              </w:rPr>
              <w:t>1.8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3,345,241</w:t>
            </w:r>
          </w:p>
          <w:p>
            <w:pPr>
              <w:pStyle w:val="TableParagraph"/>
              <w:spacing w:line="240" w:lineRule="auto"/>
              <w:ind w:right="95"/>
              <w:jc w:val="right"/>
              <w:rPr>
                <w:rFonts w:ascii="宋体" w:hAnsi="宋体" w:cs="宋体" w:eastAsia="宋体" w:hint="default"/>
                <w:sz w:val="18"/>
                <w:szCs w:val="18"/>
              </w:rPr>
            </w:pPr>
            <w:r>
              <w:rPr>
                <w:rFonts w:ascii="宋体"/>
                <w:sz w:val="18"/>
              </w:rPr>
              <w:t>.8</w:t>
            </w: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25,839,37</w:t>
            </w:r>
          </w:p>
          <w:p>
            <w:pPr>
              <w:pStyle w:val="TableParagraph"/>
              <w:spacing w:line="234" w:lineRule="exact"/>
              <w:ind w:left="561" w:right="0"/>
              <w:jc w:val="left"/>
              <w:rPr>
                <w:rFonts w:ascii="宋体" w:hAnsi="宋体" w:cs="宋体" w:eastAsia="宋体" w:hint="default"/>
                <w:sz w:val="18"/>
                <w:szCs w:val="18"/>
              </w:rPr>
            </w:pPr>
            <w:r>
              <w:rPr>
                <w:rFonts w:ascii="宋体"/>
                <w:sz w:val="18"/>
              </w:rPr>
              <w:t>1.23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25,839,37</w:t>
            </w:r>
          </w:p>
          <w:p>
            <w:pPr>
              <w:pStyle w:val="TableParagraph"/>
              <w:spacing w:line="234" w:lineRule="exact"/>
              <w:ind w:left="552" w:right="0"/>
              <w:jc w:val="left"/>
              <w:rPr>
                <w:rFonts w:ascii="宋体" w:hAnsi="宋体" w:cs="宋体" w:eastAsia="宋体" w:hint="default"/>
                <w:sz w:val="18"/>
                <w:szCs w:val="18"/>
              </w:rPr>
            </w:pPr>
            <w:r>
              <w:rPr>
                <w:rFonts w:ascii="宋体"/>
                <w:sz w:val="18"/>
              </w:rPr>
              <w:t>1.23</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25,839,37</w:t>
            </w:r>
          </w:p>
          <w:p>
            <w:pPr>
              <w:pStyle w:val="TableParagraph"/>
              <w:spacing w:line="234" w:lineRule="exact"/>
              <w:ind w:left="561" w:right="0"/>
              <w:jc w:val="left"/>
              <w:rPr>
                <w:rFonts w:ascii="宋体" w:hAnsi="宋体" w:cs="宋体" w:eastAsia="宋体" w:hint="default"/>
                <w:sz w:val="18"/>
                <w:szCs w:val="18"/>
              </w:rPr>
            </w:pPr>
            <w:r>
              <w:rPr>
                <w:rFonts w:ascii="宋体"/>
                <w:sz w:val="18"/>
              </w:rPr>
              <w:t>1.23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25,839,37</w:t>
            </w:r>
          </w:p>
          <w:p>
            <w:pPr>
              <w:pStyle w:val="TableParagraph"/>
              <w:spacing w:line="234" w:lineRule="exact"/>
              <w:ind w:left="552" w:right="0"/>
              <w:jc w:val="left"/>
              <w:rPr>
                <w:rFonts w:ascii="宋体" w:hAnsi="宋体" w:cs="宋体" w:eastAsia="宋体" w:hint="default"/>
                <w:sz w:val="18"/>
                <w:szCs w:val="18"/>
              </w:rPr>
            </w:pPr>
            <w:r>
              <w:rPr>
                <w:rFonts w:ascii="宋体"/>
                <w:sz w:val="18"/>
              </w:rPr>
              <w:t>1.23</w:t>
            </w: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394,793,7</w:t>
            </w:r>
          </w:p>
          <w:p>
            <w:pPr>
              <w:pStyle w:val="TableParagraph"/>
              <w:spacing w:line="234" w:lineRule="exact"/>
              <w:ind w:left="511" w:right="0"/>
              <w:jc w:val="left"/>
              <w:rPr>
                <w:rFonts w:ascii="宋体" w:hAnsi="宋体" w:cs="宋体" w:eastAsia="宋体" w:hint="default"/>
                <w:sz w:val="18"/>
                <w:szCs w:val="18"/>
              </w:rPr>
            </w:pPr>
            <w:r>
              <w:rPr>
                <w:rFonts w:ascii="宋体"/>
                <w:sz w:val="18"/>
              </w:rPr>
              <w:t>08.00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388,023,1</w:t>
            </w:r>
          </w:p>
          <w:p>
            <w:pPr>
              <w:pStyle w:val="TableParagraph"/>
              <w:spacing w:line="234" w:lineRule="exact"/>
              <w:ind w:left="470" w:right="0"/>
              <w:jc w:val="left"/>
              <w:rPr>
                <w:rFonts w:ascii="宋体" w:hAnsi="宋体" w:cs="宋体" w:eastAsia="宋体" w:hint="default"/>
                <w:sz w:val="18"/>
                <w:szCs w:val="18"/>
              </w:rPr>
            </w:pPr>
            <w:r>
              <w:rPr>
                <w:rFonts w:ascii="宋体"/>
                <w:sz w:val="18"/>
              </w:rPr>
              <w:t>03.37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38,483,8</w:t>
            </w:r>
          </w:p>
          <w:p>
            <w:pPr>
              <w:pStyle w:val="TableParagraph"/>
              <w:spacing w:line="234" w:lineRule="exact"/>
              <w:ind w:left="455" w:right="0"/>
              <w:jc w:val="left"/>
              <w:rPr>
                <w:rFonts w:ascii="宋体" w:hAnsi="宋体" w:cs="宋体" w:eastAsia="宋体" w:hint="default"/>
                <w:sz w:val="18"/>
                <w:szCs w:val="18"/>
              </w:rPr>
            </w:pPr>
            <w:r>
              <w:rPr>
                <w:rFonts w:ascii="宋体"/>
                <w:sz w:val="18"/>
              </w:rPr>
              <w:t>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-800,559</w:t>
            </w:r>
          </w:p>
          <w:p>
            <w:pPr>
              <w:pStyle w:val="TableParagraph"/>
              <w:spacing w:line="234" w:lineRule="exact"/>
              <w:ind w:left="261" w:right="0"/>
              <w:jc w:val="left"/>
              <w:rPr>
                <w:rFonts w:ascii="宋体" w:hAnsi="宋体" w:cs="宋体" w:eastAsia="宋体" w:hint="default"/>
                <w:sz w:val="18"/>
                <w:szCs w:val="18"/>
              </w:rPr>
            </w:pPr>
            <w:r>
              <w:rPr>
                <w:rFonts w:ascii="宋体"/>
                <w:sz w:val="18"/>
              </w:rPr>
              <w:t>,913.61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20,740,75</w:t>
            </w:r>
          </w:p>
          <w:p>
            <w:pPr>
              <w:pStyle w:val="TableParagraph"/>
              <w:spacing w:line="234" w:lineRule="exact"/>
              <w:ind w:left="552" w:right="0"/>
              <w:jc w:val="left"/>
              <w:rPr>
                <w:rFonts w:ascii="宋体" w:hAnsi="宋体" w:cs="宋体" w:eastAsia="宋体" w:hint="default"/>
                <w:sz w:val="18"/>
                <w:szCs w:val="18"/>
              </w:rPr>
            </w:pPr>
            <w:r>
              <w:rPr>
                <w:rFonts w:ascii="宋体"/>
                <w:sz w:val="18"/>
              </w:rPr>
              <w:t>9.47</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0"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394,793,7</w:t>
            </w:r>
          </w:p>
          <w:p>
            <w:pPr>
              <w:pStyle w:val="TableParagraph"/>
              <w:spacing w:line="234" w:lineRule="exact"/>
              <w:ind w:left="511" w:right="0"/>
              <w:jc w:val="left"/>
              <w:rPr>
                <w:rFonts w:ascii="宋体" w:hAnsi="宋体" w:cs="宋体" w:eastAsia="宋体" w:hint="default"/>
                <w:sz w:val="18"/>
                <w:szCs w:val="18"/>
              </w:rPr>
            </w:pPr>
            <w:r>
              <w:rPr>
                <w:rFonts w:ascii="宋体"/>
                <w:sz w:val="18"/>
              </w:rPr>
              <w:t>08.00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362,183,7</w:t>
            </w:r>
          </w:p>
          <w:p>
            <w:pPr>
              <w:pStyle w:val="TableParagraph"/>
              <w:spacing w:line="234" w:lineRule="exact"/>
              <w:ind w:left="472" w:right="0"/>
              <w:jc w:val="left"/>
              <w:rPr>
                <w:rFonts w:ascii="宋体" w:hAnsi="宋体" w:cs="宋体" w:eastAsia="宋体" w:hint="default"/>
                <w:sz w:val="18"/>
                <w:szCs w:val="18"/>
              </w:rPr>
            </w:pPr>
            <w:r>
              <w:rPr>
                <w:rFonts w:ascii="宋体"/>
                <w:sz w:val="18"/>
              </w:rPr>
              <w:t>32.14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38,483,8</w:t>
            </w:r>
          </w:p>
          <w:p>
            <w:pPr>
              <w:pStyle w:val="TableParagraph"/>
              <w:spacing w:line="234" w:lineRule="exact"/>
              <w:ind w:left="455" w:right="0"/>
              <w:jc w:val="left"/>
              <w:rPr>
                <w:rFonts w:ascii="宋体" w:hAnsi="宋体" w:cs="宋体" w:eastAsia="宋体" w:hint="default"/>
                <w:sz w:val="18"/>
                <w:szCs w:val="18"/>
              </w:rPr>
            </w:pPr>
            <w:r>
              <w:rPr>
                <w:rFonts w:ascii="宋体"/>
                <w:sz w:val="18"/>
              </w:rPr>
              <w:t>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-799,023</w:t>
            </w:r>
          </w:p>
          <w:p>
            <w:pPr>
              <w:pStyle w:val="TableParagraph"/>
              <w:spacing w:line="234" w:lineRule="exact"/>
              <w:ind w:left="261" w:right="0"/>
              <w:jc w:val="left"/>
              <w:rPr>
                <w:rFonts w:ascii="宋体" w:hAnsi="宋体" w:cs="宋体" w:eastAsia="宋体" w:hint="default"/>
                <w:sz w:val="18"/>
                <w:szCs w:val="18"/>
              </w:rPr>
            </w:pPr>
            <w:r>
              <w:rPr>
                <w:rFonts w:ascii="宋体"/>
                <w:sz w:val="18"/>
              </w:rPr>
              <w:t>,760.42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-3,562,45</w:t>
            </w:r>
          </w:p>
          <w:p>
            <w:pPr>
              <w:pStyle w:val="TableParagraph"/>
              <w:spacing w:line="234" w:lineRule="exact"/>
              <w:ind w:left="552" w:right="0"/>
              <w:jc w:val="left"/>
              <w:rPr>
                <w:rFonts w:ascii="宋体" w:hAnsi="宋体" w:cs="宋体" w:eastAsia="宋体" w:hint="default"/>
                <w:sz w:val="18"/>
                <w:szCs w:val="18"/>
              </w:rPr>
            </w:pPr>
            <w:r>
              <w:rPr>
                <w:rFonts w:ascii="宋体"/>
                <w:sz w:val="18"/>
              </w:rPr>
              <w:t>8.57</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394,793,7</w:t>
            </w:r>
          </w:p>
          <w:p>
            <w:pPr>
              <w:pStyle w:val="TableParagraph"/>
              <w:spacing w:line="234" w:lineRule="exact"/>
              <w:ind w:left="511" w:right="0"/>
              <w:jc w:val="left"/>
              <w:rPr>
                <w:rFonts w:ascii="宋体" w:hAnsi="宋体" w:cs="宋体" w:eastAsia="宋体" w:hint="default"/>
                <w:sz w:val="18"/>
                <w:szCs w:val="18"/>
              </w:rPr>
            </w:pPr>
            <w:r>
              <w:rPr>
                <w:rFonts w:ascii="宋体"/>
                <w:sz w:val="18"/>
              </w:rPr>
              <w:t>08.00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362,183,7</w:t>
            </w:r>
          </w:p>
          <w:p>
            <w:pPr>
              <w:pStyle w:val="TableParagraph"/>
              <w:spacing w:line="234" w:lineRule="exact"/>
              <w:ind w:left="472" w:right="0"/>
              <w:jc w:val="left"/>
              <w:rPr>
                <w:rFonts w:ascii="宋体" w:hAnsi="宋体" w:cs="宋体" w:eastAsia="宋体" w:hint="default"/>
                <w:sz w:val="18"/>
                <w:szCs w:val="18"/>
              </w:rPr>
            </w:pPr>
            <w:r>
              <w:rPr>
                <w:rFonts w:ascii="宋体"/>
                <w:sz w:val="18"/>
              </w:rPr>
              <w:t>32.14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38,483,8</w:t>
            </w:r>
          </w:p>
          <w:p>
            <w:pPr>
              <w:pStyle w:val="TableParagraph"/>
              <w:spacing w:line="234" w:lineRule="exact"/>
              <w:ind w:left="455" w:right="0"/>
              <w:jc w:val="left"/>
              <w:rPr>
                <w:rFonts w:ascii="宋体" w:hAnsi="宋体" w:cs="宋体" w:eastAsia="宋体" w:hint="default"/>
                <w:sz w:val="18"/>
                <w:szCs w:val="18"/>
              </w:rPr>
            </w:pPr>
            <w:r>
              <w:rPr>
                <w:rFonts w:ascii="宋体"/>
                <w:sz w:val="18"/>
              </w:rPr>
              <w:t>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-799,023</w:t>
            </w:r>
          </w:p>
          <w:p>
            <w:pPr>
              <w:pStyle w:val="TableParagraph"/>
              <w:spacing w:line="234" w:lineRule="exact"/>
              <w:ind w:left="261" w:right="0"/>
              <w:jc w:val="left"/>
              <w:rPr>
                <w:rFonts w:ascii="宋体" w:hAnsi="宋体" w:cs="宋体" w:eastAsia="宋体" w:hint="default"/>
                <w:sz w:val="18"/>
                <w:szCs w:val="18"/>
              </w:rPr>
            </w:pPr>
            <w:r>
              <w:rPr>
                <w:rFonts w:ascii="宋体"/>
                <w:sz w:val="18"/>
              </w:rPr>
              <w:t>,760.42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-3,562,45</w:t>
            </w:r>
          </w:p>
          <w:p>
            <w:pPr>
              <w:pStyle w:val="TableParagraph"/>
              <w:spacing w:line="234" w:lineRule="exact"/>
              <w:ind w:left="552" w:right="0"/>
              <w:jc w:val="left"/>
              <w:rPr>
                <w:rFonts w:ascii="宋体" w:hAnsi="宋体" w:cs="宋体" w:eastAsia="宋体" w:hint="default"/>
                <w:sz w:val="18"/>
                <w:szCs w:val="18"/>
              </w:rPr>
            </w:pPr>
            <w:r>
              <w:rPr>
                <w:rFonts w:ascii="宋体"/>
                <w:sz w:val="18"/>
              </w:rPr>
              <w:t>8.57</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-4,881,3</w:t>
            </w:r>
          </w:p>
          <w:p>
            <w:pPr>
              <w:pStyle w:val="TableParagraph"/>
              <w:spacing w:line="234" w:lineRule="exact"/>
              <w:ind w:left="441" w:right="0"/>
              <w:jc w:val="left"/>
              <w:rPr>
                <w:rFonts w:ascii="宋体" w:hAnsi="宋体" w:cs="宋体" w:eastAsia="宋体" w:hint="default"/>
                <w:sz w:val="18"/>
                <w:szCs w:val="18"/>
              </w:rPr>
            </w:pPr>
            <w:r>
              <w:rPr>
                <w:rFonts w:ascii="宋体"/>
                <w:sz w:val="18"/>
              </w:rPr>
              <w:t>94.99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-4,881,39</w:t>
            </w:r>
          </w:p>
          <w:p>
            <w:pPr>
              <w:pStyle w:val="TableParagraph"/>
              <w:spacing w:line="234" w:lineRule="exact"/>
              <w:ind w:left="552" w:right="0"/>
              <w:jc w:val="left"/>
              <w:rPr>
                <w:rFonts w:ascii="宋体" w:hAnsi="宋体" w:cs="宋体" w:eastAsia="宋体" w:hint="default"/>
                <w:sz w:val="18"/>
                <w:szCs w:val="18"/>
              </w:rPr>
            </w:pPr>
            <w:r>
              <w:rPr>
                <w:rFonts w:ascii="宋体"/>
                <w:sz w:val="18"/>
              </w:rPr>
              <w:t>4.99</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-4,881,3</w:t>
            </w:r>
          </w:p>
          <w:p>
            <w:pPr>
              <w:pStyle w:val="TableParagraph"/>
              <w:spacing w:line="240" w:lineRule="auto"/>
              <w:ind w:left="441" w:right="0"/>
              <w:jc w:val="left"/>
              <w:rPr>
                <w:rFonts w:ascii="宋体" w:hAnsi="宋体" w:cs="宋体" w:eastAsia="宋体" w:hint="default"/>
                <w:sz w:val="18"/>
                <w:szCs w:val="18"/>
              </w:rPr>
            </w:pPr>
            <w:r>
              <w:rPr>
                <w:rFonts w:ascii="宋体"/>
                <w:sz w:val="18"/>
              </w:rPr>
              <w:t>94.99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-4,881,39</w:t>
            </w:r>
          </w:p>
          <w:p>
            <w:pPr>
              <w:pStyle w:val="TableParagraph"/>
              <w:spacing w:line="240" w:lineRule="auto"/>
              <w:ind w:left="552" w:right="0"/>
              <w:jc w:val="left"/>
              <w:rPr>
                <w:rFonts w:ascii="宋体" w:hAnsi="宋体" w:cs="宋体" w:eastAsia="宋体" w:hint="default"/>
                <w:sz w:val="18"/>
                <w:szCs w:val="18"/>
              </w:rPr>
            </w:pPr>
            <w:r>
              <w:rPr>
                <w:rFonts w:ascii="宋体"/>
                <w:sz w:val="18"/>
              </w:rPr>
              <w:t>4.99</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394,793,7</w:t>
            </w:r>
          </w:p>
          <w:p>
            <w:pPr>
              <w:pStyle w:val="TableParagraph"/>
              <w:spacing w:line="234" w:lineRule="exact"/>
              <w:ind w:left="511" w:right="0"/>
              <w:jc w:val="left"/>
              <w:rPr>
                <w:rFonts w:ascii="宋体" w:hAnsi="宋体" w:cs="宋体" w:eastAsia="宋体" w:hint="default"/>
                <w:sz w:val="18"/>
                <w:szCs w:val="18"/>
              </w:rPr>
            </w:pPr>
            <w:r>
              <w:rPr>
                <w:rFonts w:ascii="宋体"/>
                <w:sz w:val="18"/>
              </w:rPr>
              <w:t>08.00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362,183,7</w:t>
            </w:r>
          </w:p>
          <w:p>
            <w:pPr>
              <w:pStyle w:val="TableParagraph"/>
              <w:spacing w:line="234" w:lineRule="exact"/>
              <w:ind w:left="470" w:right="0"/>
              <w:jc w:val="left"/>
              <w:rPr>
                <w:rFonts w:ascii="宋体" w:hAnsi="宋体" w:cs="宋体" w:eastAsia="宋体" w:hint="default"/>
                <w:sz w:val="18"/>
                <w:szCs w:val="18"/>
              </w:rPr>
            </w:pPr>
            <w:r>
              <w:rPr>
                <w:rFonts w:ascii="宋体"/>
                <w:sz w:val="18"/>
              </w:rPr>
              <w:t>32.14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38,483,8</w:t>
            </w:r>
          </w:p>
          <w:p>
            <w:pPr>
              <w:pStyle w:val="TableParagraph"/>
              <w:spacing w:line="234" w:lineRule="exact"/>
              <w:ind w:left="455" w:right="0"/>
              <w:jc w:val="left"/>
              <w:rPr>
                <w:rFonts w:ascii="宋体" w:hAnsi="宋体" w:cs="宋体" w:eastAsia="宋体" w:hint="default"/>
                <w:sz w:val="18"/>
                <w:szCs w:val="18"/>
              </w:rPr>
            </w:pPr>
            <w:r>
              <w:rPr>
                <w:rFonts w:ascii="宋体"/>
                <w:sz w:val="18"/>
              </w:rPr>
              <w:t>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-803,905</w:t>
            </w:r>
          </w:p>
          <w:p>
            <w:pPr>
              <w:pStyle w:val="TableParagraph"/>
              <w:spacing w:line="234" w:lineRule="exact"/>
              <w:ind w:left="261" w:right="0"/>
              <w:jc w:val="left"/>
              <w:rPr>
                <w:rFonts w:ascii="宋体" w:hAnsi="宋体" w:cs="宋体" w:eastAsia="宋体" w:hint="default"/>
                <w:sz w:val="18"/>
                <w:szCs w:val="18"/>
              </w:rPr>
            </w:pPr>
            <w:r>
              <w:rPr>
                <w:rFonts w:ascii="宋体"/>
                <w:sz w:val="18"/>
              </w:rPr>
              <w:t>,155.41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-8,443,85</w:t>
            </w:r>
          </w:p>
          <w:p>
            <w:pPr>
              <w:pStyle w:val="TableParagraph"/>
              <w:spacing w:line="234" w:lineRule="exact"/>
              <w:ind w:left="552" w:right="0"/>
              <w:jc w:val="left"/>
              <w:rPr>
                <w:rFonts w:ascii="宋体" w:hAnsi="宋体" w:cs="宋体" w:eastAsia="宋体" w:hint="default"/>
                <w:sz w:val="18"/>
                <w:szCs w:val="18"/>
              </w:rPr>
            </w:pPr>
            <w:r>
              <w:rPr>
                <w:rFonts w:ascii="宋体"/>
                <w:sz w:val="18"/>
              </w:rPr>
              <w:t>3.56</w:t>
            </w:r>
          </w:p>
        </w:tc>
      </w:tr>
    </w:tbl>
    <w:p>
      <w:pPr>
        <w:pStyle w:val="BodyText"/>
        <w:tabs>
          <w:tab w:pos="2875" w:val="left" w:leader="none"/>
        </w:tabs>
        <w:spacing w:line="241" w:lineRule="exact"/>
        <w:ind w:left="144" w:right="0"/>
        <w:jc w:val="left"/>
      </w:pPr>
      <w:r>
        <w:rPr>
          <w:spacing w:val="-1"/>
        </w:rPr>
        <w:t>法定代表人：顾国平</w:t>
        <w:tab/>
      </w:r>
      <w:r>
        <w:rPr>
          <w:spacing w:val="-2"/>
        </w:rPr>
        <w:t>主管会计工作负责人：顾国平会计机构负责人：朱军</w:t>
      </w:r>
    </w:p>
    <w:p>
      <w:pPr>
        <w:spacing w:after="0" w:line="241" w:lineRule="exact"/>
        <w:jc w:val="left"/>
        <w:sectPr>
          <w:footerReference w:type="default" r:id="rId47"/>
          <w:pgSz w:w="16840" w:h="11910" w:orient="landscape"/>
          <w:pgMar w:footer="1195" w:header="882" w:top="1120" w:bottom="1380" w:left="1380" w:right="1280"/>
        </w:sectPr>
      </w:pPr>
    </w:p>
    <w:p>
      <w:pPr>
        <w:spacing w:line="240" w:lineRule="auto" w:before="9"/>
        <w:rPr>
          <w:rFonts w:ascii="宋体" w:hAnsi="宋体" w:cs="宋体" w:eastAsia="宋体" w:hint="default"/>
          <w:sz w:val="29"/>
          <w:szCs w:val="29"/>
        </w:rPr>
      </w:pPr>
      <w:r>
        <w:rPr/>
        <w:pict>
          <v:group style="position:absolute;margin-left:84.503998pt;margin-top:719.259949pt;width:466.9pt;height:5.05pt;mso-position-horizontal-relative:page;mso-position-vertical-relative:page;z-index:-594136" coordorigin="1690,14385" coordsize="9338,101">
            <v:shape style="position:absolute;left:1690;top:14385;width:3725;height:101" type="#_x0000_t75" stroked="false">
              <v:imagedata r:id="rId50" o:title=""/>
            </v:shape>
            <v:shape style="position:absolute;left:5391;top:14476;width:5636;height:10" type="#_x0000_t75" stroked="false">
              <v:imagedata r:id="rId51" o:title=""/>
            </v:shape>
            <w10:wrap type="none"/>
          </v:group>
        </w:pict>
      </w:r>
      <w:r>
        <w:rPr/>
        <w:pict>
          <v:group style="position:absolute;margin-left:84.503998pt;margin-top:736.799988pt;width:466.9pt;height:5.05pt;mso-position-horizontal-relative:page;mso-position-vertical-relative:page;z-index:-594112" coordorigin="1690,14736" coordsize="9338,101">
            <v:shape style="position:absolute;left:1690;top:14736;width:3725;height:101" type="#_x0000_t75" stroked="false">
              <v:imagedata r:id="rId50" o:title=""/>
            </v:shape>
            <v:shape style="position:absolute;left:5391;top:14827;width:5636;height:10" type="#_x0000_t75" stroked="false">
              <v:imagedata r:id="rId51" o:title=""/>
            </v:shape>
            <w10:wrap type="none"/>
          </v:group>
        </w:pict>
      </w:r>
    </w:p>
    <w:p>
      <w:pPr>
        <w:pStyle w:val="Heading3"/>
        <w:spacing w:line="240" w:lineRule="auto" w:before="36"/>
        <w:ind w:left="238" w:right="0"/>
        <w:jc w:val="left"/>
        <w:rPr>
          <w:b w:val="0"/>
          <w:bCs w:val="0"/>
        </w:rPr>
      </w:pPr>
      <w:r>
        <w:rPr/>
        <w:t>三、公司基本情况</w:t>
      </w:r>
      <w:r>
        <w:rPr>
          <w:b w:val="0"/>
          <w:bCs w:val="0"/>
        </w:rPr>
      </w:r>
    </w:p>
    <w:p>
      <w:pPr>
        <w:pStyle w:val="Heading3"/>
        <w:tabs>
          <w:tab w:pos="657" w:val="left" w:leader="none"/>
        </w:tabs>
        <w:spacing w:line="240" w:lineRule="auto" w:before="58"/>
        <w:ind w:left="238" w:right="0"/>
        <w:jc w:val="left"/>
        <w:rPr>
          <w:b w:val="0"/>
          <w:bCs w:val="0"/>
        </w:rPr>
      </w:pPr>
      <w:r>
        <w:rPr>
          <w:rFonts w:ascii="Calibri" w:hAnsi="Calibri" w:cs="Calibri" w:eastAsia="Calibri" w:hint="default"/>
        </w:rPr>
        <w:t>1.</w:t>
        <w:tab/>
      </w:r>
      <w:r>
        <w:rPr/>
        <w:t>公司概况</w:t>
      </w:r>
      <w:r>
        <w:rPr>
          <w:b w:val="0"/>
          <w:bCs w:val="0"/>
        </w:rPr>
      </w:r>
    </w:p>
    <w:p>
      <w:pPr>
        <w:pStyle w:val="Heading3"/>
        <w:spacing w:line="240" w:lineRule="auto" w:before="89"/>
        <w:ind w:left="658" w:right="0"/>
        <w:jc w:val="left"/>
        <w:rPr>
          <w:b w:val="0"/>
          <w:bCs w:val="0"/>
        </w:rPr>
      </w:pPr>
      <w:r>
        <w:rPr/>
        <w:t>（一）企业注册地、组织形式和总部地址</w:t>
      </w:r>
      <w:r>
        <w:rPr>
          <w:b w:val="0"/>
          <w:bCs w:val="0"/>
        </w:rPr>
      </w:r>
    </w:p>
    <w:p>
      <w:pPr>
        <w:pStyle w:val="BodyText"/>
        <w:spacing w:line="355" w:lineRule="auto" w:before="135"/>
        <w:ind w:left="238" w:right="509" w:firstLine="419"/>
        <w:jc w:val="both"/>
      </w:pPr>
      <w:r>
        <w:rPr/>
        <w:t>广西慧球科技股份有限公司</w:t>
      </w:r>
      <w:r>
        <w:rPr>
          <w:rFonts w:ascii="宋体" w:hAnsi="宋体" w:cs="宋体" w:eastAsia="宋体" w:hint="default"/>
        </w:rPr>
        <w:t>(</w:t>
      </w:r>
      <w:r>
        <w:rPr/>
        <w:t>以下简称“慧球科技”)原名广西北生药业股份有限公司</w:t>
      </w:r>
      <w:r>
        <w:rPr>
          <w:rFonts w:ascii="宋体" w:hAnsi="宋体" w:cs="宋体" w:eastAsia="宋体" w:hint="default"/>
        </w:rPr>
        <w:t>(</w:t>
      </w:r>
      <w:r>
        <w:rPr/>
        <w:t>以下</w:t>
      </w:r>
      <w:r>
        <w:rPr>
          <w:spacing w:val="2"/>
          <w:w w:val="100"/>
        </w:rPr>
        <w:t> </w:t>
      </w:r>
      <w:r>
        <w:rPr>
          <w:spacing w:val="-4"/>
        </w:rPr>
        <w:t>简称“北生药业”)。公司的前身是北海通发实业股份有限公司，是经广西壮族自治区人民政府以</w:t>
      </w:r>
      <w:r>
        <w:rPr>
          <w:spacing w:val="-34"/>
        </w:rPr>
        <w:t> </w:t>
      </w:r>
      <w:r>
        <w:rPr>
          <w:spacing w:val="-34"/>
        </w:rPr>
      </w:r>
      <w:r>
        <w:rPr>
          <w:spacing w:val="-1"/>
          <w:w w:val="100"/>
        </w:rPr>
        <w:t>“桂体改股字</w:t>
      </w:r>
      <w:r>
        <w:rPr>
          <w:rFonts w:ascii="宋体" w:hAnsi="宋体" w:cs="宋体" w:eastAsia="宋体" w:hint="default"/>
          <w:spacing w:val="-1"/>
          <w:w w:val="100"/>
        </w:rPr>
        <w:t>(1993)106</w:t>
      </w:r>
      <w:r>
        <w:rPr>
          <w:rFonts w:ascii="宋体" w:hAnsi="宋体" w:cs="宋体" w:eastAsia="宋体" w:hint="default"/>
          <w:spacing w:val="-73"/>
          <w:w w:val="100"/>
        </w:rPr>
        <w:t> </w:t>
      </w:r>
      <w:r>
        <w:rPr>
          <w:spacing w:val="-16"/>
          <w:w w:val="100"/>
        </w:rPr>
        <w:t>号”文批准，于</w:t>
      </w:r>
      <w:r>
        <w:rPr>
          <w:spacing w:val="-76"/>
          <w:w w:val="100"/>
        </w:rPr>
        <w:t> </w:t>
      </w:r>
      <w:r>
        <w:rPr>
          <w:rFonts w:ascii="宋体" w:hAnsi="宋体" w:cs="宋体" w:eastAsia="宋体" w:hint="default"/>
          <w:w w:val="100"/>
        </w:rPr>
        <w:t>1993</w:t>
      </w:r>
      <w:r>
        <w:rPr>
          <w:rFonts w:ascii="宋体" w:hAnsi="宋体" w:cs="宋体" w:eastAsia="宋体" w:hint="default"/>
          <w:spacing w:val="-73"/>
          <w:w w:val="100"/>
        </w:rPr>
        <w:t> </w:t>
      </w:r>
      <w:r>
        <w:rPr>
          <w:w w:val="100"/>
        </w:rPr>
        <w:t>年</w:t>
      </w:r>
      <w:r>
        <w:rPr>
          <w:spacing w:val="-76"/>
          <w:w w:val="100"/>
        </w:rPr>
        <w:t> </w:t>
      </w:r>
      <w:r>
        <w:rPr>
          <w:rFonts w:ascii="宋体" w:hAnsi="宋体" w:cs="宋体" w:eastAsia="宋体" w:hint="default"/>
          <w:w w:val="100"/>
        </w:rPr>
        <w:t>11</w:t>
      </w:r>
      <w:r>
        <w:rPr>
          <w:rFonts w:ascii="宋体" w:hAnsi="宋体" w:cs="宋体" w:eastAsia="宋体" w:hint="default"/>
          <w:spacing w:val="-73"/>
          <w:w w:val="100"/>
        </w:rPr>
        <w:t> </w:t>
      </w:r>
      <w:r>
        <w:rPr>
          <w:w w:val="100"/>
        </w:rPr>
        <w:t>月</w:t>
      </w:r>
      <w:r>
        <w:rPr>
          <w:spacing w:val="-76"/>
          <w:w w:val="100"/>
        </w:rPr>
        <w:t> </w:t>
      </w:r>
      <w:r>
        <w:rPr>
          <w:rFonts w:ascii="宋体" w:hAnsi="宋体" w:cs="宋体" w:eastAsia="宋体" w:hint="default"/>
          <w:w w:val="100"/>
        </w:rPr>
        <w:t>28</w:t>
      </w:r>
      <w:r>
        <w:rPr>
          <w:rFonts w:ascii="宋体" w:hAnsi="宋体" w:cs="宋体" w:eastAsia="宋体" w:hint="default"/>
          <w:spacing w:val="-73"/>
          <w:w w:val="100"/>
        </w:rPr>
        <w:t> </w:t>
      </w:r>
      <w:r>
        <w:rPr>
          <w:spacing w:val="-2"/>
          <w:w w:val="100"/>
        </w:rPr>
        <w:t>日以定向募集方式设立的股份有限公司。</w:t>
      </w:r>
    </w:p>
    <w:p>
      <w:pPr>
        <w:pStyle w:val="BodyText"/>
        <w:spacing w:line="240" w:lineRule="auto" w:before="32"/>
        <w:ind w:left="238" w:right="0"/>
        <w:jc w:val="left"/>
        <w:rPr>
          <w:rFonts w:ascii="宋体" w:hAnsi="宋体" w:cs="宋体" w:eastAsia="宋体" w:hint="default"/>
        </w:rPr>
      </w:pPr>
      <w:r>
        <w:rPr>
          <w:rFonts w:ascii="宋体" w:hAnsi="宋体" w:cs="宋体" w:eastAsia="宋体" w:hint="default"/>
        </w:rPr>
        <w:t>1996 </w:t>
      </w:r>
      <w:r>
        <w:rPr>
          <w:rFonts w:ascii="宋体" w:hAnsi="宋体" w:cs="宋体" w:eastAsia="宋体" w:hint="default"/>
          <w:spacing w:val="10"/>
        </w:rPr>
        <w:t> </w:t>
      </w:r>
      <w:r>
        <w:rPr/>
        <w:t>年本公司按《公司法》进行了规范，经广西壮族自治区人民政府以“桂体改股字</w:t>
      </w:r>
      <w:r>
        <w:rPr>
          <w:rFonts w:ascii="宋体" w:hAnsi="宋体" w:cs="宋体" w:eastAsia="宋体" w:hint="default"/>
        </w:rPr>
        <w:t>(1996)83</w:t>
      </w:r>
    </w:p>
    <w:p>
      <w:pPr>
        <w:pStyle w:val="BodyText"/>
        <w:spacing w:line="240" w:lineRule="auto" w:before="133"/>
        <w:ind w:left="238" w:right="0"/>
        <w:jc w:val="left"/>
        <w:rPr>
          <w:rFonts w:ascii="宋体" w:hAnsi="宋体" w:cs="宋体" w:eastAsia="宋体" w:hint="default"/>
        </w:rPr>
      </w:pPr>
      <w:r>
        <w:rPr/>
        <w:t>号”文批准，公司总股本</w:t>
      </w:r>
      <w:r>
        <w:rPr>
          <w:spacing w:val="-44"/>
        </w:rPr>
        <w:t> </w:t>
      </w:r>
      <w:r>
        <w:rPr>
          <w:rFonts w:ascii="宋体" w:hAnsi="宋体" w:cs="宋体" w:eastAsia="宋体" w:hint="default"/>
        </w:rPr>
        <w:t>1,158.5</w:t>
      </w:r>
      <w:r>
        <w:rPr>
          <w:rFonts w:ascii="宋体" w:hAnsi="宋体" w:cs="宋体" w:eastAsia="宋体" w:hint="default"/>
          <w:spacing w:val="-44"/>
        </w:rPr>
        <w:t> </w:t>
      </w:r>
      <w:r>
        <w:rPr/>
        <w:t>万人民币元，其中法人股</w:t>
      </w:r>
      <w:r>
        <w:rPr>
          <w:spacing w:val="-42"/>
        </w:rPr>
        <w:t> </w:t>
      </w:r>
      <w:r>
        <w:rPr>
          <w:rFonts w:ascii="宋体" w:hAnsi="宋体" w:cs="宋体" w:eastAsia="宋体" w:hint="default"/>
        </w:rPr>
        <w:t>1,150</w:t>
      </w:r>
      <w:r>
        <w:rPr>
          <w:rFonts w:ascii="宋体" w:hAnsi="宋体" w:cs="宋体" w:eastAsia="宋体" w:hint="default"/>
          <w:spacing w:val="-42"/>
        </w:rPr>
        <w:t> </w:t>
      </w:r>
      <w:r>
        <w:rPr/>
        <w:t>万人民币元，内部职工股</w:t>
      </w:r>
      <w:r>
        <w:rPr>
          <w:spacing w:val="-41"/>
        </w:rPr>
        <w:t> </w:t>
      </w:r>
      <w:r>
        <w:rPr>
          <w:rFonts w:ascii="宋体" w:hAnsi="宋体" w:cs="宋体" w:eastAsia="宋体" w:hint="default"/>
        </w:rPr>
        <w:t>8.5</w:t>
      </w:r>
    </w:p>
    <w:p>
      <w:pPr>
        <w:pStyle w:val="BodyText"/>
        <w:spacing w:line="240" w:lineRule="auto" w:before="136"/>
        <w:ind w:left="238" w:right="0"/>
        <w:jc w:val="left"/>
      </w:pPr>
      <w:r>
        <w:rPr>
          <w:spacing w:val="-4"/>
        </w:rPr>
        <w:t>万人民币元，并在广西壮族自治区工商行政管理局进行了登记。截至</w:t>
      </w:r>
      <w:r>
        <w:rPr>
          <w:spacing w:val="-43"/>
        </w:rPr>
        <w:t> </w:t>
      </w: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2"/>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8"/>
        </w:rPr>
        <w:t>日，本公司</w:t>
      </w:r>
    </w:p>
    <w:p>
      <w:pPr>
        <w:pStyle w:val="BodyText"/>
        <w:spacing w:line="355" w:lineRule="auto" w:before="133"/>
        <w:ind w:left="238" w:right="505"/>
        <w:jc w:val="left"/>
      </w:pPr>
      <w:r>
        <w:rPr/>
        <w:t>累计股本总数</w:t>
      </w:r>
      <w:r>
        <w:rPr>
          <w:spacing w:val="-52"/>
        </w:rPr>
        <w:t> </w:t>
      </w:r>
      <w:r>
        <w:rPr>
          <w:rFonts w:ascii="宋体" w:hAnsi="宋体" w:cs="宋体" w:eastAsia="宋体" w:hint="default"/>
        </w:rPr>
        <w:t>39,479.37</w:t>
      </w:r>
      <w:r>
        <w:rPr>
          <w:rFonts w:ascii="宋体" w:hAnsi="宋体" w:cs="宋体" w:eastAsia="宋体" w:hint="default"/>
          <w:spacing w:val="-53"/>
        </w:rPr>
        <w:t> </w:t>
      </w:r>
      <w:r>
        <w:rPr/>
        <w:t>万股，注册资本为</w:t>
      </w:r>
      <w:r>
        <w:rPr>
          <w:spacing w:val="-51"/>
        </w:rPr>
        <w:t> </w:t>
      </w:r>
      <w:r>
        <w:rPr>
          <w:rFonts w:ascii="宋体" w:hAnsi="宋体" w:cs="宋体" w:eastAsia="宋体" w:hint="default"/>
        </w:rPr>
        <w:t>39,479.37</w:t>
      </w:r>
      <w:r>
        <w:rPr>
          <w:rFonts w:ascii="宋体" w:hAnsi="宋体" w:cs="宋体" w:eastAsia="宋体" w:hint="default"/>
          <w:spacing w:val="-51"/>
        </w:rPr>
        <w:t> </w:t>
      </w:r>
      <w:r>
        <w:rPr/>
        <w:t>万元，公司注册地为广西北海市，总部地</w:t>
      </w:r>
      <w:r>
        <w:rPr>
          <w:w w:val="100"/>
        </w:rPr>
        <w:t> </w:t>
      </w:r>
      <w:r>
        <w:rPr/>
        <w:t>址位于广西北海市。</w:t>
      </w:r>
    </w:p>
    <w:p>
      <w:pPr>
        <w:pStyle w:val="Heading3"/>
        <w:spacing w:line="240" w:lineRule="auto" w:before="152"/>
        <w:ind w:left="660" w:right="0"/>
        <w:jc w:val="left"/>
        <w:rPr>
          <w:b w:val="0"/>
          <w:bCs w:val="0"/>
        </w:rPr>
      </w:pPr>
      <w:r>
        <w:rPr/>
        <w:t>（二）企业的业务性质和主要经营活动</w:t>
      </w:r>
      <w:r>
        <w:rPr>
          <w:b w:val="0"/>
          <w:bCs w:val="0"/>
        </w:rPr>
      </w:r>
    </w:p>
    <w:p>
      <w:pPr>
        <w:pStyle w:val="BodyText"/>
        <w:spacing w:line="357" w:lineRule="auto" w:before="135"/>
        <w:ind w:left="238" w:right="507" w:firstLine="419"/>
        <w:jc w:val="both"/>
      </w:pPr>
      <w:r>
        <w:rPr>
          <w:rFonts w:ascii="宋体" w:hAnsi="宋体" w:cs="宋体" w:eastAsia="宋体" w:hint="default"/>
        </w:rPr>
        <w:t>2014</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29</w:t>
      </w:r>
      <w:r>
        <w:rPr>
          <w:rFonts w:ascii="宋体" w:hAnsi="宋体" w:cs="宋体" w:eastAsia="宋体" w:hint="default"/>
          <w:spacing w:val="-46"/>
        </w:rPr>
        <w:t> </w:t>
      </w:r>
      <w:r>
        <w:rPr/>
        <w:t>日，本公司</w:t>
      </w:r>
      <w:r>
        <w:rPr>
          <w:spacing w:val="-44"/>
        </w:rPr>
        <w:t> </w:t>
      </w:r>
      <w:r>
        <w:rPr>
          <w:rFonts w:ascii="宋体" w:hAnsi="宋体" w:cs="宋体" w:eastAsia="宋体" w:hint="default"/>
        </w:rPr>
        <w:t>2014</w:t>
      </w:r>
      <w:r>
        <w:rPr>
          <w:rFonts w:ascii="宋体" w:hAnsi="宋体" w:cs="宋体" w:eastAsia="宋体" w:hint="default"/>
          <w:spacing w:val="-44"/>
        </w:rPr>
        <w:t> </w:t>
      </w:r>
      <w:r>
        <w:rPr/>
        <w:t>年第四次临时股东大会审议通过的《关于公司变更名称及</w:t>
      </w:r>
      <w:r>
        <w:rPr>
          <w:w w:val="100"/>
        </w:rPr>
        <w:t> </w:t>
      </w:r>
      <w:r>
        <w:rPr>
          <w:spacing w:val="-1"/>
        </w:rPr>
        <w:t>经营范围的议案》、《关于修改公司章程的议案》、《关于董事会换届选举的议案》，以及同日</w:t>
      </w:r>
      <w:r>
        <w:rPr>
          <w:spacing w:val="-55"/>
        </w:rPr>
        <w:t> </w:t>
      </w:r>
      <w:r>
        <w:rPr>
          <w:spacing w:val="-55"/>
        </w:rPr>
      </w:r>
      <w:r>
        <w:rPr>
          <w:spacing w:val="-1"/>
        </w:rPr>
        <w:t>召开的第八届董事会第一次会议审议通过的《关于选举第八届董事会董事长的议案》，公司向北</w:t>
      </w:r>
      <w:r>
        <w:rPr>
          <w:spacing w:val="-55"/>
        </w:rPr>
        <w:t> </w:t>
      </w:r>
      <w:r>
        <w:rPr>
          <w:spacing w:val="-55"/>
        </w:rPr>
      </w:r>
      <w:r>
        <w:rPr>
          <w:spacing w:val="-1"/>
        </w:rPr>
        <w:t>海市工商行政管理局申请办理关于公司名称、法定代表人、经营范围的工商变更登记工作。北海</w:t>
      </w:r>
      <w:r>
        <w:rPr>
          <w:spacing w:val="-55"/>
        </w:rPr>
        <w:t> </w:t>
      </w:r>
      <w:r>
        <w:rPr>
          <w:spacing w:val="-55"/>
        </w:rPr>
      </w:r>
      <w:r>
        <w:rPr/>
        <w:t>市工商行政管理局于 </w:t>
      </w:r>
      <w:r>
        <w:rPr>
          <w:rFonts w:ascii="宋体" w:hAnsi="宋体" w:cs="宋体" w:eastAsia="宋体" w:hint="default"/>
        </w:rPr>
        <w:t>2014 </w:t>
      </w:r>
      <w:r>
        <w:rPr/>
        <w:t>年 </w:t>
      </w:r>
      <w:r>
        <w:rPr>
          <w:rFonts w:ascii="宋体" w:hAnsi="宋体" w:cs="宋体" w:eastAsia="宋体" w:hint="default"/>
        </w:rPr>
        <w:t>12 </w:t>
      </w:r>
      <w:r>
        <w:rPr/>
        <w:t>月 </w:t>
      </w:r>
      <w:r>
        <w:rPr>
          <w:rFonts w:ascii="宋体" w:hAnsi="宋体" w:cs="宋体" w:eastAsia="宋体" w:hint="default"/>
        </w:rPr>
        <w:t>30</w:t>
      </w:r>
      <w:r>
        <w:rPr>
          <w:rFonts w:ascii="宋体" w:hAnsi="宋体" w:cs="宋体" w:eastAsia="宋体" w:hint="default"/>
          <w:spacing w:val="5"/>
        </w:rPr>
        <w:t> </w:t>
      </w:r>
      <w:r>
        <w:rPr/>
        <w:t>日向公司下发了新的《企业法人营业执照》，注册号：</w:t>
      </w:r>
      <w:r>
        <w:rPr>
          <w:w w:val="100"/>
        </w:rPr>
        <w:t> </w:t>
      </w:r>
      <w:r>
        <w:rPr>
          <w:rFonts w:ascii="宋体" w:hAnsi="宋体" w:cs="宋体" w:eastAsia="宋体" w:hint="default"/>
          <w:spacing w:val="-8"/>
        </w:rPr>
        <w:t>450500000000938</w:t>
      </w:r>
      <w:r>
        <w:rPr>
          <w:spacing w:val="-8"/>
        </w:rPr>
        <w:t>。此次变更，公司名称变更为：广西慧球科技股份有限公司；法定代表人变更为：</w:t>
      </w:r>
      <w:r>
        <w:rPr>
          <w:spacing w:val="-9"/>
        </w:rPr>
        <w:t> </w:t>
      </w:r>
      <w:r>
        <w:rPr>
          <w:spacing w:val="-9"/>
        </w:rPr>
      </w:r>
      <w:r>
        <w:rPr>
          <w:spacing w:val="-1"/>
        </w:rPr>
        <w:t>顾国平；经营范围变更为：通信技术、信息科技、计算机、电子科技的技术开发、技术服务、技</w:t>
      </w:r>
      <w:r>
        <w:rPr>
          <w:spacing w:val="-55"/>
        </w:rPr>
        <w:t> </w:t>
      </w:r>
      <w:r>
        <w:rPr>
          <w:spacing w:val="-55"/>
        </w:rPr>
      </w:r>
      <w:r>
        <w:rPr>
          <w:spacing w:val="-1"/>
        </w:rPr>
        <w:t>术咨询，计算机网络工程，计算机软硬件开发，通讯器材、自动化控制系统的销售、设计、安装</w:t>
      </w:r>
      <w:r>
        <w:rPr>
          <w:spacing w:val="-55"/>
        </w:rPr>
        <w:t> </w:t>
      </w:r>
      <w:r>
        <w:rPr>
          <w:spacing w:val="-55"/>
        </w:rPr>
      </w:r>
      <w:r>
        <w:rPr>
          <w:spacing w:val="-1"/>
        </w:rPr>
        <w:t>及售后服务（以上项目不含互联网上网服务）。（依法须经批准的项目，经相关部门批准后方可</w:t>
      </w:r>
      <w:r>
        <w:rPr>
          <w:spacing w:val="-55"/>
        </w:rPr>
        <w:t> </w:t>
      </w:r>
      <w:r>
        <w:rPr>
          <w:spacing w:val="-55"/>
        </w:rPr>
      </w:r>
      <w:r>
        <w:rPr/>
        <w:t>开展经营活动。）</w:t>
      </w:r>
    </w:p>
    <w:p>
      <w:pPr>
        <w:pStyle w:val="BodyText"/>
        <w:spacing w:line="240" w:lineRule="auto" w:before="32"/>
        <w:ind w:left="658" w:right="0"/>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日，本公司换发了新的营业执照，编号为：</w:t>
      </w:r>
      <w:r>
        <w:rPr>
          <w:rFonts w:ascii="宋体" w:hAnsi="宋体" w:cs="宋体" w:eastAsia="宋体" w:hint="default"/>
        </w:rPr>
        <w:t>9145050071146694XR</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657" w:val="left" w:leader="none"/>
        </w:tabs>
        <w:spacing w:line="264" w:lineRule="auto" w:before="0"/>
        <w:ind w:left="658" w:right="3460" w:hanging="420"/>
        <w:jc w:val="left"/>
        <w:rPr>
          <w:rFonts w:ascii="宋体" w:hAnsi="宋体" w:cs="宋体" w:eastAsia="宋体" w:hint="default"/>
          <w:sz w:val="21"/>
          <w:szCs w:val="21"/>
        </w:rPr>
      </w:pPr>
      <w:r>
        <w:rPr/>
        <w:pict>
          <v:shape style="position:absolute;margin-left:269.809998pt;margin-top:40.223675pt;width:.47998pt;height:.12pt;mso-position-horizontal-relative:page;mso-position-vertical-relative:paragraph;z-index:-594352" type="#_x0000_t75" stroked="false">
            <v:imagedata r:id="rId52" o:title=""/>
          </v:shape>
        </w:pict>
      </w:r>
      <w:r>
        <w:rPr/>
        <w:pict>
          <v:shape style="position:absolute;margin-left:351.190002pt;margin-top:40.223675pt;width:.48001pt;height:.12pt;mso-position-horizontal-relative:page;mso-position-vertical-relative:paragraph;z-index:-594328" type="#_x0000_t75" stroked="false">
            <v:imagedata r:id="rId52" o:title=""/>
          </v:shape>
        </w:pict>
      </w:r>
      <w:r>
        <w:rPr/>
        <w:pict>
          <v:shape style="position:absolute;margin-left:390.070007pt;margin-top:40.223675pt;width:.48001pt;height:.12pt;mso-position-horizontal-relative:page;mso-position-vertical-relative:paragraph;z-index:-594304" type="#_x0000_t75" stroked="false">
            <v:imagedata r:id="rId52" o:title=""/>
          </v:shape>
        </w:pict>
      </w:r>
      <w:r>
        <w:rPr/>
        <w:pict>
          <v:shape style="position:absolute;margin-left:470.619995pt;margin-top:40.223675pt;width:.48001pt;height:.12pt;mso-position-horizontal-relative:page;mso-position-vertical-relative:paragraph;z-index:-594280" type="#_x0000_t75" stroked="false">
            <v:imagedata r:id="rId52" o:title=""/>
          </v:shape>
        </w:pict>
      </w:r>
      <w:r>
        <w:rPr/>
        <w:pict>
          <v:group style="position:absolute;margin-left:84.503998pt;margin-top:57.263695pt;width:466.9pt;height:.5pt;mso-position-horizontal-relative:page;mso-position-vertical-relative:paragraph;z-index:-594256" coordorigin="1690,1145" coordsize="9338,10">
            <v:shape style="position:absolute;left:1690;top:1145;width:3706;height:10" type="#_x0000_t75" stroked="false">
              <v:imagedata r:id="rId53" o:title=""/>
            </v:shape>
            <v:shape style="position:absolute;left:5391;top:1145;width:5636;height:10" type="#_x0000_t75" stroked="false">
              <v:imagedata r:id="rId51" o:title=""/>
            </v:shape>
            <w10:wrap type="none"/>
          </v:group>
        </w:pict>
      </w:r>
      <w:r>
        <w:rPr/>
        <w:pict>
          <v:group style="position:absolute;margin-left:84.503998pt;margin-top:70.223717pt;width:466.9pt;height:5.05pt;mso-position-horizontal-relative:page;mso-position-vertical-relative:paragraph;z-index:-594232" coordorigin="1690,1404" coordsize="9338,101">
            <v:shape style="position:absolute;left:1690;top:1404;width:3725;height:101" type="#_x0000_t75" stroked="false">
              <v:imagedata r:id="rId54" o:title=""/>
            </v:shape>
            <v:shape style="position:absolute;left:5391;top:1496;width:5636;height:10" type="#_x0000_t75" stroked="false">
              <v:imagedata r:id="rId51" o:title=""/>
            </v:shape>
            <w10:wrap type="none"/>
          </v:group>
        </w:pict>
      </w:r>
      <w:r>
        <w:rPr/>
        <w:pict>
          <v:group style="position:absolute;margin-left:84.503998pt;margin-top:92.183632pt;width:466.9pt;height:.5pt;mso-position-horizontal-relative:page;mso-position-vertical-relative:paragraph;z-index:-594208" coordorigin="1690,1844" coordsize="9338,10">
            <v:shape style="position:absolute;left:1690;top:1844;width:3706;height:10" type="#_x0000_t75" stroked="false">
              <v:imagedata r:id="rId53" o:title=""/>
            </v:shape>
            <v:shape style="position:absolute;left:5391;top:1844;width:5636;height:10" type="#_x0000_t75" stroked="false">
              <v:imagedata r:id="rId51" o:title=""/>
            </v:shape>
            <w10:wrap type="none"/>
          </v:group>
        </w:pict>
      </w:r>
      <w:r>
        <w:rPr/>
        <w:pict>
          <v:group style="position:absolute;margin-left:84.503998pt;margin-top:105.143654pt;width:466.9pt;height:5.05pt;mso-position-horizontal-relative:page;mso-position-vertical-relative:paragraph;z-index:-594184" coordorigin="1690,2103" coordsize="9338,101">
            <v:shape style="position:absolute;left:1690;top:2103;width:3725;height:101" type="#_x0000_t75" stroked="false">
              <v:imagedata r:id="rId54" o:title=""/>
            </v:shape>
            <v:shape style="position:absolute;left:5391;top:2194;width:5636;height:10" type="#_x0000_t75" stroked="false">
              <v:imagedata r:id="rId51" o:title=""/>
            </v:shape>
            <w10:wrap type="none"/>
          </v:group>
        </w:pict>
      </w:r>
      <w:r>
        <w:rPr/>
        <w:pict>
          <v:group style="position:absolute;margin-left:84.503998pt;margin-top:122.663712pt;width:466.9pt;height:5.05pt;mso-position-horizontal-relative:page;mso-position-vertical-relative:paragraph;z-index:-594160" coordorigin="1690,2453" coordsize="9338,101">
            <v:shape style="position:absolute;left:1690;top:2453;width:3725;height:101" type="#_x0000_t75" stroked="false">
              <v:imagedata r:id="rId54" o:title=""/>
            </v:shape>
            <v:shape style="position:absolute;left:5391;top:2544;width:5636;height:10" type="#_x0000_t75" stroked="false">
              <v:imagedata r:id="rId55" o:title=""/>
            </v:shape>
            <w10:wrap type="none"/>
          </v:group>
        </w:pict>
      </w:r>
      <w:r>
        <w:rPr>
          <w:rFonts w:ascii="Calibri" w:hAnsi="Calibri" w:cs="Calibri" w:eastAsia="Calibri" w:hint="default"/>
          <w:b/>
          <w:bCs/>
          <w:sz w:val="21"/>
          <w:szCs w:val="21"/>
        </w:rPr>
        <w:t>2.</w:t>
        <w:tab/>
      </w:r>
      <w:r>
        <w:rPr>
          <w:rFonts w:ascii="宋体" w:hAnsi="宋体" w:cs="宋体" w:eastAsia="宋体" w:hint="default"/>
          <w:b/>
          <w:bCs/>
          <w:sz w:val="21"/>
          <w:szCs w:val="21"/>
        </w:rPr>
        <w:t>合并财务报表范围</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本期纳入合并财务报表范围的子公司共十三户，主要包括：</w:t>
      </w:r>
    </w:p>
    <w:p>
      <w:pPr>
        <w:spacing w:line="240" w:lineRule="auto" w:before="5"/>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725"/>
        <w:gridCol w:w="1628"/>
        <w:gridCol w:w="778"/>
        <w:gridCol w:w="1611"/>
        <w:gridCol w:w="1610"/>
      </w:tblGrid>
      <w:tr>
        <w:trPr>
          <w:trHeight w:val="367" w:hRule="exact"/>
        </w:trPr>
        <w:tc>
          <w:tcPr>
            <w:tcW w:w="3725" w:type="dxa"/>
            <w:tcBorders>
              <w:top w:val="single" w:sz="12" w:space="0" w:color="000000"/>
              <w:left w:val="nil" w:sz="6" w:space="0" w:color="auto"/>
              <w:bottom w:val="nil" w:sz="6" w:space="0" w:color="auto"/>
              <w:right w:val="single" w:sz="4" w:space="0" w:color="000000"/>
            </w:tcBorders>
          </w:tcPr>
          <w:p>
            <w:pPr>
              <w:pStyle w:val="TableParagraph"/>
              <w:spacing w:line="240" w:lineRule="auto" w:before="32"/>
              <w:ind w:left="1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62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2"/>
              <w:ind w:left="357"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7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2"/>
              <w:ind w:left="201"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61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2"/>
              <w:ind w:left="21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w:t>
            </w:r>
          </w:p>
        </w:tc>
        <w:tc>
          <w:tcPr>
            <w:tcW w:w="1610" w:type="dxa"/>
            <w:tcBorders>
              <w:top w:val="single" w:sz="12" w:space="0" w:color="000000"/>
              <w:left w:val="single" w:sz="4" w:space="0" w:color="000000"/>
              <w:bottom w:val="nil" w:sz="6" w:space="0" w:color="auto"/>
              <w:right w:val="nil" w:sz="6" w:space="0" w:color="auto"/>
            </w:tcBorders>
          </w:tcPr>
          <w:p>
            <w:pPr>
              <w:pStyle w:val="TableParagraph"/>
              <w:spacing w:line="240" w:lineRule="auto" w:before="32"/>
              <w:ind w:right="127"/>
              <w:jc w:val="right"/>
              <w:rPr>
                <w:rFonts w:ascii="宋体" w:hAnsi="宋体" w:cs="宋体" w:eastAsia="宋体" w:hint="default"/>
                <w:sz w:val="18"/>
                <w:szCs w:val="18"/>
              </w:rPr>
            </w:pPr>
            <w:r>
              <w:rPr>
                <w:rFonts w:ascii="宋体" w:hAnsi="宋体" w:cs="宋体" w:eastAsia="宋体" w:hint="default"/>
                <w:sz w:val="18"/>
                <w:szCs w:val="18"/>
              </w:rPr>
              <w:t>表决权比例（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247" w:hRule="exact"/>
        </w:trPr>
        <w:tc>
          <w:tcPr>
            <w:tcW w:w="3725"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南宁市智诚合讯信息技术有限公司</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0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pacing w:val="-1"/>
                <w:sz w:val="18"/>
              </w:rPr>
              <w:t>100.00</w:t>
            </w: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pacing w:val="-1"/>
                <w:sz w:val="18"/>
              </w:rPr>
              <w:t>100.00</w:t>
            </w:r>
          </w:p>
        </w:tc>
      </w:tr>
      <w:tr>
        <w:trPr>
          <w:trHeight w:val="453" w:hRule="exact"/>
        </w:trPr>
        <w:tc>
          <w:tcPr>
            <w:tcW w:w="3725"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慧球科技（重庆）有限公司（注）</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0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z w:val="18"/>
              </w:rPr>
              <w:t>80.00</w:t>
            </w: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z w:val="18"/>
              </w:rPr>
              <w:t>85.71</w:t>
            </w:r>
          </w:p>
        </w:tc>
      </w:tr>
      <w:tr>
        <w:trPr>
          <w:trHeight w:val="264" w:hRule="exact"/>
        </w:trPr>
        <w:tc>
          <w:tcPr>
            <w:tcW w:w="372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上海慧球通信科技有限公司</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0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pacing w:val="-1"/>
                <w:sz w:val="18"/>
              </w:rPr>
              <w:t>100.00</w:t>
            </w: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18"/>
                <w:szCs w:val="18"/>
              </w:rPr>
            </w:pPr>
            <w:r>
              <w:rPr>
                <w:rFonts w:ascii="宋体"/>
                <w:spacing w:val="-1"/>
                <w:sz w:val="18"/>
              </w:rPr>
              <w:t>100.00</w:t>
            </w:r>
          </w:p>
        </w:tc>
      </w:tr>
      <w:tr>
        <w:trPr>
          <w:trHeight w:val="83" w:hRule="exact"/>
        </w:trPr>
        <w:tc>
          <w:tcPr>
            <w:tcW w:w="3725"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nil" w:sz="6" w:space="0" w:color="auto"/>
            </w:tcBorders>
          </w:tcPr>
          <w:p>
            <w:pPr/>
          </w:p>
        </w:tc>
      </w:tr>
      <w:tr>
        <w:trPr>
          <w:trHeight w:val="268" w:hRule="exact"/>
        </w:trPr>
        <w:tc>
          <w:tcPr>
            <w:tcW w:w="3725"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淮南市慧球科技有限公司</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20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100.00</w:t>
            </w: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100.00</w:t>
            </w:r>
          </w:p>
        </w:tc>
      </w:tr>
      <w:tr>
        <w:trPr>
          <w:trHeight w:val="83" w:hRule="exact"/>
        </w:trPr>
        <w:tc>
          <w:tcPr>
            <w:tcW w:w="3725"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nil" w:sz="6" w:space="0" w:color="auto"/>
            </w:tcBorders>
          </w:tcPr>
          <w:p>
            <w:pPr/>
          </w:p>
        </w:tc>
      </w:tr>
      <w:tr>
        <w:trPr>
          <w:trHeight w:val="268" w:hRule="exact"/>
        </w:trPr>
        <w:tc>
          <w:tcPr>
            <w:tcW w:w="3725"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智诚合讯信息技术（徐州）有限公司</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201"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100.00</w:t>
            </w: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100.00</w:t>
            </w:r>
          </w:p>
        </w:tc>
      </w:tr>
      <w:tr>
        <w:trPr>
          <w:trHeight w:val="83" w:hRule="exact"/>
        </w:trPr>
        <w:tc>
          <w:tcPr>
            <w:tcW w:w="3725"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nil" w:sz="6" w:space="0" w:color="auto"/>
            </w:tcBorders>
          </w:tcPr>
          <w:p>
            <w:pPr/>
          </w:p>
        </w:tc>
      </w:tr>
      <w:tr>
        <w:trPr>
          <w:trHeight w:val="351" w:hRule="exact"/>
        </w:trPr>
        <w:tc>
          <w:tcPr>
            <w:tcW w:w="3725"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慧球科技（华容）有限公司</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20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93.75</w:t>
            </w: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z w:val="18"/>
              </w:rPr>
              <w:t>93.75</w:t>
            </w:r>
          </w:p>
        </w:tc>
      </w:tr>
      <w:tr>
        <w:trPr>
          <w:trHeight w:val="355" w:hRule="exact"/>
        </w:trPr>
        <w:tc>
          <w:tcPr>
            <w:tcW w:w="3725" w:type="dxa"/>
            <w:tcBorders>
              <w:top w:val="nil" w:sz="6" w:space="0" w:color="auto"/>
              <w:left w:val="nil" w:sz="6" w:space="0" w:color="auto"/>
              <w:bottom w:val="single" w:sz="12"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慧球智慧科技（宁波）有限公司</w:t>
            </w:r>
          </w:p>
        </w:tc>
        <w:tc>
          <w:tcPr>
            <w:tcW w:w="162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2"/>
              <w:ind w:left="20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100.00</w:t>
            </w:r>
          </w:p>
        </w:tc>
        <w:tc>
          <w:tcPr>
            <w:tcW w:w="1610" w:type="dxa"/>
            <w:tcBorders>
              <w:top w:val="nil" w:sz="6" w:space="0" w:color="auto"/>
              <w:left w:val="single" w:sz="4" w:space="0" w:color="000000"/>
              <w:bottom w:val="single" w:sz="12"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100.00</w:t>
            </w:r>
          </w:p>
        </w:tc>
      </w:tr>
    </w:tbl>
    <w:p>
      <w:pPr>
        <w:spacing w:after="0" w:line="240" w:lineRule="auto"/>
        <w:jc w:val="right"/>
        <w:rPr>
          <w:rFonts w:ascii="宋体" w:hAnsi="宋体" w:cs="宋体" w:eastAsia="宋体" w:hint="default"/>
          <w:sz w:val="18"/>
          <w:szCs w:val="18"/>
        </w:rPr>
        <w:sectPr>
          <w:headerReference w:type="default" r:id="rId48"/>
          <w:footerReference w:type="default" r:id="rId49"/>
          <w:pgSz w:w="11910" w:h="16840"/>
          <w:pgMar w:header="882" w:footer="1195" w:top="1120" w:bottom="1380" w:left="1560" w:right="760"/>
          <w:pgNumType w:start="71"/>
        </w:sectPr>
      </w:pPr>
    </w:p>
    <w:p>
      <w:pPr>
        <w:spacing w:line="240" w:lineRule="auto" w:before="0"/>
        <w:rPr>
          <w:rFonts w:ascii="宋体" w:hAnsi="宋体" w:cs="宋体" w:eastAsia="宋体" w:hint="default"/>
          <w:sz w:val="20"/>
          <w:szCs w:val="20"/>
        </w:rPr>
      </w:pPr>
      <w:r>
        <w:rPr/>
        <w:pict>
          <v:shape style="position:absolute;margin-left:269.809998pt;margin-top:77.639984pt;width:.47998pt;height:.12pt;mso-position-horizontal-relative:page;mso-position-vertical-relative:page;z-index:-594088" type="#_x0000_t75" stroked="false">
            <v:imagedata r:id="rId56" o:title=""/>
          </v:shape>
        </w:pict>
      </w:r>
      <w:r>
        <w:rPr/>
        <w:pict>
          <v:shape style="position:absolute;margin-left:351.190002pt;margin-top:77.639984pt;width:.48001pt;height:.12pt;mso-position-horizontal-relative:page;mso-position-vertical-relative:page;z-index:-594064" type="#_x0000_t75" stroked="false">
            <v:imagedata r:id="rId56" o:title=""/>
          </v:shape>
        </w:pict>
      </w:r>
      <w:r>
        <w:rPr/>
        <w:pict>
          <v:shape style="position:absolute;margin-left:390.070007pt;margin-top:77.639984pt;width:.48001pt;height:.12pt;mso-position-horizontal-relative:page;mso-position-vertical-relative:page;z-index:-594040" type="#_x0000_t75" stroked="false">
            <v:imagedata r:id="rId56" o:title=""/>
          </v:shape>
        </w:pict>
      </w:r>
      <w:r>
        <w:rPr/>
        <w:pict>
          <v:shape style="position:absolute;margin-left:470.619995pt;margin-top:77.639984pt;width:.48001pt;height:.12pt;mso-position-horizontal-relative:page;mso-position-vertical-relative:page;z-index:-594016" type="#_x0000_t75" stroked="false">
            <v:imagedata r:id="rId56" o:title=""/>
          </v:shape>
        </w:pict>
      </w:r>
      <w:r>
        <w:rPr/>
        <w:pict>
          <v:group style="position:absolute;margin-left:84.503998pt;margin-top:90.259964pt;width:466.9pt;height:5.05pt;mso-position-horizontal-relative:page;mso-position-vertical-relative:page;z-index:-593992" coordorigin="1690,1805" coordsize="9338,101">
            <v:shape style="position:absolute;left:1690;top:1805;width:3725;height:101" type="#_x0000_t75" stroked="false">
              <v:imagedata r:id="rId50" o:title=""/>
            </v:shape>
            <v:shape style="position:absolute;left:5391;top:1896;width:5636;height:10" type="#_x0000_t75" stroked="false">
              <v:imagedata r:id="rId51" o:title=""/>
            </v:shape>
            <w10:wrap type="none"/>
          </v:group>
        </w:pict>
      </w:r>
    </w:p>
    <w:p>
      <w:pPr>
        <w:spacing w:line="240" w:lineRule="auto" w:before="6"/>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3725"/>
        <w:gridCol w:w="1628"/>
        <w:gridCol w:w="778"/>
        <w:gridCol w:w="1611"/>
        <w:gridCol w:w="1610"/>
      </w:tblGrid>
      <w:tr>
        <w:trPr>
          <w:trHeight w:val="267" w:hRule="exact"/>
        </w:trPr>
        <w:tc>
          <w:tcPr>
            <w:tcW w:w="3725" w:type="dxa"/>
            <w:tcBorders>
              <w:top w:val="single" w:sz="12" w:space="0" w:color="000000"/>
              <w:left w:val="nil" w:sz="6" w:space="0" w:color="auto"/>
              <w:bottom w:val="nil" w:sz="6" w:space="0" w:color="auto"/>
              <w:right w:val="single" w:sz="4" w:space="0" w:color="000000"/>
            </w:tcBorders>
          </w:tcPr>
          <w:p>
            <w:pPr>
              <w:pStyle w:val="TableParagraph"/>
              <w:spacing w:line="240" w:lineRule="auto" w:before="35"/>
              <w:ind w:left="1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62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5"/>
              <w:ind w:left="357"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7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5"/>
              <w:ind w:left="201"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61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5"/>
              <w:ind w:left="21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w:t>
            </w:r>
          </w:p>
        </w:tc>
        <w:tc>
          <w:tcPr>
            <w:tcW w:w="1610" w:type="dxa"/>
            <w:tcBorders>
              <w:top w:val="single" w:sz="12" w:space="0" w:color="000000"/>
              <w:left w:val="single" w:sz="4" w:space="0" w:color="000000"/>
              <w:bottom w:val="nil" w:sz="6" w:space="0" w:color="auto"/>
              <w:right w:val="nil" w:sz="6" w:space="0" w:color="auto"/>
            </w:tcBorders>
          </w:tcPr>
          <w:p>
            <w:pPr>
              <w:pStyle w:val="TableParagraph"/>
              <w:spacing w:line="240" w:lineRule="auto" w:before="35"/>
              <w:ind w:right="127"/>
              <w:jc w:val="right"/>
              <w:rPr>
                <w:rFonts w:ascii="宋体" w:hAnsi="宋体" w:cs="宋体" w:eastAsia="宋体" w:hint="default"/>
                <w:sz w:val="18"/>
                <w:szCs w:val="18"/>
              </w:rPr>
            </w:pPr>
            <w:r>
              <w:rPr>
                <w:rFonts w:ascii="宋体" w:hAnsi="宋体" w:cs="宋体" w:eastAsia="宋体" w:hint="default"/>
                <w:sz w:val="18"/>
                <w:szCs w:val="18"/>
              </w:rPr>
              <w:t>表决权比例（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53" w:hRule="exact"/>
        </w:trPr>
        <w:tc>
          <w:tcPr>
            <w:tcW w:w="3725"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沈阳慧球科技有限公司</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0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z w:val="18"/>
              </w:rPr>
              <w:t>90.00</w:t>
            </w: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z w:val="18"/>
              </w:rPr>
              <w:t>90.00</w:t>
            </w:r>
          </w:p>
        </w:tc>
      </w:tr>
      <w:tr>
        <w:trPr>
          <w:trHeight w:val="264" w:hRule="exact"/>
        </w:trPr>
        <w:tc>
          <w:tcPr>
            <w:tcW w:w="372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杭州郡原物业服务有限公司</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0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pacing w:val="-1"/>
                <w:sz w:val="18"/>
              </w:rPr>
              <w:t>100.00</w:t>
            </w: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18"/>
                <w:szCs w:val="18"/>
              </w:rPr>
            </w:pPr>
            <w:r>
              <w:rPr>
                <w:rFonts w:ascii="宋体"/>
                <w:spacing w:val="-1"/>
                <w:sz w:val="18"/>
              </w:rPr>
              <w:t>100.00</w:t>
            </w:r>
          </w:p>
        </w:tc>
      </w:tr>
      <w:tr>
        <w:trPr>
          <w:trHeight w:val="83" w:hRule="exact"/>
        </w:trPr>
        <w:tc>
          <w:tcPr>
            <w:tcW w:w="3725"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nil" w:sz="6" w:space="0" w:color="auto"/>
            </w:tcBorders>
          </w:tcPr>
          <w:p>
            <w:pPr/>
          </w:p>
        </w:tc>
      </w:tr>
      <w:tr>
        <w:trPr>
          <w:trHeight w:val="268" w:hRule="exact"/>
        </w:trPr>
        <w:tc>
          <w:tcPr>
            <w:tcW w:w="3725"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湖南郡原物业服务有限公司</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201"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100.00</w:t>
            </w: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100.00</w:t>
            </w:r>
          </w:p>
        </w:tc>
      </w:tr>
      <w:tr>
        <w:trPr>
          <w:trHeight w:val="83" w:hRule="exact"/>
        </w:trPr>
        <w:tc>
          <w:tcPr>
            <w:tcW w:w="3725"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nil" w:sz="6" w:space="0" w:color="auto"/>
            </w:tcBorders>
          </w:tcPr>
          <w:p>
            <w:pPr/>
          </w:p>
        </w:tc>
      </w:tr>
      <w:tr>
        <w:trPr>
          <w:trHeight w:val="268" w:hRule="exact"/>
        </w:trPr>
        <w:tc>
          <w:tcPr>
            <w:tcW w:w="3725"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沈阳辽原物业管理有限公司</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201"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100.00</w:t>
            </w: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100.00</w:t>
            </w:r>
          </w:p>
        </w:tc>
      </w:tr>
      <w:tr>
        <w:trPr>
          <w:trHeight w:val="83" w:hRule="exact"/>
        </w:trPr>
        <w:tc>
          <w:tcPr>
            <w:tcW w:w="3725"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725"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成都山外山物业管理有限公司</w:t>
            </w:r>
          </w:p>
        </w:tc>
        <w:tc>
          <w:tcPr>
            <w:tcW w:w="162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201"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100.00</w:t>
            </w: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100.00</w:t>
            </w:r>
          </w:p>
        </w:tc>
      </w:tr>
      <w:tr>
        <w:trPr>
          <w:trHeight w:val="355" w:hRule="exact"/>
        </w:trPr>
        <w:tc>
          <w:tcPr>
            <w:tcW w:w="3725" w:type="dxa"/>
            <w:tcBorders>
              <w:top w:val="nil" w:sz="6" w:space="0" w:color="auto"/>
              <w:left w:val="nil" w:sz="6" w:space="0" w:color="auto"/>
              <w:bottom w:val="single" w:sz="12"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建德郡原物业服务有限公司</w:t>
            </w:r>
          </w:p>
        </w:tc>
        <w:tc>
          <w:tcPr>
            <w:tcW w:w="162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2"/>
              <w:ind w:left="201"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100.00</w:t>
            </w:r>
          </w:p>
        </w:tc>
        <w:tc>
          <w:tcPr>
            <w:tcW w:w="1610" w:type="dxa"/>
            <w:tcBorders>
              <w:top w:val="nil" w:sz="6" w:space="0" w:color="auto"/>
              <w:left w:val="single" w:sz="4" w:space="0" w:color="000000"/>
              <w:bottom w:val="single" w:sz="12"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100.00</w:t>
            </w:r>
          </w:p>
        </w:tc>
      </w:tr>
    </w:tbl>
    <w:p>
      <w:pPr>
        <w:pStyle w:val="BodyText"/>
        <w:spacing w:line="240" w:lineRule="auto" w:before="86"/>
        <w:ind w:left="658" w:right="0"/>
        <w:jc w:val="left"/>
      </w:pPr>
      <w:r>
        <w:rPr/>
        <w:pict>
          <v:group style="position:absolute;margin-left:84.503998pt;margin-top:-89.036331pt;width:466.9pt;height:.5pt;mso-position-horizontal-relative:page;mso-position-vertical-relative:paragraph;z-index:-593968" coordorigin="1690,-1781" coordsize="9338,10">
            <v:shape style="position:absolute;left:1690;top:-1781;width:3706;height:10" type="#_x0000_t75" stroked="false">
              <v:imagedata r:id="rId53" o:title=""/>
            </v:shape>
            <v:shape style="position:absolute;left:5391;top:-1781;width:5636;height:10" type="#_x0000_t75" stroked="false">
              <v:imagedata r:id="rId51" o:title=""/>
            </v:shape>
            <w10:wrap type="none"/>
          </v:group>
        </w:pict>
      </w:r>
      <w:r>
        <w:rPr/>
        <w:pict>
          <v:group style="position:absolute;margin-left:84.503998pt;margin-top:-76.076309pt;width:466.9pt;height:5.05pt;mso-position-horizontal-relative:page;mso-position-vertical-relative:paragraph;z-index:-593944" coordorigin="1690,-1522" coordsize="9338,101">
            <v:shape style="position:absolute;left:1690;top:-1522;width:3725;height:101" type="#_x0000_t75" stroked="false">
              <v:imagedata r:id="rId57" o:title=""/>
            </v:shape>
            <v:shape style="position:absolute;left:5391;top:-1430;width:5636;height:10" type="#_x0000_t75" stroked="false">
              <v:imagedata r:id="rId51" o:title=""/>
            </v:shape>
            <w10:wrap type="none"/>
          </v:group>
        </w:pict>
      </w:r>
      <w:r>
        <w:rPr/>
        <w:pict>
          <v:group style="position:absolute;margin-left:84.503998pt;margin-top:-58.556374pt;width:466.9pt;height:5.05pt;mso-position-horizontal-relative:page;mso-position-vertical-relative:paragraph;z-index:-593920" coordorigin="1690,-1171" coordsize="9338,101">
            <v:shape style="position:absolute;left:1690;top:-1171;width:3725;height:101" type="#_x0000_t75" stroked="false">
              <v:imagedata r:id="rId54" o:title=""/>
            </v:shape>
            <v:shape style="position:absolute;left:5391;top:-1080;width:5636;height:10" type="#_x0000_t75" stroked="false">
              <v:imagedata r:id="rId51" o:title=""/>
            </v:shape>
            <w10:wrap type="none"/>
          </v:group>
        </w:pict>
      </w:r>
      <w:r>
        <w:rPr/>
        <w:pict>
          <v:group style="position:absolute;margin-left:84.503998pt;margin-top:-41.036373pt;width:466.9pt;height:5.05pt;mso-position-horizontal-relative:page;mso-position-vertical-relative:paragraph;z-index:-593896" coordorigin="1690,-821" coordsize="9338,101">
            <v:shape style="position:absolute;left:1690;top:-821;width:3725;height:101" type="#_x0000_t75" stroked="false">
              <v:imagedata r:id="rId54" o:title=""/>
            </v:shape>
            <v:shape style="position:absolute;left:5391;top:-730;width:5636;height:10" type="#_x0000_t75" stroked="false">
              <v:imagedata r:id="rId55" o:title=""/>
            </v:shape>
            <w10:wrap type="none"/>
          </v:group>
        </w:pict>
      </w:r>
      <w:r>
        <w:rPr/>
        <w:pict>
          <v:group style="position:absolute;margin-left:84.503998pt;margin-top:-23.516312pt;width:466.9pt;height:5.05pt;mso-position-horizontal-relative:page;mso-position-vertical-relative:paragraph;z-index:-593872" coordorigin="1690,-470" coordsize="9338,101">
            <v:shape style="position:absolute;left:1690;top:-470;width:3725;height:101" type="#_x0000_t75" stroked="false">
              <v:imagedata r:id="rId57" o:title=""/>
            </v:shape>
            <v:shape style="position:absolute;left:5391;top:-379;width:5636;height:10" type="#_x0000_t75" stroked="false">
              <v:imagedata r:id="rId51" o:title=""/>
            </v:shape>
            <w10:wrap type="none"/>
          </v:group>
        </w:pict>
      </w:r>
      <w:r>
        <w:rPr/>
        <w:t>注：本公司对慧球科技（重庆）有限公司持股比例与表决权比例不一致的原因为：慧球科技</w:t>
      </w:r>
    </w:p>
    <w:p>
      <w:pPr>
        <w:pStyle w:val="BodyText"/>
        <w:spacing w:line="240" w:lineRule="auto" w:before="133"/>
        <w:ind w:left="238" w:right="0"/>
        <w:jc w:val="both"/>
      </w:pPr>
      <w:r>
        <w:rPr/>
        <w:t>（重庆）有限公司于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日成立，设立时注册资本为人民币</w:t>
      </w:r>
      <w:r>
        <w:rPr>
          <w:spacing w:val="-53"/>
        </w:rPr>
        <w:t> </w:t>
      </w:r>
      <w:r>
        <w:rPr>
          <w:rFonts w:ascii="宋体" w:hAnsi="宋体" w:cs="宋体" w:eastAsia="宋体" w:hint="default"/>
        </w:rPr>
        <w:t>8,750</w:t>
      </w:r>
      <w:r>
        <w:rPr>
          <w:rFonts w:ascii="宋体" w:hAnsi="宋体" w:cs="宋体" w:eastAsia="宋体" w:hint="default"/>
          <w:spacing w:val="-54"/>
        </w:rPr>
        <w:t> </w:t>
      </w:r>
      <w:r>
        <w:rPr/>
        <w:t>万元，其中本公司</w:t>
      </w:r>
    </w:p>
    <w:p>
      <w:pPr>
        <w:pStyle w:val="BodyText"/>
        <w:spacing w:line="240" w:lineRule="auto" w:before="136"/>
        <w:ind w:left="238" w:right="0"/>
        <w:jc w:val="both"/>
      </w:pPr>
      <w:r>
        <w:rPr/>
        <w:t>出资人民币</w:t>
      </w:r>
      <w:r>
        <w:rPr>
          <w:spacing w:val="-55"/>
        </w:rPr>
        <w:t> </w:t>
      </w:r>
      <w:r>
        <w:rPr>
          <w:rFonts w:ascii="宋体" w:hAnsi="宋体" w:cs="宋体" w:eastAsia="宋体" w:hint="default"/>
        </w:rPr>
        <w:t>7,000</w:t>
      </w:r>
      <w:r>
        <w:rPr>
          <w:rFonts w:ascii="宋体" w:hAnsi="宋体" w:cs="宋体" w:eastAsia="宋体" w:hint="default"/>
          <w:spacing w:val="-55"/>
        </w:rPr>
        <w:t> </w:t>
      </w:r>
      <w:r>
        <w:rPr/>
        <w:t>万元，占注册资本的</w:t>
      </w:r>
      <w:r>
        <w:rPr>
          <w:spacing w:val="-54"/>
        </w:rPr>
        <w:t> </w:t>
      </w:r>
      <w:r>
        <w:rPr>
          <w:rFonts w:ascii="宋体" w:hAnsi="宋体" w:cs="宋体" w:eastAsia="宋体" w:hint="default"/>
        </w:rPr>
        <w:t>80%</w:t>
      </w:r>
      <w:r>
        <w:rPr/>
        <w:t>；重庆云计算投资运营有限公司出资人民币</w:t>
      </w:r>
      <w:r>
        <w:rPr>
          <w:spacing w:val="-54"/>
        </w:rPr>
        <w:t> </w:t>
      </w:r>
      <w:r>
        <w:rPr>
          <w:rFonts w:ascii="宋体" w:hAnsi="宋体" w:cs="宋体" w:eastAsia="宋体" w:hint="default"/>
        </w:rPr>
        <w:t>1,750</w:t>
      </w:r>
      <w:r>
        <w:rPr>
          <w:rFonts w:ascii="宋体" w:hAnsi="宋体" w:cs="宋体" w:eastAsia="宋体" w:hint="default"/>
          <w:spacing w:val="-55"/>
        </w:rPr>
        <w:t> </w:t>
      </w:r>
      <w:r>
        <w:rPr/>
        <w:t>万</w:t>
      </w:r>
    </w:p>
    <w:p>
      <w:pPr>
        <w:pStyle w:val="BodyText"/>
        <w:spacing w:line="355" w:lineRule="auto" w:before="133"/>
        <w:ind w:left="238" w:right="572"/>
        <w:jc w:val="both"/>
      </w:pPr>
      <w:r>
        <w:rPr/>
        <w:t>元，占注册资本的</w:t>
      </w:r>
      <w:r>
        <w:rPr>
          <w:spacing w:val="-55"/>
        </w:rPr>
        <w:t> </w:t>
      </w:r>
      <w:r>
        <w:rPr>
          <w:rFonts w:ascii="宋体" w:hAnsi="宋体" w:cs="宋体" w:eastAsia="宋体" w:hint="default"/>
        </w:rPr>
        <w:t>20%</w:t>
      </w:r>
      <w:r>
        <w:rPr/>
        <w:t>；由股东分期缴足出资。</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8</w:t>
      </w:r>
      <w:r>
        <w:rPr>
          <w:rFonts w:ascii="宋体" w:hAnsi="宋体" w:cs="宋体" w:eastAsia="宋体" w:hint="default"/>
          <w:spacing w:val="-57"/>
        </w:rPr>
        <w:t> </w:t>
      </w:r>
      <w:r>
        <w:rPr/>
        <w:t>月，公司股东首次货币出资人民币</w:t>
      </w:r>
      <w:r>
        <w:rPr>
          <w:spacing w:val="-54"/>
        </w:rPr>
        <w:t> </w:t>
      </w:r>
      <w:r>
        <w:rPr>
          <w:rFonts w:ascii="宋体" w:hAnsi="宋体" w:cs="宋体" w:eastAsia="宋体" w:hint="default"/>
        </w:rPr>
        <w:t>350</w:t>
      </w:r>
      <w:r>
        <w:rPr>
          <w:rFonts w:ascii="宋体" w:hAnsi="宋体" w:cs="宋体" w:eastAsia="宋体" w:hint="default"/>
          <w:w w:val="100"/>
        </w:rPr>
        <w:t> </w:t>
      </w:r>
      <w:r>
        <w:rPr/>
        <w:t>万元</w:t>
      </w:r>
      <w:r>
        <w:rPr>
          <w:rFonts w:ascii="宋体" w:hAnsi="宋体" w:cs="宋体" w:eastAsia="宋体" w:hint="default"/>
        </w:rPr>
        <w:t>,</w:t>
      </w:r>
      <w:r>
        <w:rPr/>
        <w:t>其中本公司出资人民币</w:t>
      </w:r>
      <w:r>
        <w:rPr>
          <w:spacing w:val="-55"/>
        </w:rPr>
        <w:t> </w:t>
      </w:r>
      <w:r>
        <w:rPr>
          <w:rFonts w:ascii="宋体" w:hAnsi="宋体" w:cs="宋体" w:eastAsia="宋体" w:hint="default"/>
        </w:rPr>
        <w:t>300</w:t>
      </w:r>
      <w:r>
        <w:rPr>
          <w:rFonts w:ascii="宋体" w:hAnsi="宋体" w:cs="宋体" w:eastAsia="宋体" w:hint="default"/>
          <w:spacing w:val="-58"/>
        </w:rPr>
        <w:t> </w:t>
      </w:r>
      <w:r>
        <w:rPr/>
        <w:t>万元，占实收资本的</w:t>
      </w:r>
      <w:r>
        <w:rPr>
          <w:spacing w:val="-56"/>
        </w:rPr>
        <w:t> </w:t>
      </w:r>
      <w:r>
        <w:rPr>
          <w:rFonts w:ascii="宋体" w:hAnsi="宋体" w:cs="宋体" w:eastAsia="宋体" w:hint="default"/>
        </w:rPr>
        <w:t>85.71%</w:t>
      </w:r>
      <w:r>
        <w:rPr/>
        <w:t>；重庆云计算投资运营有限公司出</w:t>
      </w:r>
      <w:r>
        <w:rPr>
          <w:w w:val="100"/>
        </w:rPr>
        <w:t> </w:t>
      </w:r>
      <w:r>
        <w:rPr/>
        <w:t>资人民币</w:t>
      </w:r>
      <w:r>
        <w:rPr>
          <w:spacing w:val="-57"/>
        </w:rPr>
        <w:t> </w:t>
      </w:r>
      <w:r>
        <w:rPr>
          <w:rFonts w:ascii="宋体" w:hAnsi="宋体" w:cs="宋体" w:eastAsia="宋体" w:hint="default"/>
        </w:rPr>
        <w:t>50</w:t>
      </w:r>
      <w:r>
        <w:rPr>
          <w:rFonts w:ascii="宋体" w:hAnsi="宋体" w:cs="宋体" w:eastAsia="宋体" w:hint="default"/>
          <w:spacing w:val="-57"/>
        </w:rPr>
        <w:t> </w:t>
      </w:r>
      <w:r>
        <w:rPr/>
        <w:t>万元，占实收资本的</w:t>
      </w:r>
      <w:r>
        <w:rPr>
          <w:spacing w:val="-56"/>
        </w:rPr>
        <w:t> </w:t>
      </w:r>
      <w:r>
        <w:rPr>
          <w:rFonts w:ascii="宋体" w:hAnsi="宋体" w:cs="宋体" w:eastAsia="宋体" w:hint="default"/>
        </w:rPr>
        <w:t>14.29%</w:t>
      </w:r>
      <w:r>
        <w:rPr/>
        <w:t>。根据公司章程约定，依照公司法规定由股东按照出资</w:t>
      </w:r>
      <w:r>
        <w:rPr>
          <w:w w:val="100"/>
        </w:rPr>
        <w:t> </w:t>
      </w:r>
      <w:r>
        <w:rPr/>
        <w:t>比例行使表决权。本公司对慧球科技（重庆）有限公司按实缴出资比例行使表决权。</w:t>
      </w:r>
    </w:p>
    <w:p>
      <w:pPr>
        <w:pStyle w:val="BodyText"/>
        <w:spacing w:line="355" w:lineRule="auto" w:before="154"/>
        <w:ind w:left="770" w:right="2737" w:hanging="29"/>
        <w:jc w:val="left"/>
      </w:pPr>
      <w:r>
        <w:rPr/>
        <w:pict>
          <v:group style="position:absolute;margin-left:271.730011pt;margin-top:51.643669pt;width:.6pt;height:138.9pt;mso-position-horizontal-relative:page;mso-position-vertical-relative:paragraph;z-index:-593848" coordorigin="5435,1033" coordsize="12,2778">
            <v:shape style="position:absolute;left:5437;top:1033;width:10;height:2" type="#_x0000_t75" stroked="false">
              <v:imagedata r:id="rId58" o:title=""/>
            </v:shape>
            <v:group style="position:absolute;left:5437;top:1054;width:10;height:20" coordorigin="5437,1054" coordsize="10,20">
              <v:shape style="position:absolute;left:5437;top:1054;width:10;height:20" coordorigin="5437,1054" coordsize="10,20" path="m5437,1074l5447,1074,5447,1054,5437,1054,5437,1074xe" filled="true" fillcolor="#000000" stroked="false">
                <v:path arrowok="t"/>
                <v:fill type="solid"/>
              </v:shape>
            </v:group>
            <v:group style="position:absolute;left:5437;top:1074;width:10;height:20" coordorigin="5437,1074" coordsize="10,20">
              <v:shape style="position:absolute;left:5437;top:1074;width:10;height:20" coordorigin="5437,1074" coordsize="10,20" path="m5437,1093l5447,1093,5447,1074,5437,1074,5437,1093xe" filled="true" fillcolor="#000000" stroked="false">
                <v:path arrowok="t"/>
                <v:fill type="solid"/>
              </v:shape>
            </v:group>
            <v:group style="position:absolute;left:5437;top:1093;width:10;height:20" coordorigin="5437,1093" coordsize="10,20">
              <v:shape style="position:absolute;left:5437;top:1093;width:10;height:20" coordorigin="5437,1093" coordsize="10,20" path="m5437,1112l5447,1112,5447,1093,5437,1093,5437,1112xe" filled="true" fillcolor="#000000" stroked="false">
                <v:path arrowok="t"/>
                <v:fill type="solid"/>
              </v:shape>
            </v:group>
            <v:group style="position:absolute;left:5437;top:1112;width:10;height:20" coordorigin="5437,1112" coordsize="10,20">
              <v:shape style="position:absolute;left:5437;top:1112;width:10;height:20" coordorigin="5437,1112" coordsize="10,20" path="m5437,1131l5447,1131,5447,1112,5437,1112,5437,1131xe" filled="true" fillcolor="#000000" stroked="false">
                <v:path arrowok="t"/>
                <v:fill type="solid"/>
              </v:shape>
            </v:group>
            <v:group style="position:absolute;left:5437;top:1131;width:10;height:20" coordorigin="5437,1131" coordsize="10,20">
              <v:shape style="position:absolute;left:5437;top:1131;width:10;height:20" coordorigin="5437,1131" coordsize="10,20" path="m5437,1150l5447,1150,5447,1131,5437,1131,5437,1150xe" filled="true" fillcolor="#000000" stroked="false">
                <v:path arrowok="t"/>
                <v:fill type="solid"/>
              </v:shape>
            </v:group>
            <v:group style="position:absolute;left:5437;top:1150;width:10;height:20" coordorigin="5437,1150" coordsize="10,20">
              <v:shape style="position:absolute;left:5437;top:1150;width:10;height:20" coordorigin="5437,1150" coordsize="10,20" path="m5437,1170l5447,1170,5447,1150,5437,1150,5437,1170xe" filled="true" fillcolor="#000000" stroked="false">
                <v:path arrowok="t"/>
                <v:fill type="solid"/>
              </v:shape>
            </v:group>
            <v:group style="position:absolute;left:5437;top:1170;width:10;height:20" coordorigin="5437,1170" coordsize="10,20">
              <v:shape style="position:absolute;left:5437;top:1170;width:10;height:20" coordorigin="5437,1170" coordsize="10,20" path="m5437,1189l5447,1189,5447,1170,5437,1170,5437,1189xe" filled="true" fillcolor="#000000" stroked="false">
                <v:path arrowok="t"/>
                <v:fill type="solid"/>
              </v:shape>
            </v:group>
            <v:group style="position:absolute;left:5437;top:1189;width:10;height:20" coordorigin="5437,1189" coordsize="10,20">
              <v:shape style="position:absolute;left:5437;top:1189;width:10;height:20" coordorigin="5437,1189" coordsize="10,20" path="m5437,1208l5447,1208,5447,1189,5437,1189,5437,1208xe" filled="true" fillcolor="#000000" stroked="false">
                <v:path arrowok="t"/>
                <v:fill type="solid"/>
              </v:shape>
            </v:group>
            <v:group style="position:absolute;left:5437;top:1208;width:10;height:20" coordorigin="5437,1208" coordsize="10,20">
              <v:shape style="position:absolute;left:5437;top:1208;width:10;height:20" coordorigin="5437,1208" coordsize="10,20" path="m5437,1228l5447,1228,5447,1208,5437,1208,5437,1228xe" filled="true" fillcolor="#000000" stroked="false">
                <v:path arrowok="t"/>
                <v:fill type="solid"/>
              </v:shape>
            </v:group>
            <v:group style="position:absolute;left:5437;top:1228;width:10;height:20" coordorigin="5437,1228" coordsize="10,20">
              <v:shape style="position:absolute;left:5437;top:1228;width:10;height:20" coordorigin="5437,1228" coordsize="10,20" path="m5437,1247l5447,1247,5447,1228,5437,1228,5437,1247xe" filled="true" fillcolor="#000000" stroked="false">
                <v:path arrowok="t"/>
                <v:fill type="solid"/>
              </v:shape>
            </v:group>
            <v:group style="position:absolute;left:5437;top:1247;width:10;height:20" coordorigin="5437,1247" coordsize="10,20">
              <v:shape style="position:absolute;left:5437;top:1247;width:10;height:20" coordorigin="5437,1247" coordsize="10,20" path="m5437,1266l5447,1266,5447,1247,5437,1247,5437,1266xe" filled="true" fillcolor="#000000" stroked="false">
                <v:path arrowok="t"/>
                <v:fill type="solid"/>
              </v:shape>
            </v:group>
            <v:group style="position:absolute;left:5437;top:1266;width:10;height:20" coordorigin="5437,1266" coordsize="10,20">
              <v:shape style="position:absolute;left:5437;top:1266;width:10;height:20" coordorigin="5437,1266" coordsize="10,20" path="m5437,1285l5447,1285,5447,1266,5437,1266,5437,1285xe" filled="true" fillcolor="#000000" stroked="false">
                <v:path arrowok="t"/>
                <v:fill type="solid"/>
              </v:shape>
            </v:group>
            <v:group style="position:absolute;left:5437;top:1285;width:10;height:20" coordorigin="5437,1285" coordsize="10,20">
              <v:shape style="position:absolute;left:5437;top:1285;width:10;height:20" coordorigin="5437,1285" coordsize="10,20" path="m5437,1304l5447,1304,5447,1285,5437,1285,5437,1304xe" filled="true" fillcolor="#000000" stroked="false">
                <v:path arrowok="t"/>
                <v:fill type="solid"/>
              </v:shape>
            </v:group>
            <v:group style="position:absolute;left:5437;top:1304;width:10;height:20" coordorigin="5437,1304" coordsize="10,20">
              <v:shape style="position:absolute;left:5437;top:1304;width:10;height:20" coordorigin="5437,1304" coordsize="10,20" path="m5437,1324l5447,1324,5447,1304,5437,1304,5437,1324xe" filled="true" fillcolor="#000000" stroked="false">
                <v:path arrowok="t"/>
                <v:fill type="solid"/>
              </v:shape>
            </v:group>
            <v:group style="position:absolute;left:5437;top:1324;width:10;height:20" coordorigin="5437,1324" coordsize="10,20">
              <v:shape style="position:absolute;left:5437;top:1324;width:10;height:20" coordorigin="5437,1324" coordsize="10,20" path="m5437,1343l5447,1343,5447,1324,5437,1324,5437,1343xe" filled="true" fillcolor="#000000" stroked="false">
                <v:path arrowok="t"/>
                <v:fill type="solid"/>
              </v:shape>
              <v:shape style="position:absolute;left:5435;top:1374;width:2;height:10" type="#_x0000_t75" stroked="false">
                <v:imagedata r:id="rId58" o:title=""/>
              </v:shape>
            </v:group>
            <v:group style="position:absolute;left:5437;top:1403;width:10;height:20" coordorigin="5437,1403" coordsize="10,20">
              <v:shape style="position:absolute;left:5437;top:1403;width:10;height:20" coordorigin="5437,1403" coordsize="10,20" path="m5437,1422l5447,1422,5447,1403,5437,1403,5437,1422xe" filled="true" fillcolor="#000000" stroked="false">
                <v:path arrowok="t"/>
                <v:fill type="solid"/>
              </v:shape>
            </v:group>
            <v:group style="position:absolute;left:5437;top:1422;width:10;height:20" coordorigin="5437,1422" coordsize="10,20">
              <v:shape style="position:absolute;left:5437;top:1422;width:10;height:20" coordorigin="5437,1422" coordsize="10,20" path="m5437,1441l5447,1441,5447,1422,5437,1422,5437,1441xe" filled="true" fillcolor="#000000" stroked="false">
                <v:path arrowok="t"/>
                <v:fill type="solid"/>
              </v:shape>
            </v:group>
            <v:group style="position:absolute;left:5437;top:1441;width:10;height:20" coordorigin="5437,1441" coordsize="10,20">
              <v:shape style="position:absolute;left:5437;top:1441;width:10;height:20" coordorigin="5437,1441" coordsize="10,20" path="m5437,1460l5447,1460,5447,1441,5437,1441,5437,1460xe" filled="true" fillcolor="#000000" stroked="false">
                <v:path arrowok="t"/>
                <v:fill type="solid"/>
              </v:shape>
            </v:group>
            <v:group style="position:absolute;left:5437;top:1460;width:10;height:20" coordorigin="5437,1460" coordsize="10,20">
              <v:shape style="position:absolute;left:5437;top:1460;width:10;height:20" coordorigin="5437,1460" coordsize="10,20" path="m5437,1480l5447,1480,5447,1460,5437,1460,5437,1480xe" filled="true" fillcolor="#000000" stroked="false">
                <v:path arrowok="t"/>
                <v:fill type="solid"/>
              </v:shape>
            </v:group>
            <v:group style="position:absolute;left:5437;top:1480;width:10;height:20" coordorigin="5437,1480" coordsize="10,20">
              <v:shape style="position:absolute;left:5437;top:1480;width:10;height:20" coordorigin="5437,1480" coordsize="10,20" path="m5437,1499l5447,1499,5447,1480,5437,1480,5437,1499xe" filled="true" fillcolor="#000000" stroked="false">
                <v:path arrowok="t"/>
                <v:fill type="solid"/>
              </v:shape>
            </v:group>
            <v:group style="position:absolute;left:5437;top:1499;width:10;height:20" coordorigin="5437,1499" coordsize="10,20">
              <v:shape style="position:absolute;left:5437;top:1499;width:10;height:20" coordorigin="5437,1499" coordsize="10,20" path="m5437,1518l5447,1518,5447,1499,5437,1499,5437,1518xe" filled="true" fillcolor="#000000" stroked="false">
                <v:path arrowok="t"/>
                <v:fill type="solid"/>
              </v:shape>
            </v:group>
            <v:group style="position:absolute;left:5437;top:1518;width:10;height:20" coordorigin="5437,1518" coordsize="10,20">
              <v:shape style="position:absolute;left:5437;top:1518;width:10;height:20" coordorigin="5437,1518" coordsize="10,20" path="m5437,1537l5447,1537,5447,1518,5437,1518,5437,1537xe" filled="true" fillcolor="#000000" stroked="false">
                <v:path arrowok="t"/>
                <v:fill type="solid"/>
              </v:shape>
            </v:group>
            <v:group style="position:absolute;left:5437;top:1537;width:10;height:20" coordorigin="5437,1537" coordsize="10,20">
              <v:shape style="position:absolute;left:5437;top:1537;width:10;height:20" coordorigin="5437,1537" coordsize="10,20" path="m5437,1556l5447,1556,5447,1537,5437,1537,5437,1556xe" filled="true" fillcolor="#000000" stroked="false">
                <v:path arrowok="t"/>
                <v:fill type="solid"/>
              </v:shape>
            </v:group>
            <v:group style="position:absolute;left:5437;top:1556;width:10;height:20" coordorigin="5437,1556" coordsize="10,20">
              <v:shape style="position:absolute;left:5437;top:1556;width:10;height:20" coordorigin="5437,1556" coordsize="10,20" path="m5437,1576l5447,1576,5447,1556,5437,1556,5437,1576xe" filled="true" fillcolor="#000000" stroked="false">
                <v:path arrowok="t"/>
                <v:fill type="solid"/>
              </v:shape>
            </v:group>
            <v:group style="position:absolute;left:5437;top:1576;width:10;height:20" coordorigin="5437,1576" coordsize="10,20">
              <v:shape style="position:absolute;left:5437;top:1576;width:10;height:20" coordorigin="5437,1576" coordsize="10,20" path="m5437,1595l5447,1595,5447,1576,5437,1576,5437,1595xe" filled="true" fillcolor="#000000" stroked="false">
                <v:path arrowok="t"/>
                <v:fill type="solid"/>
              </v:shape>
            </v:group>
            <v:group style="position:absolute;left:5437;top:1595;width:10;height:20" coordorigin="5437,1595" coordsize="10,20">
              <v:shape style="position:absolute;left:5437;top:1595;width:10;height:20" coordorigin="5437,1595" coordsize="10,20" path="m5437,1614l5447,1614,5447,1595,5437,1595,5437,1614xe" filled="true" fillcolor="#000000" stroked="false">
                <v:path arrowok="t"/>
                <v:fill type="solid"/>
              </v:shape>
            </v:group>
            <v:group style="position:absolute;left:5437;top:1614;width:10;height:20" coordorigin="5437,1614" coordsize="10,20">
              <v:shape style="position:absolute;left:5437;top:1614;width:10;height:20" coordorigin="5437,1614" coordsize="10,20" path="m5437,1633l5447,1633,5447,1614,5437,1614,5437,1633xe" filled="true" fillcolor="#000000" stroked="false">
                <v:path arrowok="t"/>
                <v:fill type="solid"/>
              </v:shape>
            </v:group>
            <v:group style="position:absolute;left:5437;top:1633;width:10;height:20" coordorigin="5437,1633" coordsize="10,20">
              <v:shape style="position:absolute;left:5437;top:1633;width:10;height:20" coordorigin="5437,1633" coordsize="10,20" path="m5437,1652l5447,1652,5447,1633,5437,1633,5437,1652xe" filled="true" fillcolor="#000000" stroked="false">
                <v:path arrowok="t"/>
                <v:fill type="solid"/>
              </v:shape>
            </v:group>
            <v:group style="position:absolute;left:5437;top:1652;width:10;height:20" coordorigin="5437,1652" coordsize="10,20">
              <v:shape style="position:absolute;left:5437;top:1652;width:10;height:20" coordorigin="5437,1652" coordsize="10,20" path="m5437,1672l5447,1672,5447,1652,5437,1652,5437,1672xe" filled="true" fillcolor="#000000" stroked="false">
                <v:path arrowok="t"/>
                <v:fill type="solid"/>
              </v:shape>
            </v:group>
            <v:group style="position:absolute;left:5437;top:1672;width:10;height:20" coordorigin="5437,1672" coordsize="10,20">
              <v:shape style="position:absolute;left:5437;top:1672;width:10;height:20" coordorigin="5437,1672" coordsize="10,20" path="m5437,1691l5447,1691,5447,1672,5437,1672,5437,1691xe" filled="true" fillcolor="#000000" stroked="false">
                <v:path arrowok="t"/>
                <v:fill type="solid"/>
              </v:shape>
              <v:shape style="position:absolute;left:5435;top:1724;width:2;height:10" type="#_x0000_t75" stroked="false">
                <v:imagedata r:id="rId58" o:title=""/>
              </v:shape>
            </v:group>
            <v:group style="position:absolute;left:5437;top:1753;width:10;height:20" coordorigin="5437,1753" coordsize="10,20">
              <v:shape style="position:absolute;left:5437;top:1753;width:10;height:20" coordorigin="5437,1753" coordsize="10,20" path="m5437,1772l5447,1772,5447,1753,5437,1753,5437,1772xe" filled="true" fillcolor="#000000" stroked="false">
                <v:path arrowok="t"/>
                <v:fill type="solid"/>
              </v:shape>
            </v:group>
            <v:group style="position:absolute;left:5437;top:1772;width:10;height:20" coordorigin="5437,1772" coordsize="10,20">
              <v:shape style="position:absolute;left:5437;top:1772;width:10;height:20" coordorigin="5437,1772" coordsize="10,20" path="m5437,1792l5447,1792,5447,1772,5437,1772,5437,1792xe" filled="true" fillcolor="#000000" stroked="false">
                <v:path arrowok="t"/>
                <v:fill type="solid"/>
              </v:shape>
            </v:group>
            <v:group style="position:absolute;left:5437;top:1792;width:10;height:20" coordorigin="5437,1792" coordsize="10,20">
              <v:shape style="position:absolute;left:5437;top:1792;width:10;height:20" coordorigin="5437,1792" coordsize="10,20" path="m5437,1811l5447,1811,5447,1792,5437,1792,5437,1811xe" filled="true" fillcolor="#000000" stroked="false">
                <v:path arrowok="t"/>
                <v:fill type="solid"/>
              </v:shape>
            </v:group>
            <v:group style="position:absolute;left:5437;top:1811;width:10;height:20" coordorigin="5437,1811" coordsize="10,20">
              <v:shape style="position:absolute;left:5437;top:1811;width:10;height:20" coordorigin="5437,1811" coordsize="10,20" path="m5437,1830l5447,1830,5447,1811,5437,1811,5437,1830xe" filled="true" fillcolor="#000000" stroked="false">
                <v:path arrowok="t"/>
                <v:fill type="solid"/>
              </v:shape>
            </v:group>
            <v:group style="position:absolute;left:5437;top:1830;width:10;height:20" coordorigin="5437,1830" coordsize="10,20">
              <v:shape style="position:absolute;left:5437;top:1830;width:10;height:20" coordorigin="5437,1830" coordsize="10,20" path="m5437,1849l5447,1849,5447,1830,5437,1830,5437,1849xe" filled="true" fillcolor="#000000" stroked="false">
                <v:path arrowok="t"/>
                <v:fill type="solid"/>
              </v:shape>
            </v:group>
            <v:group style="position:absolute;left:5437;top:1849;width:10;height:20" coordorigin="5437,1849" coordsize="10,20">
              <v:shape style="position:absolute;left:5437;top:1849;width:10;height:20" coordorigin="5437,1849" coordsize="10,20" path="m5437,1868l5447,1868,5447,1849,5437,1849,5437,1868xe" filled="true" fillcolor="#000000" stroked="false">
                <v:path arrowok="t"/>
                <v:fill type="solid"/>
              </v:shape>
            </v:group>
            <v:group style="position:absolute;left:5437;top:1868;width:10;height:20" coordorigin="5437,1868" coordsize="10,20">
              <v:shape style="position:absolute;left:5437;top:1868;width:10;height:20" coordorigin="5437,1868" coordsize="10,20" path="m5437,1888l5447,1888,5447,1868,5437,1868,5437,1888xe" filled="true" fillcolor="#000000" stroked="false">
                <v:path arrowok="t"/>
                <v:fill type="solid"/>
              </v:shape>
            </v:group>
            <v:group style="position:absolute;left:5437;top:1888;width:10;height:20" coordorigin="5437,1888" coordsize="10,20">
              <v:shape style="position:absolute;left:5437;top:1888;width:10;height:20" coordorigin="5437,1888" coordsize="10,20" path="m5437,1907l5447,1907,5447,1888,5437,1888,5437,1907xe" filled="true" fillcolor="#000000" stroked="false">
                <v:path arrowok="t"/>
                <v:fill type="solid"/>
              </v:shape>
            </v:group>
            <v:group style="position:absolute;left:5437;top:1907;width:10;height:20" coordorigin="5437,1907" coordsize="10,20">
              <v:shape style="position:absolute;left:5437;top:1907;width:10;height:20" coordorigin="5437,1907" coordsize="10,20" path="m5437,1926l5447,1926,5447,1907,5437,1907,5437,1926xe" filled="true" fillcolor="#000000" stroked="false">
                <v:path arrowok="t"/>
                <v:fill type="solid"/>
              </v:shape>
            </v:group>
            <v:group style="position:absolute;left:5437;top:1926;width:10;height:20" coordorigin="5437,1926" coordsize="10,20">
              <v:shape style="position:absolute;left:5437;top:1926;width:10;height:20" coordorigin="5437,1926" coordsize="10,20" path="m5437,1945l5447,1945,5447,1926,5437,1926,5437,1945xe" filled="true" fillcolor="#000000" stroked="false">
                <v:path arrowok="t"/>
                <v:fill type="solid"/>
              </v:shape>
            </v:group>
            <v:group style="position:absolute;left:5437;top:1945;width:10;height:20" coordorigin="5437,1945" coordsize="10,20">
              <v:shape style="position:absolute;left:5437;top:1945;width:10;height:20" coordorigin="5437,1945" coordsize="10,20" path="m5437,1964l5447,1964,5447,1945,5437,1945,5437,1964xe" filled="true" fillcolor="#000000" stroked="false">
                <v:path arrowok="t"/>
                <v:fill type="solid"/>
              </v:shape>
            </v:group>
            <v:group style="position:absolute;left:5437;top:1964;width:10;height:20" coordorigin="5437,1964" coordsize="10,20">
              <v:shape style="position:absolute;left:5437;top:1964;width:10;height:20" coordorigin="5437,1964" coordsize="10,20" path="m5437,1984l5447,1984,5447,1964,5437,1964,5437,1984xe" filled="true" fillcolor="#000000" stroked="false">
                <v:path arrowok="t"/>
                <v:fill type="solid"/>
              </v:shape>
            </v:group>
            <v:group style="position:absolute;left:5437;top:1984;width:10;height:20" coordorigin="5437,1984" coordsize="10,20">
              <v:shape style="position:absolute;left:5437;top:1984;width:10;height:20" coordorigin="5437,1984" coordsize="10,20" path="m5437,2003l5447,2003,5447,1984,5437,1984,5437,2003xe" filled="true" fillcolor="#000000" stroked="false">
                <v:path arrowok="t"/>
                <v:fill type="solid"/>
              </v:shape>
            </v:group>
            <v:group style="position:absolute;left:5437;top:2003;width:10;height:20" coordorigin="5437,2003" coordsize="10,20">
              <v:shape style="position:absolute;left:5437;top:2003;width:10;height:20" coordorigin="5437,2003" coordsize="10,20" path="m5437,2022l5447,2022,5447,2003,5437,2003,5437,2022xe" filled="true" fillcolor="#000000" stroked="false">
                <v:path arrowok="t"/>
                <v:fill type="solid"/>
              </v:shape>
            </v:group>
            <v:group style="position:absolute;left:5437;top:2022;width:10;height:20" coordorigin="5437,2022" coordsize="10,20">
              <v:shape style="position:absolute;left:5437;top:2022;width:10;height:20" coordorigin="5437,2022" coordsize="10,20" path="m5437,2041l5447,2041,5447,2022,5437,2022,5437,2041xe" filled="true" fillcolor="#000000" stroked="false">
                <v:path arrowok="t"/>
                <v:fill type="solid"/>
              </v:shape>
              <v:shape style="position:absolute;left:5435;top:2075;width:2;height:10" type="#_x0000_t75" stroked="false">
                <v:imagedata r:id="rId58" o:title=""/>
              </v:shape>
            </v:group>
            <v:group style="position:absolute;left:5437;top:2104;width:10;height:20" coordorigin="5437,2104" coordsize="10,20">
              <v:shape style="position:absolute;left:5437;top:2104;width:10;height:20" coordorigin="5437,2104" coordsize="10,20" path="m5437,2123l5447,2123,5447,2104,5437,2104,5437,2123xe" filled="true" fillcolor="#000000" stroked="false">
                <v:path arrowok="t"/>
                <v:fill type="solid"/>
              </v:shape>
            </v:group>
            <v:group style="position:absolute;left:5437;top:2123;width:10;height:20" coordorigin="5437,2123" coordsize="10,20">
              <v:shape style="position:absolute;left:5437;top:2123;width:10;height:20" coordorigin="5437,2123" coordsize="10,20" path="m5437,2142l5447,2142,5447,2123,5437,2123,5437,2142xe" filled="true" fillcolor="#000000" stroked="false">
                <v:path arrowok="t"/>
                <v:fill type="solid"/>
              </v:shape>
            </v:group>
            <v:group style="position:absolute;left:5437;top:2142;width:10;height:20" coordorigin="5437,2142" coordsize="10,20">
              <v:shape style="position:absolute;left:5437;top:2142;width:10;height:20" coordorigin="5437,2142" coordsize="10,20" path="m5437,2161l5447,2161,5447,2142,5437,2142,5437,2161xe" filled="true" fillcolor="#000000" stroked="false">
                <v:path arrowok="t"/>
                <v:fill type="solid"/>
              </v:shape>
            </v:group>
            <v:group style="position:absolute;left:5437;top:2161;width:10;height:20" coordorigin="5437,2161" coordsize="10,20">
              <v:shape style="position:absolute;left:5437;top:2161;width:10;height:20" coordorigin="5437,2161" coordsize="10,20" path="m5437,2180l5447,2180,5447,2161,5437,2161,5437,2180xe" filled="true" fillcolor="#000000" stroked="false">
                <v:path arrowok="t"/>
                <v:fill type="solid"/>
              </v:shape>
            </v:group>
            <v:group style="position:absolute;left:5437;top:2180;width:10;height:20" coordorigin="5437,2180" coordsize="10,20">
              <v:shape style="position:absolute;left:5437;top:2180;width:10;height:20" coordorigin="5437,2180" coordsize="10,20" path="m5437,2200l5447,2200,5447,2180,5437,2180,5437,2200xe" filled="true" fillcolor="#000000" stroked="false">
                <v:path arrowok="t"/>
                <v:fill type="solid"/>
              </v:shape>
            </v:group>
            <v:group style="position:absolute;left:5437;top:2200;width:10;height:20" coordorigin="5437,2200" coordsize="10,20">
              <v:shape style="position:absolute;left:5437;top:2200;width:10;height:20" coordorigin="5437,2200" coordsize="10,20" path="m5437,2219l5447,2219,5447,2200,5437,2200,5437,2219xe" filled="true" fillcolor="#000000" stroked="false">
                <v:path arrowok="t"/>
                <v:fill type="solid"/>
              </v:shape>
            </v:group>
            <v:group style="position:absolute;left:5437;top:2219;width:10;height:20" coordorigin="5437,2219" coordsize="10,20">
              <v:shape style="position:absolute;left:5437;top:2219;width:10;height:20" coordorigin="5437,2219" coordsize="10,20" path="m5437,2238l5447,2238,5447,2219,5437,2219,5437,2238xe" filled="true" fillcolor="#000000" stroked="false">
                <v:path arrowok="t"/>
                <v:fill type="solid"/>
              </v:shape>
            </v:group>
            <v:group style="position:absolute;left:5437;top:2238;width:10;height:20" coordorigin="5437,2238" coordsize="10,20">
              <v:shape style="position:absolute;left:5437;top:2238;width:10;height:20" coordorigin="5437,2238" coordsize="10,20" path="m5437,2257l5447,2257,5447,2238,5437,2238,5437,2257xe" filled="true" fillcolor="#000000" stroked="false">
                <v:path arrowok="t"/>
                <v:fill type="solid"/>
              </v:shape>
            </v:group>
            <v:group style="position:absolute;left:5437;top:2257;width:10;height:20" coordorigin="5437,2257" coordsize="10,20">
              <v:shape style="position:absolute;left:5437;top:2257;width:10;height:20" coordorigin="5437,2257" coordsize="10,20" path="m5437,2276l5447,2276,5447,2257,5437,2257,5437,2276xe" filled="true" fillcolor="#000000" stroked="false">
                <v:path arrowok="t"/>
                <v:fill type="solid"/>
              </v:shape>
            </v:group>
            <v:group style="position:absolute;left:5437;top:2276;width:10;height:20" coordorigin="5437,2276" coordsize="10,20">
              <v:shape style="position:absolute;left:5437;top:2276;width:10;height:20" coordorigin="5437,2276" coordsize="10,20" path="m5437,2296l5447,2296,5447,2276,5437,2276,5437,2296xe" filled="true" fillcolor="#000000" stroked="false">
                <v:path arrowok="t"/>
                <v:fill type="solid"/>
              </v:shape>
            </v:group>
            <v:group style="position:absolute;left:5437;top:2296;width:10;height:20" coordorigin="5437,2296" coordsize="10,20">
              <v:shape style="position:absolute;left:5437;top:2296;width:10;height:20" coordorigin="5437,2296" coordsize="10,20" path="m5437,2315l5447,2315,5447,2296,5437,2296,5437,2315xe" filled="true" fillcolor="#000000" stroked="false">
                <v:path arrowok="t"/>
                <v:fill type="solid"/>
              </v:shape>
            </v:group>
            <v:group style="position:absolute;left:5437;top:2315;width:10;height:20" coordorigin="5437,2315" coordsize="10,20">
              <v:shape style="position:absolute;left:5437;top:2315;width:10;height:20" coordorigin="5437,2315" coordsize="10,20" path="m5437,2334l5447,2334,5447,2315,5437,2315,5437,2334xe" filled="true" fillcolor="#000000" stroked="false">
                <v:path arrowok="t"/>
                <v:fill type="solid"/>
              </v:shape>
            </v:group>
            <v:group style="position:absolute;left:5437;top:2334;width:10;height:20" coordorigin="5437,2334" coordsize="10,20">
              <v:shape style="position:absolute;left:5437;top:2334;width:10;height:20" coordorigin="5437,2334" coordsize="10,20" path="m5437,2353l5447,2353,5447,2334,5437,2334,5437,2353xe" filled="true" fillcolor="#000000" stroked="false">
                <v:path arrowok="t"/>
                <v:fill type="solid"/>
              </v:shape>
            </v:group>
            <v:group style="position:absolute;left:5437;top:2353;width:10;height:20" coordorigin="5437,2353" coordsize="10,20">
              <v:shape style="position:absolute;left:5437;top:2353;width:10;height:20" coordorigin="5437,2353" coordsize="10,20" path="m5437,2372l5447,2372,5447,2353,5437,2353,5437,2372xe" filled="true" fillcolor="#000000" stroked="false">
                <v:path arrowok="t"/>
                <v:fill type="solid"/>
              </v:shape>
            </v:group>
            <v:group style="position:absolute;left:5437;top:2372;width:10;height:20" coordorigin="5437,2372" coordsize="10,20">
              <v:shape style="position:absolute;left:5437;top:2372;width:10;height:20" coordorigin="5437,2372" coordsize="10,20" path="m5437,2392l5447,2392,5447,2372,5437,2372,5437,2392xe" filled="true" fillcolor="#000000" stroked="false">
                <v:path arrowok="t"/>
                <v:fill type="solid"/>
              </v:shape>
              <v:shape style="position:absolute;left:5435;top:2425;width:2;height:10" type="#_x0000_t75" stroked="false">
                <v:imagedata r:id="rId58" o:title=""/>
              </v:shape>
            </v:group>
            <v:group style="position:absolute;left:5437;top:2454;width:10;height:20" coordorigin="5437,2454" coordsize="10,20">
              <v:shape style="position:absolute;left:5437;top:2454;width:10;height:20" coordorigin="5437,2454" coordsize="10,20" path="m5437,2473l5447,2473,5447,2454,5437,2454,5437,2473xe" filled="true" fillcolor="#000000" stroked="false">
                <v:path arrowok="t"/>
                <v:fill type="solid"/>
              </v:shape>
            </v:group>
            <v:group style="position:absolute;left:5437;top:2473;width:10;height:20" coordorigin="5437,2473" coordsize="10,20">
              <v:shape style="position:absolute;left:5437;top:2473;width:10;height:20" coordorigin="5437,2473" coordsize="10,20" path="m5437,2492l5447,2492,5447,2473,5437,2473,5437,2492xe" filled="true" fillcolor="#000000" stroked="false">
                <v:path arrowok="t"/>
                <v:fill type="solid"/>
              </v:shape>
            </v:group>
            <v:group style="position:absolute;left:5437;top:2492;width:10;height:20" coordorigin="5437,2492" coordsize="10,20">
              <v:shape style="position:absolute;left:5437;top:2492;width:10;height:20" coordorigin="5437,2492" coordsize="10,20" path="m5437,2512l5447,2512,5447,2492,5437,2492,5437,2512xe" filled="true" fillcolor="#000000" stroked="false">
                <v:path arrowok="t"/>
                <v:fill type="solid"/>
              </v:shape>
            </v:group>
            <v:group style="position:absolute;left:5437;top:2512;width:10;height:20" coordorigin="5437,2512" coordsize="10,20">
              <v:shape style="position:absolute;left:5437;top:2512;width:10;height:20" coordorigin="5437,2512" coordsize="10,20" path="m5437,2531l5447,2531,5447,2512,5437,2512,5437,2531xe" filled="true" fillcolor="#000000" stroked="false">
                <v:path arrowok="t"/>
                <v:fill type="solid"/>
              </v:shape>
            </v:group>
            <v:group style="position:absolute;left:5437;top:2531;width:10;height:20" coordorigin="5437,2531" coordsize="10,20">
              <v:shape style="position:absolute;left:5437;top:2531;width:10;height:20" coordorigin="5437,2531" coordsize="10,20" path="m5437,2550l5447,2550,5447,2531,5437,2531,5437,2550xe" filled="true" fillcolor="#000000" stroked="false">
                <v:path arrowok="t"/>
                <v:fill type="solid"/>
              </v:shape>
            </v:group>
            <v:group style="position:absolute;left:5437;top:2550;width:10;height:20" coordorigin="5437,2550" coordsize="10,20">
              <v:shape style="position:absolute;left:5437;top:2550;width:10;height:20" coordorigin="5437,2550" coordsize="10,20" path="m5437,2569l5447,2569,5447,2550,5437,2550,5437,2569xe" filled="true" fillcolor="#000000" stroked="false">
                <v:path arrowok="t"/>
                <v:fill type="solid"/>
              </v:shape>
            </v:group>
            <v:group style="position:absolute;left:5437;top:2569;width:10;height:20" coordorigin="5437,2569" coordsize="10,20">
              <v:shape style="position:absolute;left:5437;top:2569;width:10;height:20" coordorigin="5437,2569" coordsize="10,20" path="m5437,2588l5447,2588,5447,2569,5437,2569,5437,2588xe" filled="true" fillcolor="#000000" stroked="false">
                <v:path arrowok="t"/>
                <v:fill type="solid"/>
              </v:shape>
            </v:group>
            <v:group style="position:absolute;left:5437;top:2588;width:10;height:20" coordorigin="5437,2588" coordsize="10,20">
              <v:shape style="position:absolute;left:5437;top:2588;width:10;height:20" coordorigin="5437,2588" coordsize="10,20" path="m5437,2608l5447,2608,5447,2588,5437,2588,5437,2608xe" filled="true" fillcolor="#000000" stroked="false">
                <v:path arrowok="t"/>
                <v:fill type="solid"/>
              </v:shape>
            </v:group>
            <v:group style="position:absolute;left:5437;top:2608;width:10;height:20" coordorigin="5437,2608" coordsize="10,20">
              <v:shape style="position:absolute;left:5437;top:2608;width:10;height:20" coordorigin="5437,2608" coordsize="10,20" path="m5437,2627l5447,2627,5447,2608,5437,2608,5437,2627xe" filled="true" fillcolor="#000000" stroked="false">
                <v:path arrowok="t"/>
                <v:fill type="solid"/>
              </v:shape>
            </v:group>
            <v:group style="position:absolute;left:5437;top:2627;width:10;height:20" coordorigin="5437,2627" coordsize="10,20">
              <v:shape style="position:absolute;left:5437;top:2627;width:10;height:20" coordorigin="5437,2627" coordsize="10,20" path="m5437,2646l5447,2646,5447,2627,5437,2627,5437,2646xe" filled="true" fillcolor="#000000" stroked="false">
                <v:path arrowok="t"/>
                <v:fill type="solid"/>
              </v:shape>
            </v:group>
            <v:group style="position:absolute;left:5437;top:2646;width:10;height:20" coordorigin="5437,2646" coordsize="10,20">
              <v:shape style="position:absolute;left:5437;top:2646;width:10;height:20" coordorigin="5437,2646" coordsize="10,20" path="m5437,2665l5447,2665,5447,2646,5437,2646,5437,2665xe" filled="true" fillcolor="#000000" stroked="false">
                <v:path arrowok="t"/>
                <v:fill type="solid"/>
              </v:shape>
            </v:group>
            <v:group style="position:absolute;left:5437;top:2665;width:10;height:20" coordorigin="5437,2665" coordsize="10,20">
              <v:shape style="position:absolute;left:5437;top:2665;width:10;height:20" coordorigin="5437,2665" coordsize="10,20" path="m5437,2684l5447,2684,5447,2665,5437,2665,5437,2684xe" filled="true" fillcolor="#000000" stroked="false">
                <v:path arrowok="t"/>
                <v:fill type="solid"/>
              </v:shape>
            </v:group>
            <v:group style="position:absolute;left:5437;top:2684;width:10;height:20" coordorigin="5437,2684" coordsize="10,20">
              <v:shape style="position:absolute;left:5437;top:2684;width:10;height:20" coordorigin="5437,2684" coordsize="10,20" path="m5437,2704l5447,2704,5447,2684,5437,2684,5437,2704xe" filled="true" fillcolor="#000000" stroked="false">
                <v:path arrowok="t"/>
                <v:fill type="solid"/>
              </v:shape>
            </v:group>
            <v:group style="position:absolute;left:5437;top:2704;width:10;height:20" coordorigin="5437,2704" coordsize="10,20">
              <v:shape style="position:absolute;left:5437;top:2704;width:10;height:20" coordorigin="5437,2704" coordsize="10,20" path="m5437,2723l5447,2723,5447,2704,5437,2704,5437,2723xe" filled="true" fillcolor="#000000" stroked="false">
                <v:path arrowok="t"/>
                <v:fill type="solid"/>
              </v:shape>
            </v:group>
            <v:group style="position:absolute;left:5437;top:2723;width:10;height:20" coordorigin="5437,2723" coordsize="10,20">
              <v:shape style="position:absolute;left:5437;top:2723;width:10;height:20" coordorigin="5437,2723" coordsize="10,20" path="m5437,2742l5447,2742,5447,2723,5437,2723,5437,2742xe" filled="true" fillcolor="#000000" stroked="false">
                <v:path arrowok="t"/>
                <v:fill type="solid"/>
              </v:shape>
              <v:shape style="position:absolute;left:5435;top:2776;width:2;height:10" type="#_x0000_t75" stroked="false">
                <v:imagedata r:id="rId58" o:title=""/>
              </v:shape>
            </v:group>
            <v:group style="position:absolute;left:5437;top:2804;width:10;height:20" coordorigin="5437,2804" coordsize="10,20">
              <v:shape style="position:absolute;left:5437;top:2804;width:10;height:20" coordorigin="5437,2804" coordsize="10,20" path="m5437,2824l5447,2824,5447,2804,5437,2804,5437,2824xe" filled="true" fillcolor="#000000" stroked="false">
                <v:path arrowok="t"/>
                <v:fill type="solid"/>
              </v:shape>
            </v:group>
            <v:group style="position:absolute;left:5437;top:2824;width:10;height:20" coordorigin="5437,2824" coordsize="10,20">
              <v:shape style="position:absolute;left:5437;top:2824;width:10;height:20" coordorigin="5437,2824" coordsize="10,20" path="m5437,2843l5447,2843,5447,2824,5437,2824,5437,2843xe" filled="true" fillcolor="#000000" stroked="false">
                <v:path arrowok="t"/>
                <v:fill type="solid"/>
              </v:shape>
            </v:group>
            <v:group style="position:absolute;left:5437;top:2843;width:10;height:20" coordorigin="5437,2843" coordsize="10,20">
              <v:shape style="position:absolute;left:5437;top:2843;width:10;height:20" coordorigin="5437,2843" coordsize="10,20" path="m5437,2862l5447,2862,5447,2843,5437,2843,5437,2862xe" filled="true" fillcolor="#000000" stroked="false">
                <v:path arrowok="t"/>
                <v:fill type="solid"/>
              </v:shape>
            </v:group>
            <v:group style="position:absolute;left:5437;top:2862;width:10;height:20" coordorigin="5437,2862" coordsize="10,20">
              <v:shape style="position:absolute;left:5437;top:2862;width:10;height:20" coordorigin="5437,2862" coordsize="10,20" path="m5437,2881l5447,2881,5447,2862,5437,2862,5437,2881xe" filled="true" fillcolor="#000000" stroked="false">
                <v:path arrowok="t"/>
                <v:fill type="solid"/>
              </v:shape>
            </v:group>
            <v:group style="position:absolute;left:5437;top:2881;width:10;height:20" coordorigin="5437,2881" coordsize="10,20">
              <v:shape style="position:absolute;left:5437;top:2881;width:10;height:20" coordorigin="5437,2881" coordsize="10,20" path="m5437,2900l5447,2900,5447,2881,5437,2881,5437,2900xe" filled="true" fillcolor="#000000" stroked="false">
                <v:path arrowok="t"/>
                <v:fill type="solid"/>
              </v:shape>
            </v:group>
            <v:group style="position:absolute;left:5437;top:2900;width:10;height:20" coordorigin="5437,2900" coordsize="10,20">
              <v:shape style="position:absolute;left:5437;top:2900;width:10;height:20" coordorigin="5437,2900" coordsize="10,20" path="m5437,2920l5447,2920,5447,2900,5437,2900,5437,2920xe" filled="true" fillcolor="#000000" stroked="false">
                <v:path arrowok="t"/>
                <v:fill type="solid"/>
              </v:shape>
            </v:group>
            <v:group style="position:absolute;left:5437;top:2920;width:10;height:20" coordorigin="5437,2920" coordsize="10,20">
              <v:shape style="position:absolute;left:5437;top:2920;width:10;height:20" coordorigin="5437,2920" coordsize="10,20" path="m5437,2939l5447,2939,5447,2920,5437,2920,5437,2939xe" filled="true" fillcolor="#000000" stroked="false">
                <v:path arrowok="t"/>
                <v:fill type="solid"/>
              </v:shape>
            </v:group>
            <v:group style="position:absolute;left:5437;top:2939;width:10;height:20" coordorigin="5437,2939" coordsize="10,20">
              <v:shape style="position:absolute;left:5437;top:2939;width:10;height:20" coordorigin="5437,2939" coordsize="10,20" path="m5437,2958l5447,2958,5447,2939,5437,2939,5437,2958xe" filled="true" fillcolor="#000000" stroked="false">
                <v:path arrowok="t"/>
                <v:fill type="solid"/>
              </v:shape>
            </v:group>
            <v:group style="position:absolute;left:5437;top:2958;width:10;height:20" coordorigin="5437,2958" coordsize="10,20">
              <v:shape style="position:absolute;left:5437;top:2958;width:10;height:20" coordorigin="5437,2958" coordsize="10,20" path="m5437,2977l5447,2977,5447,2958,5437,2958,5437,2977xe" filled="true" fillcolor="#000000" stroked="false">
                <v:path arrowok="t"/>
                <v:fill type="solid"/>
              </v:shape>
            </v:group>
            <v:group style="position:absolute;left:5437;top:2977;width:10;height:20" coordorigin="5437,2977" coordsize="10,20">
              <v:shape style="position:absolute;left:5437;top:2977;width:10;height:20" coordorigin="5437,2977" coordsize="10,20" path="m5437,2996l5447,2996,5447,2977,5437,2977,5437,2996xe" filled="true" fillcolor="#000000" stroked="false">
                <v:path arrowok="t"/>
                <v:fill type="solid"/>
              </v:shape>
            </v:group>
            <v:group style="position:absolute;left:5437;top:2996;width:10;height:20" coordorigin="5437,2996" coordsize="10,20">
              <v:shape style="position:absolute;left:5437;top:2996;width:10;height:20" coordorigin="5437,2996" coordsize="10,20" path="m5437,3016l5447,3016,5447,2996,5437,2996,5437,3016xe" filled="true" fillcolor="#000000" stroked="false">
                <v:path arrowok="t"/>
                <v:fill type="solid"/>
              </v:shape>
            </v:group>
            <v:group style="position:absolute;left:5437;top:3016;width:10;height:20" coordorigin="5437,3016" coordsize="10,20">
              <v:shape style="position:absolute;left:5437;top:3016;width:10;height:20" coordorigin="5437,3016" coordsize="10,20" path="m5437,3035l5447,3035,5447,3016,5437,3016,5437,3035xe" filled="true" fillcolor="#000000" stroked="false">
                <v:path arrowok="t"/>
                <v:fill type="solid"/>
              </v:shape>
            </v:group>
            <v:group style="position:absolute;left:5437;top:3035;width:10;height:20" coordorigin="5437,3035" coordsize="10,20">
              <v:shape style="position:absolute;left:5437;top:3035;width:10;height:20" coordorigin="5437,3035" coordsize="10,20" path="m5437,3054l5447,3054,5447,3035,5437,3035,5437,3054xe" filled="true" fillcolor="#000000" stroked="false">
                <v:path arrowok="t"/>
                <v:fill type="solid"/>
              </v:shape>
            </v:group>
            <v:group style="position:absolute;left:5437;top:3054;width:10;height:20" coordorigin="5437,3054" coordsize="10,20">
              <v:shape style="position:absolute;left:5437;top:3054;width:10;height:20" coordorigin="5437,3054" coordsize="10,20" path="m5437,3073l5447,3073,5447,3054,5437,3054,5437,3073xe" filled="true" fillcolor="#000000" stroked="false">
                <v:path arrowok="t"/>
                <v:fill type="solid"/>
              </v:shape>
            </v:group>
            <v:group style="position:absolute;left:5437;top:3073;width:10;height:20" coordorigin="5437,3073" coordsize="10,20">
              <v:shape style="position:absolute;left:5437;top:3073;width:10;height:20" coordorigin="5437,3073" coordsize="10,20" path="m5437,3092l5447,3092,5447,3073,5437,3073,5437,3092xe" filled="true" fillcolor="#000000" stroked="false">
                <v:path arrowok="t"/>
                <v:fill type="solid"/>
              </v:shape>
              <v:shape style="position:absolute;left:5435;top:3124;width:2;height:10" type="#_x0000_t75" stroked="false">
                <v:imagedata r:id="rId58" o:title=""/>
              </v:shape>
            </v:group>
            <v:group style="position:absolute;left:5437;top:3152;width:10;height:20" coordorigin="5437,3152" coordsize="10,20">
              <v:shape style="position:absolute;left:5437;top:3152;width:10;height:20" coordorigin="5437,3152" coordsize="10,20" path="m5437,3172l5447,3172,5447,3152,5437,3152,5437,3172xe" filled="true" fillcolor="#000000" stroked="false">
                <v:path arrowok="t"/>
                <v:fill type="solid"/>
              </v:shape>
            </v:group>
            <v:group style="position:absolute;left:5437;top:3172;width:10;height:20" coordorigin="5437,3172" coordsize="10,20">
              <v:shape style="position:absolute;left:5437;top:3172;width:10;height:20" coordorigin="5437,3172" coordsize="10,20" path="m5437,3191l5447,3191,5447,3172,5437,3172,5437,3191xe" filled="true" fillcolor="#000000" stroked="false">
                <v:path arrowok="t"/>
                <v:fill type="solid"/>
              </v:shape>
            </v:group>
            <v:group style="position:absolute;left:5437;top:3191;width:10;height:20" coordorigin="5437,3191" coordsize="10,20">
              <v:shape style="position:absolute;left:5437;top:3191;width:10;height:20" coordorigin="5437,3191" coordsize="10,20" path="m5437,3210l5447,3210,5447,3191,5437,3191,5437,3210xe" filled="true" fillcolor="#000000" stroked="false">
                <v:path arrowok="t"/>
                <v:fill type="solid"/>
              </v:shape>
            </v:group>
            <v:group style="position:absolute;left:5437;top:3210;width:10;height:20" coordorigin="5437,3210" coordsize="10,20">
              <v:shape style="position:absolute;left:5437;top:3210;width:10;height:20" coordorigin="5437,3210" coordsize="10,20" path="m5437,3229l5447,3229,5447,3210,5437,3210,5437,3229xe" filled="true" fillcolor="#000000" stroked="false">
                <v:path arrowok="t"/>
                <v:fill type="solid"/>
              </v:shape>
            </v:group>
            <v:group style="position:absolute;left:5437;top:3229;width:10;height:20" coordorigin="5437,3229" coordsize="10,20">
              <v:shape style="position:absolute;left:5437;top:3229;width:10;height:20" coordorigin="5437,3229" coordsize="10,20" path="m5437,3248l5447,3248,5447,3229,5437,3229,5437,3248xe" filled="true" fillcolor="#000000" stroked="false">
                <v:path arrowok="t"/>
                <v:fill type="solid"/>
              </v:shape>
            </v:group>
            <v:group style="position:absolute;left:5437;top:3248;width:10;height:20" coordorigin="5437,3248" coordsize="10,20">
              <v:shape style="position:absolute;left:5437;top:3248;width:10;height:20" coordorigin="5437,3248" coordsize="10,20" path="m5437,3268l5447,3268,5447,3248,5437,3248,5437,3268xe" filled="true" fillcolor="#000000" stroked="false">
                <v:path arrowok="t"/>
                <v:fill type="solid"/>
              </v:shape>
            </v:group>
            <v:group style="position:absolute;left:5437;top:3268;width:10;height:20" coordorigin="5437,3268" coordsize="10,20">
              <v:shape style="position:absolute;left:5437;top:3268;width:10;height:20" coordorigin="5437,3268" coordsize="10,20" path="m5437,3287l5447,3287,5447,3268,5437,3268,5437,3287xe" filled="true" fillcolor="#000000" stroked="false">
                <v:path arrowok="t"/>
                <v:fill type="solid"/>
              </v:shape>
            </v:group>
            <v:group style="position:absolute;left:5437;top:3287;width:10;height:20" coordorigin="5437,3287" coordsize="10,20">
              <v:shape style="position:absolute;left:5437;top:3287;width:10;height:20" coordorigin="5437,3287" coordsize="10,20" path="m5437,3306l5447,3306,5447,3287,5437,3287,5437,3306xe" filled="true" fillcolor="#000000" stroked="false">
                <v:path arrowok="t"/>
                <v:fill type="solid"/>
              </v:shape>
            </v:group>
            <v:group style="position:absolute;left:5437;top:3306;width:10;height:20" coordorigin="5437,3306" coordsize="10,20">
              <v:shape style="position:absolute;left:5437;top:3306;width:10;height:20" coordorigin="5437,3306" coordsize="10,20" path="m5437,3325l5447,3325,5447,3306,5437,3306,5437,3325xe" filled="true" fillcolor="#000000" stroked="false">
                <v:path arrowok="t"/>
                <v:fill type="solid"/>
              </v:shape>
            </v:group>
            <v:group style="position:absolute;left:5437;top:3325;width:10;height:20" coordorigin="5437,3325" coordsize="10,20">
              <v:shape style="position:absolute;left:5437;top:3325;width:10;height:20" coordorigin="5437,3325" coordsize="10,20" path="m5437,3344l5447,3344,5447,3325,5437,3325,5437,3344xe" filled="true" fillcolor="#000000" stroked="false">
                <v:path arrowok="t"/>
                <v:fill type="solid"/>
              </v:shape>
            </v:group>
            <v:group style="position:absolute;left:5437;top:3344;width:10;height:20" coordorigin="5437,3344" coordsize="10,20">
              <v:shape style="position:absolute;left:5437;top:3344;width:10;height:20" coordorigin="5437,3344" coordsize="10,20" path="m5437,3364l5447,3364,5447,3344,5437,3344,5437,3364xe" filled="true" fillcolor="#000000" stroked="false">
                <v:path arrowok="t"/>
                <v:fill type="solid"/>
              </v:shape>
            </v:group>
            <v:group style="position:absolute;left:5437;top:3364;width:10;height:20" coordorigin="5437,3364" coordsize="10,20">
              <v:shape style="position:absolute;left:5437;top:3364;width:10;height:20" coordorigin="5437,3364" coordsize="10,20" path="m5437,3383l5447,3383,5447,3364,5437,3364,5437,3383xe" filled="true" fillcolor="#000000" stroked="false">
                <v:path arrowok="t"/>
                <v:fill type="solid"/>
              </v:shape>
            </v:group>
            <v:group style="position:absolute;left:5437;top:3383;width:10;height:20" coordorigin="5437,3383" coordsize="10,20">
              <v:shape style="position:absolute;left:5437;top:3383;width:10;height:20" coordorigin="5437,3383" coordsize="10,20" path="m5437,3402l5447,3402,5447,3383,5437,3383,5437,3402xe" filled="true" fillcolor="#000000" stroked="false">
                <v:path arrowok="t"/>
                <v:fill type="solid"/>
              </v:shape>
            </v:group>
            <v:group style="position:absolute;left:5437;top:3402;width:10;height:20" coordorigin="5437,3402" coordsize="10,20">
              <v:shape style="position:absolute;left:5437;top:3402;width:10;height:20" coordorigin="5437,3402" coordsize="10,20" path="m5437,3421l5447,3421,5447,3402,5437,3402,5437,3421xe" filled="true" fillcolor="#000000" stroked="false">
                <v:path arrowok="t"/>
                <v:fill type="solid"/>
              </v:shape>
            </v:group>
            <v:group style="position:absolute;left:5437;top:3421;width:10;height:20" coordorigin="5437,3421" coordsize="10,20">
              <v:shape style="position:absolute;left:5437;top:3421;width:10;height:20" coordorigin="5437,3421" coordsize="10,20" path="m5437,3440l5447,3440,5447,3421,5437,3421,5437,3440xe" filled="true" fillcolor="#000000" stroked="false">
                <v:path arrowok="t"/>
                <v:fill type="solid"/>
              </v:shape>
              <v:shape style="position:absolute;left:5435;top:3474;width:2;height:10" type="#_x0000_t75" stroked="false">
                <v:imagedata r:id="rId58" o:title=""/>
              </v:shape>
            </v:group>
            <v:group style="position:absolute;left:5437;top:3503;width:10;height:20" coordorigin="5437,3503" coordsize="10,20">
              <v:shape style="position:absolute;left:5437;top:3503;width:10;height:20" coordorigin="5437,3503" coordsize="10,20" path="m5437,3522l5447,3522,5447,3503,5437,3503,5437,3522xe" filled="true" fillcolor="#000000" stroked="false">
                <v:path arrowok="t"/>
                <v:fill type="solid"/>
              </v:shape>
            </v:group>
            <v:group style="position:absolute;left:5437;top:3522;width:10;height:20" coordorigin="5437,3522" coordsize="10,20">
              <v:shape style="position:absolute;left:5437;top:3522;width:10;height:20" coordorigin="5437,3522" coordsize="10,20" path="m5437,3541l5447,3541,5447,3522,5437,3522,5437,3541xe" filled="true" fillcolor="#000000" stroked="false">
                <v:path arrowok="t"/>
                <v:fill type="solid"/>
              </v:shape>
            </v:group>
            <v:group style="position:absolute;left:5437;top:3541;width:10;height:20" coordorigin="5437,3541" coordsize="10,20">
              <v:shape style="position:absolute;left:5437;top:3541;width:10;height:20" coordorigin="5437,3541" coordsize="10,20" path="m5437,3560l5447,3560,5447,3541,5437,3541,5437,3560xe" filled="true" fillcolor="#000000" stroked="false">
                <v:path arrowok="t"/>
                <v:fill type="solid"/>
              </v:shape>
            </v:group>
            <v:group style="position:absolute;left:5437;top:3560;width:10;height:20" coordorigin="5437,3560" coordsize="10,20">
              <v:shape style="position:absolute;left:5437;top:3560;width:10;height:20" coordorigin="5437,3560" coordsize="10,20" path="m5437,3580l5447,3580,5447,3560,5437,3560,5437,3580xe" filled="true" fillcolor="#000000" stroked="false">
                <v:path arrowok="t"/>
                <v:fill type="solid"/>
              </v:shape>
            </v:group>
            <v:group style="position:absolute;left:5437;top:3580;width:10;height:20" coordorigin="5437,3580" coordsize="10,20">
              <v:shape style="position:absolute;left:5437;top:3580;width:10;height:20" coordorigin="5437,3580" coordsize="10,20" path="m5437,3599l5447,3599,5447,3580,5437,3580,5437,3599xe" filled="true" fillcolor="#000000" stroked="false">
                <v:path arrowok="t"/>
                <v:fill type="solid"/>
              </v:shape>
            </v:group>
            <v:group style="position:absolute;left:5437;top:3599;width:10;height:20" coordorigin="5437,3599" coordsize="10,20">
              <v:shape style="position:absolute;left:5437;top:3599;width:10;height:20" coordorigin="5437,3599" coordsize="10,20" path="m5437,3618l5447,3618,5447,3599,5437,3599,5437,3618xe" filled="true" fillcolor="#000000" stroked="false">
                <v:path arrowok="t"/>
                <v:fill type="solid"/>
              </v:shape>
            </v:group>
            <v:group style="position:absolute;left:5437;top:3618;width:10;height:20" coordorigin="5437,3618" coordsize="10,20">
              <v:shape style="position:absolute;left:5437;top:3618;width:10;height:20" coordorigin="5437,3618" coordsize="10,20" path="m5437,3637l5447,3637,5447,3618,5437,3618,5437,3637xe" filled="true" fillcolor="#000000" stroked="false">
                <v:path arrowok="t"/>
                <v:fill type="solid"/>
              </v:shape>
            </v:group>
            <v:group style="position:absolute;left:5437;top:3637;width:10;height:20" coordorigin="5437,3637" coordsize="10,20">
              <v:shape style="position:absolute;left:5437;top:3637;width:10;height:20" coordorigin="5437,3637" coordsize="10,20" path="m5437,3656l5447,3656,5447,3637,5437,3637,5437,3656xe" filled="true" fillcolor="#000000" stroked="false">
                <v:path arrowok="t"/>
                <v:fill type="solid"/>
              </v:shape>
            </v:group>
            <v:group style="position:absolute;left:5437;top:3656;width:10;height:20" coordorigin="5437,3656" coordsize="10,20">
              <v:shape style="position:absolute;left:5437;top:3656;width:10;height:20" coordorigin="5437,3656" coordsize="10,20" path="m5437,3676l5447,3676,5447,3656,5437,3656,5437,3676xe" filled="true" fillcolor="#000000" stroked="false">
                <v:path arrowok="t"/>
                <v:fill type="solid"/>
              </v:shape>
            </v:group>
            <v:group style="position:absolute;left:5437;top:3676;width:10;height:20" coordorigin="5437,3676" coordsize="10,20">
              <v:shape style="position:absolute;left:5437;top:3676;width:10;height:20" coordorigin="5437,3676" coordsize="10,20" path="m5437,3695l5447,3695,5447,3676,5437,3676,5437,3695xe" filled="true" fillcolor="#000000" stroked="false">
                <v:path arrowok="t"/>
                <v:fill type="solid"/>
              </v:shape>
            </v:group>
            <v:group style="position:absolute;left:5437;top:3695;width:10;height:20" coordorigin="5437,3695" coordsize="10,20">
              <v:shape style="position:absolute;left:5437;top:3695;width:10;height:20" coordorigin="5437,3695" coordsize="10,20" path="m5437,3714l5447,3714,5447,3695,5437,3695,5437,3714xe" filled="true" fillcolor="#000000" stroked="false">
                <v:path arrowok="t"/>
                <v:fill type="solid"/>
              </v:shape>
            </v:group>
            <v:group style="position:absolute;left:5437;top:3714;width:10;height:20" coordorigin="5437,3714" coordsize="10,20">
              <v:shape style="position:absolute;left:5437;top:3714;width:10;height:20" coordorigin="5437,3714" coordsize="10,20" path="m5437,3733l5447,3733,5447,3714,5437,3714,5437,3733xe" filled="true" fillcolor="#000000" stroked="false">
                <v:path arrowok="t"/>
                <v:fill type="solid"/>
              </v:shape>
            </v:group>
            <v:group style="position:absolute;left:5437;top:3733;width:10;height:20" coordorigin="5437,3733" coordsize="10,20">
              <v:shape style="position:absolute;left:5437;top:3733;width:10;height:20" coordorigin="5437,3733" coordsize="10,20" path="m5437,3752l5447,3752,5447,3733,5437,3733,5437,3752xe" filled="true" fillcolor="#000000" stroked="false">
                <v:path arrowok="t"/>
                <v:fill type="solid"/>
              </v:shape>
            </v:group>
            <v:group style="position:absolute;left:5437;top:3752;width:10;height:20" coordorigin="5437,3752" coordsize="10,20">
              <v:shape style="position:absolute;left:5437;top:3752;width:10;height:20" coordorigin="5437,3752" coordsize="10,20" path="m5437,3772l5447,3772,5447,3752,5437,3752,5437,3772xe" filled="true" fillcolor="#000000" stroked="false">
                <v:path arrowok="t"/>
                <v:fill type="solid"/>
              </v:shape>
            </v:group>
            <v:group style="position:absolute;left:5437;top:3772;width:10;height:20" coordorigin="5437,3772" coordsize="10,20">
              <v:shape style="position:absolute;left:5437;top:3772;width:10;height:20" coordorigin="5437,3772" coordsize="10,20" path="m5437,3791l5447,3791,5447,3772,5437,3772,5437,3791xe" filled="true" fillcolor="#000000" stroked="false">
                <v:path arrowok="t"/>
                <v:fill type="solid"/>
              </v:shape>
            </v:group>
            <v:group style="position:absolute;left:5437;top:3791;width:10;height:20" coordorigin="5437,3791" coordsize="10,20">
              <v:shape style="position:absolute;left:5437;top:3791;width:10;height:20" coordorigin="5437,3791" coordsize="10,20" path="m5437,3810l5447,3810,5447,3791,5437,3791,5437,3810xe" filled="true" fillcolor="#000000" stroked="false">
                <v:path arrowok="t"/>
                <v:fill type="solid"/>
              </v:shape>
            </v:group>
            <w10:wrap type="none"/>
          </v:group>
        </w:pict>
      </w:r>
      <w:r>
        <w:rPr/>
        <w:t>本期纳入合并财务报表范围的主体较上期相比，增加</w:t>
      </w:r>
      <w:r>
        <w:rPr>
          <w:spacing w:val="-53"/>
        </w:rPr>
        <w:t> </w:t>
      </w:r>
      <w:r>
        <w:rPr>
          <w:rFonts w:ascii="宋体" w:hAnsi="宋体" w:cs="宋体" w:eastAsia="宋体" w:hint="default"/>
        </w:rPr>
        <w:t>7</w:t>
      </w:r>
      <w:r>
        <w:rPr>
          <w:rFonts w:ascii="宋体" w:hAnsi="宋体" w:cs="宋体" w:eastAsia="宋体" w:hint="default"/>
          <w:spacing w:val="-54"/>
        </w:rPr>
        <w:t> </w:t>
      </w:r>
      <w:r>
        <w:rPr/>
        <w:t>户，其中：</w:t>
      </w:r>
      <w:r>
        <w:rPr>
          <w:w w:val="100"/>
        </w:rPr>
        <w:t> </w:t>
      </w:r>
      <w:r>
        <w:rPr>
          <w:rFonts w:ascii="宋体" w:hAnsi="宋体" w:cs="宋体" w:eastAsia="宋体" w:hint="default"/>
        </w:rPr>
        <w:t>1</w:t>
      </w:r>
      <w:r>
        <w:rPr/>
        <w:t>、本期新纳入合并范围的子公司</w:t>
      </w:r>
    </w:p>
    <w:p>
      <w:pPr>
        <w:spacing w:line="240" w:lineRule="auto" w:before="1"/>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4853"/>
        <w:gridCol w:w="4472"/>
      </w:tblGrid>
      <w:tr>
        <w:trPr>
          <w:trHeight w:val="360" w:hRule="exact"/>
        </w:trPr>
        <w:tc>
          <w:tcPr>
            <w:tcW w:w="4853" w:type="dxa"/>
            <w:tcBorders>
              <w:top w:val="single" w:sz="12" w:space="0" w:color="000000"/>
              <w:left w:val="nil" w:sz="6" w:space="0" w:color="auto"/>
              <w:bottom w:val="single" w:sz="8" w:space="0" w:color="000000"/>
              <w:right w:val="nil" w:sz="6" w:space="0" w:color="auto"/>
            </w:tcBorders>
          </w:tcPr>
          <w:p>
            <w:pPr>
              <w:pStyle w:val="TableParagraph"/>
              <w:spacing w:line="240" w:lineRule="auto" w:before="32"/>
              <w:ind w:right="1102"/>
              <w:jc w:val="center"/>
              <w:rPr>
                <w:rFonts w:ascii="宋体" w:hAnsi="宋体" w:cs="宋体" w:eastAsia="宋体" w:hint="default"/>
                <w:sz w:val="18"/>
                <w:szCs w:val="18"/>
              </w:rPr>
            </w:pPr>
            <w:r>
              <w:rPr>
                <w:rFonts w:ascii="宋体" w:hAnsi="宋体" w:cs="宋体" w:eastAsia="宋体" w:hint="default"/>
                <w:sz w:val="18"/>
                <w:szCs w:val="18"/>
              </w:rPr>
              <w:t>名称</w:t>
            </w:r>
          </w:p>
        </w:tc>
        <w:tc>
          <w:tcPr>
            <w:tcW w:w="4472" w:type="dxa"/>
            <w:tcBorders>
              <w:top w:val="single" w:sz="12" w:space="0" w:color="000000"/>
              <w:left w:val="nil" w:sz="6" w:space="0" w:color="auto"/>
              <w:bottom w:val="single" w:sz="4" w:space="0" w:color="000000"/>
              <w:right w:val="nil" w:sz="6" w:space="0" w:color="auto"/>
            </w:tcBorders>
          </w:tcPr>
          <w:p>
            <w:pPr>
              <w:pStyle w:val="TableParagraph"/>
              <w:spacing w:line="240" w:lineRule="auto" w:before="32"/>
              <w:ind w:right="1099"/>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0" w:hRule="exact"/>
        </w:trPr>
        <w:tc>
          <w:tcPr>
            <w:tcW w:w="4853"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慧球科技（重庆）有限公司</w:t>
            </w:r>
          </w:p>
        </w:tc>
        <w:tc>
          <w:tcPr>
            <w:tcW w:w="447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1099"/>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4853"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上海慧球通信科技有限公司</w:t>
            </w:r>
          </w:p>
        </w:tc>
        <w:tc>
          <w:tcPr>
            <w:tcW w:w="447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1099"/>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4853"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淮南市慧球科技有限公司（注）</w:t>
            </w:r>
          </w:p>
        </w:tc>
        <w:tc>
          <w:tcPr>
            <w:tcW w:w="447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1099"/>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4853"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智诚合讯信息技术（徐州）有限公司（注）</w:t>
            </w:r>
          </w:p>
        </w:tc>
        <w:tc>
          <w:tcPr>
            <w:tcW w:w="447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1099"/>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4853"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慧球科技（华容）有限公司（注）</w:t>
            </w:r>
          </w:p>
        </w:tc>
        <w:tc>
          <w:tcPr>
            <w:tcW w:w="447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1099"/>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4853"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慧球智慧科技（宁波）有限公司（注）</w:t>
            </w:r>
          </w:p>
        </w:tc>
        <w:tc>
          <w:tcPr>
            <w:tcW w:w="447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1099"/>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62" w:hRule="exact"/>
        </w:trPr>
        <w:tc>
          <w:tcPr>
            <w:tcW w:w="4853" w:type="dxa"/>
            <w:tcBorders>
              <w:top w:val="single" w:sz="8" w:space="0" w:color="000000"/>
              <w:left w:val="nil" w:sz="6" w:space="0" w:color="auto"/>
              <w:bottom w:val="single" w:sz="12" w:space="0" w:color="000000"/>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沈阳慧球科技有限公司（注）</w:t>
            </w:r>
          </w:p>
        </w:tc>
        <w:tc>
          <w:tcPr>
            <w:tcW w:w="44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99"/>
              <w:jc w:val="center"/>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86"/>
        <w:ind w:left="223" w:right="531" w:firstLine="489"/>
        <w:jc w:val="both"/>
      </w:pPr>
      <w:r>
        <w:rPr/>
        <w:t>注：截止</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日，淮南市慧球科技有限公司、智诚合讯信息技术（徐州）有限</w:t>
      </w:r>
      <w:r>
        <w:rPr>
          <w:w w:val="100"/>
        </w:rPr>
        <w:t> </w:t>
      </w:r>
      <w:r>
        <w:rPr>
          <w:spacing w:val="-2"/>
        </w:rPr>
        <w:t>公司、慧球科技（华容）有限公司、慧球智慧科技（宁波）有限公司、沈阳慧球科技有限公司等</w:t>
      </w:r>
      <w:r>
        <w:rPr>
          <w:spacing w:val="-27"/>
        </w:rPr>
        <w:t> </w:t>
      </w:r>
      <w:r>
        <w:rPr>
          <w:spacing w:val="-27"/>
        </w:rPr>
      </w:r>
      <w:r>
        <w:rPr>
          <w:spacing w:val="-2"/>
        </w:rPr>
        <w:t>五家仅办理了工商设立登记手续，注册资金尚未到位，自成立至今尚未展开经营活动，暂无相关</w:t>
      </w:r>
      <w:r>
        <w:rPr>
          <w:spacing w:val="-25"/>
        </w:rPr>
        <w:t> </w:t>
      </w:r>
      <w:r>
        <w:rPr>
          <w:spacing w:val="-25"/>
        </w:rPr>
      </w:r>
      <w:r>
        <w:rPr/>
        <w:t>财务数据。</w:t>
      </w:r>
    </w:p>
    <w:p>
      <w:pPr>
        <w:pStyle w:val="BodyText"/>
        <w:spacing w:line="463" w:lineRule="auto" w:before="150"/>
        <w:ind w:left="713" w:right="5250"/>
        <w:jc w:val="left"/>
      </w:pPr>
      <w:r>
        <w:rPr>
          <w:rFonts w:ascii="宋体" w:hAnsi="宋体" w:cs="宋体" w:eastAsia="宋体" w:hint="default"/>
          <w:spacing w:val="-2"/>
        </w:rPr>
        <w:t>2</w:t>
      </w:r>
      <w:r>
        <w:rPr>
          <w:spacing w:val="-2"/>
        </w:rPr>
        <w:t>、本期不再纳入合并范围的子公司</w:t>
      </w:r>
      <w:r>
        <w:rPr>
          <w:spacing w:val="-76"/>
        </w:rPr>
        <w:t> </w:t>
      </w:r>
      <w:r>
        <w:rPr>
          <w:spacing w:val="-76"/>
        </w:rPr>
      </w:r>
      <w:r>
        <w:rPr/>
        <w:t>无。</w:t>
      </w:r>
    </w:p>
    <w:p>
      <w:pPr>
        <w:spacing w:line="240" w:lineRule="auto" w:before="7"/>
        <w:rPr>
          <w:rFonts w:ascii="宋体" w:hAnsi="宋体" w:cs="宋体" w:eastAsia="宋体" w:hint="default"/>
          <w:sz w:val="20"/>
          <w:szCs w:val="20"/>
        </w:rPr>
      </w:pPr>
    </w:p>
    <w:p>
      <w:pPr>
        <w:pStyle w:val="Heading3"/>
        <w:spacing w:line="240" w:lineRule="auto"/>
        <w:ind w:left="238" w:right="0"/>
        <w:jc w:val="left"/>
        <w:rPr>
          <w:b w:val="0"/>
          <w:bCs w:val="0"/>
        </w:rPr>
      </w:pPr>
      <w:r>
        <w:rPr/>
        <w:t>四、财务报表的编制基础</w:t>
      </w:r>
      <w:r>
        <w:rPr>
          <w:b w:val="0"/>
          <w:bCs w:val="0"/>
        </w:rPr>
      </w:r>
    </w:p>
    <w:p>
      <w:pPr>
        <w:pStyle w:val="BodyText"/>
        <w:tabs>
          <w:tab w:pos="662" w:val="left" w:leader="none"/>
        </w:tabs>
        <w:spacing w:line="264" w:lineRule="auto" w:before="58"/>
        <w:ind w:left="658" w:right="510" w:hanging="420"/>
        <w:jc w:val="left"/>
      </w:pPr>
      <w:r>
        <w:rPr>
          <w:rFonts w:ascii="Calibri" w:hAnsi="Calibri" w:cs="Calibri" w:eastAsia="Calibri" w:hint="default"/>
          <w:b/>
          <w:bCs/>
        </w:rPr>
        <w:t>1.</w:t>
        <w:tab/>
        <w:tab/>
      </w:r>
      <w:r>
        <w:rPr>
          <w:rFonts w:ascii="宋体" w:hAnsi="宋体" w:cs="宋体" w:eastAsia="宋体" w:hint="default"/>
          <w:b/>
          <w:bCs/>
        </w:rPr>
        <w:t>编制基础</w:t>
      </w:r>
      <w:r>
        <w:rPr>
          <w:rFonts w:ascii="宋体" w:hAnsi="宋体" w:cs="宋体" w:eastAsia="宋体" w:hint="default"/>
          <w:b/>
          <w:bCs/>
          <w:w w:val="100"/>
        </w:rPr>
        <w:t> </w:t>
      </w:r>
      <w:r>
        <w:rPr>
          <w:spacing w:val="-2"/>
        </w:rPr>
        <w:t>本公司以持续经营为基础，根据实际发生的交易和事项，按照财政部颁布的《企业会计准则</w:t>
      </w:r>
    </w:p>
    <w:p>
      <w:pPr>
        <w:pStyle w:val="BodyText"/>
        <w:spacing w:line="240" w:lineRule="auto" w:before="112"/>
        <w:ind w:left="238" w:right="0"/>
        <w:jc w:val="left"/>
      </w:pPr>
      <w:r>
        <w:rPr/>
        <w:t>——基本准则》和具体企业会计准则、企业会计准则应用指南、企业会计准则解释及其他相关规</w:t>
      </w:r>
    </w:p>
    <w:p>
      <w:pPr>
        <w:spacing w:after="0" w:line="240" w:lineRule="auto"/>
        <w:jc w:val="left"/>
        <w:sectPr>
          <w:pgSz w:w="11910" w:h="16840"/>
          <w:pgMar w:header="882" w:footer="1195" w:top="1120" w:bottom="1380" w:left="1560" w:right="760"/>
        </w:sectPr>
      </w:pPr>
    </w:p>
    <w:p>
      <w:pPr>
        <w:spacing w:line="240" w:lineRule="auto" w:before="1"/>
        <w:rPr>
          <w:rFonts w:ascii="宋体" w:hAnsi="宋体" w:cs="宋体" w:eastAsia="宋体" w:hint="default"/>
          <w:sz w:val="25"/>
          <w:szCs w:val="25"/>
        </w:rPr>
      </w:pPr>
    </w:p>
    <w:p>
      <w:pPr>
        <w:pStyle w:val="BodyText"/>
        <w:spacing w:line="357" w:lineRule="auto" w:before="36"/>
        <w:ind w:right="127"/>
        <w:jc w:val="both"/>
      </w:pPr>
      <w:r>
        <w:rPr>
          <w:spacing w:val="-6"/>
        </w:rPr>
        <w:t>定</w:t>
      </w:r>
      <w:r>
        <w:rPr>
          <w:rFonts w:ascii="宋体" w:hAnsi="宋体" w:cs="宋体" w:eastAsia="宋体" w:hint="default"/>
          <w:spacing w:val="-6"/>
        </w:rPr>
        <w:t>(</w:t>
      </w:r>
      <w:r>
        <w:rPr>
          <w:spacing w:val="-6"/>
        </w:rPr>
        <w:t>以下合称“企业会计准则”)进行确认和计量，在此基础上，结合中国证券监督管理委员会《公</w:t>
      </w:r>
      <w:r>
        <w:rPr>
          <w:spacing w:val="-51"/>
        </w:rPr>
        <w:t> </w:t>
      </w:r>
      <w:r>
        <w:rPr>
          <w:spacing w:val="-51"/>
        </w:rPr>
      </w:r>
      <w:r>
        <w:rPr/>
        <w:t>开发行证券的公司信息披露编报规则第</w:t>
      </w:r>
      <w:r>
        <w:rPr>
          <w:spacing w:val="-34"/>
        </w:rPr>
        <w:t> </w:t>
      </w:r>
      <w:r>
        <w:rPr>
          <w:rFonts w:ascii="宋体" w:hAnsi="宋体" w:cs="宋体" w:eastAsia="宋体" w:hint="default"/>
        </w:rPr>
        <w:t>15</w:t>
      </w:r>
      <w:r>
        <w:rPr>
          <w:rFonts w:ascii="宋体" w:hAnsi="宋体" w:cs="宋体" w:eastAsia="宋体" w:hint="default"/>
          <w:spacing w:val="-34"/>
        </w:rPr>
        <w:t> </w:t>
      </w:r>
      <w:r>
        <w:rPr/>
        <w:t>号——财务报告的一般规定》</w:t>
      </w:r>
      <w:r>
        <w:rPr>
          <w:rFonts w:ascii="宋体" w:hAnsi="宋体" w:cs="宋体" w:eastAsia="宋体" w:hint="default"/>
        </w:rPr>
        <w:t>(2014</w:t>
      </w:r>
      <w:r>
        <w:rPr>
          <w:rFonts w:ascii="宋体" w:hAnsi="宋体" w:cs="宋体" w:eastAsia="宋体" w:hint="default"/>
          <w:spacing w:val="-33"/>
        </w:rPr>
        <w:t> </w:t>
      </w:r>
      <w:r>
        <w:rPr/>
        <w:t>年修订</w:t>
      </w:r>
      <w:r>
        <w:rPr>
          <w:rFonts w:ascii="宋体" w:hAnsi="宋体" w:cs="宋体" w:eastAsia="宋体" w:hint="default"/>
        </w:rPr>
        <w:t>)</w:t>
      </w:r>
      <w:r>
        <w:rPr/>
        <w:t>的规定，</w:t>
      </w:r>
      <w:r>
        <w:rPr>
          <w:w w:val="100"/>
        </w:rPr>
        <w:t> </w:t>
      </w:r>
      <w:r>
        <w:rPr/>
        <w:t>编制财务报表。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ind w:left="138" w:right="0"/>
        <w:jc w:val="both"/>
        <w:rPr>
          <w:b w:val="0"/>
          <w:bCs w:val="0"/>
        </w:rPr>
      </w:pPr>
      <w:r>
        <w:rPr>
          <w:rFonts w:ascii="Calibri" w:hAnsi="Calibri" w:cs="Calibri" w:eastAsia="Calibri" w:hint="default"/>
        </w:rPr>
        <w:t>2.    </w:t>
      </w:r>
      <w:r>
        <w:rPr>
          <w:rFonts w:ascii="Calibri" w:hAnsi="Calibri" w:cs="Calibri" w:eastAsia="Calibri" w:hint="default"/>
          <w:spacing w:val="24"/>
        </w:rPr>
        <w:t> </w:t>
      </w:r>
      <w:r>
        <w:rPr/>
        <w:t>持续经营</w:t>
      </w:r>
      <w:r>
        <w:rPr>
          <w:b w:val="0"/>
          <w:bCs w:val="0"/>
        </w:rPr>
      </w:r>
    </w:p>
    <w:p>
      <w:pPr>
        <w:pStyle w:val="BodyText"/>
        <w:spacing w:line="240" w:lineRule="auto" w:before="29"/>
        <w:ind w:left="558" w:right="123"/>
        <w:jc w:val="left"/>
      </w:pPr>
      <w:r>
        <w:rPr/>
        <w:t>本公司自报告期末起</w:t>
      </w:r>
      <w:r>
        <w:rPr>
          <w:spacing w:val="-54"/>
        </w:rPr>
        <w:t> </w:t>
      </w:r>
      <w:r>
        <w:rPr>
          <w:rFonts w:ascii="宋体" w:hAnsi="宋体" w:cs="宋体" w:eastAsia="宋体" w:hint="default"/>
        </w:rPr>
        <w:t>12</w:t>
      </w:r>
      <w:r>
        <w:rPr>
          <w:rFonts w:ascii="宋体" w:hAnsi="宋体" w:cs="宋体" w:eastAsia="宋体" w:hint="default"/>
          <w:spacing w:val="-57"/>
        </w:rPr>
        <w:t> </w:t>
      </w:r>
      <w:r>
        <w:rPr/>
        <w:t>个月不存在对本公司持续经营能力产生重大疑虑的事项或情况。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3"/>
        <w:spacing w:line="240" w:lineRule="auto"/>
        <w:ind w:left="138" w:right="0"/>
        <w:jc w:val="both"/>
        <w:rPr>
          <w:b w:val="0"/>
          <w:bCs w:val="0"/>
        </w:rPr>
      </w:pPr>
      <w:r>
        <w:rPr/>
        <w:t>五、重要会计政策及会计估计</w:t>
      </w:r>
      <w:r>
        <w:rPr>
          <w:b w:val="0"/>
          <w:bCs w:val="0"/>
        </w:rPr>
      </w:r>
    </w:p>
    <w:p>
      <w:pPr>
        <w:spacing w:line="240" w:lineRule="auto" w:before="11"/>
        <w:rPr>
          <w:rFonts w:ascii="宋体" w:hAnsi="宋体" w:cs="宋体" w:eastAsia="宋体" w:hint="default"/>
          <w:b/>
          <w:bCs/>
          <w:sz w:val="29"/>
          <w:szCs w:val="29"/>
        </w:rPr>
      </w:pPr>
    </w:p>
    <w:p>
      <w:pPr>
        <w:tabs>
          <w:tab w:pos="562" w:val="left" w:leader="none"/>
        </w:tabs>
        <w:spacing w:line="264" w:lineRule="auto" w:before="0"/>
        <w:ind w:left="558" w:right="132" w:hanging="420"/>
        <w:jc w:val="left"/>
        <w:rPr>
          <w:rFonts w:ascii="宋体" w:hAnsi="宋体" w:cs="宋体" w:eastAsia="宋体" w:hint="default"/>
          <w:sz w:val="21"/>
          <w:szCs w:val="21"/>
        </w:rPr>
      </w:pPr>
      <w:r>
        <w:rPr>
          <w:rFonts w:ascii="Calibri" w:hAnsi="Calibri" w:cs="Calibri" w:eastAsia="Calibri" w:hint="default"/>
          <w:b/>
          <w:bCs/>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本公司所编制的财务报表符合企业会计准则的要求，真实、完整地反映了报告期公司的财务</w:t>
      </w:r>
    </w:p>
    <w:p>
      <w:pPr>
        <w:pStyle w:val="BodyText"/>
        <w:spacing w:line="240" w:lineRule="auto" w:before="112"/>
        <w:ind w:right="0"/>
        <w:jc w:val="both"/>
      </w:pPr>
      <w:r>
        <w:rPr/>
        <w:t>状况、经营成果、现金流量等有关信息。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3"/>
        <w:spacing w:line="240" w:lineRule="auto"/>
        <w:ind w:left="138" w:right="0"/>
        <w:jc w:val="both"/>
        <w:rPr>
          <w:b w:val="0"/>
          <w:bCs w:val="0"/>
        </w:rPr>
      </w:pPr>
      <w:r>
        <w:rPr>
          <w:rFonts w:ascii="Calibri" w:hAnsi="Calibri" w:cs="Calibri" w:eastAsia="Calibri" w:hint="default"/>
        </w:rPr>
        <w:t>2.    </w:t>
      </w:r>
      <w:r>
        <w:rPr>
          <w:rFonts w:ascii="Calibri" w:hAnsi="Calibri" w:cs="Calibri" w:eastAsia="Calibri" w:hint="default"/>
          <w:spacing w:val="24"/>
        </w:rPr>
        <w:t> </w:t>
      </w:r>
      <w:r>
        <w:rPr/>
        <w:t>会计期间</w:t>
      </w:r>
      <w:r>
        <w:rPr>
          <w:b w:val="0"/>
          <w:bCs w:val="0"/>
        </w:rPr>
      </w:r>
    </w:p>
    <w:p>
      <w:pPr>
        <w:pStyle w:val="BodyText"/>
        <w:spacing w:line="240" w:lineRule="auto" w:before="32"/>
        <w:ind w:right="0"/>
        <w:jc w:val="both"/>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rFonts w:ascii="Calibri" w:hAnsi="Calibri" w:cs="Calibri" w:eastAsia="Calibri" w:hint="default"/>
        </w:rPr>
        <w:t>3.    </w:t>
      </w:r>
      <w:r>
        <w:rPr>
          <w:rFonts w:ascii="Calibri" w:hAnsi="Calibri" w:cs="Calibri" w:eastAsia="Calibri" w:hint="default"/>
          <w:spacing w:val="24"/>
        </w:rPr>
        <w:t> </w:t>
      </w:r>
      <w:r>
        <w:rPr/>
        <w:t>营业周期</w:t>
      </w:r>
      <w:r>
        <w:rPr>
          <w:b w:val="0"/>
          <w:bCs w:val="0"/>
        </w:rPr>
      </w:r>
    </w:p>
    <w:p>
      <w:pPr>
        <w:pStyle w:val="BodyText"/>
        <w:spacing w:line="240" w:lineRule="auto" w:before="29"/>
        <w:ind w:left="558" w:right="123"/>
        <w:jc w:val="left"/>
      </w:pPr>
      <w:r>
        <w:rPr/>
        <w:t>本公司营业周期为 </w:t>
      </w:r>
      <w:r>
        <w:rPr>
          <w:rFonts w:ascii="宋体" w:hAnsi="宋体" w:cs="宋体" w:eastAsia="宋体" w:hint="default"/>
        </w:rPr>
        <w:t>12</w:t>
      </w:r>
      <w:r>
        <w:rPr>
          <w:rFonts w:ascii="宋体" w:hAnsi="宋体" w:cs="宋体" w:eastAsia="宋体" w:hint="default"/>
          <w:spacing w:val="-5"/>
        </w:rPr>
        <w:t> </w:t>
      </w:r>
      <w:r>
        <w:rPr/>
        <w:t>个月，并以营业周期作为资产和负债的流动性划分标准。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tabs>
          <w:tab w:pos="562" w:val="left" w:leader="none"/>
        </w:tabs>
        <w:spacing w:line="264" w:lineRule="auto" w:before="0"/>
        <w:ind w:left="138" w:right="6021"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8"/>
        <w:rPr>
          <w:rFonts w:ascii="宋体" w:hAnsi="宋体" w:cs="宋体" w:eastAsia="宋体" w:hint="default"/>
          <w:sz w:val="23"/>
          <w:szCs w:val="23"/>
        </w:rPr>
      </w:pPr>
    </w:p>
    <w:p>
      <w:pPr>
        <w:pStyle w:val="Heading3"/>
        <w:spacing w:line="240" w:lineRule="auto"/>
        <w:ind w:left="138" w:right="0"/>
        <w:jc w:val="both"/>
        <w:rPr>
          <w:b w:val="0"/>
          <w:bCs w:val="0"/>
        </w:rPr>
      </w:pPr>
      <w:r>
        <w:rPr>
          <w:rFonts w:ascii="Calibri" w:hAnsi="Calibri" w:cs="Calibri" w:eastAsia="Calibri" w:hint="default"/>
        </w:rPr>
        <w:t>5.    </w:t>
      </w:r>
      <w:r>
        <w:rPr>
          <w:rFonts w:ascii="Calibri" w:hAnsi="Calibri" w:cs="Calibri" w:eastAsia="Calibri" w:hint="default"/>
          <w:spacing w:val="19"/>
        </w:rPr>
        <w:t> </w:t>
      </w:r>
      <w:r>
        <w:rPr/>
        <w:t>同一控制下和非同一控制下企业合并的会计处理方法</w:t>
      </w:r>
      <w:r>
        <w:rPr>
          <w:b w:val="0"/>
          <w:bCs w:val="0"/>
        </w:rPr>
      </w:r>
    </w:p>
    <w:p>
      <w:pPr>
        <w:pStyle w:val="Heading3"/>
        <w:spacing w:line="357" w:lineRule="auto" w:before="29"/>
        <w:ind w:left="138" w:right="123" w:firstLine="419"/>
        <w:jc w:val="left"/>
        <w:rPr>
          <w:b w:val="0"/>
          <w:bCs w:val="0"/>
        </w:rPr>
      </w:pPr>
      <w:r>
        <w:rPr>
          <w:rFonts w:ascii="宋体" w:hAnsi="宋体" w:cs="宋体" w:eastAsia="宋体" w:hint="default"/>
          <w:spacing w:val="-1"/>
        </w:rPr>
        <w:t>1</w:t>
      </w:r>
      <w:r>
        <w:rPr>
          <w:spacing w:val="-1"/>
        </w:rPr>
        <w:t>、分步实现企业合并过程中的各项交易的条款、条件以及经济影响符合以下一种或多种情</w:t>
      </w:r>
      <w:r>
        <w:rPr>
          <w:w w:val="100"/>
        </w:rPr>
        <w:t> </w:t>
      </w:r>
      <w:r>
        <w:rPr/>
        <w:t>况，将多次交易事项作为一揽子交易进行会计处理：</w:t>
      </w:r>
      <w:r>
        <w:rPr>
          <w:b w:val="0"/>
          <w:bCs w:val="0"/>
        </w:rPr>
      </w:r>
    </w:p>
    <w:p>
      <w:pPr>
        <w:pStyle w:val="BodyText"/>
        <w:spacing w:line="240" w:lineRule="auto" w:before="31"/>
        <w:ind w:left="558" w:right="123"/>
        <w:jc w:val="left"/>
      </w:pPr>
      <w:r>
        <w:rPr>
          <w:rFonts w:ascii="宋体" w:hAnsi="宋体" w:cs="宋体" w:eastAsia="宋体" w:hint="default"/>
        </w:rPr>
        <w:t>1</w:t>
      </w:r>
      <w:r>
        <w:rPr/>
        <w:t>）</w:t>
      </w:r>
      <w:r>
        <w:rPr>
          <w:spacing w:val="-1"/>
        </w:rPr>
        <w:t> </w:t>
      </w:r>
      <w:r>
        <w:rPr/>
        <w:t>这些交易是同时或者在考虑了彼此影响的情况下订立的；</w:t>
      </w:r>
    </w:p>
    <w:p>
      <w:pPr>
        <w:pStyle w:val="BodyText"/>
        <w:spacing w:line="240" w:lineRule="auto" w:before="133"/>
        <w:ind w:left="558" w:right="123"/>
        <w:jc w:val="left"/>
      </w:pPr>
      <w:r>
        <w:rPr>
          <w:rFonts w:ascii="宋体" w:hAnsi="宋体" w:cs="宋体" w:eastAsia="宋体" w:hint="default"/>
        </w:rPr>
        <w:t>2</w:t>
      </w:r>
      <w:r>
        <w:rPr/>
        <w:t>）</w:t>
      </w:r>
      <w:r>
        <w:rPr>
          <w:spacing w:val="-1"/>
        </w:rPr>
        <w:t> </w:t>
      </w:r>
      <w:r>
        <w:rPr/>
        <w:t>这些交易整体才能达成一项完整的商业结果；</w:t>
      </w:r>
    </w:p>
    <w:p>
      <w:pPr>
        <w:pStyle w:val="BodyText"/>
        <w:spacing w:line="240" w:lineRule="auto" w:before="133"/>
        <w:ind w:left="558" w:right="123"/>
        <w:jc w:val="left"/>
      </w:pPr>
      <w:r>
        <w:rPr>
          <w:rFonts w:ascii="宋体" w:hAnsi="宋体" w:cs="宋体" w:eastAsia="宋体" w:hint="default"/>
        </w:rPr>
        <w:t>3</w:t>
      </w:r>
      <w:r>
        <w:rPr/>
        <w:t>）</w:t>
      </w:r>
      <w:r>
        <w:rPr>
          <w:spacing w:val="-1"/>
        </w:rPr>
        <w:t> </w:t>
      </w:r>
      <w:r>
        <w:rPr/>
        <w:t>一项交易的发生取决于其他至少一项交易的发生；</w:t>
      </w:r>
    </w:p>
    <w:p>
      <w:pPr>
        <w:pStyle w:val="BodyText"/>
        <w:spacing w:line="240" w:lineRule="auto" w:before="135"/>
        <w:ind w:left="558" w:right="123"/>
        <w:jc w:val="left"/>
      </w:pPr>
      <w:r>
        <w:rPr>
          <w:rFonts w:ascii="宋体" w:hAnsi="宋体" w:cs="宋体" w:eastAsia="宋体" w:hint="default"/>
        </w:rPr>
        <w:t>4</w:t>
      </w:r>
      <w:r>
        <w:rPr/>
        <w:t>）</w:t>
      </w:r>
      <w:r>
        <w:rPr>
          <w:spacing w:val="-4"/>
        </w:rPr>
        <w:t> </w:t>
      </w:r>
      <w:r>
        <w:rPr/>
        <w:t>一项交易单独看是不经济的，但是和其他交易一并考虑时是经济的。</w:t>
      </w:r>
    </w:p>
    <w:p>
      <w:pPr>
        <w:pStyle w:val="Heading3"/>
        <w:spacing w:line="240" w:lineRule="auto" w:before="133"/>
        <w:ind w:left="560" w:right="123"/>
        <w:jc w:val="left"/>
        <w:rPr>
          <w:b w:val="0"/>
          <w:bCs w:val="0"/>
        </w:rPr>
      </w:pPr>
      <w:r>
        <w:rPr>
          <w:rFonts w:ascii="宋体" w:hAnsi="宋体" w:cs="宋体" w:eastAsia="宋体" w:hint="default"/>
        </w:rPr>
        <w:t>2</w:t>
      </w:r>
      <w:r>
        <w:rPr/>
        <w:t>、同一控制下的企业合并</w:t>
      </w:r>
      <w:r>
        <w:rPr>
          <w:b w:val="0"/>
          <w:bCs w:val="0"/>
        </w:rPr>
      </w:r>
    </w:p>
    <w:p>
      <w:pPr>
        <w:pStyle w:val="BodyText"/>
        <w:spacing w:line="355" w:lineRule="auto" w:before="133"/>
        <w:ind w:left="558" w:right="123"/>
        <w:jc w:val="left"/>
      </w:pPr>
      <w:r>
        <w:rPr/>
        <w:t>（</w:t>
      </w:r>
      <w:r>
        <w:rPr>
          <w:rFonts w:ascii="宋体" w:hAnsi="宋体" w:cs="宋体" w:eastAsia="宋体" w:hint="default"/>
        </w:rPr>
        <w:t>1</w:t>
      </w:r>
      <w:r>
        <w:rPr/>
        <w:t>）个别财务报表</w:t>
      </w:r>
      <w:r>
        <w:rPr>
          <w:w w:val="100"/>
        </w:rPr>
        <w:t> </w:t>
      </w:r>
      <w:r>
        <w:rPr>
          <w:spacing w:val="-2"/>
        </w:rPr>
        <w:t>公司以支付现金、转让非现金资产、承担债务方式或以发行权益性证券作为合并对价的，在</w:t>
      </w:r>
    </w:p>
    <w:p>
      <w:pPr>
        <w:pStyle w:val="BodyText"/>
        <w:spacing w:line="357" w:lineRule="auto" w:before="32"/>
        <w:ind w:right="123"/>
        <w:jc w:val="left"/>
      </w:pPr>
      <w:r>
        <w:rPr>
          <w:spacing w:val="-2"/>
        </w:rPr>
        <w:t>合并日按照被合并方所有者权益在最终控制方合并财务报表中的账面价值的份额作为长期股权投</w:t>
      </w:r>
      <w:r>
        <w:rPr>
          <w:spacing w:val="-25"/>
        </w:rPr>
        <w:t> </w:t>
      </w:r>
      <w:r>
        <w:rPr>
          <w:spacing w:val="-25"/>
        </w:rPr>
      </w:r>
      <w:r>
        <w:rPr>
          <w:spacing w:val="-2"/>
        </w:rPr>
        <w:t>资的初始投资成本。长期股权投资初始投资成本与支付合并对价之间的差额，调整资本公积；资</w:t>
      </w:r>
    </w:p>
    <w:p>
      <w:pPr>
        <w:spacing w:after="0" w:line="357"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137"/>
        <w:jc w:val="both"/>
      </w:pPr>
      <w:r>
        <w:rPr>
          <w:spacing w:val="-2"/>
        </w:rPr>
        <w:t>本公积不足冲减的，调整留存收益。如果存在或有对价并需要确认预计负债或资产，该预计负债</w:t>
      </w:r>
      <w:r>
        <w:rPr>
          <w:spacing w:val="-25"/>
        </w:rPr>
        <w:t> </w:t>
      </w:r>
      <w:r>
        <w:rPr>
          <w:spacing w:val="-25"/>
        </w:rPr>
      </w:r>
      <w:r>
        <w:rPr>
          <w:spacing w:val="-2"/>
        </w:rPr>
        <w:t>或资产金额与后续或有对价结算金额的差额，调整资本公积（资本溢价或股本溢价），资本公积</w:t>
      </w:r>
      <w:r>
        <w:rPr>
          <w:spacing w:val="-25"/>
        </w:rPr>
        <w:t> </w:t>
      </w:r>
      <w:r>
        <w:rPr>
          <w:spacing w:val="-25"/>
        </w:rPr>
      </w:r>
      <w:r>
        <w:rPr/>
        <w:t>不足的，调整留存收益。</w:t>
      </w:r>
    </w:p>
    <w:p>
      <w:pPr>
        <w:pStyle w:val="BodyText"/>
        <w:spacing w:line="357" w:lineRule="auto" w:before="30"/>
        <w:ind w:right="137" w:firstLine="419"/>
        <w:jc w:val="both"/>
      </w:pPr>
      <w:r>
        <w:rPr>
          <w:spacing w:val="-2"/>
        </w:rPr>
        <w:t>对于通过多次交易最终实现企业合并的，属于一揽子交易的，将各项交易作为一项取得控制</w:t>
      </w:r>
      <w:r>
        <w:rPr>
          <w:w w:val="100"/>
        </w:rPr>
        <w:t> </w:t>
      </w:r>
      <w:r>
        <w:rPr>
          <w:spacing w:val="-2"/>
        </w:rPr>
        <w:t>权的交易进行会计处理；不属于一揽子交易的，在取得控制权日，长期股权投资初始投资成本，</w:t>
      </w:r>
      <w:r>
        <w:rPr>
          <w:spacing w:val="-25"/>
        </w:rPr>
        <w:t> </w:t>
      </w:r>
      <w:r>
        <w:rPr>
          <w:spacing w:val="-25"/>
        </w:rPr>
      </w:r>
      <w:r>
        <w:rPr>
          <w:spacing w:val="-2"/>
        </w:rPr>
        <w:t>与达到合并前的长期股权投资账面价值加上合并日进一步取得股份新支付对价的账面价值之和的</w:t>
      </w:r>
      <w:r>
        <w:rPr>
          <w:spacing w:val="-25"/>
        </w:rPr>
        <w:t> </w:t>
      </w:r>
      <w:r>
        <w:rPr>
          <w:spacing w:val="-25"/>
        </w:rPr>
      </w:r>
      <w:r>
        <w:rPr>
          <w:spacing w:val="-2"/>
        </w:rPr>
        <w:t>差额，调整资本公积；资本公积不足冲减的，调整留存收益。对于合并日之前持有的股权投资，</w:t>
      </w:r>
      <w:r>
        <w:rPr>
          <w:spacing w:val="-25"/>
        </w:rPr>
        <w:t> </w:t>
      </w:r>
      <w:r>
        <w:rPr>
          <w:spacing w:val="-25"/>
        </w:rPr>
      </w:r>
      <w:r>
        <w:rPr>
          <w:spacing w:val="-2"/>
        </w:rPr>
        <w:t>因采用权益法核算或金融工具确认和计量准则核算而确认的其他综合收益，暂不进行会计处理，</w:t>
      </w:r>
      <w:r>
        <w:rPr>
          <w:spacing w:val="-25"/>
        </w:rPr>
        <w:t> </w:t>
      </w:r>
      <w:r>
        <w:rPr>
          <w:spacing w:val="-25"/>
        </w:rPr>
      </w:r>
      <w:r>
        <w:rPr>
          <w:spacing w:val="-2"/>
        </w:rPr>
        <w:t>直至处置该项投资时采用与被投资单位直接处置相关资产或负债相同的基础进行会计处理；因采</w:t>
      </w:r>
      <w:r>
        <w:rPr>
          <w:spacing w:val="-25"/>
        </w:rPr>
        <w:t> </w:t>
      </w:r>
      <w:r>
        <w:rPr>
          <w:spacing w:val="-25"/>
        </w:rPr>
      </w:r>
      <w:r>
        <w:rPr>
          <w:spacing w:val="-2"/>
        </w:rPr>
        <w:t>用权益法核算而确认的被投资单位净资产中除净损益、其他综合收益和利润分配以外的所有者权</w:t>
      </w:r>
      <w:r>
        <w:rPr>
          <w:spacing w:val="-25"/>
        </w:rPr>
        <w:t> </w:t>
      </w:r>
      <w:r>
        <w:rPr>
          <w:spacing w:val="-25"/>
        </w:rPr>
      </w:r>
      <w:r>
        <w:rPr/>
        <w:t>益其他变动，暂不进行会计处理，直至处置该项投资时转入当期损益。</w:t>
      </w:r>
    </w:p>
    <w:p>
      <w:pPr>
        <w:pStyle w:val="BodyText"/>
        <w:spacing w:line="355" w:lineRule="auto" w:before="30"/>
        <w:ind w:right="137" w:firstLine="419"/>
        <w:jc w:val="both"/>
      </w:pPr>
      <w:r>
        <w:rPr>
          <w:spacing w:val="-2"/>
        </w:rPr>
        <w:t>合并发生的各项直接相关费用，包括为进行合并而支付的审计费用、评估费用、法律服务费</w:t>
      </w:r>
      <w:r>
        <w:rPr>
          <w:w w:val="100"/>
        </w:rPr>
        <w:t> </w:t>
      </w:r>
      <w:r>
        <w:rPr>
          <w:spacing w:val="-2"/>
        </w:rPr>
        <w:t>用等，于发生时计入当期损益；与发行权益性工具作为合并对价直接相关的交易费用，冲减资本</w:t>
      </w:r>
      <w:r>
        <w:rPr>
          <w:spacing w:val="-25"/>
        </w:rPr>
        <w:t> </w:t>
      </w:r>
      <w:r>
        <w:rPr>
          <w:spacing w:val="-25"/>
        </w:rPr>
      </w:r>
      <w:r>
        <w:rPr>
          <w:spacing w:val="-2"/>
        </w:rPr>
        <w:t>公积，资本公积不足冲减的，依次冲减盈余公积和未分配利润；与发行债务性工具作为合并对价</w:t>
      </w:r>
      <w:r>
        <w:rPr>
          <w:spacing w:val="-25"/>
        </w:rPr>
        <w:t> </w:t>
      </w:r>
      <w:r>
        <w:rPr>
          <w:spacing w:val="-25"/>
        </w:rPr>
      </w:r>
      <w:r>
        <w:rPr/>
        <w:t>直接相关的交易费用，作为计入债务性工具的初始确认金额。</w:t>
      </w:r>
    </w:p>
    <w:p>
      <w:pPr>
        <w:pStyle w:val="BodyText"/>
        <w:spacing w:line="357" w:lineRule="auto" w:before="34"/>
        <w:ind w:right="137" w:firstLine="419"/>
        <w:jc w:val="both"/>
      </w:pPr>
      <w:r>
        <w:rPr>
          <w:spacing w:val="-2"/>
        </w:rPr>
        <w:t>被合并方存在合并财务报表，则以合并日被合并方合并财务报表中归属于母公司的所有者权</w:t>
      </w:r>
      <w:r>
        <w:rPr>
          <w:w w:val="100"/>
        </w:rPr>
        <w:t> </w:t>
      </w:r>
      <w:r>
        <w:rPr/>
        <w:t>益为基础确定长期股权投资的初始投资成本。</w:t>
      </w:r>
    </w:p>
    <w:p>
      <w:pPr>
        <w:pStyle w:val="BodyText"/>
        <w:spacing w:line="355" w:lineRule="auto" w:before="30"/>
        <w:ind w:left="558" w:right="123"/>
        <w:jc w:val="left"/>
      </w:pPr>
      <w:r>
        <w:rPr/>
        <w:t>（</w:t>
      </w:r>
      <w:r>
        <w:rPr>
          <w:rFonts w:ascii="宋体" w:hAnsi="宋体" w:cs="宋体" w:eastAsia="宋体" w:hint="default"/>
        </w:rPr>
        <w:t>2</w:t>
      </w:r>
      <w:r>
        <w:rPr/>
        <w:t>）合并财务报表</w:t>
      </w:r>
      <w:r>
        <w:rPr>
          <w:w w:val="100"/>
        </w:rPr>
        <w:t> </w:t>
      </w:r>
      <w:r>
        <w:rPr>
          <w:spacing w:val="-2"/>
        </w:rPr>
        <w:t>合并方在企业合并中取得的资产和负债，按照合并日在被合并方所有者权益在最终控制方合</w:t>
      </w:r>
    </w:p>
    <w:p>
      <w:pPr>
        <w:pStyle w:val="BodyText"/>
        <w:spacing w:line="357" w:lineRule="auto" w:before="32"/>
        <w:ind w:left="558" w:right="123" w:hanging="420"/>
        <w:jc w:val="left"/>
      </w:pPr>
      <w:r>
        <w:rPr/>
        <w:t>并财务报表中的账面价值计量。</w:t>
      </w:r>
      <w:r>
        <w:rPr>
          <w:w w:val="100"/>
        </w:rPr>
        <w:t> </w:t>
      </w:r>
      <w:r>
        <w:rPr>
          <w:spacing w:val="-2"/>
        </w:rPr>
        <w:t>对于通过多次交易最终实现企业合并的，属于一揽子交易的，将各项交易作为一项取得控制</w:t>
      </w:r>
    </w:p>
    <w:p>
      <w:pPr>
        <w:pStyle w:val="BodyText"/>
        <w:spacing w:line="355" w:lineRule="auto" w:before="30"/>
        <w:ind w:right="137"/>
        <w:jc w:val="both"/>
      </w:pPr>
      <w:r>
        <w:rPr>
          <w:spacing w:val="-2"/>
        </w:rPr>
        <w:t>权的交易进行会计处理；不属于一揽子交易的，合并方在达到合并之前持有的长期股权投资，在</w:t>
      </w:r>
      <w:r>
        <w:rPr>
          <w:spacing w:val="-25"/>
        </w:rPr>
        <w:t> </w:t>
      </w:r>
      <w:r>
        <w:rPr>
          <w:spacing w:val="-25"/>
        </w:rPr>
      </w:r>
      <w:r>
        <w:rPr>
          <w:spacing w:val="-2"/>
        </w:rPr>
        <w:t>取得日与合并方与被合并方同处于同一方最终控制之日孰晚日与合并日之间已确认有关损益、其</w:t>
      </w:r>
      <w:r>
        <w:rPr>
          <w:spacing w:val="-25"/>
        </w:rPr>
        <w:t> </w:t>
      </w:r>
      <w:r>
        <w:rPr>
          <w:spacing w:val="-25"/>
        </w:rPr>
      </w:r>
      <w:r>
        <w:rPr/>
        <w:t>他综合收益和其他所有者权益变动，分别冲减比较报表期间的期初留存收益或当期损益。</w:t>
      </w:r>
    </w:p>
    <w:p>
      <w:pPr>
        <w:pStyle w:val="BodyText"/>
        <w:spacing w:line="355" w:lineRule="auto" w:before="35"/>
        <w:ind w:right="137" w:firstLine="419"/>
        <w:jc w:val="both"/>
      </w:pPr>
      <w:r>
        <w:rPr>
          <w:spacing w:val="-2"/>
        </w:rPr>
        <w:t>被合并各方采用的会计政策与本公司不一致的，本公司在合并日按照本公司会计政策进行调</w:t>
      </w:r>
      <w:r>
        <w:rPr>
          <w:w w:val="100"/>
        </w:rPr>
        <w:t> </w:t>
      </w:r>
      <w:r>
        <w:rPr/>
        <w:t>整，在此基础上按照企业会计准则规定确认。</w:t>
      </w:r>
    </w:p>
    <w:p>
      <w:pPr>
        <w:spacing w:line="355" w:lineRule="auto" w:before="32"/>
        <w:ind w:left="558" w:right="123"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对于非同一控制下的企业合并，合并成本为本公司在购买日为取得对被购买方的控制权而付</w:t>
      </w:r>
    </w:p>
    <w:p>
      <w:pPr>
        <w:pStyle w:val="BodyText"/>
        <w:spacing w:line="357" w:lineRule="auto" w:before="32"/>
        <w:ind w:right="137"/>
        <w:jc w:val="both"/>
      </w:pPr>
      <w:r>
        <w:rPr>
          <w:spacing w:val="-2"/>
        </w:rPr>
        <w:t>出的资产、发生或承担的负债以及发行的权益性工具或债务性工具的公允价值。在合并合同中对</w:t>
      </w:r>
      <w:r>
        <w:rPr>
          <w:spacing w:val="-25"/>
        </w:rPr>
        <w:t> </w:t>
      </w:r>
      <w:r>
        <w:rPr>
          <w:spacing w:val="-25"/>
        </w:rPr>
      </w:r>
      <w:r>
        <w:rPr>
          <w:spacing w:val="-2"/>
        </w:rPr>
        <w:t>可能影响合并成本的未来事项作出约定的，购买日如果估计未来事项很可能发生并且对合并成本</w:t>
      </w:r>
      <w:r>
        <w:rPr>
          <w:spacing w:val="-25"/>
        </w:rPr>
        <w:t> </w:t>
      </w:r>
      <w:r>
        <w:rPr>
          <w:spacing w:val="-25"/>
        </w:rPr>
      </w:r>
      <w:r>
        <w:rPr/>
        <w:t>的影响金额能够可靠计量的，也计入合并成本。</w:t>
      </w:r>
    </w:p>
    <w:p>
      <w:pPr>
        <w:pStyle w:val="BodyText"/>
        <w:spacing w:line="357" w:lineRule="auto" w:before="30"/>
        <w:ind w:right="128" w:firstLine="419"/>
        <w:jc w:val="both"/>
      </w:pPr>
      <w:r>
        <w:rPr>
          <w:spacing w:val="-7"/>
          <w:w w:val="100"/>
        </w:rPr>
        <w:t>本公司为进行企业合并发生的审计、法律服务、评估咨询等中介费用以及其他相关管理费用，</w:t>
      </w:r>
      <w:r>
        <w:rPr>
          <w:w w:val="100"/>
        </w:rPr>
        <w:t> </w:t>
      </w:r>
      <w:r>
        <w:rPr>
          <w:spacing w:val="-2"/>
        </w:rPr>
        <w:t>于发生时计入当期损益；本公司作为合并对价发行的权益性工具或债务性工具的交易费用，计入</w:t>
      </w:r>
      <w:r>
        <w:rPr>
          <w:spacing w:val="-25"/>
        </w:rPr>
        <w:t> </w:t>
      </w:r>
      <w:r>
        <w:rPr>
          <w:spacing w:val="-25"/>
        </w:rPr>
      </w:r>
      <w:r>
        <w:rPr/>
        <w:t>权益性工具或债务性工具的初始确认金额。</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137" w:firstLine="419"/>
        <w:jc w:val="both"/>
      </w:pPr>
      <w:r>
        <w:rPr>
          <w:spacing w:val="-2"/>
        </w:rPr>
        <w:t>本公司对合并成本大于合并中取得的被购买方可辨认净资产公允价值份额的差额，确认为商</w:t>
      </w:r>
      <w:r>
        <w:rPr>
          <w:w w:val="100"/>
        </w:rPr>
        <w:t> </w:t>
      </w:r>
      <w:r>
        <w:rPr>
          <w:spacing w:val="-2"/>
        </w:rPr>
        <w:t>誉。本公司对合并成本小于合并中取得的被购买方可辨认净资产公允价值份额的，经复核后合并</w:t>
      </w:r>
      <w:r>
        <w:rPr>
          <w:spacing w:val="-25"/>
        </w:rPr>
        <w:t> </w:t>
      </w:r>
      <w:r>
        <w:rPr>
          <w:spacing w:val="-25"/>
        </w:rPr>
      </w:r>
      <w:r>
        <w:rPr/>
        <w:t>成本仍小于合并中取得的被购买方可辨认净资产公允价值份额的差额，计入当期损益。</w:t>
      </w:r>
    </w:p>
    <w:p>
      <w:pPr>
        <w:pStyle w:val="BodyText"/>
        <w:spacing w:line="355" w:lineRule="auto" w:before="30"/>
        <w:ind w:right="137" w:firstLine="419"/>
        <w:jc w:val="both"/>
      </w:pPr>
      <w:r>
        <w:rPr>
          <w:spacing w:val="-2"/>
        </w:rPr>
        <w:t>通过多次交换交易分步实现的非同一控制下企业合并，属于一揽子交易的，将各项交易作为</w:t>
      </w:r>
      <w:r>
        <w:rPr>
          <w:w w:val="100"/>
        </w:rPr>
        <w:t> </w:t>
      </w:r>
      <w:r>
        <w:rPr>
          <w:spacing w:val="-2"/>
        </w:rPr>
        <w:t>一项取得控制权的交易进行会计处理；不属于一揽子交易的，区分个别财务报表和合并财务报表</w:t>
      </w:r>
      <w:r>
        <w:rPr>
          <w:spacing w:val="-25"/>
        </w:rPr>
        <w:t> </w:t>
      </w:r>
      <w:r>
        <w:rPr>
          <w:spacing w:val="-25"/>
        </w:rPr>
      </w:r>
      <w:r>
        <w:rPr/>
        <w:t>进行相关会计处理：</w:t>
      </w:r>
    </w:p>
    <w:p>
      <w:pPr>
        <w:pStyle w:val="BodyText"/>
        <w:spacing w:line="357" w:lineRule="auto" w:before="34"/>
        <w:ind w:right="128" w:firstLine="419"/>
        <w:jc w:val="both"/>
      </w:pPr>
      <w:r>
        <w:rPr>
          <w:spacing w:val="-4"/>
        </w:rPr>
        <w:t>（</w:t>
      </w:r>
      <w:r>
        <w:rPr>
          <w:rFonts w:ascii="宋体" w:hAnsi="宋体" w:cs="宋体" w:eastAsia="宋体" w:hint="default"/>
          <w:spacing w:val="-4"/>
        </w:rPr>
        <w:t>1</w:t>
      </w:r>
      <w:r>
        <w:rPr>
          <w:spacing w:val="-4"/>
        </w:rPr>
        <w:t>）在个别财务报表中，合并日之前持有的股权投资采用权益法核算的，以购买日之前所持</w:t>
      </w:r>
      <w:r>
        <w:rPr>
          <w:w w:val="100"/>
        </w:rPr>
        <w:t> </w:t>
      </w:r>
      <w:r>
        <w:rPr>
          <w:spacing w:val="-2"/>
        </w:rPr>
        <w:t>被购买方的股权投资的账面价值与购买日新增投资成本之和，作为该项投资的初始投资成本；购</w:t>
      </w:r>
      <w:r>
        <w:rPr>
          <w:spacing w:val="-26"/>
        </w:rPr>
        <w:t> </w:t>
      </w:r>
      <w:r>
        <w:rPr>
          <w:spacing w:val="-26"/>
        </w:rPr>
      </w:r>
      <w:r>
        <w:rPr>
          <w:spacing w:val="-2"/>
        </w:rPr>
        <w:t>买日之前持有的股权投资因采用权益法核算而确认的其他综合收益，在处置该项投资时采用与被</w:t>
      </w:r>
      <w:r>
        <w:rPr>
          <w:spacing w:val="-25"/>
        </w:rPr>
        <w:t> </w:t>
      </w:r>
      <w:r>
        <w:rPr>
          <w:spacing w:val="-25"/>
        </w:rPr>
      </w:r>
      <w:r>
        <w:rPr/>
        <w:t>投资单位直接处置相关资产或负债相同的基础进行会计处理。</w:t>
      </w:r>
    </w:p>
    <w:p>
      <w:pPr>
        <w:pStyle w:val="BodyText"/>
        <w:spacing w:line="355" w:lineRule="auto" w:before="32"/>
        <w:ind w:right="137" w:firstLine="419"/>
        <w:jc w:val="both"/>
      </w:pPr>
      <w:r>
        <w:rPr>
          <w:spacing w:val="-2"/>
        </w:rPr>
        <w:t>合并日之前持有的股权投资采用金融工具确认和计量准则核算的，以该股权投资在合并日的</w:t>
      </w:r>
      <w:r>
        <w:rPr>
          <w:w w:val="100"/>
        </w:rPr>
        <w:t> </w:t>
      </w:r>
      <w:r>
        <w:rPr>
          <w:spacing w:val="-2"/>
        </w:rPr>
        <w:t>公允价值加上新增投资成本之和，作为合并日的初始投资成本。原持有股权的公允价值与账面价</w:t>
      </w:r>
      <w:r>
        <w:rPr>
          <w:spacing w:val="-25"/>
        </w:rPr>
        <w:t> </w:t>
      </w:r>
      <w:r>
        <w:rPr>
          <w:spacing w:val="-25"/>
        </w:rPr>
      </w:r>
      <w:r>
        <w:rPr>
          <w:spacing w:val="-2"/>
        </w:rPr>
        <w:t>值之间的差额以及原计入其他综合收益的累计公允价值变动应全部转入合并日当期的投资收益。</w:t>
      </w:r>
    </w:p>
    <w:p>
      <w:pPr>
        <w:pStyle w:val="BodyText"/>
        <w:spacing w:line="357" w:lineRule="auto" w:before="32"/>
        <w:ind w:right="127" w:firstLine="419"/>
        <w:jc w:val="both"/>
      </w:pPr>
      <w:r>
        <w:rPr>
          <w:spacing w:val="-4"/>
        </w:rPr>
        <w:t>（</w:t>
      </w:r>
      <w:r>
        <w:rPr>
          <w:rFonts w:ascii="宋体" w:hAnsi="宋体" w:cs="宋体" w:eastAsia="宋体" w:hint="default"/>
          <w:spacing w:val="-4"/>
        </w:rPr>
        <w:t>2</w:t>
      </w:r>
      <w:r>
        <w:rPr>
          <w:spacing w:val="-4"/>
        </w:rPr>
        <w:t>）在合并财务报表中，对于购买日之前持有的被购买方的股权，按照该股权在购买日的公</w:t>
      </w:r>
      <w:r>
        <w:rPr>
          <w:w w:val="100"/>
        </w:rPr>
        <w:t> </w:t>
      </w:r>
      <w:r>
        <w:rPr>
          <w:spacing w:val="-2"/>
        </w:rPr>
        <w:t>允价值进行重新计量，公允价值与其账面价值的差额计入当期投资收益；购买日之前持有的被购</w:t>
      </w:r>
      <w:r>
        <w:rPr>
          <w:spacing w:val="-25"/>
        </w:rPr>
        <w:t> </w:t>
      </w:r>
      <w:r>
        <w:rPr>
          <w:spacing w:val="-25"/>
        </w:rPr>
      </w:r>
      <w:r>
        <w:rPr>
          <w:spacing w:val="-2"/>
        </w:rPr>
        <w:t>买方的股权涉及权益法核算下的其他综合收益等的，与其相关的其他综合收益等转为购买日所属</w:t>
      </w:r>
      <w:r>
        <w:rPr>
          <w:spacing w:val="-25"/>
        </w:rPr>
        <w:t> </w:t>
      </w:r>
      <w:r>
        <w:rPr>
          <w:spacing w:val="-25"/>
        </w:rPr>
      </w:r>
      <w:r>
        <w:rPr/>
        <w:t>当期投资收益。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tabs>
          <w:tab w:pos="562" w:val="left" w:leader="none"/>
        </w:tabs>
        <w:spacing w:line="264" w:lineRule="auto" w:before="0"/>
        <w:ind w:left="558" w:right="132" w:hanging="420"/>
        <w:jc w:val="left"/>
        <w:rPr>
          <w:rFonts w:ascii="宋体" w:hAnsi="宋体" w:cs="宋体" w:eastAsia="宋体" w:hint="default"/>
          <w:sz w:val="21"/>
          <w:szCs w:val="21"/>
        </w:rPr>
      </w:pPr>
      <w:r>
        <w:rPr>
          <w:rFonts w:ascii="Calibri" w:hAnsi="Calibri" w:cs="Calibri" w:eastAsia="Calibri" w:hint="default"/>
          <w:b/>
          <w:bCs/>
          <w:sz w:val="21"/>
          <w:szCs w:val="21"/>
        </w:rPr>
        <w:t>6.</w:t>
        <w:tab/>
        <w:tab/>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本公司合并财务报表的合并范围以控制为基础确定，所有子公司（包括母公司所控制的单独</w:t>
      </w:r>
    </w:p>
    <w:p>
      <w:pPr>
        <w:pStyle w:val="BodyText"/>
        <w:spacing w:line="355" w:lineRule="auto" w:before="114"/>
        <w:ind w:left="558" w:right="123" w:hanging="420"/>
        <w:jc w:val="left"/>
      </w:pPr>
      <w:r>
        <w:rPr/>
        <w:t>主体）均纳入合并财务报表。</w:t>
      </w:r>
      <w:r>
        <w:rPr>
          <w:w w:val="100"/>
        </w:rPr>
        <w:t> </w:t>
      </w:r>
      <w:r>
        <w:rPr>
          <w:spacing w:val="-2"/>
        </w:rPr>
        <w:t>所有纳入合并财务报表合并范围的子公司所采用的会计政策、会计期间与本公司一致，如子</w:t>
      </w:r>
    </w:p>
    <w:p>
      <w:pPr>
        <w:pStyle w:val="BodyText"/>
        <w:spacing w:line="355" w:lineRule="auto" w:before="32"/>
        <w:ind w:right="123"/>
        <w:jc w:val="left"/>
      </w:pPr>
      <w:r>
        <w:rPr>
          <w:spacing w:val="-1"/>
        </w:rPr>
        <w:t>公司采用的会计政策、会计期间与本公司不一致的，在编制合并财务报表时，按本公司的会计政</w:t>
      </w:r>
      <w:r>
        <w:rPr>
          <w:spacing w:val="-55"/>
        </w:rPr>
        <w:t> </w:t>
      </w:r>
      <w:r>
        <w:rPr>
          <w:spacing w:val="-55"/>
        </w:rPr>
      </w:r>
      <w:r>
        <w:rPr/>
        <w:t>策、会计期间进行必要的调整。</w:t>
      </w:r>
    </w:p>
    <w:p>
      <w:pPr>
        <w:pStyle w:val="BodyText"/>
        <w:spacing w:line="355" w:lineRule="auto" w:before="35"/>
        <w:ind w:left="558" w:right="123"/>
        <w:jc w:val="left"/>
      </w:pPr>
      <w:r>
        <w:rPr/>
        <w:t>合并财务报表以本公司及子公司的财务报表为基础，根据其他有关资料由本公司编制。</w:t>
      </w:r>
      <w:r>
        <w:rPr>
          <w:w w:val="100"/>
        </w:rPr>
        <w:t> </w:t>
      </w:r>
      <w:r>
        <w:rPr>
          <w:spacing w:val="-2"/>
        </w:rPr>
        <w:t>合并财务报表时抵销本公司与各子公司、各子公司相互之间发生的内部交易对合并资产负债</w:t>
      </w:r>
    </w:p>
    <w:p>
      <w:pPr>
        <w:pStyle w:val="BodyText"/>
        <w:spacing w:line="355" w:lineRule="auto" w:before="32"/>
        <w:ind w:left="558" w:right="123" w:hanging="420"/>
        <w:jc w:val="left"/>
      </w:pPr>
      <w:r>
        <w:rPr/>
        <w:t>表、合并利润表、合并现金流量表、合并股东权益变动表的影响。</w:t>
      </w:r>
      <w:r>
        <w:rPr>
          <w:w w:val="100"/>
        </w:rPr>
        <w:t> </w:t>
      </w:r>
      <w:r>
        <w:rPr>
          <w:spacing w:val="-2"/>
        </w:rPr>
        <w:t>子公司少数股东分担的当期亏损超过了少数股东在该子公司期初所有者权益中所享有的份额</w:t>
      </w:r>
    </w:p>
    <w:p>
      <w:pPr>
        <w:pStyle w:val="BodyText"/>
        <w:spacing w:line="357" w:lineRule="auto" w:before="32"/>
        <w:ind w:left="558" w:right="123" w:hanging="420"/>
        <w:jc w:val="left"/>
      </w:pPr>
      <w:r>
        <w:rPr/>
        <w:t>的，其余额仍应当冲减少数股东权益。</w:t>
      </w:r>
      <w:r>
        <w:rPr>
          <w:w w:val="100"/>
        </w:rPr>
        <w:t> </w:t>
      </w:r>
      <w:r>
        <w:rPr>
          <w:spacing w:val="-1"/>
        </w:rPr>
        <w:t>在报告期内，若因同一控制下企业合并增加子公司以及业务的，则调整合并资产负债表的期</w:t>
      </w:r>
    </w:p>
    <w:p>
      <w:pPr>
        <w:pStyle w:val="BodyText"/>
        <w:spacing w:line="355" w:lineRule="auto" w:before="30"/>
        <w:ind w:right="123"/>
        <w:jc w:val="left"/>
      </w:pPr>
      <w:r>
        <w:rPr>
          <w:spacing w:val="-1"/>
        </w:rPr>
        <w:t>初数；将子公司以及业务合并当期期初至报告期末的收入、费用、利润纳入合并利润表；将子公</w:t>
      </w:r>
      <w:r>
        <w:rPr>
          <w:spacing w:val="-55"/>
        </w:rPr>
        <w:t> </w:t>
      </w:r>
      <w:r>
        <w:rPr>
          <w:spacing w:val="-55"/>
        </w:rPr>
      </w:r>
      <w:r>
        <w:rPr/>
        <w:t>司以及业务合并当期期初至报告期末的现金流量纳入合并现金流量表。</w:t>
      </w:r>
    </w:p>
    <w:p>
      <w:pPr>
        <w:pStyle w:val="BodyText"/>
        <w:spacing w:line="240" w:lineRule="auto" w:before="32"/>
        <w:ind w:left="558" w:right="0"/>
        <w:jc w:val="left"/>
      </w:pPr>
      <w:r>
        <w:rPr/>
        <w:t>在报告期内，若因非同一控制下企业合并增加子公司以及业务的，则不调整合并资产负债表</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128"/>
        <w:jc w:val="both"/>
      </w:pPr>
      <w:r>
        <w:rPr>
          <w:spacing w:val="-1"/>
        </w:rPr>
        <w:t>期初数；将子公司以及业务自购买日至报告期末的收入、费用、利润纳入合并利润表；该子公司</w:t>
      </w:r>
      <w:r>
        <w:rPr>
          <w:spacing w:val="-56"/>
        </w:rPr>
        <w:t> </w:t>
      </w:r>
      <w:r>
        <w:rPr>
          <w:spacing w:val="-56"/>
        </w:rPr>
      </w:r>
      <w:r>
        <w:rPr/>
        <w:t>以及业务自购买日至报告期末的现金流量纳入合并现金流量表。</w:t>
      </w:r>
    </w:p>
    <w:p>
      <w:pPr>
        <w:pStyle w:val="BodyText"/>
        <w:spacing w:line="355" w:lineRule="auto" w:before="30"/>
        <w:ind w:right="128" w:firstLine="419"/>
        <w:jc w:val="both"/>
      </w:pPr>
      <w:r>
        <w:rPr>
          <w:spacing w:val="-7"/>
        </w:rPr>
        <w:t>在报告期内，本公司处置子公司以及业务，则该子公司以及业务期初至处置日的收入、费用、</w:t>
      </w:r>
      <w:r>
        <w:rPr>
          <w:w w:val="100"/>
        </w:rPr>
        <w:t> </w:t>
      </w:r>
      <w:r>
        <w:rPr/>
        <w:t>利润纳入合并利润表；该子公司以及业务期初至处置日的现金流量纳入合并现金流量表。</w:t>
      </w:r>
    </w:p>
    <w:p>
      <w:pPr>
        <w:pStyle w:val="BodyText"/>
        <w:spacing w:line="357" w:lineRule="auto" w:before="32"/>
        <w:ind w:right="128" w:firstLine="419"/>
        <w:jc w:val="both"/>
      </w:pPr>
      <w:r>
        <w:rPr>
          <w:spacing w:val="-2"/>
        </w:rPr>
        <w:t>本公司因处置部分股权投资或其他原因丧失了对原有子公司控制权的，在合并财务报表中，</w:t>
      </w:r>
      <w:r>
        <w:rPr>
          <w:w w:val="100"/>
        </w:rPr>
        <w:t> </w:t>
      </w:r>
      <w:r>
        <w:rPr>
          <w:spacing w:val="-1"/>
        </w:rPr>
        <w:t>对于剩余股权，按照其在丧失控制权日的公允价值进行重新计量。处置股权取得的对价与剩余股</w:t>
      </w:r>
      <w:r>
        <w:rPr>
          <w:spacing w:val="-55"/>
        </w:rPr>
        <w:t> </w:t>
      </w:r>
      <w:r>
        <w:rPr>
          <w:spacing w:val="-55"/>
        </w:rPr>
      </w:r>
      <w:r>
        <w:rPr>
          <w:spacing w:val="-1"/>
        </w:rPr>
        <w:t>权公允价值之和，减去按原持股比例计算应享有原有子公司自购买日开始持续计算的净资产的份</w:t>
      </w:r>
      <w:r>
        <w:rPr>
          <w:spacing w:val="-55"/>
        </w:rPr>
        <w:t> </w:t>
      </w:r>
      <w:r>
        <w:rPr>
          <w:spacing w:val="-55"/>
        </w:rPr>
      </w:r>
      <w:r>
        <w:rPr>
          <w:spacing w:val="-1"/>
        </w:rPr>
        <w:t>额之间的差额，计入丧失控制权当期的投资收益。与原有子公司股权投资相关的其他综合收益，</w:t>
      </w:r>
      <w:r>
        <w:rPr>
          <w:spacing w:val="-55"/>
        </w:rPr>
        <w:t> </w:t>
      </w:r>
      <w:r>
        <w:rPr>
          <w:spacing w:val="-55"/>
        </w:rPr>
      </w:r>
      <w:r>
        <w:rPr/>
        <w:t>应当在丧失控制权时转为当期投资收益。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tabs>
          <w:tab w:pos="562" w:val="left" w:leader="none"/>
        </w:tabs>
        <w:spacing w:line="266" w:lineRule="auto" w:before="0"/>
        <w:ind w:left="558" w:right="132" w:hanging="420"/>
        <w:jc w:val="left"/>
        <w:rPr>
          <w:rFonts w:ascii="宋体" w:hAnsi="宋体" w:cs="宋体" w:eastAsia="宋体" w:hint="default"/>
          <w:sz w:val="21"/>
          <w:szCs w:val="21"/>
        </w:rPr>
      </w:pPr>
      <w:r>
        <w:rPr>
          <w:rFonts w:ascii="Calibri" w:hAnsi="Calibri" w:cs="Calibri" w:eastAsia="Calibri" w:hint="default"/>
          <w:b/>
          <w:bCs/>
          <w:sz w:val="21"/>
          <w:szCs w:val="21"/>
        </w:rPr>
        <w:t>7.</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w:t>
      </w:r>
    </w:p>
    <w:p>
      <w:pPr>
        <w:pStyle w:val="BodyText"/>
        <w:spacing w:line="355" w:lineRule="auto" w:before="110"/>
        <w:ind w:right="128"/>
        <w:jc w:val="both"/>
      </w:pPr>
      <w:r>
        <w:rPr>
          <w:spacing w:val="-6"/>
          <w:w w:val="100"/>
        </w:rPr>
        <w:t>具备期限短（一般从购买日起，三个月内到期）、流动性强、易于转换为已知现金、价值变动风险</w:t>
      </w:r>
      <w:r>
        <w:rPr>
          <w:w w:val="100"/>
        </w:rPr>
        <w:t> </w:t>
      </w:r>
      <w:r>
        <w:rPr/>
        <w:t>很小四个条件的投资，确定为现金等价物。</w:t>
      </w:r>
    </w:p>
    <w:p>
      <w:pPr>
        <w:spacing w:line="240" w:lineRule="auto" w:before="0"/>
        <w:rPr>
          <w:rFonts w:ascii="宋体" w:hAnsi="宋体" w:cs="宋体" w:eastAsia="宋体" w:hint="default"/>
          <w:sz w:val="20"/>
          <w:szCs w:val="20"/>
        </w:rPr>
      </w:pPr>
    </w:p>
    <w:p>
      <w:pPr>
        <w:tabs>
          <w:tab w:pos="562" w:val="left" w:leader="none"/>
        </w:tabs>
        <w:spacing w:line="266" w:lineRule="auto" w:before="147"/>
        <w:ind w:left="558" w:right="4132" w:hanging="420"/>
        <w:jc w:val="left"/>
        <w:rPr>
          <w:rFonts w:ascii="宋体" w:hAnsi="宋体" w:cs="宋体" w:eastAsia="宋体" w:hint="default"/>
          <w:sz w:val="21"/>
          <w:szCs w:val="21"/>
        </w:rPr>
      </w:pPr>
      <w:r>
        <w:rPr>
          <w:rFonts w:ascii="Calibri" w:hAnsi="Calibri" w:cs="Calibri" w:eastAsia="Calibri" w:hint="default"/>
          <w:b/>
          <w:bCs/>
          <w:sz w:val="21"/>
          <w:szCs w:val="21"/>
        </w:rPr>
        <w:t>8.</w:t>
        <w:tab/>
        <w:tab/>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p>
    <w:p>
      <w:pPr>
        <w:pStyle w:val="BodyText"/>
        <w:spacing w:line="355" w:lineRule="auto" w:before="110"/>
        <w:ind w:left="558" w:right="123" w:firstLine="2"/>
        <w:jc w:val="left"/>
      </w:pPr>
      <w:r>
        <w:rPr>
          <w:rFonts w:ascii="宋体" w:hAnsi="宋体" w:cs="宋体" w:eastAsia="宋体" w:hint="default"/>
          <w:b/>
          <w:bCs/>
        </w:rPr>
        <w:t>1</w:t>
      </w:r>
      <w:r>
        <w:rPr>
          <w:rFonts w:ascii="宋体" w:hAnsi="宋体" w:cs="宋体" w:eastAsia="宋体" w:hint="default"/>
          <w:b/>
          <w:bCs/>
        </w:rPr>
        <w:t>、金融工具的分类</w:t>
      </w:r>
      <w:r>
        <w:rPr>
          <w:rFonts w:ascii="宋体" w:hAnsi="宋体" w:cs="宋体" w:eastAsia="宋体" w:hint="default"/>
          <w:b/>
          <w:bCs/>
          <w:w w:val="100"/>
        </w:rPr>
        <w:t> </w:t>
      </w:r>
      <w:r>
        <w:rPr>
          <w:spacing w:val="-2"/>
        </w:rPr>
        <w:t>管理层根据所发行金融工具的合同条款及其所反映的经济实质而非仅以法律形式，结合取得</w:t>
      </w:r>
    </w:p>
    <w:p>
      <w:pPr>
        <w:pStyle w:val="BodyText"/>
        <w:spacing w:line="357" w:lineRule="auto" w:before="32"/>
        <w:ind w:right="137"/>
        <w:jc w:val="both"/>
      </w:pPr>
      <w:r>
        <w:rPr>
          <w:spacing w:val="-2"/>
        </w:rPr>
        <w:t>持有金融资产和承担金融负债的目的，将金融资产和金融负债分为不同类别：以公允价值计量且</w:t>
      </w:r>
      <w:r>
        <w:rPr>
          <w:spacing w:val="-25"/>
        </w:rPr>
        <w:t> </w:t>
      </w:r>
      <w:r>
        <w:rPr>
          <w:spacing w:val="-25"/>
        </w:rPr>
      </w:r>
      <w:r>
        <w:rPr>
          <w:spacing w:val="-2"/>
        </w:rPr>
        <w:t>其变动计入当期损益的金融资产（或金融负债）；持有至到期投资；应收款项；可供出售金融资</w:t>
      </w:r>
      <w:r>
        <w:rPr>
          <w:spacing w:val="-25"/>
        </w:rPr>
        <w:t> </w:t>
      </w:r>
      <w:r>
        <w:rPr>
          <w:spacing w:val="-25"/>
        </w:rPr>
      </w:r>
      <w:r>
        <w:rPr/>
        <w:t>产；其他金融负债等。</w:t>
      </w:r>
    </w:p>
    <w:p>
      <w:pPr>
        <w:pStyle w:val="Heading3"/>
        <w:spacing w:line="240" w:lineRule="auto" w:before="30"/>
        <w:ind w:left="560" w:right="123"/>
        <w:jc w:val="left"/>
        <w:rPr>
          <w:b w:val="0"/>
          <w:bCs w:val="0"/>
        </w:rPr>
      </w:pPr>
      <w:r>
        <w:rPr>
          <w:rFonts w:ascii="宋体" w:hAnsi="宋体" w:cs="宋体" w:eastAsia="宋体" w:hint="default"/>
        </w:rPr>
        <w:t>2</w:t>
      </w:r>
      <w:r>
        <w:rPr/>
        <w:t>、金融工具的确认依据和计量方法</w:t>
      </w:r>
      <w:r>
        <w:rPr>
          <w:b w:val="0"/>
          <w:bCs w:val="0"/>
        </w:rPr>
      </w:r>
    </w:p>
    <w:p>
      <w:pPr>
        <w:pStyle w:val="BodyText"/>
        <w:spacing w:line="357" w:lineRule="auto" w:before="133"/>
        <w:ind w:left="558" w:right="123"/>
        <w:jc w:val="left"/>
      </w:pPr>
      <w:r>
        <w:rPr/>
        <w:t>（</w:t>
      </w:r>
      <w:r>
        <w:rPr>
          <w:rFonts w:ascii="宋体" w:hAnsi="宋体" w:cs="宋体" w:eastAsia="宋体" w:hint="default"/>
        </w:rPr>
        <w:t>1</w:t>
      </w:r>
      <w:r>
        <w:rPr/>
        <w:t>）以公允价值计量且其变动计入当期损益的金融资产（金融负债）</w:t>
      </w:r>
      <w:r>
        <w:rPr>
          <w:w w:val="100"/>
        </w:rPr>
        <w:t> </w:t>
      </w:r>
      <w:r>
        <w:rPr>
          <w:spacing w:val="-2"/>
        </w:rPr>
        <w:t>以公允价值计量且其变动计入当期损益的金融资产或金融负债，包括交易性金融资产或金融</w:t>
      </w:r>
    </w:p>
    <w:p>
      <w:pPr>
        <w:pStyle w:val="BodyText"/>
        <w:spacing w:line="355" w:lineRule="auto" w:before="32"/>
        <w:ind w:left="558" w:right="123" w:hanging="420"/>
        <w:jc w:val="left"/>
      </w:pPr>
      <w:r>
        <w:rPr>
          <w:spacing w:val="-2"/>
        </w:rPr>
        <w:t>负债和直接指定为以公允价值计量且其变动计入当期损益的金融资产或金融负债。</w:t>
      </w:r>
      <w:r>
        <w:rPr>
          <w:spacing w:val="-35"/>
        </w:rPr>
        <w:t> </w:t>
      </w:r>
      <w:r>
        <w:rPr>
          <w:spacing w:val="-35"/>
        </w:rPr>
      </w:r>
      <w:r>
        <w:rPr/>
        <w:t>交易性金融资产或金融负债是指满足下列条件之一的金融资产或金融负债：</w:t>
      </w:r>
      <w:r>
        <w:rPr>
          <w:w w:val="100"/>
        </w:rPr>
        <w:t> </w:t>
      </w:r>
      <w:r>
        <w:rPr>
          <w:rFonts w:ascii="宋体" w:hAnsi="宋体" w:cs="宋体" w:eastAsia="宋体" w:hint="default"/>
        </w:rPr>
        <w:t>1</w:t>
      </w:r>
      <w:r>
        <w:rPr/>
        <w:t>）取得该金融资产或金融负债的目的是为了在短期内出售、回购或赎回；</w:t>
      </w:r>
    </w:p>
    <w:p>
      <w:pPr>
        <w:pStyle w:val="BodyText"/>
        <w:spacing w:line="357" w:lineRule="auto" w:before="32"/>
        <w:ind w:right="128" w:firstLine="419"/>
        <w:jc w:val="both"/>
      </w:pPr>
      <w:r>
        <w:rPr>
          <w:rFonts w:ascii="宋体" w:hAnsi="宋体" w:cs="宋体" w:eastAsia="宋体" w:hint="default"/>
          <w:spacing w:val="-4"/>
        </w:rPr>
        <w:t>2</w:t>
      </w:r>
      <w:r>
        <w:rPr>
          <w:spacing w:val="-4"/>
        </w:rPr>
        <w:t>）属于进行集中管理的可辨认金融工具组合的一部分，且有客观证据表明本公司近期采用短</w:t>
      </w:r>
      <w:r>
        <w:rPr>
          <w:w w:val="100"/>
        </w:rPr>
        <w:t> </w:t>
      </w:r>
      <w:r>
        <w:rPr/>
        <w:t>期获利方式对该组合进行管理；</w:t>
      </w:r>
    </w:p>
    <w:p>
      <w:pPr>
        <w:pStyle w:val="BodyText"/>
        <w:spacing w:line="357" w:lineRule="auto" w:before="30"/>
        <w:ind w:right="127" w:firstLine="419"/>
        <w:jc w:val="both"/>
      </w:pPr>
      <w:r>
        <w:rPr>
          <w:rFonts w:ascii="宋体" w:hAnsi="宋体" w:cs="宋体" w:eastAsia="宋体" w:hint="default"/>
          <w:spacing w:val="-4"/>
        </w:rPr>
        <w:t>3</w:t>
      </w:r>
      <w:r>
        <w:rPr>
          <w:spacing w:val="-4"/>
        </w:rPr>
        <w:t>）属于衍生金融工具，但是被指定为有效套期工具的衍生工具、属于财务担保合同的衍生工</w:t>
      </w:r>
      <w:r>
        <w:rPr>
          <w:w w:val="100"/>
        </w:rPr>
        <w:t> </w:t>
      </w:r>
      <w:r>
        <w:rPr>
          <w:spacing w:val="-2"/>
        </w:rPr>
        <w:t>具、与在活跃市场中没有报价且其公允价值不能可靠计量的权益工具投资挂钩并须通过交付该权</w:t>
      </w:r>
      <w:r>
        <w:rPr>
          <w:spacing w:val="-25"/>
        </w:rPr>
        <w:t> </w:t>
      </w:r>
      <w:r>
        <w:rPr>
          <w:spacing w:val="-25"/>
        </w:rPr>
      </w:r>
      <w:r>
        <w:rPr/>
        <w:t>益工具结算的衍生工具除外。</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217" w:firstLine="419"/>
        <w:jc w:val="both"/>
      </w:pPr>
      <w:r>
        <w:rPr>
          <w:spacing w:val="-2"/>
        </w:rPr>
        <w:t>只有符合以下条件之一，金融资产或金融负债才可在初始计量时指定为以公允价值计量且其</w:t>
      </w:r>
      <w:r>
        <w:rPr>
          <w:w w:val="100"/>
        </w:rPr>
        <w:t> </w:t>
      </w:r>
      <w:r>
        <w:rPr/>
        <w:t>变动计入损益的金融资产或金融负债：</w:t>
      </w:r>
    </w:p>
    <w:p>
      <w:pPr>
        <w:pStyle w:val="BodyText"/>
        <w:spacing w:line="355" w:lineRule="auto" w:before="30"/>
        <w:ind w:right="208" w:firstLine="419"/>
        <w:jc w:val="both"/>
      </w:pPr>
      <w:r>
        <w:rPr>
          <w:rFonts w:ascii="宋体" w:hAnsi="宋体" w:cs="宋体" w:eastAsia="宋体" w:hint="default"/>
          <w:spacing w:val="-4"/>
          <w:w w:val="100"/>
        </w:rPr>
        <w:t>1</w:t>
      </w:r>
      <w:r>
        <w:rPr>
          <w:spacing w:val="-4"/>
          <w:w w:val="100"/>
        </w:rPr>
        <w:t>）该项指定可以消除或明显减少由于金融资产或金融负债的计量基础不同所导致的相关利得</w:t>
      </w:r>
      <w:r>
        <w:rPr>
          <w:w w:val="100"/>
        </w:rPr>
        <w:t> </w:t>
      </w:r>
      <w:r>
        <w:rPr/>
        <w:t>或损失在确认或计量方面不一致的情况；</w:t>
      </w:r>
    </w:p>
    <w:p>
      <w:pPr>
        <w:pStyle w:val="BodyText"/>
        <w:spacing w:line="355" w:lineRule="auto" w:before="32"/>
        <w:ind w:right="208" w:firstLine="419"/>
        <w:jc w:val="both"/>
      </w:pPr>
      <w:r>
        <w:rPr>
          <w:rFonts w:ascii="宋体" w:hAnsi="宋体" w:cs="宋体" w:eastAsia="宋体" w:hint="default"/>
          <w:spacing w:val="-4"/>
        </w:rPr>
        <w:t>2</w:t>
      </w:r>
      <w:r>
        <w:rPr>
          <w:spacing w:val="-4"/>
        </w:rPr>
        <w:t>）风险管理或投资策略的正式书面文件已载明，该金融资产组合、该金融负债组合、或该金</w:t>
      </w:r>
      <w:r>
        <w:rPr>
          <w:w w:val="100"/>
        </w:rPr>
        <w:t> </w:t>
      </w:r>
      <w:r>
        <w:rPr/>
        <w:t>融资产和金融负债组合，以公允价值为基础进行管理、评价并向关键管理人员报告；</w:t>
      </w:r>
    </w:p>
    <w:p>
      <w:pPr>
        <w:pStyle w:val="BodyText"/>
        <w:spacing w:line="355" w:lineRule="auto" w:before="34"/>
        <w:ind w:right="208" w:firstLine="419"/>
        <w:jc w:val="both"/>
      </w:pPr>
      <w:r>
        <w:rPr>
          <w:rFonts w:ascii="宋体" w:hAnsi="宋体" w:cs="宋体" w:eastAsia="宋体" w:hint="default"/>
          <w:spacing w:val="-4"/>
        </w:rPr>
        <w:t>3</w:t>
      </w:r>
      <w:r>
        <w:rPr>
          <w:spacing w:val="-4"/>
        </w:rPr>
        <w:t>）包含一项或多项嵌入衍生工具的混合工具，除非嵌入衍生工具对混合工具的现金流量没有</w:t>
      </w:r>
      <w:r>
        <w:rPr>
          <w:w w:val="100"/>
        </w:rPr>
        <w:t> </w:t>
      </w:r>
      <w:r>
        <w:rPr/>
        <w:t>重大改变，或所嵌入的衍生工具明显不应当从相关混合工具中分拆；</w:t>
      </w:r>
    </w:p>
    <w:p>
      <w:pPr>
        <w:pStyle w:val="BodyText"/>
        <w:spacing w:line="355" w:lineRule="auto" w:before="33"/>
        <w:ind w:right="208" w:firstLine="419"/>
        <w:jc w:val="both"/>
      </w:pPr>
      <w:r>
        <w:rPr>
          <w:rFonts w:ascii="宋体" w:hAnsi="宋体" w:cs="宋体" w:eastAsia="宋体" w:hint="default"/>
          <w:spacing w:val="-4"/>
          <w:w w:val="100"/>
        </w:rPr>
        <w:t>4</w:t>
      </w:r>
      <w:r>
        <w:rPr>
          <w:spacing w:val="-4"/>
          <w:w w:val="100"/>
        </w:rPr>
        <w:t>）包含需要分拆但无法在取得时或后续的资产负债表日对其进行单独计量的嵌入衍生工具的</w:t>
      </w:r>
      <w:r>
        <w:rPr>
          <w:w w:val="100"/>
        </w:rPr>
        <w:t> </w:t>
      </w:r>
      <w:r>
        <w:rPr/>
        <w:t>混合工具。</w:t>
      </w:r>
    </w:p>
    <w:p>
      <w:pPr>
        <w:pStyle w:val="BodyText"/>
        <w:spacing w:line="355" w:lineRule="auto" w:before="34"/>
        <w:ind w:right="208" w:firstLine="419"/>
        <w:jc w:val="both"/>
      </w:pPr>
      <w:r>
        <w:rPr>
          <w:spacing w:val="-2"/>
        </w:rPr>
        <w:t>本公司对以公允价值计量且其变动计入当期损益的金融资产或金融负债，在取得时以公允价</w:t>
      </w:r>
      <w:r>
        <w:rPr>
          <w:w w:val="100"/>
        </w:rPr>
        <w:t> </w:t>
      </w:r>
      <w:r>
        <w:rPr>
          <w:spacing w:val="-6"/>
          <w:w w:val="100"/>
        </w:rPr>
        <w:t>值（扣除已宣告但尚未发放的现金股利或已到付息期但尚未领取的债券利息）作为初始确认金额，</w:t>
      </w:r>
      <w:r>
        <w:rPr>
          <w:w w:val="100"/>
        </w:rPr>
        <w:t> </w:t>
      </w:r>
      <w:r>
        <w:rPr>
          <w:spacing w:val="-2"/>
        </w:rPr>
        <w:t>相关的交易费用计入当期损益。持有期间将取得的利息或现金股利确认为投资收益，期末将公允</w:t>
      </w:r>
      <w:r>
        <w:rPr>
          <w:spacing w:val="-25"/>
        </w:rPr>
        <w:t> </w:t>
      </w:r>
      <w:r>
        <w:rPr>
          <w:spacing w:val="-25"/>
        </w:rPr>
      </w:r>
      <w:r>
        <w:rPr>
          <w:spacing w:val="-2"/>
        </w:rPr>
        <w:t>价值变动计入当期损益。处置时，其公允价值与初始入账金额之间的差额确认为投资收益，同时</w:t>
      </w:r>
      <w:r>
        <w:rPr>
          <w:spacing w:val="-25"/>
        </w:rPr>
        <w:t> </w:t>
      </w:r>
      <w:r>
        <w:rPr>
          <w:spacing w:val="-25"/>
        </w:rPr>
      </w:r>
      <w:r>
        <w:rPr/>
        <w:t>调整公允价值变动损益。</w:t>
      </w:r>
    </w:p>
    <w:p>
      <w:pPr>
        <w:pStyle w:val="BodyText"/>
        <w:spacing w:line="357" w:lineRule="auto" w:before="34"/>
        <w:ind w:left="558" w:right="97"/>
        <w:jc w:val="left"/>
      </w:pPr>
      <w:r>
        <w:rPr/>
        <w:t>（</w:t>
      </w:r>
      <w:r>
        <w:rPr>
          <w:rFonts w:ascii="宋体" w:hAnsi="宋体" w:cs="宋体" w:eastAsia="宋体" w:hint="default"/>
        </w:rPr>
        <w:t>2</w:t>
      </w:r>
      <w:r>
        <w:rPr/>
        <w:t>）持有至到期投资</w:t>
      </w:r>
      <w:r>
        <w:rPr>
          <w:w w:val="100"/>
        </w:rPr>
        <w:t> </w:t>
      </w:r>
      <w:r>
        <w:rPr>
          <w:spacing w:val="-2"/>
        </w:rPr>
        <w:t>持有至到期投资是指到期日固定、回收金额固定或可确定，且本公司有明确意图和能力持有</w:t>
      </w:r>
    </w:p>
    <w:p>
      <w:pPr>
        <w:pStyle w:val="BodyText"/>
        <w:spacing w:line="355" w:lineRule="auto" w:before="30"/>
        <w:ind w:left="558" w:right="97" w:hanging="420"/>
        <w:jc w:val="left"/>
      </w:pPr>
      <w:r>
        <w:rPr/>
        <w:t>至到期的非衍生性金融资产。</w:t>
      </w:r>
      <w:r>
        <w:rPr>
          <w:w w:val="100"/>
        </w:rPr>
        <w:t> </w:t>
      </w:r>
      <w:r>
        <w:rPr>
          <w:spacing w:val="-2"/>
        </w:rPr>
        <w:t>本公司对持有至到期投资，在取得时按公允价值（扣除已到付息期但尚未领取的债券利息）</w:t>
      </w:r>
    </w:p>
    <w:p>
      <w:pPr>
        <w:pStyle w:val="BodyText"/>
        <w:spacing w:line="357" w:lineRule="auto" w:before="32"/>
        <w:ind w:right="217"/>
        <w:jc w:val="both"/>
      </w:pPr>
      <w:r>
        <w:rPr>
          <w:spacing w:val="-2"/>
        </w:rPr>
        <w:t>和相关交易费用之和作为初始确认金额。持有期间按照摊余成本和实际利率计算确认利息收入，</w:t>
      </w:r>
      <w:r>
        <w:rPr>
          <w:spacing w:val="-25"/>
        </w:rPr>
        <w:t> </w:t>
      </w:r>
      <w:r>
        <w:rPr>
          <w:spacing w:val="-25"/>
        </w:rPr>
      </w:r>
      <w:r>
        <w:rPr>
          <w:spacing w:val="-2"/>
        </w:rPr>
        <w:t>计入投资收益。实际利率在取得时确定，在该预期存续期间或适用的更短期间内保持不变。处置</w:t>
      </w:r>
      <w:r>
        <w:rPr>
          <w:spacing w:val="-25"/>
        </w:rPr>
        <w:t> </w:t>
      </w:r>
      <w:r>
        <w:rPr>
          <w:spacing w:val="-25"/>
        </w:rPr>
      </w:r>
      <w:r>
        <w:rPr/>
        <w:t>时，将所取得价款与该投资账面价值之间的差额计入投资收益。</w:t>
      </w:r>
    </w:p>
    <w:p>
      <w:pPr>
        <w:pStyle w:val="BodyText"/>
        <w:spacing w:line="357" w:lineRule="auto" w:before="30"/>
        <w:ind w:right="208" w:firstLine="419"/>
        <w:jc w:val="both"/>
      </w:pPr>
      <w:r>
        <w:rPr>
          <w:spacing w:val="-2"/>
        </w:rPr>
        <w:t>如果持有至到期投资处置或重分类为其他类金融资产的金额，相对于本公司全部持有至到期</w:t>
      </w:r>
      <w:r>
        <w:rPr>
          <w:w w:val="100"/>
        </w:rPr>
        <w:t> </w:t>
      </w:r>
      <w:r>
        <w:rPr>
          <w:spacing w:val="-2"/>
        </w:rPr>
        <w:t>投资在出售或重分类前的总额较大，在处置或重分类后应立即将其剩余的持有至到期投资重分类</w:t>
      </w:r>
      <w:r>
        <w:rPr>
          <w:spacing w:val="-25"/>
        </w:rPr>
        <w:t> </w:t>
      </w:r>
      <w:r>
        <w:rPr>
          <w:spacing w:val="-25"/>
        </w:rPr>
      </w:r>
      <w:r>
        <w:rPr>
          <w:spacing w:val="-6"/>
          <w:w w:val="100"/>
        </w:rPr>
        <w:t>为可供出售金融资产；重分类日，该投资的账面价值与其公允价值之间的差额计入其他综合收益，</w:t>
      </w:r>
      <w:r>
        <w:rPr>
          <w:w w:val="100"/>
        </w:rPr>
        <w:t> </w:t>
      </w:r>
      <w:r>
        <w:rPr>
          <w:spacing w:val="-2"/>
        </w:rPr>
        <w:t>在该可供出售金融资产发生减值或终止确认时转出，计入当期损益。但是，遇到下列情况可以除</w:t>
      </w:r>
      <w:r>
        <w:rPr>
          <w:spacing w:val="-25"/>
        </w:rPr>
        <w:t> </w:t>
      </w:r>
      <w:r>
        <w:rPr>
          <w:spacing w:val="-25"/>
        </w:rPr>
      </w:r>
      <w:r>
        <w:rPr/>
        <w:t>外：</w:t>
      </w:r>
    </w:p>
    <w:p>
      <w:pPr>
        <w:pStyle w:val="BodyText"/>
        <w:spacing w:line="355" w:lineRule="auto" w:before="30"/>
        <w:ind w:right="207" w:firstLine="419"/>
        <w:jc w:val="both"/>
      </w:pPr>
      <w:r>
        <w:rPr>
          <w:rFonts w:ascii="宋体" w:hAnsi="宋体" w:cs="宋体" w:eastAsia="宋体" w:hint="default"/>
          <w:spacing w:val="-4"/>
        </w:rPr>
        <w:t>1</w:t>
      </w:r>
      <w:r>
        <w:rPr>
          <w:spacing w:val="-4"/>
        </w:rPr>
        <w:t>）出售日或重分类日距离该项投资到期日或赎回日较近</w:t>
      </w:r>
      <w:r>
        <w:rPr>
          <w:rFonts w:ascii="宋体" w:hAnsi="宋体" w:cs="宋体" w:eastAsia="宋体" w:hint="default"/>
          <w:spacing w:val="-4"/>
        </w:rPr>
        <w:t>(</w:t>
      </w:r>
      <w:r>
        <w:rPr>
          <w:spacing w:val="-4"/>
        </w:rPr>
        <w:t>如到期前三个月内</w:t>
      </w:r>
      <w:r>
        <w:rPr>
          <w:rFonts w:ascii="宋体" w:hAnsi="宋体" w:cs="宋体" w:eastAsia="宋体" w:hint="default"/>
          <w:spacing w:val="-4"/>
        </w:rPr>
        <w:t>)</w:t>
      </w:r>
      <w:r>
        <w:rPr>
          <w:spacing w:val="-4"/>
        </w:rPr>
        <w:t>，且市场利率变</w:t>
      </w:r>
      <w:r>
        <w:rPr>
          <w:w w:val="100"/>
        </w:rPr>
        <w:t> </w:t>
      </w:r>
      <w:r>
        <w:rPr/>
        <w:t>化对该项投资的公允价值没有显著影响。</w:t>
      </w:r>
    </w:p>
    <w:p>
      <w:pPr>
        <w:pStyle w:val="BodyText"/>
        <w:spacing w:line="240" w:lineRule="auto" w:before="34"/>
        <w:ind w:left="558" w:right="97"/>
        <w:jc w:val="left"/>
      </w:pPr>
      <w:r>
        <w:rPr>
          <w:rFonts w:ascii="宋体" w:hAnsi="宋体" w:cs="宋体" w:eastAsia="宋体" w:hint="default"/>
        </w:rPr>
        <w:t>2</w:t>
      </w:r>
      <w:r>
        <w:rPr/>
        <w:t>）根据合同约定的偿付方式，企业已收回几乎所有初始本金。</w:t>
      </w:r>
    </w:p>
    <w:p>
      <w:pPr>
        <w:pStyle w:val="BodyText"/>
        <w:spacing w:line="240" w:lineRule="auto" w:before="133"/>
        <w:ind w:left="558" w:right="0"/>
        <w:jc w:val="left"/>
      </w:pPr>
      <w:r>
        <w:rPr>
          <w:rFonts w:ascii="宋体" w:hAnsi="宋体" w:cs="宋体" w:eastAsia="宋体" w:hint="default"/>
          <w:w w:val="100"/>
        </w:rPr>
        <w:t>3</w:t>
      </w:r>
      <w:r>
        <w:rPr>
          <w:spacing w:val="-99"/>
          <w:w w:val="100"/>
        </w:rPr>
        <w:t>）</w:t>
      </w:r>
      <w:r>
        <w:rPr>
          <w:spacing w:val="-3"/>
          <w:w w:val="100"/>
        </w:rPr>
        <w:t>出</w:t>
      </w:r>
      <w:r>
        <w:rPr>
          <w:w w:val="100"/>
        </w:rPr>
        <w:t>售</w:t>
      </w:r>
      <w:r>
        <w:rPr>
          <w:spacing w:val="-3"/>
          <w:w w:val="100"/>
        </w:rPr>
        <w:t>或</w:t>
      </w:r>
      <w:r>
        <w:rPr>
          <w:w w:val="100"/>
        </w:rPr>
        <w:t>重</w:t>
      </w:r>
      <w:r>
        <w:rPr>
          <w:spacing w:val="-3"/>
          <w:w w:val="100"/>
        </w:rPr>
        <w:t>分</w:t>
      </w:r>
      <w:r>
        <w:rPr>
          <w:w w:val="100"/>
        </w:rPr>
        <w:t>类</w:t>
      </w:r>
      <w:r>
        <w:rPr>
          <w:spacing w:val="-3"/>
          <w:w w:val="100"/>
        </w:rPr>
        <w:t>是</w:t>
      </w:r>
      <w:r>
        <w:rPr>
          <w:w w:val="100"/>
        </w:rPr>
        <w:t>由</w:t>
      </w:r>
      <w:r>
        <w:rPr>
          <w:spacing w:val="-3"/>
          <w:w w:val="100"/>
        </w:rPr>
        <w:t>于企</w:t>
      </w:r>
      <w:r>
        <w:rPr>
          <w:w w:val="100"/>
        </w:rPr>
        <w:t>业无</w:t>
      </w:r>
      <w:r>
        <w:rPr>
          <w:spacing w:val="-3"/>
          <w:w w:val="100"/>
        </w:rPr>
        <w:t>法</w:t>
      </w:r>
      <w:r>
        <w:rPr>
          <w:w w:val="100"/>
        </w:rPr>
        <w:t>控</w:t>
      </w:r>
      <w:r>
        <w:rPr>
          <w:spacing w:val="-3"/>
          <w:w w:val="100"/>
        </w:rPr>
        <w:t>制</w:t>
      </w:r>
      <w:r>
        <w:rPr>
          <w:spacing w:val="-99"/>
          <w:w w:val="100"/>
        </w:rPr>
        <w:t>、</w:t>
      </w:r>
      <w:r>
        <w:rPr>
          <w:spacing w:val="-3"/>
          <w:w w:val="100"/>
        </w:rPr>
        <w:t>预</w:t>
      </w:r>
      <w:r>
        <w:rPr>
          <w:w w:val="100"/>
        </w:rPr>
        <w:t>期</w:t>
      </w:r>
      <w:r>
        <w:rPr>
          <w:spacing w:val="-3"/>
          <w:w w:val="100"/>
        </w:rPr>
        <w:t>不</w:t>
      </w:r>
      <w:r>
        <w:rPr>
          <w:w w:val="100"/>
        </w:rPr>
        <w:t>会</w:t>
      </w:r>
      <w:r>
        <w:rPr>
          <w:spacing w:val="-3"/>
          <w:w w:val="100"/>
        </w:rPr>
        <w:t>重复</w:t>
      </w:r>
      <w:r>
        <w:rPr>
          <w:w w:val="100"/>
        </w:rPr>
        <w:t>发生</w:t>
      </w:r>
      <w:r>
        <w:rPr>
          <w:spacing w:val="-3"/>
          <w:w w:val="100"/>
        </w:rPr>
        <w:t>且</w:t>
      </w:r>
      <w:r>
        <w:rPr>
          <w:w w:val="100"/>
        </w:rPr>
        <w:t>难</w:t>
      </w:r>
      <w:r>
        <w:rPr>
          <w:spacing w:val="-3"/>
          <w:w w:val="100"/>
        </w:rPr>
        <w:t>以</w:t>
      </w:r>
      <w:r>
        <w:rPr>
          <w:w w:val="100"/>
        </w:rPr>
        <w:t>合</w:t>
      </w:r>
      <w:r>
        <w:rPr>
          <w:spacing w:val="-3"/>
          <w:w w:val="100"/>
        </w:rPr>
        <w:t>理</w:t>
      </w:r>
      <w:r>
        <w:rPr>
          <w:w w:val="100"/>
        </w:rPr>
        <w:t>预</w:t>
      </w:r>
      <w:r>
        <w:rPr>
          <w:spacing w:val="-3"/>
          <w:w w:val="100"/>
        </w:rPr>
        <w:t>计</w:t>
      </w:r>
      <w:r>
        <w:rPr>
          <w:w w:val="100"/>
        </w:rPr>
        <w:t>的</w:t>
      </w:r>
      <w:r>
        <w:rPr>
          <w:spacing w:val="-3"/>
          <w:w w:val="100"/>
        </w:rPr>
        <w:t>独</w:t>
      </w:r>
      <w:r>
        <w:rPr>
          <w:w w:val="100"/>
        </w:rPr>
        <w:t>立事</w:t>
      </w:r>
      <w:r>
        <w:rPr>
          <w:spacing w:val="-3"/>
          <w:w w:val="100"/>
        </w:rPr>
        <w:t>件</w:t>
      </w:r>
      <w:r>
        <w:rPr>
          <w:w w:val="100"/>
        </w:rPr>
        <w:t>所</w:t>
      </w:r>
      <w:r>
        <w:rPr>
          <w:spacing w:val="-3"/>
          <w:w w:val="100"/>
        </w:rPr>
        <w:t>引起</w:t>
      </w:r>
      <w:r>
        <w:rPr>
          <w:w w:val="100"/>
        </w:rPr>
        <w:t>。</w:t>
      </w:r>
    </w:p>
    <w:p>
      <w:pPr>
        <w:pStyle w:val="BodyText"/>
        <w:spacing w:line="240" w:lineRule="auto" w:before="133"/>
        <w:ind w:left="558" w:right="97"/>
        <w:jc w:val="left"/>
      </w:pPr>
      <w:r>
        <w:rPr/>
        <w:t>（</w:t>
      </w:r>
      <w:r>
        <w:rPr>
          <w:rFonts w:ascii="宋体" w:hAnsi="宋体" w:cs="宋体" w:eastAsia="宋体" w:hint="default"/>
        </w:rPr>
        <w:t>3</w:t>
      </w:r>
      <w:r>
        <w:rPr/>
        <w:t>）应收款项</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217" w:firstLine="419"/>
        <w:jc w:val="both"/>
      </w:pPr>
      <w:r>
        <w:rPr>
          <w:spacing w:val="-2"/>
        </w:rPr>
        <w:t>公司对外销售商品或提供劳务形成的应收债权，以及公司持有的其他企业的不包括在活跃市</w:t>
      </w:r>
      <w:r>
        <w:rPr>
          <w:w w:val="100"/>
        </w:rPr>
        <w:t> </w:t>
      </w:r>
      <w:r>
        <w:rPr>
          <w:spacing w:val="-2"/>
        </w:rPr>
        <w:t>场上有报价的债务工具的债权，包括应收账款、应收票据、预付款项、其他应收款等，以向购货</w:t>
      </w:r>
      <w:r>
        <w:rPr>
          <w:spacing w:val="-25"/>
        </w:rPr>
        <w:t> </w:t>
      </w:r>
      <w:r>
        <w:rPr>
          <w:spacing w:val="-25"/>
        </w:rPr>
      </w:r>
      <w:r>
        <w:rPr/>
        <w:t>方应收的合同或协议价款作为初始确认金额；具有融资性质的，按其现值进行初始确认。</w:t>
      </w:r>
    </w:p>
    <w:p>
      <w:pPr>
        <w:pStyle w:val="BodyText"/>
        <w:spacing w:line="240" w:lineRule="auto" w:before="30"/>
        <w:ind w:left="558" w:right="97"/>
        <w:jc w:val="left"/>
      </w:pPr>
      <w:r>
        <w:rPr/>
        <w:t>收回或处置时，将取得的价款与该应收款项账面价值之间的差额计入当期损益。</w:t>
      </w:r>
    </w:p>
    <w:p>
      <w:pPr>
        <w:pStyle w:val="BodyText"/>
        <w:spacing w:line="355" w:lineRule="auto" w:before="133"/>
        <w:ind w:left="558" w:right="97"/>
        <w:jc w:val="left"/>
      </w:pPr>
      <w:r>
        <w:rPr/>
        <w:t>（</w:t>
      </w:r>
      <w:r>
        <w:rPr>
          <w:rFonts w:ascii="宋体" w:hAnsi="宋体" w:cs="宋体" w:eastAsia="宋体" w:hint="default"/>
        </w:rPr>
        <w:t>4</w:t>
      </w:r>
      <w:r>
        <w:rPr/>
        <w:t>）可供出售金融资产</w:t>
      </w:r>
      <w:r>
        <w:rPr>
          <w:w w:val="100"/>
        </w:rPr>
        <w:t> </w:t>
      </w:r>
      <w:r>
        <w:rPr>
          <w:spacing w:val="-2"/>
        </w:rPr>
        <w:t>可供出售金融资产，是指初始确认时即指定为可供出售的非衍生金融资产，以及除其他金融</w:t>
      </w:r>
    </w:p>
    <w:p>
      <w:pPr>
        <w:pStyle w:val="BodyText"/>
        <w:spacing w:line="355" w:lineRule="auto" w:before="34"/>
        <w:ind w:left="558" w:right="97" w:hanging="420"/>
        <w:jc w:val="left"/>
      </w:pPr>
      <w:r>
        <w:rPr/>
        <w:t>资产类别以外的金融资产。</w:t>
      </w:r>
      <w:r>
        <w:rPr>
          <w:w w:val="100"/>
        </w:rPr>
        <w:t> </w:t>
      </w:r>
      <w:r>
        <w:rPr>
          <w:spacing w:val="-2"/>
        </w:rPr>
        <w:t>本公司对可供出售金融资产，在取得时按公允价值（扣除已宣告但尚未发放的现金股利或已</w:t>
      </w:r>
    </w:p>
    <w:p>
      <w:pPr>
        <w:pStyle w:val="BodyText"/>
        <w:spacing w:line="357" w:lineRule="auto" w:before="33"/>
        <w:ind w:right="207"/>
        <w:jc w:val="both"/>
      </w:pPr>
      <w:r>
        <w:rPr>
          <w:spacing w:val="-2"/>
        </w:rPr>
        <w:t>到付息期但尚未领取的债券利息）和相关交易费用之和作为初始确认金额。持有期间将取得的利</w:t>
      </w:r>
      <w:r>
        <w:rPr>
          <w:spacing w:val="-25"/>
        </w:rPr>
        <w:t> </w:t>
      </w:r>
      <w:r>
        <w:rPr>
          <w:spacing w:val="-25"/>
        </w:rPr>
      </w:r>
      <w:r>
        <w:rPr>
          <w:spacing w:val="-2"/>
        </w:rPr>
        <w:t>息或现金股利确认为投资收益。可供出售金融资产的公允价值变动形成的利得或损失，除减值损</w:t>
      </w:r>
      <w:r>
        <w:rPr>
          <w:spacing w:val="-25"/>
        </w:rPr>
        <w:t> </w:t>
      </w:r>
      <w:r>
        <w:rPr>
          <w:spacing w:val="-25"/>
        </w:rPr>
      </w:r>
      <w:r>
        <w:rPr>
          <w:spacing w:val="-6"/>
          <w:w w:val="100"/>
        </w:rPr>
        <w:t>失和外币货币性金融资产形成的汇兑差额外，直接计入其他综合收益。处置可供出售金融资产时，</w:t>
      </w:r>
      <w:r>
        <w:rPr>
          <w:w w:val="100"/>
        </w:rPr>
        <w:t> </w:t>
      </w:r>
      <w:r>
        <w:rPr>
          <w:spacing w:val="-2"/>
        </w:rPr>
        <w:t>将取得的价款与该金融资产账面价值之间的差额，计入投资损益；同时，将原直接计入其他综合</w:t>
      </w:r>
      <w:r>
        <w:rPr>
          <w:spacing w:val="-25"/>
        </w:rPr>
        <w:t> </w:t>
      </w:r>
      <w:r>
        <w:rPr>
          <w:spacing w:val="-25"/>
        </w:rPr>
      </w:r>
      <w:r>
        <w:rPr/>
        <w:t>收益的公允价值变动累计额对应处置部分的金额转出，计入投资损益。</w:t>
      </w:r>
    </w:p>
    <w:p>
      <w:pPr>
        <w:pStyle w:val="BodyText"/>
        <w:spacing w:line="355" w:lineRule="auto" w:before="30"/>
        <w:ind w:right="217" w:firstLine="419"/>
        <w:jc w:val="both"/>
      </w:pPr>
      <w:r>
        <w:rPr>
          <w:spacing w:val="-2"/>
        </w:rPr>
        <w:t>本公司对在活跃市场中没有报价且其公允价值不能可靠计量的权益工具投资，以及与该权益</w:t>
      </w:r>
      <w:r>
        <w:rPr>
          <w:w w:val="100"/>
        </w:rPr>
        <w:t> </w:t>
      </w:r>
      <w:r>
        <w:rPr/>
        <w:t>工具挂钩并须通过交付该权益工具结算的衍生金融资产，按照成本计量。</w:t>
      </w:r>
    </w:p>
    <w:p>
      <w:pPr>
        <w:pStyle w:val="BodyText"/>
        <w:spacing w:line="357" w:lineRule="auto" w:before="34"/>
        <w:ind w:left="558" w:right="97"/>
        <w:jc w:val="left"/>
      </w:pPr>
      <w:r>
        <w:rPr/>
        <w:t>（</w:t>
      </w:r>
      <w:r>
        <w:rPr>
          <w:rFonts w:ascii="宋体" w:hAnsi="宋体" w:cs="宋体" w:eastAsia="宋体" w:hint="default"/>
        </w:rPr>
        <w:t>5</w:t>
      </w:r>
      <w:r>
        <w:rPr/>
        <w:t>）其他金融负债</w:t>
      </w:r>
      <w:r>
        <w:rPr>
          <w:w w:val="100"/>
        </w:rPr>
        <w:t> </w:t>
      </w:r>
      <w:r>
        <w:rPr/>
        <w:t>按其公允价值和相关交易费用之和作为初始确认金额。采用摊余成本进行后续计量。</w:t>
      </w:r>
      <w:r>
        <w:rPr>
          <w:w w:val="100"/>
        </w:rPr>
        <w:t> </w:t>
      </w:r>
      <w:r>
        <w:rPr>
          <w:rFonts w:ascii="宋体" w:hAnsi="宋体" w:cs="宋体" w:eastAsia="宋体"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100"/>
        </w:rPr>
        <w:t> </w:t>
      </w:r>
      <w:r>
        <w:rPr>
          <w:spacing w:val="-4"/>
          <w:w w:val="100"/>
        </w:rPr>
        <w:t>本公司发生金融资产转移时，如已将金融资产所有权上几乎所有的风险和报酬转移给转入方，</w:t>
      </w:r>
    </w:p>
    <w:p>
      <w:pPr>
        <w:pStyle w:val="BodyText"/>
        <w:spacing w:line="357" w:lineRule="auto" w:before="30"/>
        <w:ind w:right="217"/>
        <w:jc w:val="both"/>
      </w:pPr>
      <w:r>
        <w:rPr>
          <w:spacing w:val="-2"/>
        </w:rPr>
        <w:t>则终止确认该金融资产；如保留了金融资产所有权上几乎所有的风险和报酬的，则不终止确认该</w:t>
      </w:r>
      <w:r>
        <w:rPr>
          <w:spacing w:val="-25"/>
        </w:rPr>
        <w:t> </w:t>
      </w:r>
      <w:r>
        <w:rPr>
          <w:spacing w:val="-25"/>
        </w:rPr>
      </w:r>
      <w:r>
        <w:rPr/>
        <w:t>金融资产。</w:t>
      </w:r>
    </w:p>
    <w:p>
      <w:pPr>
        <w:pStyle w:val="BodyText"/>
        <w:spacing w:line="355" w:lineRule="auto" w:before="30"/>
        <w:ind w:right="97" w:firstLine="419"/>
        <w:jc w:val="left"/>
      </w:pPr>
      <w:r>
        <w:rPr/>
        <w:t>在判断金融资产转移是否满足上述金融资产终止确认条件时，采用实质重于形式的原则。公</w:t>
      </w:r>
      <w:r>
        <w:rPr>
          <w:w w:val="100"/>
        </w:rPr>
        <w:t> </w:t>
      </w:r>
      <w:r>
        <w:rPr>
          <w:spacing w:val="-4"/>
          <w:w w:val="100"/>
        </w:rPr>
        <w:t>司将金融资产转移区分为金融资产整体转移和部分转移。金融资产整体转移满足终止确认条件的，</w:t>
      </w:r>
      <w:r>
        <w:rPr>
          <w:spacing w:val="-86"/>
          <w:w w:val="100"/>
        </w:rPr>
        <w:t> </w:t>
      </w:r>
      <w:r>
        <w:rPr>
          <w:spacing w:val="-86"/>
          <w:w w:val="100"/>
        </w:rPr>
      </w:r>
      <w:r>
        <w:rPr/>
        <w:t>将下列两项金额的差额计入当期损益：</w:t>
      </w:r>
    </w:p>
    <w:p>
      <w:pPr>
        <w:pStyle w:val="BodyText"/>
        <w:spacing w:line="240" w:lineRule="auto" w:before="35"/>
        <w:ind w:left="558" w:right="97"/>
        <w:jc w:val="left"/>
      </w:pPr>
      <w:r>
        <w:rPr/>
        <w:t>（</w:t>
      </w:r>
      <w:r>
        <w:rPr>
          <w:rFonts w:ascii="宋体" w:hAnsi="宋体" w:cs="宋体" w:eastAsia="宋体" w:hint="default"/>
        </w:rPr>
        <w:t>1</w:t>
      </w:r>
      <w:r>
        <w:rPr/>
        <w:t>）所转移金融资产的账面价值；</w:t>
      </w:r>
    </w:p>
    <w:p>
      <w:pPr>
        <w:pStyle w:val="BodyText"/>
        <w:spacing w:line="355" w:lineRule="auto" w:before="133"/>
        <w:ind w:right="208" w:firstLine="419"/>
        <w:jc w:val="both"/>
      </w:pPr>
      <w:r>
        <w:rPr>
          <w:spacing w:val="-4"/>
        </w:rPr>
        <w:t>（</w:t>
      </w:r>
      <w:r>
        <w:rPr>
          <w:rFonts w:ascii="宋体" w:hAnsi="宋体" w:cs="宋体" w:eastAsia="宋体" w:hint="default"/>
          <w:spacing w:val="-4"/>
        </w:rPr>
        <w:t>2</w:t>
      </w:r>
      <w:r>
        <w:rPr>
          <w:spacing w:val="-4"/>
        </w:rPr>
        <w:t>）因转移而收到的对价，与原直接计入所有者权益的公允价值变动累计额（涉及转移的金</w:t>
      </w:r>
      <w:r>
        <w:rPr>
          <w:w w:val="100"/>
        </w:rPr>
        <w:t> </w:t>
      </w:r>
      <w:r>
        <w:rPr/>
        <w:t>融资产为可供出售金融资产的情形）之和。</w:t>
      </w:r>
    </w:p>
    <w:p>
      <w:pPr>
        <w:pStyle w:val="BodyText"/>
        <w:spacing w:line="357" w:lineRule="auto" w:before="32"/>
        <w:ind w:right="217" w:firstLine="419"/>
        <w:jc w:val="both"/>
      </w:pPr>
      <w:r>
        <w:rPr>
          <w:spacing w:val="-2"/>
        </w:rPr>
        <w:t>金融资产部分转移满足终止确认条件的，将所转移金融资产整体的账面价值，在终止确认部</w:t>
      </w:r>
      <w:r>
        <w:rPr>
          <w:w w:val="100"/>
        </w:rPr>
        <w:t> </w:t>
      </w:r>
      <w:r>
        <w:rPr>
          <w:spacing w:val="-2"/>
        </w:rPr>
        <w:t>分和未终止确认部分之间，按照各自的相对公允价值进行分摊，并将下列两项金额的差额计入当</w:t>
      </w:r>
      <w:r>
        <w:rPr>
          <w:spacing w:val="-25"/>
        </w:rPr>
        <w:t> </w:t>
      </w:r>
      <w:r>
        <w:rPr>
          <w:spacing w:val="-25"/>
        </w:rPr>
      </w:r>
      <w:r>
        <w:rPr/>
        <w:t>期损益：</w:t>
      </w:r>
    </w:p>
    <w:p>
      <w:pPr>
        <w:pStyle w:val="BodyText"/>
        <w:spacing w:line="240" w:lineRule="auto" w:before="30"/>
        <w:ind w:left="558" w:right="97"/>
        <w:jc w:val="left"/>
      </w:pPr>
      <w:r>
        <w:rPr/>
        <w:t>（</w:t>
      </w:r>
      <w:r>
        <w:rPr>
          <w:rFonts w:ascii="宋体" w:hAnsi="宋体" w:cs="宋体" w:eastAsia="宋体" w:hint="default"/>
        </w:rPr>
        <w:t>1</w:t>
      </w:r>
      <w:r>
        <w:rPr/>
        <w:t>）终止确认部分的账面价值；</w:t>
      </w:r>
    </w:p>
    <w:p>
      <w:pPr>
        <w:pStyle w:val="BodyText"/>
        <w:spacing w:line="357" w:lineRule="auto" w:before="133"/>
        <w:ind w:right="208" w:firstLine="419"/>
        <w:jc w:val="both"/>
      </w:pPr>
      <w:r>
        <w:rPr>
          <w:spacing w:val="-4"/>
        </w:rPr>
        <w:t>（</w:t>
      </w:r>
      <w:r>
        <w:rPr>
          <w:rFonts w:ascii="宋体" w:hAnsi="宋体" w:cs="宋体" w:eastAsia="宋体" w:hint="default"/>
          <w:spacing w:val="-4"/>
        </w:rPr>
        <w:t>2</w:t>
      </w:r>
      <w:r>
        <w:rPr>
          <w:spacing w:val="-4"/>
        </w:rPr>
        <w:t>）终止确认部分的对价，与原直接计入所有者权益的公允价值变动累计额中对应终止确认</w:t>
      </w:r>
      <w:r>
        <w:rPr>
          <w:w w:val="100"/>
        </w:rPr>
        <w:t> </w:t>
      </w:r>
      <w:r>
        <w:rPr/>
        <w:t>部分的金额（涉及转移的金融资产为可供出售金融资产的情形）之和。</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97" w:firstLine="419"/>
        <w:jc w:val="left"/>
      </w:pPr>
      <w:r>
        <w:rPr>
          <w:spacing w:val="-2"/>
        </w:rPr>
        <w:t>金融资产转移不满足终止确认条件的，继续确认该金融资产，所收到的对价确认为一项金融</w:t>
      </w:r>
      <w:r>
        <w:rPr>
          <w:w w:val="100"/>
        </w:rPr>
        <w:t> </w:t>
      </w:r>
      <w:r>
        <w:rPr/>
        <w:t>负债。</w:t>
      </w:r>
    </w:p>
    <w:p>
      <w:pPr>
        <w:spacing w:line="355" w:lineRule="auto" w:before="30"/>
        <w:ind w:left="558" w:right="97"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金融负债的现时义务全部或部分已经解除的，则终止确认该金融负债或其一部分；本公司若</w:t>
      </w:r>
    </w:p>
    <w:p>
      <w:pPr>
        <w:pStyle w:val="BodyText"/>
        <w:spacing w:line="355" w:lineRule="auto" w:before="32"/>
        <w:ind w:right="217"/>
        <w:jc w:val="both"/>
      </w:pPr>
      <w:r>
        <w:rPr>
          <w:spacing w:val="-2"/>
        </w:rPr>
        <w:t>与债权人签定协议，以承担新金融负债方式替换现存金融负债，且新金融负债与现存金融负债的</w:t>
      </w:r>
      <w:r>
        <w:rPr>
          <w:spacing w:val="-26"/>
        </w:rPr>
        <w:t> </w:t>
      </w:r>
      <w:r>
        <w:rPr>
          <w:spacing w:val="-26"/>
        </w:rPr>
      </w:r>
      <w:r>
        <w:rPr/>
        <w:t>合同条款实质上不同的，则终止确认现存金融负债，并同时确认新金融负债。</w:t>
      </w:r>
    </w:p>
    <w:p>
      <w:pPr>
        <w:pStyle w:val="BodyText"/>
        <w:spacing w:line="355" w:lineRule="auto" w:before="34"/>
        <w:ind w:right="97" w:firstLine="419"/>
        <w:jc w:val="left"/>
      </w:pPr>
      <w:r>
        <w:rPr>
          <w:spacing w:val="-2"/>
        </w:rPr>
        <w:t>对现存金融负债全部或部分合同条款作出实质性修改的，则终止确认现存金融负债或其一部</w:t>
      </w:r>
      <w:r>
        <w:rPr>
          <w:w w:val="100"/>
        </w:rPr>
        <w:t> </w:t>
      </w:r>
      <w:r>
        <w:rPr/>
        <w:t>分，同时将修改条款后的金融负债确认为一项新金融负债。</w:t>
      </w:r>
    </w:p>
    <w:p>
      <w:pPr>
        <w:pStyle w:val="BodyText"/>
        <w:spacing w:line="355" w:lineRule="auto" w:before="33"/>
        <w:ind w:right="97" w:firstLine="419"/>
        <w:jc w:val="left"/>
      </w:pPr>
      <w:r>
        <w:rPr>
          <w:spacing w:val="-2"/>
        </w:rPr>
        <w:t>金融负债全部或部分终止确认时，终止确认的金融负债账面价值与支付对价（包括转出的非</w:t>
      </w:r>
      <w:r>
        <w:rPr>
          <w:w w:val="100"/>
        </w:rPr>
        <w:t> </w:t>
      </w:r>
      <w:r>
        <w:rPr/>
        <w:t>现金资产或承担的新金融负债）之间的差额，计入当期损益。</w:t>
      </w:r>
    </w:p>
    <w:p>
      <w:pPr>
        <w:pStyle w:val="BodyText"/>
        <w:spacing w:line="355" w:lineRule="auto" w:before="34"/>
        <w:ind w:right="97" w:firstLine="419"/>
        <w:jc w:val="left"/>
      </w:pPr>
      <w:r>
        <w:rPr>
          <w:spacing w:val="-4"/>
          <w:w w:val="100"/>
        </w:rPr>
        <w:t>本公司若回购部分金融负债的，在回购日按照继续确认部分与终止确认部分的相对公允价值，</w:t>
      </w:r>
      <w:r>
        <w:rPr>
          <w:w w:val="100"/>
        </w:rPr>
        <w:t> </w:t>
      </w:r>
      <w:r>
        <w:rPr/>
        <w:t>将该金融负债整体的账面价值进行分配。分配给终止确认部分的账面价值与支付的对价（包括转</w:t>
      </w:r>
      <w:r>
        <w:rPr>
          <w:w w:val="100"/>
        </w:rPr>
        <w:t> </w:t>
      </w:r>
      <w:r>
        <w:rPr/>
        <w:t>出的非现金资产或承担的新金融负债）之间的差额，计入当期损益。</w:t>
      </w:r>
    </w:p>
    <w:p>
      <w:pPr>
        <w:spacing w:line="355" w:lineRule="auto" w:before="32"/>
        <w:ind w:left="558" w:right="97"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本公司采用公允价值计量的金融资产和金融负债存在活跃市场的金融资产或金融负债，以活</w:t>
      </w:r>
    </w:p>
    <w:p>
      <w:pPr>
        <w:pStyle w:val="BodyText"/>
        <w:spacing w:line="357" w:lineRule="auto" w:before="34"/>
        <w:ind w:right="217"/>
        <w:jc w:val="both"/>
      </w:pPr>
      <w:r>
        <w:rPr>
          <w:spacing w:val="-2"/>
        </w:rPr>
        <w:t>跃市场的报价确定其公允价值；不存在活跃市场的金融资产或金融负债，采用估值技术（包括参</w:t>
      </w:r>
      <w:r>
        <w:rPr>
          <w:spacing w:val="-25"/>
        </w:rPr>
        <w:t> </w:t>
      </w:r>
      <w:r>
        <w:rPr>
          <w:spacing w:val="-25"/>
        </w:rPr>
      </w:r>
      <w:r>
        <w:rPr>
          <w:spacing w:val="-2"/>
        </w:rPr>
        <w:t>考熟悉情况并自愿交易的各方最近进行的市场交易中使用的价格、参照实质上相同的其他金融工</w:t>
      </w:r>
      <w:r>
        <w:rPr>
          <w:spacing w:val="-25"/>
        </w:rPr>
        <w:t> </w:t>
      </w:r>
      <w:r>
        <w:rPr>
          <w:spacing w:val="-25"/>
        </w:rPr>
      </w:r>
      <w:r>
        <w:rPr>
          <w:spacing w:val="-2"/>
        </w:rPr>
        <w:t>具的当前公允价值、现金流量折现法和期权定价模型等）确定其公允价值；初始取得或源生的金</w:t>
      </w:r>
      <w:r>
        <w:rPr>
          <w:spacing w:val="-25"/>
        </w:rPr>
        <w:t> </w:t>
      </w:r>
      <w:r>
        <w:rPr>
          <w:spacing w:val="-25"/>
        </w:rPr>
      </w:r>
      <w:r>
        <w:rPr/>
        <w:t>融资产或承担的金融负债，以市场交易价格作为确定其公允价值的基础。</w:t>
      </w:r>
    </w:p>
    <w:p>
      <w:pPr>
        <w:spacing w:line="357" w:lineRule="auto" w:before="30"/>
        <w:ind w:left="558" w:right="97" w:firstLine="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资产负债表日对以公允价值计量且其变动计入当期损益的金融资产以外的金融资产的账面价</w:t>
      </w:r>
    </w:p>
    <w:p>
      <w:pPr>
        <w:pStyle w:val="BodyText"/>
        <w:spacing w:line="355" w:lineRule="auto" w:before="30"/>
        <w:ind w:left="558" w:right="97" w:hanging="420"/>
        <w:jc w:val="left"/>
      </w:pPr>
      <w:r>
        <w:rPr>
          <w:spacing w:val="-2"/>
        </w:rPr>
        <w:t>值进行检查，如有客观证据表明该金融资产发生减值的，计提减值准备。</w:t>
      </w:r>
      <w:r>
        <w:rPr>
          <w:spacing w:val="-45"/>
        </w:rPr>
        <w:t> </w:t>
      </w:r>
      <w:r>
        <w:rPr>
          <w:spacing w:val="-45"/>
        </w:rPr>
      </w:r>
      <w:r>
        <w:rPr/>
        <w:t>金融资产发生减值的客观证据，包括但不限于：</w:t>
      </w:r>
    </w:p>
    <w:p>
      <w:pPr>
        <w:pStyle w:val="BodyText"/>
        <w:spacing w:line="240" w:lineRule="auto" w:before="32"/>
        <w:ind w:left="558" w:right="97"/>
        <w:jc w:val="left"/>
      </w:pPr>
      <w:r>
        <w:rPr/>
        <w:t>（</w:t>
      </w:r>
      <w:r>
        <w:rPr>
          <w:rFonts w:ascii="宋体" w:hAnsi="宋体" w:cs="宋体" w:eastAsia="宋体" w:hint="default"/>
        </w:rPr>
        <w:t>1</w:t>
      </w:r>
      <w:r>
        <w:rPr/>
        <w:t>）发行方或债务人发生严重财务困难；</w:t>
      </w:r>
    </w:p>
    <w:p>
      <w:pPr>
        <w:pStyle w:val="BodyText"/>
        <w:spacing w:line="240" w:lineRule="auto" w:before="136"/>
        <w:ind w:left="558" w:right="97"/>
        <w:jc w:val="left"/>
      </w:pPr>
      <w:r>
        <w:rPr/>
        <w:t>（</w:t>
      </w:r>
      <w:r>
        <w:rPr>
          <w:rFonts w:ascii="宋体" w:hAnsi="宋体" w:cs="宋体" w:eastAsia="宋体" w:hint="default"/>
        </w:rPr>
        <w:t>2</w:t>
      </w:r>
      <w:r>
        <w:rPr/>
        <w:t>）债务人违反了合同条款，如偿付利息或本金发生违约或逾期等；</w:t>
      </w:r>
    </w:p>
    <w:p>
      <w:pPr>
        <w:pStyle w:val="BodyText"/>
        <w:spacing w:line="240" w:lineRule="auto" w:before="133"/>
        <w:ind w:left="558" w:right="97"/>
        <w:jc w:val="left"/>
      </w:pPr>
      <w:r>
        <w:rPr/>
        <w:t>（</w:t>
      </w:r>
      <w:r>
        <w:rPr>
          <w:rFonts w:ascii="宋体" w:hAnsi="宋体" w:cs="宋体" w:eastAsia="宋体" w:hint="default"/>
        </w:rPr>
        <w:t>3</w:t>
      </w:r>
      <w:r>
        <w:rPr/>
        <w:t>）债权人出于经济或法律等方面因素的考虑，对发生财务困难的债务人作出让步；</w:t>
      </w:r>
    </w:p>
    <w:p>
      <w:pPr>
        <w:pStyle w:val="BodyText"/>
        <w:spacing w:line="240" w:lineRule="auto" w:before="133"/>
        <w:ind w:left="558" w:right="97"/>
        <w:jc w:val="left"/>
      </w:pPr>
      <w:r>
        <w:rPr/>
        <w:t>（</w:t>
      </w:r>
      <w:r>
        <w:rPr>
          <w:rFonts w:ascii="宋体" w:hAnsi="宋体" w:cs="宋体" w:eastAsia="宋体" w:hint="default"/>
        </w:rPr>
        <w:t>4</w:t>
      </w:r>
      <w:r>
        <w:rPr/>
        <w:t>）债务人很可能倒闭或进行其他财务重组；</w:t>
      </w:r>
    </w:p>
    <w:p>
      <w:pPr>
        <w:pStyle w:val="BodyText"/>
        <w:spacing w:line="240" w:lineRule="auto" w:before="133"/>
        <w:ind w:left="558" w:right="97"/>
        <w:jc w:val="left"/>
      </w:pPr>
      <w:r>
        <w:rPr/>
        <w:t>（</w:t>
      </w:r>
      <w:r>
        <w:rPr>
          <w:rFonts w:ascii="宋体" w:hAnsi="宋体" w:cs="宋体" w:eastAsia="宋体" w:hint="default"/>
        </w:rPr>
        <w:t>5</w:t>
      </w:r>
      <w:r>
        <w:rPr/>
        <w:t>）因发行方发生重大财务困难，该金融资产无法在活跃市场继续交易；</w:t>
      </w:r>
    </w:p>
    <w:p>
      <w:pPr>
        <w:pStyle w:val="BodyText"/>
        <w:spacing w:line="357" w:lineRule="auto" w:before="133"/>
        <w:ind w:right="208" w:firstLine="419"/>
        <w:jc w:val="both"/>
      </w:pPr>
      <w:r>
        <w:rPr>
          <w:spacing w:val="-4"/>
        </w:rPr>
        <w:t>（</w:t>
      </w:r>
      <w:r>
        <w:rPr>
          <w:rFonts w:ascii="宋体" w:hAnsi="宋体" w:cs="宋体" w:eastAsia="宋体" w:hint="default"/>
          <w:spacing w:val="-4"/>
        </w:rPr>
        <w:t>6</w:t>
      </w:r>
      <w:r>
        <w:rPr>
          <w:spacing w:val="-4"/>
        </w:rPr>
        <w:t>）无法辨认一组金融资产中的某项资产的现金流量是否已经减少，但根据公开的数据对其</w:t>
      </w:r>
      <w:r>
        <w:rPr>
          <w:w w:val="100"/>
        </w:rPr>
        <w:t> </w:t>
      </w:r>
      <w:r>
        <w:rPr>
          <w:spacing w:val="-2"/>
        </w:rPr>
        <w:t>进行总体评价后发现，该组金融资产自初始确认以来的预计未来现金流量确已减少且可计量，如</w:t>
      </w:r>
      <w:r>
        <w:rPr>
          <w:spacing w:val="-25"/>
        </w:rPr>
        <w:t> </w:t>
      </w:r>
      <w:r>
        <w:rPr>
          <w:spacing w:val="-25"/>
        </w:rPr>
      </w:r>
      <w:r>
        <w:rPr>
          <w:spacing w:val="-2"/>
        </w:rPr>
        <w:t>该组金融资产的债务人支付能力逐步恶化，或债务人所在国家或地区失业率提高、担保物在其所</w:t>
      </w:r>
      <w:r>
        <w:rPr>
          <w:spacing w:val="-25"/>
        </w:rPr>
        <w:t> </w:t>
      </w:r>
      <w:r>
        <w:rPr>
          <w:spacing w:val="-25"/>
        </w:rPr>
      </w:r>
      <w:r>
        <w:rPr/>
        <w:t>在地区的价格明显下降、所处行业不景气等；</w:t>
      </w:r>
    </w:p>
    <w:p>
      <w:pPr>
        <w:pStyle w:val="BodyText"/>
        <w:spacing w:line="357" w:lineRule="auto" w:before="30"/>
        <w:ind w:right="97" w:firstLine="419"/>
        <w:jc w:val="left"/>
      </w:pPr>
      <w:r>
        <w:rPr>
          <w:spacing w:val="-4"/>
        </w:rPr>
        <w:t>（</w:t>
      </w:r>
      <w:r>
        <w:rPr>
          <w:rFonts w:ascii="宋体" w:hAnsi="宋体" w:cs="宋体" w:eastAsia="宋体" w:hint="default"/>
          <w:spacing w:val="-4"/>
        </w:rPr>
        <w:t>7</w:t>
      </w:r>
      <w:r>
        <w:rPr>
          <w:spacing w:val="-4"/>
        </w:rPr>
        <w:t>）权益工具发行方经营所处的技术、市场、经济或法律环境等发生重大不利变化，使权益</w:t>
      </w:r>
      <w:r>
        <w:rPr>
          <w:w w:val="100"/>
        </w:rPr>
        <w:t> </w:t>
      </w:r>
      <w:r>
        <w:rPr/>
        <w:t>工具投资人可能无法收回投资成本；</w:t>
      </w:r>
    </w:p>
    <w:p>
      <w:pPr>
        <w:spacing w:after="0" w:line="35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638" w:right="2465"/>
        <w:jc w:val="left"/>
      </w:pPr>
      <w:r>
        <w:rPr>
          <w:spacing w:val="-2"/>
        </w:rPr>
        <w:t>（</w:t>
      </w:r>
      <w:r>
        <w:rPr>
          <w:rFonts w:ascii="宋体" w:hAnsi="宋体" w:cs="宋体" w:eastAsia="宋体" w:hint="default"/>
          <w:spacing w:val="-2"/>
        </w:rPr>
        <w:t>8</w:t>
      </w:r>
      <w:r>
        <w:rPr>
          <w:spacing w:val="-2"/>
        </w:rPr>
        <w:t>）权益工具投资的公允价值发生严重或非暂时性下跌。</w:t>
      </w:r>
      <w:r>
        <w:rPr>
          <w:spacing w:val="-56"/>
        </w:rPr>
        <w:t> </w:t>
      </w:r>
      <w:r>
        <w:rPr>
          <w:spacing w:val="-56"/>
        </w:rPr>
      </w:r>
      <w:r>
        <w:rPr/>
        <w:t>金融资产的具体减值方法如下：</w:t>
      </w:r>
    </w:p>
    <w:p>
      <w:pPr>
        <w:pStyle w:val="BodyText"/>
        <w:spacing w:line="355" w:lineRule="auto" w:before="30"/>
        <w:ind w:left="638" w:right="96"/>
        <w:jc w:val="left"/>
      </w:pPr>
      <w:r>
        <w:rPr/>
        <w:t>（</w:t>
      </w:r>
      <w:r>
        <w:rPr>
          <w:rFonts w:ascii="宋体" w:hAnsi="宋体" w:cs="宋体" w:eastAsia="宋体" w:hint="default"/>
        </w:rPr>
        <w:t>1</w:t>
      </w:r>
      <w:r>
        <w:rPr/>
        <w:t>）可供出售金融资产的减值准备</w:t>
      </w:r>
      <w:r>
        <w:rPr>
          <w:w w:val="100"/>
        </w:rPr>
        <w:t> </w:t>
      </w:r>
      <w:r>
        <w:rPr>
          <w:spacing w:val="-2"/>
        </w:rPr>
        <w:t>本公司于资产负债表日对各项可供出售权益工具投资单独进行检查，若该权益工具投资于资</w:t>
      </w:r>
    </w:p>
    <w:p>
      <w:pPr>
        <w:pStyle w:val="BodyText"/>
        <w:spacing w:line="357" w:lineRule="auto" w:before="32"/>
        <w:ind w:left="218" w:right="228"/>
        <w:jc w:val="both"/>
      </w:pPr>
      <w:r>
        <w:rPr/>
        <w:t>产负债表日的公允价值低于其初始投资成本超过</w:t>
      </w:r>
      <w:r>
        <w:rPr>
          <w:spacing w:val="-41"/>
        </w:rPr>
        <w:t> </w:t>
      </w:r>
      <w:r>
        <w:rPr>
          <w:rFonts w:ascii="宋体" w:hAnsi="宋体" w:cs="宋体" w:eastAsia="宋体" w:hint="default"/>
          <w:spacing w:val="-11"/>
        </w:rPr>
        <w:t>50%</w:t>
      </w:r>
      <w:r>
        <w:rPr>
          <w:spacing w:val="-11"/>
        </w:rPr>
        <w:t>（含</w:t>
      </w:r>
      <w:r>
        <w:rPr>
          <w:spacing w:val="-41"/>
        </w:rPr>
        <w:t> </w:t>
      </w:r>
      <w:r>
        <w:rPr>
          <w:rFonts w:ascii="宋体" w:hAnsi="宋体" w:cs="宋体" w:eastAsia="宋体" w:hint="default"/>
          <w:spacing w:val="-4"/>
        </w:rPr>
        <w:t>50%</w:t>
      </w:r>
      <w:r>
        <w:rPr>
          <w:spacing w:val="-4"/>
        </w:rPr>
        <w:t>）或低于其初始投资成本持续时间超</w:t>
      </w:r>
      <w:r>
        <w:rPr>
          <w:spacing w:val="-100"/>
        </w:rPr>
        <w:t> </w:t>
      </w:r>
      <w:r>
        <w:rPr>
          <w:spacing w:val="-100"/>
        </w:rPr>
      </w:r>
      <w:r>
        <w:rPr>
          <w:spacing w:val="-2"/>
        </w:rPr>
        <w:t>过一年（含一年）的，则表明其发生减值；若该权益工具投资于资产负债表日的公允价值低于其</w:t>
      </w:r>
      <w:r>
        <w:rPr>
          <w:spacing w:val="-25"/>
        </w:rPr>
        <w:t> </w:t>
      </w:r>
      <w:r>
        <w:rPr>
          <w:spacing w:val="-25"/>
        </w:rPr>
      </w:r>
      <w:r>
        <w:rPr/>
        <w:t>初始投资成本超过</w:t>
      </w:r>
      <w:r>
        <w:rPr>
          <w:spacing w:val="-54"/>
        </w:rPr>
        <w:t> </w:t>
      </w:r>
      <w:r>
        <w:rPr>
          <w:rFonts w:ascii="宋体" w:hAnsi="宋体" w:cs="宋体" w:eastAsia="宋体" w:hint="default"/>
          <w:spacing w:val="-4"/>
        </w:rPr>
        <w:t>20%</w:t>
      </w:r>
      <w:r>
        <w:rPr>
          <w:spacing w:val="-4"/>
        </w:rPr>
        <w:t>（含</w:t>
      </w:r>
      <w:r>
        <w:rPr>
          <w:spacing w:val="-54"/>
        </w:rPr>
        <w:t> </w:t>
      </w:r>
      <w:r>
        <w:rPr>
          <w:rFonts w:ascii="宋体" w:hAnsi="宋体" w:cs="宋体" w:eastAsia="宋体" w:hint="default"/>
          <w:spacing w:val="-3"/>
        </w:rPr>
        <w:t>20%</w:t>
      </w:r>
      <w:r>
        <w:rPr>
          <w:spacing w:val="-3"/>
        </w:rPr>
        <w:t>）但尚未达到</w:t>
      </w:r>
      <w:r>
        <w:rPr>
          <w:spacing w:val="-54"/>
        </w:rPr>
        <w:t> </w:t>
      </w:r>
      <w:r>
        <w:rPr>
          <w:rFonts w:ascii="宋体" w:hAnsi="宋体" w:cs="宋体" w:eastAsia="宋体" w:hint="default"/>
        </w:rPr>
        <w:t>50%</w:t>
      </w:r>
      <w:r>
        <w:rPr/>
        <w:t>的，本公司会综合考虑其他相关因素诸如价格波</w:t>
      </w:r>
      <w:r>
        <w:rPr>
          <w:w w:val="100"/>
        </w:rPr>
        <w:t> </w:t>
      </w:r>
      <w:r>
        <w:rPr/>
        <w:t>动率等，判断该权益工具投资是否发生减值。</w:t>
      </w:r>
    </w:p>
    <w:p>
      <w:pPr>
        <w:pStyle w:val="BodyText"/>
        <w:spacing w:line="357" w:lineRule="auto" w:before="31"/>
        <w:ind w:left="218" w:right="237" w:firstLine="419"/>
        <w:jc w:val="both"/>
      </w:pPr>
      <w:r>
        <w:rPr>
          <w:spacing w:val="-2"/>
        </w:rPr>
        <w:t>可供出售金融资产发生减值时，即使该金融资产没有终止确认，本公司将原直接计入其他综</w:t>
      </w:r>
      <w:r>
        <w:rPr>
          <w:w w:val="100"/>
        </w:rPr>
        <w:t> </w:t>
      </w:r>
      <w:r>
        <w:rPr>
          <w:spacing w:val="-2"/>
        </w:rPr>
        <w:t>合收益的因公允价值下降形成的累计损失从其他综合收益转出，计入当期损益。该转出的累计损</w:t>
      </w:r>
      <w:r>
        <w:rPr>
          <w:spacing w:val="-25"/>
        </w:rPr>
        <w:t> </w:t>
      </w:r>
      <w:r>
        <w:rPr>
          <w:spacing w:val="-25"/>
        </w:rPr>
      </w:r>
      <w:r>
        <w:rPr>
          <w:spacing w:val="-2"/>
        </w:rPr>
        <w:t>失，等于可供出售金融资产的初始取得成本扣除已收回本金和已摊余金额、当前公允价值和原已</w:t>
      </w:r>
      <w:r>
        <w:rPr>
          <w:spacing w:val="-25"/>
        </w:rPr>
        <w:t> </w:t>
      </w:r>
      <w:r>
        <w:rPr>
          <w:spacing w:val="-25"/>
        </w:rPr>
      </w:r>
      <w:r>
        <w:rPr/>
        <w:t>计入损益的减值损失后的余额。</w:t>
      </w:r>
    </w:p>
    <w:p>
      <w:pPr>
        <w:pStyle w:val="BodyText"/>
        <w:spacing w:line="357" w:lineRule="auto" w:before="30"/>
        <w:ind w:left="218" w:right="237" w:firstLine="419"/>
        <w:jc w:val="both"/>
      </w:pPr>
      <w:r>
        <w:rPr>
          <w:spacing w:val="-2"/>
        </w:rPr>
        <w:t>对于已确认减值损失的可供出售债务工具，在随后的会计期间公允价值已上升且客观上与确</w:t>
      </w:r>
      <w:r>
        <w:rPr>
          <w:w w:val="100"/>
        </w:rPr>
        <w:t> </w:t>
      </w:r>
      <w:r>
        <w:rPr>
          <w:spacing w:val="-2"/>
        </w:rPr>
        <w:t>认原减值损失后发生的事项有关的，原确认的减值损失予以转回计入当期损益；对于可供出售权</w:t>
      </w:r>
      <w:r>
        <w:rPr>
          <w:spacing w:val="-25"/>
        </w:rPr>
        <w:t> </w:t>
      </w:r>
      <w:r>
        <w:rPr>
          <w:spacing w:val="-25"/>
        </w:rPr>
      </w:r>
      <w:r>
        <w:rPr>
          <w:spacing w:val="-2"/>
        </w:rPr>
        <w:t>益工具投资发生的减值损失，在该权益工具价值回升时通过权益转回；但在活跃市场中没有报价</w:t>
      </w:r>
      <w:r>
        <w:rPr>
          <w:spacing w:val="-25"/>
        </w:rPr>
        <w:t> </w:t>
      </w:r>
      <w:r>
        <w:rPr>
          <w:spacing w:val="-25"/>
        </w:rPr>
      </w:r>
      <w:r>
        <w:rPr>
          <w:spacing w:val="-2"/>
        </w:rPr>
        <w:t>且其公允价值不能可靠计量的权益工具投资，或与该权益工具挂钩并须通过交付该权益工具结算</w:t>
      </w:r>
      <w:r>
        <w:rPr>
          <w:spacing w:val="-25"/>
        </w:rPr>
        <w:t> </w:t>
      </w:r>
      <w:r>
        <w:rPr>
          <w:spacing w:val="-25"/>
        </w:rPr>
      </w:r>
      <w:r>
        <w:rPr/>
        <w:t>的衍生金融资产发生的减值损失，不得转回。</w:t>
      </w:r>
    </w:p>
    <w:p>
      <w:pPr>
        <w:pStyle w:val="BodyText"/>
        <w:spacing w:line="355" w:lineRule="auto" w:before="30"/>
        <w:ind w:left="638" w:right="96"/>
        <w:jc w:val="left"/>
      </w:pPr>
      <w:r>
        <w:rPr/>
        <w:t>（</w:t>
      </w:r>
      <w:r>
        <w:rPr>
          <w:rFonts w:ascii="宋体" w:hAnsi="宋体" w:cs="宋体" w:eastAsia="宋体" w:hint="default"/>
        </w:rPr>
        <w:t>2</w:t>
      </w:r>
      <w:r>
        <w:rPr/>
        <w:t>）持有至到期投资的减值准备</w:t>
      </w:r>
      <w:r>
        <w:rPr>
          <w:w w:val="100"/>
        </w:rPr>
        <w:t> </w:t>
      </w:r>
      <w:r>
        <w:rPr>
          <w:spacing w:val="-2"/>
        </w:rPr>
        <w:t>对于持有至到期投资，有客观证据表明其发生了减值的，根据其账面价值与预计未来现金流</w:t>
      </w:r>
    </w:p>
    <w:p>
      <w:pPr>
        <w:pStyle w:val="BodyText"/>
        <w:spacing w:line="357" w:lineRule="auto" w:before="32"/>
        <w:ind w:left="218" w:right="237"/>
        <w:jc w:val="both"/>
      </w:pPr>
      <w:r>
        <w:rPr>
          <w:spacing w:val="-2"/>
        </w:rPr>
        <w:t>量现值之间差额计算确认减值损失；计提后如有证据表明其价值已恢复，原确认的减值损失可予</w:t>
      </w:r>
      <w:r>
        <w:rPr>
          <w:spacing w:val="-25"/>
        </w:rPr>
        <w:t> </w:t>
      </w:r>
      <w:r>
        <w:rPr>
          <w:spacing w:val="-25"/>
        </w:rPr>
      </w:r>
      <w:r>
        <w:rPr>
          <w:spacing w:val="-2"/>
        </w:rPr>
        <w:t>以转回，记入当期损益，但该转回的账面价值不超过假定不计提减值准备情况下该金融资产在转</w:t>
      </w:r>
      <w:r>
        <w:rPr>
          <w:spacing w:val="-25"/>
        </w:rPr>
        <w:t> </w:t>
      </w:r>
      <w:r>
        <w:rPr>
          <w:spacing w:val="-25"/>
        </w:rPr>
      </w:r>
      <w:r>
        <w:rPr/>
        <w:t>回日的摊余成本。</w:t>
      </w:r>
    </w:p>
    <w:p>
      <w:pPr>
        <w:spacing w:line="355" w:lineRule="auto" w:before="30"/>
        <w:ind w:left="638" w:right="96" w:firstLine="2"/>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b/>
          <w:bCs/>
          <w:w w:val="100"/>
          <w:sz w:val="21"/>
          <w:szCs w:val="21"/>
        </w:rPr>
        <w:t> </w:t>
      </w:r>
      <w:r>
        <w:rPr>
          <w:rFonts w:ascii="宋体" w:hAnsi="宋体" w:cs="宋体" w:eastAsia="宋体" w:hint="default"/>
          <w:spacing w:val="-7"/>
          <w:sz w:val="21"/>
          <w:szCs w:val="21"/>
        </w:rPr>
        <w:t>金融资产和金融负债在资产负债表内分别列示，没有相互抵销。但是，同时满足下列条件的，</w:t>
      </w:r>
    </w:p>
    <w:p>
      <w:pPr>
        <w:pStyle w:val="BodyText"/>
        <w:spacing w:line="240" w:lineRule="auto" w:before="35"/>
        <w:ind w:left="218" w:right="0"/>
        <w:jc w:val="both"/>
      </w:pPr>
      <w:r>
        <w:rPr/>
        <w:t>以相互抵销后的净额在资产负债表内列示：</w:t>
      </w:r>
    </w:p>
    <w:p>
      <w:pPr>
        <w:pStyle w:val="BodyText"/>
        <w:spacing w:line="240" w:lineRule="auto" w:before="133"/>
        <w:ind w:left="638" w:right="96"/>
        <w:jc w:val="left"/>
      </w:pPr>
      <w:r>
        <w:rPr/>
        <w:t>（</w:t>
      </w:r>
      <w:r>
        <w:rPr>
          <w:rFonts w:ascii="宋体" w:hAnsi="宋体" w:cs="宋体" w:eastAsia="宋体" w:hint="default"/>
        </w:rPr>
        <w:t>1</w:t>
      </w:r>
      <w:r>
        <w:rPr/>
        <w:t>）本公司具有抵销已确认金额的法定权利，且该种法定权利是当前可执行的；</w:t>
      </w:r>
    </w:p>
    <w:p>
      <w:pPr>
        <w:pStyle w:val="BodyText"/>
        <w:spacing w:line="240" w:lineRule="auto" w:before="133"/>
        <w:ind w:left="638" w:right="96"/>
        <w:jc w:val="left"/>
      </w:pPr>
      <w:r>
        <w:rPr/>
        <w:t>（</w:t>
      </w:r>
      <w:r>
        <w:rPr>
          <w:rFonts w:ascii="宋体" w:hAnsi="宋体" w:cs="宋体" w:eastAsia="宋体" w:hint="default"/>
        </w:rPr>
        <w:t>2</w:t>
      </w:r>
      <w:r>
        <w:rPr/>
        <w:t>）本公司计划以净额结算，或同时变现该金融资产和清偿该金融负债。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tabs>
          <w:tab w:pos="642" w:val="left" w:leader="none"/>
        </w:tabs>
        <w:spacing w:line="264" w:lineRule="auto"/>
        <w:ind w:right="4421"/>
        <w:jc w:val="left"/>
        <w:rPr>
          <w:b w:val="0"/>
          <w:bCs w:val="0"/>
        </w:rPr>
      </w:pPr>
      <w:r>
        <w:rPr>
          <w:rFonts w:ascii="Calibri" w:hAnsi="Calibri" w:cs="Calibri" w:eastAsia="Calibri" w:hint="default"/>
        </w:rPr>
        <w:t>9.</w:t>
        <w:tab/>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单项金额在</w:t>
            </w:r>
            <w:r>
              <w:rPr>
                <w:rFonts w:ascii="宋体" w:hAnsi="宋体" w:cs="宋体" w:eastAsia="宋体" w:hint="default"/>
                <w:spacing w:val="-53"/>
                <w:sz w:val="21"/>
                <w:szCs w:val="21"/>
              </w:rPr>
              <w:t> </w:t>
            </w: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万元（含</w:t>
            </w:r>
            <w:r>
              <w:rPr>
                <w:rFonts w:ascii="宋体" w:hAnsi="宋体" w:cs="宋体" w:eastAsia="宋体" w:hint="default"/>
                <w:spacing w:val="-52"/>
                <w:sz w:val="21"/>
                <w:szCs w:val="21"/>
              </w:rPr>
              <w:t> </w:t>
            </w:r>
            <w:r>
              <w:rPr>
                <w:rFonts w:ascii="宋体" w:hAnsi="宋体" w:cs="宋体" w:eastAsia="宋体" w:hint="default"/>
                <w:sz w:val="21"/>
                <w:szCs w:val="21"/>
              </w:rPr>
              <w:t>300</w:t>
            </w:r>
            <w:r>
              <w:rPr>
                <w:rFonts w:ascii="宋体" w:hAnsi="宋体" w:cs="宋体" w:eastAsia="宋体" w:hint="default"/>
                <w:spacing w:val="-55"/>
                <w:sz w:val="21"/>
                <w:szCs w:val="21"/>
              </w:rPr>
              <w:t> </w:t>
            </w:r>
            <w:r>
              <w:rPr>
                <w:rFonts w:ascii="宋体" w:hAnsi="宋体" w:cs="宋体" w:eastAsia="宋体" w:hint="default"/>
                <w:sz w:val="21"/>
                <w:szCs w:val="21"/>
              </w:rPr>
              <w:t>万元）以上。</w:t>
            </w:r>
          </w:p>
        </w:tc>
      </w:tr>
      <w:tr>
        <w:trPr>
          <w:trHeight w:val="1236"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单独进行减值测试，按预计未来现金流量</w:t>
            </w:r>
          </w:p>
          <w:p>
            <w:pPr>
              <w:pStyle w:val="TableParagraph"/>
              <w:spacing w:line="357" w:lineRule="auto" w:before="135"/>
              <w:ind w:left="103" w:right="-5"/>
              <w:jc w:val="left"/>
              <w:rPr>
                <w:rFonts w:ascii="宋体" w:hAnsi="宋体" w:cs="宋体" w:eastAsia="宋体" w:hint="default"/>
                <w:sz w:val="21"/>
                <w:szCs w:val="21"/>
              </w:rPr>
            </w:pPr>
            <w:r>
              <w:rPr>
                <w:rFonts w:ascii="宋体" w:hAnsi="宋体" w:cs="宋体" w:eastAsia="宋体" w:hint="default"/>
                <w:sz w:val="21"/>
                <w:szCs w:val="21"/>
              </w:rPr>
              <w:t>现值低于其账面价值的差额计提坏账准备，计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4"/>
                <w:sz w:val="21"/>
                <w:szCs w:val="21"/>
              </w:rPr>
              <w:t>入当期损益。单独测试未发生减值的应收款项，</w:t>
            </w:r>
          </w:p>
        </w:tc>
      </w:tr>
    </w:tbl>
    <w:p>
      <w:pPr>
        <w:spacing w:after="0" w:line="357" w:lineRule="auto"/>
        <w:jc w:val="left"/>
        <w:rPr>
          <w:rFonts w:ascii="宋体" w:hAnsi="宋体" w:cs="宋体" w:eastAsia="宋体" w:hint="default"/>
          <w:sz w:val="21"/>
          <w:szCs w:val="21"/>
        </w:rPr>
        <w:sectPr>
          <w:footerReference w:type="default" r:id="rId59"/>
          <w:pgSz w:w="11910" w:h="16840"/>
          <w:pgMar w:footer="1195" w:header="882" w:top="1120" w:bottom="1380" w:left="1580" w:right="104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p>
      <w:pPr>
        <w:spacing w:line="710" w:lineRule="exact"/>
        <w:ind w:left="105"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53pt;height:35.550pt;mso-position-horizontal-relative:char;mso-position-vertical-relative:line" coordorigin="0,0" coordsize="9060,711">
            <v:group style="position:absolute;left:10;top:10;width:4573;height:2" coordorigin="10,10" coordsize="4573,2">
              <v:shape style="position:absolute;left:10;top:10;width:4573;height:2" coordorigin="10,10" coordsize="4573,0" path="m10,10l4582,10e" filled="false" stroked="true" strokeweight=".48pt" strokecolor="#000000">
                <v:path arrowok="t"/>
              </v:shape>
            </v:group>
            <v:group style="position:absolute;left:4592;top:10;width:4458;height:2" coordorigin="4592,10" coordsize="4458,2">
              <v:shape style="position:absolute;left:4592;top:10;width:4458;height:2" coordorigin="4592,10" coordsize="4458,0" path="m4592,10l9050,10e" filled="false" stroked="true" strokeweight=".48pt" strokecolor="#000000">
                <v:path arrowok="t"/>
              </v:shape>
            </v:group>
            <v:group style="position:absolute;left:5;top:5;width:2;height:702" coordorigin="5,5" coordsize="2,702">
              <v:shape style="position:absolute;left:5;top:5;width:2;height:702" coordorigin="5,5" coordsize="0,702" path="m5,5l5,706e" filled="false" stroked="true" strokeweight=".48pt" strokecolor="#000000">
                <v:path arrowok="t"/>
              </v:shape>
            </v:group>
            <v:group style="position:absolute;left:10;top:701;width:4573;height:2" coordorigin="10,701" coordsize="4573,2">
              <v:shape style="position:absolute;left:10;top:701;width:4573;height:2" coordorigin="10,701" coordsize="4573,0" path="m10,701l4582,701e" filled="false" stroked="true" strokeweight=".48pt" strokecolor="#000000">
                <v:path arrowok="t"/>
              </v:shape>
            </v:group>
            <v:group style="position:absolute;left:4587;top:5;width:2;height:702" coordorigin="4587,5" coordsize="2,702">
              <v:shape style="position:absolute;left:4587;top:5;width:2;height:702" coordorigin="4587,5" coordsize="0,702" path="m4587,5l4587,706e" filled="false" stroked="true" strokeweight=".47998pt" strokecolor="#000000">
                <v:path arrowok="t"/>
              </v:shape>
            </v:group>
            <v:group style="position:absolute;left:4592;top:701;width:4458;height:2" coordorigin="4592,701" coordsize="4458,2">
              <v:shape style="position:absolute;left:4592;top:701;width:4458;height:2" coordorigin="4592,701" coordsize="4458,0" path="m4592,701l9050,701e" filled="false" stroked="true" strokeweight=".48pt" strokecolor="#000000">
                <v:path arrowok="t"/>
              </v:shape>
            </v:group>
            <v:group style="position:absolute;left:9054;top:5;width:2;height:702" coordorigin="9054,5" coordsize="2,702">
              <v:shape style="position:absolute;left:9054;top:5;width:2;height:702" coordorigin="9054,5" coordsize="0,702" path="m9054,5l9054,706e" filled="false" stroked="true" strokeweight=".47998pt" strokecolor="#000000">
                <v:path arrowok="t"/>
              </v:shape>
              <v:shape style="position:absolute;left:4587;top:10;width:4468;height:692" type="#_x0000_t202" filled="false" stroked="false">
                <v:textbox inset="0,0,0,0">
                  <w:txbxContent>
                    <w:p>
                      <w:pPr>
                        <w:spacing w:line="248"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将其归入相应组合计提坏账准备。</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b/>
          <w:bCs/>
          <w:sz w:val="19"/>
          <w:szCs w:val="19"/>
        </w:rPr>
      </w:pPr>
    </w:p>
    <w:p>
      <w:pPr>
        <w:pStyle w:val="Heading3"/>
        <w:spacing w:line="240" w:lineRule="auto" w:before="36"/>
        <w:ind w:right="2465"/>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00">
                <v:path arrowok="t"/>
              </v:shape>
            </v:group>
          </v:group>
        </w:pict>
      </w:r>
      <w:r>
        <w:rPr>
          <w:rFonts w:ascii="宋体" w:hAnsi="宋体" w:cs="宋体" w:eastAsia="宋体" w:hint="default"/>
          <w:sz w:val="2"/>
          <w:szCs w:val="2"/>
        </w:rPr>
      </w:r>
    </w:p>
    <w:p>
      <w:pPr>
        <w:pStyle w:val="BodyText"/>
        <w:spacing w:line="253" w:lineRule="exact"/>
        <w:ind w:left="218" w:right="2465"/>
        <w:jc w:val="left"/>
      </w:pPr>
      <w:r>
        <w:rPr/>
        <w:t>组合中，采用账龄分析法计提坏账准备的</w:t>
      </w:r>
    </w:p>
    <w:p>
      <w:pPr>
        <w:pStyle w:val="BodyText"/>
        <w:spacing w:line="273" w:lineRule="exact"/>
        <w:ind w:left="218"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30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36"/>
        <w:ind w:right="2465"/>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828"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5"/>
              <w:jc w:val="left"/>
              <w:rPr>
                <w:rFonts w:ascii="宋体" w:hAnsi="宋体" w:cs="宋体" w:eastAsia="宋体" w:hint="default"/>
                <w:sz w:val="21"/>
                <w:szCs w:val="21"/>
              </w:rPr>
            </w:pPr>
            <w:r>
              <w:rPr>
                <w:rFonts w:ascii="宋体" w:hAnsi="宋体" w:cs="宋体" w:eastAsia="宋体" w:hint="default"/>
                <w:sz w:val="21"/>
                <w:szCs w:val="21"/>
              </w:rPr>
              <w:t>有客观证据表明可能发生了减值，如债务人出现</w:t>
            </w:r>
          </w:p>
          <w:p>
            <w:pPr>
              <w:pStyle w:val="TableParagraph"/>
              <w:spacing w:line="240" w:lineRule="auto"/>
              <w:ind w:left="100" w:right="-5"/>
              <w:jc w:val="left"/>
              <w:rPr>
                <w:rFonts w:ascii="宋体" w:hAnsi="宋体" w:cs="宋体" w:eastAsia="宋体" w:hint="default"/>
                <w:sz w:val="21"/>
                <w:szCs w:val="21"/>
              </w:rPr>
            </w:pPr>
            <w:r>
              <w:rPr>
                <w:rFonts w:ascii="宋体" w:hAnsi="宋体" w:cs="宋体" w:eastAsia="宋体" w:hint="default"/>
                <w:spacing w:val="-3"/>
                <w:sz w:val="21"/>
                <w:szCs w:val="21"/>
              </w:rPr>
              <w:t>撤销、破产或死亡，以其破产财产或遗产清偿后，</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仍不能收回、现金流量严重不足等情况的。</w:t>
            </w:r>
          </w:p>
        </w:tc>
      </w:tr>
      <w:tr>
        <w:trPr>
          <w:trHeight w:val="828"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根据应收款项的预计未来现金流量现值低于</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其账面价值的差额进行计提。</w:t>
            </w:r>
          </w:p>
        </w:tc>
      </w:tr>
    </w:tbl>
    <w:p>
      <w:pPr>
        <w:spacing w:line="240" w:lineRule="auto" w:before="12"/>
        <w:rPr>
          <w:rFonts w:ascii="宋体" w:hAnsi="宋体" w:cs="宋体" w:eastAsia="宋体" w:hint="default"/>
          <w:b/>
          <w:bCs/>
          <w:sz w:val="19"/>
          <w:szCs w:val="19"/>
        </w:rPr>
      </w:pPr>
    </w:p>
    <w:p>
      <w:pPr>
        <w:pStyle w:val="Heading3"/>
        <w:spacing w:line="240" w:lineRule="auto" w:before="36"/>
        <w:ind w:right="0"/>
        <w:jc w:val="both"/>
        <w:rPr>
          <w:b w:val="0"/>
          <w:bCs w:val="0"/>
        </w:rPr>
      </w:pPr>
      <w:r>
        <w:rPr>
          <w:rFonts w:ascii="Calibri" w:hAnsi="Calibri" w:cs="Calibri" w:eastAsia="Calibri" w:hint="default"/>
        </w:rPr>
        <w:t>10.  </w:t>
      </w:r>
      <w:r>
        <w:rPr>
          <w:rFonts w:ascii="Calibri" w:hAnsi="Calibri" w:cs="Calibri" w:eastAsia="Calibri" w:hint="default"/>
          <w:spacing w:val="12"/>
        </w:rPr>
        <w:t> </w:t>
      </w:r>
      <w:r>
        <w:rPr/>
        <w:t>存货</w:t>
      </w:r>
      <w:r>
        <w:rPr>
          <w:b w:val="0"/>
          <w:bCs w:val="0"/>
        </w:rPr>
      </w:r>
    </w:p>
    <w:p>
      <w:pPr>
        <w:pStyle w:val="BodyText"/>
        <w:spacing w:line="355" w:lineRule="auto" w:before="32"/>
        <w:ind w:left="638" w:right="96"/>
        <w:jc w:val="left"/>
      </w:pPr>
      <w:r>
        <w:rPr>
          <w:rFonts w:ascii="宋体" w:hAnsi="宋体" w:cs="宋体" w:eastAsia="宋体"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存货的分类</w:t>
      </w:r>
      <w:r>
        <w:rPr>
          <w:rFonts w:ascii="宋体" w:hAnsi="宋体" w:cs="宋体" w:eastAsia="宋体" w:hint="default"/>
          <w:b/>
          <w:bCs/>
          <w:spacing w:val="-104"/>
        </w:rPr>
        <w:t> </w:t>
      </w:r>
      <w:r>
        <w:rPr>
          <w:rFonts w:ascii="宋体" w:hAnsi="宋体" w:cs="宋体" w:eastAsia="宋体" w:hint="default"/>
          <w:b/>
          <w:bCs/>
          <w:spacing w:val="-104"/>
        </w:rPr>
      </w:r>
      <w:r>
        <w:rPr>
          <w:spacing w:val="-2"/>
        </w:rPr>
        <w:t>存货是指本公司在日常活动中持有以备出售的产成品或商品、处在生产过程中的在产品、在</w:t>
      </w:r>
    </w:p>
    <w:p>
      <w:pPr>
        <w:pStyle w:val="BodyText"/>
        <w:spacing w:line="357" w:lineRule="auto" w:before="32"/>
        <w:ind w:left="218" w:right="228"/>
        <w:jc w:val="both"/>
      </w:pPr>
      <w:r>
        <w:rPr>
          <w:spacing w:val="-1"/>
        </w:rPr>
        <w:t>生产过程或提供劳务过程中耗用的材料和物料等。主要包括原材料、周转材料、委托加工材料、</w:t>
      </w:r>
      <w:r>
        <w:rPr>
          <w:spacing w:val="-55"/>
        </w:rPr>
        <w:t> </w:t>
      </w:r>
      <w:r>
        <w:rPr>
          <w:spacing w:val="-55"/>
        </w:rPr>
      </w:r>
      <w:r>
        <w:rPr/>
        <w:t>在产品、自制半成品、产成品（库存商品）等。</w:t>
      </w:r>
    </w:p>
    <w:p>
      <w:pPr>
        <w:spacing w:line="355" w:lineRule="auto" w:before="32"/>
        <w:ind w:left="638" w:right="9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存货在取得时，按成本进行初始计量，包括采购成本、加工成本和其他成本。存货发出时按</w:t>
      </w:r>
    </w:p>
    <w:p>
      <w:pPr>
        <w:pStyle w:val="BodyText"/>
        <w:spacing w:line="240" w:lineRule="auto" w:before="32"/>
        <w:ind w:left="218" w:right="0"/>
        <w:jc w:val="both"/>
      </w:pPr>
      <w:r>
        <w:rPr/>
        <w:t>加权平均法计价。</w:t>
      </w:r>
    </w:p>
    <w:p>
      <w:pPr>
        <w:spacing w:line="357" w:lineRule="auto" w:before="133"/>
        <w:ind w:left="638" w:right="96"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期末对存货进行全面清查后，按存货的成本与可变现净值孰低提取或调整存货跌价准备。库</w:t>
      </w:r>
    </w:p>
    <w:p>
      <w:pPr>
        <w:pStyle w:val="BodyText"/>
        <w:spacing w:line="357" w:lineRule="auto" w:before="30"/>
        <w:ind w:left="218" w:right="228"/>
        <w:jc w:val="both"/>
      </w:pPr>
      <w:r>
        <w:rPr>
          <w:spacing w:val="-1"/>
        </w:rPr>
        <w:t>存商品和用于出售的材料等直接用于出售的商品存货，在正常生产经营过程中，以该存货的估计</w:t>
      </w:r>
      <w:r>
        <w:rPr>
          <w:spacing w:val="-55"/>
        </w:rPr>
        <w:t> </w:t>
      </w:r>
      <w:r>
        <w:rPr>
          <w:spacing w:val="-55"/>
        </w:rPr>
      </w:r>
      <w:r>
        <w:rPr>
          <w:spacing w:val="-1"/>
        </w:rPr>
        <w:t>售价减去估计的销售费用和相关税费后的金额，确定其可变现净值；需要经过加工的材料存货，</w:t>
      </w:r>
      <w:r>
        <w:rPr>
          <w:spacing w:val="-55"/>
        </w:rPr>
        <w:t> </w:t>
      </w:r>
      <w:r>
        <w:rPr>
          <w:spacing w:val="-55"/>
        </w:rPr>
      </w:r>
      <w:r>
        <w:rPr>
          <w:spacing w:val="-1"/>
        </w:rPr>
        <w:t>在正常生产经营过程中，以所生产的产成品的估计售价减去至完工时估计将要发生的成本、估计</w:t>
      </w:r>
      <w:r>
        <w:rPr>
          <w:spacing w:val="-55"/>
        </w:rPr>
        <w:t> </w:t>
      </w:r>
      <w:r>
        <w:rPr>
          <w:spacing w:val="-55"/>
        </w:rPr>
      </w:r>
      <w:r>
        <w:rPr>
          <w:spacing w:val="-1"/>
        </w:rPr>
        <w:t>的销售费用和相关税费后的金额，确定其可变现净值；为执行销售合同或者劳务合同而持有的存</w:t>
      </w:r>
    </w:p>
    <w:p>
      <w:pPr>
        <w:spacing w:after="0" w:line="357" w:lineRule="auto"/>
        <w:jc w:val="both"/>
        <w:sectPr>
          <w:footerReference w:type="default" r:id="rId60"/>
          <w:pgSz w:w="11910" w:h="16840"/>
          <w:pgMar w:footer="1195" w:header="882" w:top="1120" w:bottom="1380" w:left="1580" w:right="1040"/>
          <w:pgNumType w:start="81"/>
        </w:sectPr>
      </w:pPr>
    </w:p>
    <w:p>
      <w:pPr>
        <w:spacing w:line="240" w:lineRule="auto" w:before="1"/>
        <w:rPr>
          <w:rFonts w:ascii="宋体" w:hAnsi="宋体" w:cs="宋体" w:eastAsia="宋体" w:hint="default"/>
          <w:sz w:val="25"/>
          <w:szCs w:val="25"/>
        </w:rPr>
      </w:pPr>
    </w:p>
    <w:p>
      <w:pPr>
        <w:pStyle w:val="BodyText"/>
        <w:spacing w:line="357" w:lineRule="auto" w:before="36"/>
        <w:ind w:right="308"/>
        <w:jc w:val="both"/>
      </w:pPr>
      <w:r>
        <w:rPr>
          <w:spacing w:val="-1"/>
        </w:rPr>
        <w:t>货，其可变现净值以合同价格为基础计算，若持有存货的数量多于销售合同订购数量的，超出部</w:t>
      </w:r>
      <w:r>
        <w:rPr>
          <w:spacing w:val="-55"/>
        </w:rPr>
        <w:t> </w:t>
      </w:r>
      <w:r>
        <w:rPr>
          <w:spacing w:val="-55"/>
        </w:rPr>
      </w:r>
      <w:r>
        <w:rPr/>
        <w:t>分的存货的可变现净值以一般销售价格为基础计算。</w:t>
      </w:r>
    </w:p>
    <w:p>
      <w:pPr>
        <w:pStyle w:val="BodyText"/>
        <w:spacing w:line="355" w:lineRule="auto" w:before="30"/>
        <w:ind w:right="308" w:firstLine="419"/>
        <w:jc w:val="both"/>
      </w:pPr>
      <w:r>
        <w:rPr>
          <w:spacing w:val="-2"/>
        </w:rPr>
        <w:t>期末按照单个存货项目计提存货跌价准备；但对于数量繁多、单价较低的存货，按照存货类</w:t>
      </w:r>
      <w:r>
        <w:rPr>
          <w:w w:val="100"/>
        </w:rPr>
        <w:t> </w:t>
      </w:r>
      <w:r>
        <w:rPr>
          <w:spacing w:val="-1"/>
        </w:rPr>
        <w:t>别计提存货跌价准备；与在同一地区生产和销售的产品系列相关、具有相同或类似最终用途或目</w:t>
      </w:r>
      <w:r>
        <w:rPr>
          <w:spacing w:val="-55"/>
        </w:rPr>
        <w:t> </w:t>
      </w:r>
      <w:r>
        <w:rPr>
          <w:spacing w:val="-55"/>
        </w:rPr>
      </w:r>
      <w:r>
        <w:rPr/>
        <w:t>的，且难以与其他项目分开计量的存货，则合并计提存货跌价准备。</w:t>
      </w:r>
    </w:p>
    <w:p>
      <w:pPr>
        <w:pStyle w:val="BodyText"/>
        <w:spacing w:line="357" w:lineRule="auto" w:before="32"/>
        <w:ind w:right="310" w:firstLine="419"/>
        <w:jc w:val="both"/>
      </w:pPr>
      <w:r>
        <w:rPr>
          <w:spacing w:val="-2"/>
        </w:rPr>
        <w:t>以前减记存货价值的影响因素已经消失的，减记的金额予以恢复，并在原已计提的存货跌价</w:t>
      </w:r>
      <w:r>
        <w:rPr>
          <w:w w:val="100"/>
        </w:rPr>
        <w:t> </w:t>
      </w:r>
      <w:r>
        <w:rPr/>
        <w:t>准备金额内转回，转回的金额计入当期损益。</w:t>
      </w:r>
    </w:p>
    <w:p>
      <w:pPr>
        <w:spacing w:line="357" w:lineRule="auto" w:before="30"/>
        <w:ind w:left="558" w:right="6116"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2"/>
          <w:sz w:val="21"/>
          <w:szCs w:val="21"/>
        </w:rPr>
        <w:t>存货采用永续盘存制。</w:t>
      </w:r>
    </w:p>
    <w:p>
      <w:pPr>
        <w:spacing w:line="357" w:lineRule="auto" w:before="30"/>
        <w:ind w:left="558" w:right="2465"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低值易耗品和包装物的摊销方法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低值易耗品和包装物采用一次转销法摊销。</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ind w:left="138" w:right="2465"/>
        <w:jc w:val="left"/>
        <w:rPr>
          <w:b w:val="0"/>
          <w:bCs w:val="0"/>
        </w:rPr>
      </w:pPr>
      <w:r>
        <w:rPr>
          <w:rFonts w:ascii="Calibri" w:hAnsi="Calibri" w:cs="Calibri" w:eastAsia="Calibri" w:hint="default"/>
        </w:rPr>
        <w:t>11.  </w:t>
      </w:r>
      <w:r>
        <w:rPr>
          <w:rFonts w:ascii="Calibri" w:hAnsi="Calibri" w:cs="Calibri" w:eastAsia="Calibri" w:hint="default"/>
          <w:spacing w:val="13"/>
        </w:rPr>
        <w:t> </w:t>
      </w:r>
      <w:r>
        <w:rPr/>
        <w:t>长期股权投资</w:t>
      </w:r>
      <w:r>
        <w:rPr>
          <w:b w:val="0"/>
          <w:bCs w:val="0"/>
        </w:rPr>
      </w:r>
    </w:p>
    <w:p>
      <w:pPr>
        <w:pStyle w:val="Heading3"/>
        <w:spacing w:line="240" w:lineRule="auto" w:before="29"/>
        <w:ind w:left="558" w:right="2465"/>
        <w:jc w:val="left"/>
        <w:rPr>
          <w:b w:val="0"/>
          <w:bCs w:val="0"/>
        </w:rPr>
      </w:pPr>
      <w:r>
        <w:rPr>
          <w:rFonts w:ascii="宋体" w:hAnsi="宋体" w:cs="宋体" w:eastAsia="宋体" w:hint="default"/>
        </w:rPr>
        <w:t>1</w:t>
      </w:r>
      <w:r>
        <w:rPr/>
        <w:t>、投资成本的确定</w:t>
      </w:r>
      <w:r>
        <w:rPr>
          <w:b w:val="0"/>
          <w:bCs w:val="0"/>
        </w:rPr>
      </w:r>
    </w:p>
    <w:p>
      <w:pPr>
        <w:pStyle w:val="BodyText"/>
        <w:spacing w:line="357" w:lineRule="auto" w:before="133"/>
        <w:ind w:right="308" w:firstLine="419"/>
        <w:jc w:val="both"/>
      </w:pPr>
      <w:r>
        <w:rPr>
          <w:spacing w:val="-4"/>
        </w:rPr>
        <w:t>（</w:t>
      </w:r>
      <w:r>
        <w:rPr>
          <w:rFonts w:ascii="宋体" w:hAnsi="宋体" w:cs="宋体" w:eastAsia="宋体" w:hint="default"/>
          <w:spacing w:val="-4"/>
        </w:rPr>
        <w:t>1</w:t>
      </w:r>
      <w:r>
        <w:rPr>
          <w:spacing w:val="-4"/>
        </w:rPr>
        <w:t>）企业合并形成的长期股权投资，具体会计政策详见本附注四（五）同一控制下和非同一</w:t>
      </w:r>
      <w:r>
        <w:rPr>
          <w:w w:val="100"/>
        </w:rPr>
        <w:t> </w:t>
      </w:r>
      <w:r>
        <w:rPr/>
        <w:t>控制下企业合并的会计处理方法</w:t>
      </w:r>
    </w:p>
    <w:p>
      <w:pPr>
        <w:pStyle w:val="BodyText"/>
        <w:spacing w:line="355" w:lineRule="auto" w:before="30"/>
        <w:ind w:left="558" w:right="96"/>
        <w:jc w:val="left"/>
      </w:pPr>
      <w:r>
        <w:rPr/>
        <w:t>（</w:t>
      </w:r>
      <w:r>
        <w:rPr>
          <w:rFonts w:ascii="宋体" w:hAnsi="宋体" w:cs="宋体" w:eastAsia="宋体" w:hint="default"/>
        </w:rPr>
        <w:t>2</w:t>
      </w:r>
      <w:r>
        <w:rPr/>
        <w:t>）其他方式取得的长期股权投资</w:t>
      </w:r>
      <w:r>
        <w:rPr>
          <w:w w:val="100"/>
        </w:rPr>
        <w:t> </w:t>
      </w:r>
      <w:r>
        <w:rPr>
          <w:spacing w:val="-2"/>
        </w:rPr>
        <w:t>以支付现金方式取得的长期股权投资，按照实际支付的购买价款作为初始投资成本。初始投</w:t>
      </w:r>
    </w:p>
    <w:p>
      <w:pPr>
        <w:pStyle w:val="BodyText"/>
        <w:spacing w:line="355" w:lineRule="auto" w:before="32"/>
        <w:ind w:left="558" w:right="96" w:hanging="420"/>
        <w:jc w:val="left"/>
      </w:pPr>
      <w:r>
        <w:rPr/>
        <w:t>资成本包括与取得长期股权投资直接相关的费用、税金及其他必要支出。</w:t>
      </w:r>
      <w:r>
        <w:rPr>
          <w:w w:val="100"/>
        </w:rPr>
        <w:t> </w:t>
      </w:r>
      <w:r>
        <w:rPr>
          <w:spacing w:val="-4"/>
          <w:w w:val="100"/>
        </w:rPr>
        <w:t>以发行权益性证券取得的长期股权投资，按照发行权益性证券的公允价值作为初始投资成本；</w:t>
      </w:r>
    </w:p>
    <w:p>
      <w:pPr>
        <w:pStyle w:val="BodyText"/>
        <w:spacing w:line="355" w:lineRule="auto" w:before="34"/>
        <w:ind w:left="558" w:right="96" w:hanging="420"/>
        <w:jc w:val="left"/>
      </w:pPr>
      <w:r>
        <w:rPr/>
        <w:t>发行或取得自身权益工具时发生的交易费用，可直接归属于权益性交易的从权益中扣减。</w:t>
      </w:r>
      <w:r>
        <w:rPr>
          <w:w w:val="100"/>
        </w:rPr>
        <w:t> </w:t>
      </w:r>
      <w:r>
        <w:rPr>
          <w:spacing w:val="-1"/>
        </w:rPr>
        <w:t>在非货币性资产交换具备商业实质和换入资产或换出资产的公允价值能够可靠计量的前提下，</w:t>
      </w:r>
    </w:p>
    <w:p>
      <w:pPr>
        <w:pStyle w:val="BodyText"/>
        <w:spacing w:line="357" w:lineRule="auto" w:before="32"/>
        <w:ind w:right="317"/>
        <w:jc w:val="both"/>
      </w:pPr>
      <w:r>
        <w:rPr>
          <w:spacing w:val="-2"/>
        </w:rPr>
        <w:t>非货币性资产交换换入的长期股权投资以换出资产的公允价值为基础确定其初始投资成本，除非</w:t>
      </w:r>
      <w:r>
        <w:rPr>
          <w:spacing w:val="-25"/>
        </w:rPr>
        <w:t> </w:t>
      </w:r>
      <w:r>
        <w:rPr>
          <w:spacing w:val="-25"/>
        </w:rPr>
      </w:r>
      <w:r>
        <w:rPr>
          <w:spacing w:val="-2"/>
        </w:rPr>
        <w:t>有确凿证据表明换入资产的公允价值更加可靠；不满足上述前提的非货币性资产交换，以换出资</w:t>
      </w:r>
      <w:r>
        <w:rPr>
          <w:spacing w:val="-25"/>
        </w:rPr>
        <w:t> </w:t>
      </w:r>
      <w:r>
        <w:rPr>
          <w:spacing w:val="-25"/>
        </w:rPr>
      </w:r>
      <w:r>
        <w:rPr/>
        <w:t>产的账面价值和应支付的相关税费作为换入长期股权投资的初始投资成本。</w:t>
      </w:r>
    </w:p>
    <w:p>
      <w:pPr>
        <w:spacing w:line="355" w:lineRule="auto" w:before="30"/>
        <w:ind w:left="560" w:right="96" w:hanging="3"/>
        <w:jc w:val="left"/>
        <w:rPr>
          <w:rFonts w:ascii="宋体" w:hAnsi="宋体" w:cs="宋体" w:eastAsia="宋体" w:hint="default"/>
          <w:sz w:val="21"/>
          <w:szCs w:val="21"/>
        </w:rPr>
      </w:pPr>
      <w:r>
        <w:rPr>
          <w:rFonts w:ascii="宋体" w:hAnsi="宋体" w:cs="宋体" w:eastAsia="宋体" w:hint="default"/>
          <w:spacing w:val="-2"/>
          <w:sz w:val="21"/>
          <w:szCs w:val="21"/>
        </w:rPr>
        <w:t>通过债务重组取得的长期股权投资，其初始投资成本按照公允价值为基础确定。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pStyle w:val="BodyText"/>
        <w:spacing w:line="355" w:lineRule="auto" w:before="32"/>
        <w:ind w:left="558" w:right="96"/>
        <w:jc w:val="left"/>
      </w:pPr>
      <w:r>
        <w:rPr/>
        <w:t>（</w:t>
      </w:r>
      <w:r>
        <w:rPr>
          <w:rFonts w:ascii="宋体" w:hAnsi="宋体" w:cs="宋体" w:eastAsia="宋体" w:hint="default"/>
        </w:rPr>
        <w:t>1</w:t>
      </w:r>
      <w:r>
        <w:rPr/>
        <w:t>）成本法</w:t>
      </w:r>
      <w:r>
        <w:rPr>
          <w:w w:val="100"/>
        </w:rPr>
        <w:t> </w:t>
      </w:r>
      <w:r>
        <w:rPr>
          <w:spacing w:val="-2"/>
        </w:rPr>
        <w:t>本公司能够对被投资单位实施控制的长期股权投资采用成本法核算，并按照初始投资成本计</w:t>
      </w:r>
    </w:p>
    <w:p>
      <w:pPr>
        <w:pStyle w:val="BodyText"/>
        <w:spacing w:line="355" w:lineRule="auto" w:before="34"/>
        <w:ind w:left="558" w:right="96" w:hanging="420"/>
        <w:jc w:val="left"/>
      </w:pPr>
      <w:r>
        <w:rPr/>
        <w:t>价，追加或收回投资调整长期股权投资的成本。</w:t>
      </w:r>
      <w:r>
        <w:rPr>
          <w:w w:val="100"/>
        </w:rPr>
        <w:t> </w:t>
      </w:r>
      <w:r>
        <w:rPr>
          <w:spacing w:val="-2"/>
        </w:rPr>
        <w:t>除取得投资时实际支付的价款或对价中包含的已宣告但尚未发放的现金股利或利润外，本公</w:t>
      </w:r>
    </w:p>
    <w:p>
      <w:pPr>
        <w:pStyle w:val="BodyText"/>
        <w:spacing w:line="240" w:lineRule="auto" w:before="32"/>
        <w:ind w:right="96"/>
        <w:jc w:val="left"/>
      </w:pPr>
      <w:r>
        <w:rPr/>
        <w:t>司按照享有被投资单位宣告分派的现金股利或利润确认为当期投资收益。</w:t>
      </w:r>
    </w:p>
    <w:p>
      <w:pPr>
        <w:pStyle w:val="BodyText"/>
        <w:spacing w:line="240" w:lineRule="auto" w:before="133"/>
        <w:ind w:left="558" w:right="2465"/>
        <w:jc w:val="left"/>
      </w:pPr>
      <w:r>
        <w:rPr/>
        <w:t>（</w:t>
      </w:r>
      <w:r>
        <w:rPr>
          <w:rFonts w:ascii="宋体" w:hAnsi="宋体" w:cs="宋体" w:eastAsia="宋体" w:hint="default"/>
        </w:rPr>
        <w:t>2</w:t>
      </w:r>
      <w:r>
        <w:rPr/>
        <w:t>）权益法</w:t>
      </w:r>
    </w:p>
    <w:p>
      <w:pPr>
        <w:spacing w:after="0" w:line="240" w:lineRule="auto"/>
        <w:jc w:val="left"/>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BodyText"/>
        <w:spacing w:line="357" w:lineRule="auto" w:before="36"/>
        <w:ind w:right="137" w:firstLine="419"/>
        <w:jc w:val="both"/>
      </w:pPr>
      <w:r>
        <w:rPr>
          <w:spacing w:val="-2"/>
        </w:rPr>
        <w:t>本公司对联营企业和合营企业的长期股权投资采用权益法核算；对于其中一部分通过风险投</w:t>
      </w:r>
      <w:r>
        <w:rPr>
          <w:w w:val="100"/>
        </w:rPr>
        <w:t> </w:t>
      </w:r>
      <w:r>
        <w:rPr>
          <w:spacing w:val="-2"/>
        </w:rPr>
        <w:t>资机构、共同基金、信托公司或包括投连险基金在内的类似主体间接持有的联营企业的权益性投</w:t>
      </w:r>
      <w:r>
        <w:rPr>
          <w:spacing w:val="-25"/>
        </w:rPr>
        <w:t> </w:t>
      </w:r>
      <w:r>
        <w:rPr>
          <w:spacing w:val="-25"/>
        </w:rPr>
      </w:r>
      <w:r>
        <w:rPr/>
        <w:t>资，采用公允价值计量且其变动计入损益。</w:t>
      </w:r>
    </w:p>
    <w:p>
      <w:pPr>
        <w:pStyle w:val="BodyText"/>
        <w:spacing w:line="355" w:lineRule="auto" w:before="30"/>
        <w:ind w:right="137" w:firstLine="419"/>
        <w:jc w:val="both"/>
      </w:pPr>
      <w:r>
        <w:rPr>
          <w:spacing w:val="-2"/>
        </w:rPr>
        <w:t>长期股权投资的初始投资成本大于投资时应享有被投资单位可辨认净资产公允价值份额的差</w:t>
      </w:r>
      <w:r>
        <w:rPr>
          <w:w w:val="100"/>
        </w:rPr>
        <w:t> </w:t>
      </w:r>
      <w:r>
        <w:rPr>
          <w:spacing w:val="-2"/>
        </w:rPr>
        <w:t>额，不调整长期股权投资的初始投资成本；初始投资成本小于投资时应享有被投资单位可辨认净</w:t>
      </w:r>
      <w:r>
        <w:rPr>
          <w:spacing w:val="-25"/>
        </w:rPr>
        <w:t> </w:t>
      </w:r>
      <w:r>
        <w:rPr>
          <w:spacing w:val="-25"/>
        </w:rPr>
      </w:r>
      <w:r>
        <w:rPr/>
        <w:t>资产公允价值份额的差额，计入当期损益。</w:t>
      </w:r>
    </w:p>
    <w:p>
      <w:pPr>
        <w:pStyle w:val="BodyText"/>
        <w:spacing w:line="357" w:lineRule="auto" w:before="34"/>
        <w:ind w:right="137" w:firstLine="419"/>
        <w:jc w:val="both"/>
      </w:pPr>
      <w:r>
        <w:rPr>
          <w:spacing w:val="-2"/>
        </w:rPr>
        <w:t>本公司取得长期股权投资后，按照应享有或应分担的被投资单位实现的净损益和其他综合收</w:t>
      </w:r>
      <w:r>
        <w:rPr>
          <w:w w:val="100"/>
        </w:rPr>
        <w:t> </w:t>
      </w:r>
      <w:r>
        <w:rPr>
          <w:spacing w:val="-2"/>
        </w:rPr>
        <w:t>益的份额，分别确认投资收益和其他综合收益，同时调整长期股权投资的账面价值；并按照被投</w:t>
      </w:r>
      <w:r>
        <w:rPr>
          <w:spacing w:val="-25"/>
        </w:rPr>
        <w:t> </w:t>
      </w:r>
      <w:r>
        <w:rPr>
          <w:spacing w:val="-25"/>
        </w:rPr>
      </w:r>
      <w:r>
        <w:rPr>
          <w:spacing w:val="-2"/>
        </w:rPr>
        <w:t>资单位宣告分派的利润或现金股利计算应享有的部分，相应减少长期股权投资的账面价值；对于</w:t>
      </w:r>
      <w:r>
        <w:rPr>
          <w:spacing w:val="-25"/>
        </w:rPr>
        <w:t> </w:t>
      </w:r>
      <w:r>
        <w:rPr>
          <w:spacing w:val="-25"/>
        </w:rPr>
      </w:r>
      <w:r>
        <w:rPr>
          <w:spacing w:val="-2"/>
        </w:rPr>
        <w:t>被投资单位除净损益、其他综合收益和利润分配以外所有者权益的其他变动，调整长期股权投资</w:t>
      </w:r>
      <w:r>
        <w:rPr>
          <w:spacing w:val="-25"/>
        </w:rPr>
        <w:t> </w:t>
      </w:r>
      <w:r>
        <w:rPr>
          <w:spacing w:val="-25"/>
        </w:rPr>
      </w:r>
      <w:r>
        <w:rPr/>
        <w:t>的账面价值并计入所有者权益。</w:t>
      </w:r>
    </w:p>
    <w:p>
      <w:pPr>
        <w:pStyle w:val="BodyText"/>
        <w:spacing w:line="355" w:lineRule="auto" w:before="30"/>
        <w:ind w:right="137" w:firstLine="419"/>
        <w:jc w:val="both"/>
      </w:pPr>
      <w:r>
        <w:rPr>
          <w:spacing w:val="-2"/>
        </w:rPr>
        <w:t>本公司在确认应享有被投资单位净损益的份额时，以取得投资时被投资单位各项可辨认资产</w:t>
      </w:r>
      <w:r>
        <w:rPr>
          <w:w w:val="100"/>
        </w:rPr>
        <w:t> </w:t>
      </w:r>
      <w:r>
        <w:rPr>
          <w:spacing w:val="-2"/>
        </w:rPr>
        <w:t>等的公允价值为基础，对被投资单位的净利润进行调整后确认。本公司与联营企业、合营企业之</w:t>
      </w:r>
      <w:r>
        <w:rPr>
          <w:spacing w:val="-25"/>
        </w:rPr>
        <w:t> </w:t>
      </w:r>
      <w:r>
        <w:rPr>
          <w:spacing w:val="-25"/>
        </w:rPr>
      </w:r>
      <w:r>
        <w:rPr>
          <w:spacing w:val="-2"/>
        </w:rPr>
        <w:t>间发生的未实现内部交易损益按照应享有的比例计算归属于本公司的部分予以抵销，在此基础上</w:t>
      </w:r>
      <w:r>
        <w:rPr>
          <w:spacing w:val="-25"/>
        </w:rPr>
        <w:t> </w:t>
      </w:r>
      <w:r>
        <w:rPr>
          <w:spacing w:val="-25"/>
        </w:rPr>
      </w:r>
      <w:r>
        <w:rPr/>
        <w:t>确认投资损益。</w:t>
      </w:r>
    </w:p>
    <w:p>
      <w:pPr>
        <w:pStyle w:val="BodyText"/>
        <w:spacing w:line="357" w:lineRule="auto" w:before="34"/>
        <w:ind w:right="137" w:firstLine="419"/>
        <w:jc w:val="both"/>
      </w:pPr>
      <w:r>
        <w:rPr>
          <w:spacing w:val="-2"/>
        </w:rPr>
        <w:t>本公司确认应分担被投资单位发生的亏损时，按照以下顺序进行处理：首先，冲减长期股权</w:t>
      </w:r>
      <w:r>
        <w:rPr>
          <w:w w:val="100"/>
        </w:rPr>
        <w:t> </w:t>
      </w:r>
      <w:r>
        <w:rPr>
          <w:spacing w:val="-2"/>
        </w:rPr>
        <w:t>投资的账面价值。其次，长期股权投资的账面价值不足以冲减的，以其他实质上构成对被投资单</w:t>
      </w:r>
      <w:r>
        <w:rPr>
          <w:spacing w:val="-25"/>
        </w:rPr>
        <w:t> </w:t>
      </w:r>
      <w:r>
        <w:rPr>
          <w:spacing w:val="-25"/>
        </w:rPr>
      </w:r>
      <w:r>
        <w:rPr>
          <w:spacing w:val="-2"/>
        </w:rPr>
        <w:t>位净投资的长期权益账面价值为限继续确认投资损失，冲减长期应收项目等的账面价值。最后，</w:t>
      </w:r>
      <w:r>
        <w:rPr>
          <w:spacing w:val="-25"/>
        </w:rPr>
        <w:t> </w:t>
      </w:r>
      <w:r>
        <w:rPr>
          <w:spacing w:val="-25"/>
        </w:rPr>
      </w:r>
      <w:r>
        <w:rPr>
          <w:spacing w:val="-2"/>
        </w:rPr>
        <w:t>经过上述处理，按照投资合同或协议约定企业仍承担额外义务的，按预计承担的义务确认预计负</w:t>
      </w:r>
      <w:r>
        <w:rPr>
          <w:spacing w:val="-25"/>
        </w:rPr>
        <w:t> </w:t>
      </w:r>
      <w:r>
        <w:rPr>
          <w:spacing w:val="-25"/>
        </w:rPr>
      </w:r>
      <w:r>
        <w:rPr/>
        <w:t>债，计入当期投资损失。</w:t>
      </w:r>
    </w:p>
    <w:p>
      <w:pPr>
        <w:pStyle w:val="BodyText"/>
        <w:spacing w:line="355" w:lineRule="auto" w:before="32"/>
        <w:ind w:right="137" w:firstLine="419"/>
        <w:jc w:val="both"/>
      </w:pPr>
      <w:r>
        <w:rPr>
          <w:spacing w:val="-2"/>
        </w:rPr>
        <w:t>被投资单位以后期间实现盈利的，公司在扣除未确认的亏损分担额后，按与上述相反的顺序</w:t>
      </w:r>
      <w:r>
        <w:rPr>
          <w:w w:val="100"/>
        </w:rPr>
        <w:t> </w:t>
      </w:r>
      <w:r>
        <w:rPr>
          <w:spacing w:val="-2"/>
        </w:rPr>
        <w:t>处理，减记已确认预计负债的账面余额、恢复其他实质上构成对被投资单位净投资的长期权益及</w:t>
      </w:r>
      <w:r>
        <w:rPr>
          <w:spacing w:val="-25"/>
        </w:rPr>
        <w:t> </w:t>
      </w:r>
      <w:r>
        <w:rPr>
          <w:spacing w:val="-25"/>
        </w:rPr>
      </w:r>
      <w:r>
        <w:rPr/>
        <w:t>长期股权投资的账面价值后，恢复确认投资收益。</w:t>
      </w:r>
    </w:p>
    <w:p>
      <w:pPr>
        <w:pStyle w:val="Heading3"/>
        <w:spacing w:line="240" w:lineRule="auto" w:before="32"/>
        <w:ind w:left="560" w:right="123"/>
        <w:jc w:val="left"/>
        <w:rPr>
          <w:b w:val="0"/>
          <w:bCs w:val="0"/>
        </w:rPr>
      </w:pPr>
      <w:r>
        <w:rPr>
          <w:rFonts w:ascii="宋体" w:hAnsi="宋体" w:cs="宋体" w:eastAsia="宋体" w:hint="default"/>
        </w:rPr>
        <w:t>3</w:t>
      </w:r>
      <w:r>
        <w:rPr/>
        <w:t>、长期股权投资核算方法的转换</w:t>
      </w:r>
      <w:r>
        <w:rPr>
          <w:b w:val="0"/>
          <w:bCs w:val="0"/>
        </w:rPr>
      </w:r>
    </w:p>
    <w:p>
      <w:pPr>
        <w:pStyle w:val="BodyText"/>
        <w:spacing w:line="355" w:lineRule="auto" w:before="136"/>
        <w:ind w:left="558" w:right="123"/>
        <w:jc w:val="left"/>
      </w:pPr>
      <w:r>
        <w:rPr/>
        <w:t>（</w:t>
      </w:r>
      <w:r>
        <w:rPr>
          <w:rFonts w:ascii="宋体" w:hAnsi="宋体" w:cs="宋体" w:eastAsia="宋体" w:hint="default"/>
        </w:rPr>
        <w:t>1</w:t>
      </w:r>
      <w:r>
        <w:rPr/>
        <w:t>）公允价值计量转权益法核算</w:t>
      </w:r>
      <w:r>
        <w:rPr>
          <w:w w:val="100"/>
        </w:rPr>
        <w:t> </w:t>
      </w:r>
      <w:r>
        <w:rPr>
          <w:spacing w:val="-2"/>
        </w:rPr>
        <w:t>本公司原持有的对被投资单位不具有控制、共同控制或重大影响的按金融工具确认和计量准</w:t>
      </w:r>
    </w:p>
    <w:p>
      <w:pPr>
        <w:pStyle w:val="BodyText"/>
        <w:spacing w:line="355" w:lineRule="auto" w:before="32"/>
        <w:ind w:right="127"/>
        <w:jc w:val="both"/>
      </w:pPr>
      <w:r>
        <w:rPr>
          <w:spacing w:val="-2"/>
        </w:rPr>
        <w:t>则进行会计处理的权益性投资，因追加投资等原因能够对被投资单位施加重大影响或实施共同控</w:t>
      </w:r>
      <w:r>
        <w:rPr>
          <w:spacing w:val="-25"/>
        </w:rPr>
        <w:t> </w:t>
      </w:r>
      <w:r>
        <w:rPr>
          <w:spacing w:val="-25"/>
        </w:rPr>
      </w:r>
      <w:r>
        <w:rPr>
          <w:spacing w:val="-5"/>
        </w:rPr>
        <w:t>制但不构成控制的，按照《企业会计准则第</w:t>
      </w:r>
      <w:r>
        <w:rPr>
          <w:spacing w:val="-26"/>
        </w:rPr>
        <w:t> </w:t>
      </w:r>
      <w:r>
        <w:rPr>
          <w:rFonts w:ascii="宋体" w:hAnsi="宋体" w:cs="宋体" w:eastAsia="宋体" w:hint="default"/>
        </w:rPr>
        <w:t>22</w:t>
      </w:r>
      <w:r>
        <w:rPr>
          <w:rFonts w:ascii="宋体" w:hAnsi="宋体" w:cs="宋体" w:eastAsia="宋体" w:hint="default"/>
          <w:spacing w:val="-29"/>
        </w:rPr>
        <w:t> </w:t>
      </w:r>
      <w:r>
        <w:rPr>
          <w:spacing w:val="-3"/>
        </w:rPr>
        <w:t>号——金融工具确认和计量》确定的原持有的股权</w:t>
      </w:r>
      <w:r>
        <w:rPr>
          <w:spacing w:val="-95"/>
        </w:rPr>
        <w:t> </w:t>
      </w:r>
      <w:r>
        <w:rPr>
          <w:spacing w:val="-95"/>
        </w:rPr>
      </w:r>
      <w:r>
        <w:rPr/>
        <w:t>投资的公允价值加上新增投资成本之和，作为改按权益法核算的初始投资成本。</w:t>
      </w:r>
    </w:p>
    <w:p>
      <w:pPr>
        <w:pStyle w:val="BodyText"/>
        <w:spacing w:line="355" w:lineRule="auto" w:before="34"/>
        <w:ind w:right="137" w:firstLine="419"/>
        <w:jc w:val="both"/>
      </w:pPr>
      <w:r>
        <w:rPr>
          <w:spacing w:val="-2"/>
        </w:rPr>
        <w:t>原持有的股权投资分类为可供出售金融资产的，其公允价值与账面价值之间的差额，以及原</w:t>
      </w:r>
      <w:r>
        <w:rPr>
          <w:w w:val="100"/>
        </w:rPr>
        <w:t> </w:t>
      </w:r>
      <w:r>
        <w:rPr/>
        <w:t>计入其他综合收益的累计公允价值变动转入改按权益法核算的当期损益。</w:t>
      </w:r>
    </w:p>
    <w:p>
      <w:pPr>
        <w:pStyle w:val="BodyText"/>
        <w:spacing w:line="357" w:lineRule="auto" w:before="32"/>
        <w:ind w:right="137" w:firstLine="419"/>
        <w:jc w:val="both"/>
      </w:pPr>
      <w:r>
        <w:rPr>
          <w:spacing w:val="-2"/>
        </w:rPr>
        <w:t>按权益法核算的初始投资成本小于按照追加投资后全新的持股比例计算确定的应享有被投资</w:t>
      </w:r>
      <w:r>
        <w:rPr>
          <w:w w:val="100"/>
        </w:rPr>
        <w:t> </w:t>
      </w:r>
      <w:r>
        <w:rPr>
          <w:spacing w:val="-2"/>
        </w:rPr>
        <w:t>单位在追加投资日可辨认净资产公允价值份额之间的差额，调整长期股权投资的账面价值，并计</w:t>
      </w:r>
      <w:r>
        <w:rPr>
          <w:spacing w:val="-26"/>
        </w:rPr>
        <w:t> </w:t>
      </w:r>
      <w:r>
        <w:rPr>
          <w:spacing w:val="-26"/>
        </w:rPr>
      </w:r>
      <w:r>
        <w:rPr/>
        <w:t>入当期营业外收入。</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558" w:right="97"/>
        <w:jc w:val="left"/>
      </w:pPr>
      <w:r>
        <w:rPr/>
        <w:t>（</w:t>
      </w:r>
      <w:r>
        <w:rPr>
          <w:rFonts w:ascii="宋体" w:hAnsi="宋体" w:cs="宋体" w:eastAsia="宋体" w:hint="default"/>
        </w:rPr>
        <w:t>2</w:t>
      </w:r>
      <w:r>
        <w:rPr/>
        <w:t>）公允价值计量或权益法核算转成本法核算</w:t>
      </w:r>
      <w:r>
        <w:rPr>
          <w:w w:val="100"/>
        </w:rPr>
        <w:t> </w:t>
      </w:r>
      <w:r>
        <w:rPr>
          <w:spacing w:val="-2"/>
        </w:rPr>
        <w:t>本公司原持有的对被投资单位不具有控制、共同控制或重大影响的按金融工具确认和计量准</w:t>
      </w:r>
    </w:p>
    <w:p>
      <w:pPr>
        <w:pStyle w:val="BodyText"/>
        <w:spacing w:line="355" w:lineRule="auto" w:before="30"/>
        <w:ind w:right="217"/>
        <w:jc w:val="both"/>
      </w:pPr>
      <w:r>
        <w:rPr>
          <w:spacing w:val="-2"/>
        </w:rPr>
        <w:t>则进行会计处理的权益性投资，或原持有对联营企业、合营企业的长期股权投资，因追加投资等</w:t>
      </w:r>
      <w:r>
        <w:rPr>
          <w:spacing w:val="-25"/>
        </w:rPr>
        <w:t> </w:t>
      </w:r>
      <w:r>
        <w:rPr>
          <w:spacing w:val="-25"/>
        </w:rPr>
      </w:r>
      <w:r>
        <w:rPr>
          <w:spacing w:val="-2"/>
        </w:rPr>
        <w:t>原因能够对非同一控制下的被投资单位实施控制的，在编制个别财务报表时，按照原持有的股权</w:t>
      </w:r>
      <w:r>
        <w:rPr>
          <w:spacing w:val="-25"/>
        </w:rPr>
        <w:t> </w:t>
      </w:r>
      <w:r>
        <w:rPr>
          <w:spacing w:val="-25"/>
        </w:rPr>
      </w:r>
      <w:r>
        <w:rPr/>
        <w:t>投资账面价值加上新增投资成本之和，作为改按成本法核算的初始投资成本。</w:t>
      </w:r>
    </w:p>
    <w:p>
      <w:pPr>
        <w:pStyle w:val="BodyText"/>
        <w:spacing w:line="357" w:lineRule="auto" w:before="32"/>
        <w:ind w:right="97" w:firstLine="419"/>
        <w:jc w:val="left"/>
      </w:pPr>
      <w:r>
        <w:rPr>
          <w:spacing w:val="-2"/>
        </w:rPr>
        <w:t>购买日之前持有的股权投资因采用权益法核算而确认的其他综合收益，在处置该项投资时采</w:t>
      </w:r>
      <w:r>
        <w:rPr>
          <w:w w:val="100"/>
        </w:rPr>
        <w:t> </w:t>
      </w:r>
      <w:r>
        <w:rPr/>
        <w:t>用与被投资单位直接处置相关资产或负债相同的基础进行会计处理。</w:t>
      </w:r>
    </w:p>
    <w:p>
      <w:pPr>
        <w:pStyle w:val="BodyText"/>
        <w:spacing w:line="357" w:lineRule="auto" w:before="30"/>
        <w:ind w:right="97" w:firstLine="419"/>
        <w:jc w:val="left"/>
      </w:pPr>
      <w:r>
        <w:rPr>
          <w:spacing w:val="-4"/>
        </w:rPr>
        <w:t>购买日之前持有的股权投资按照《企业会计准则第 </w:t>
      </w:r>
      <w:r>
        <w:rPr>
          <w:rFonts w:ascii="宋体" w:hAnsi="宋体" w:cs="宋体" w:eastAsia="宋体" w:hint="default"/>
        </w:rPr>
        <w:t>22</w:t>
      </w:r>
      <w:r>
        <w:rPr>
          <w:rFonts w:ascii="宋体" w:hAnsi="宋体" w:cs="宋体" w:eastAsia="宋体" w:hint="default"/>
          <w:spacing w:val="-68"/>
        </w:rPr>
        <w:t> </w:t>
      </w:r>
      <w:r>
        <w:rPr>
          <w:spacing w:val="-5"/>
        </w:rPr>
        <w:t>号——金融工具确认和计量》的有关规</w:t>
      </w:r>
      <w:r>
        <w:rPr>
          <w:w w:val="100"/>
        </w:rPr>
        <w:t> </w:t>
      </w:r>
      <w:r>
        <w:rPr>
          <w:spacing w:val="-4"/>
          <w:w w:val="100"/>
        </w:rPr>
        <w:t>定进行会计处理的，原计入其他综合收益的累计公允价值变动在改按成本法核算时转入当期损益。</w:t>
      </w:r>
    </w:p>
    <w:p>
      <w:pPr>
        <w:pStyle w:val="BodyText"/>
        <w:spacing w:line="357" w:lineRule="auto" w:before="30"/>
        <w:ind w:left="558" w:right="97"/>
        <w:jc w:val="left"/>
      </w:pPr>
      <w:r>
        <w:rPr/>
        <w:t>（</w:t>
      </w:r>
      <w:r>
        <w:rPr>
          <w:rFonts w:ascii="宋体" w:hAnsi="宋体" w:cs="宋体" w:eastAsia="宋体" w:hint="default"/>
        </w:rPr>
        <w:t>3</w:t>
      </w:r>
      <w:r>
        <w:rPr/>
        <w:t>）权益法核算转公允价值计量</w:t>
      </w:r>
      <w:r>
        <w:rPr>
          <w:w w:val="100"/>
        </w:rPr>
        <w:t> </w:t>
      </w:r>
      <w:r>
        <w:rPr>
          <w:spacing w:val="-2"/>
        </w:rPr>
        <w:t>本公司因处置部分股权投资等原因丧失了对被投资单位的共同控制或重大影响的，处置后的</w:t>
      </w:r>
    </w:p>
    <w:p>
      <w:pPr>
        <w:pStyle w:val="BodyText"/>
        <w:spacing w:line="355" w:lineRule="auto" w:before="30"/>
        <w:ind w:right="208"/>
        <w:jc w:val="both"/>
      </w:pPr>
      <w:r>
        <w:rPr>
          <w:spacing w:val="-4"/>
        </w:rPr>
        <w:t>剩余股权改按《企业会计准则第</w:t>
      </w:r>
      <w:r>
        <w:rPr>
          <w:spacing w:val="-26"/>
        </w:rPr>
        <w:t> </w:t>
      </w:r>
      <w:r>
        <w:rPr>
          <w:rFonts w:ascii="宋体" w:hAnsi="宋体" w:cs="宋体" w:eastAsia="宋体" w:hint="default"/>
        </w:rPr>
        <w:t>22</w:t>
      </w:r>
      <w:r>
        <w:rPr>
          <w:rFonts w:ascii="宋体" w:hAnsi="宋体" w:cs="宋体" w:eastAsia="宋体" w:hint="default"/>
          <w:spacing w:val="-29"/>
        </w:rPr>
        <w:t> </w:t>
      </w:r>
      <w:r>
        <w:rPr>
          <w:spacing w:val="-4"/>
        </w:rPr>
        <w:t>号——金融工具确认和计量》核算，其在丧失共同控制或重大</w:t>
      </w:r>
      <w:r>
        <w:rPr>
          <w:spacing w:val="-94"/>
        </w:rPr>
        <w:t> </w:t>
      </w:r>
      <w:r>
        <w:rPr>
          <w:spacing w:val="-94"/>
        </w:rPr>
      </w:r>
      <w:r>
        <w:rPr/>
        <w:t>影响之日的公允价值与账面价值之间的差额计入当期损益。</w:t>
      </w:r>
    </w:p>
    <w:p>
      <w:pPr>
        <w:pStyle w:val="BodyText"/>
        <w:spacing w:line="355" w:lineRule="auto" w:before="32"/>
        <w:ind w:right="97" w:firstLine="419"/>
        <w:jc w:val="left"/>
      </w:pPr>
      <w:r>
        <w:rPr>
          <w:spacing w:val="-2"/>
        </w:rPr>
        <w:t>原股权投资因采用权益法核算而确认的其他综合收益，在终止采用权益法核算时采用与被投</w:t>
      </w:r>
      <w:r>
        <w:rPr>
          <w:w w:val="100"/>
        </w:rPr>
        <w:t> </w:t>
      </w:r>
      <w:r>
        <w:rPr/>
        <w:t>资单位直接处置相关资产或负债相同的基础进行会计处理。</w:t>
      </w:r>
    </w:p>
    <w:p>
      <w:pPr>
        <w:pStyle w:val="BodyText"/>
        <w:spacing w:line="357" w:lineRule="auto" w:before="34"/>
        <w:ind w:left="558" w:right="97"/>
        <w:jc w:val="left"/>
      </w:pPr>
      <w:r>
        <w:rPr/>
        <w:t>（</w:t>
      </w:r>
      <w:r>
        <w:rPr>
          <w:rFonts w:ascii="宋体" w:hAnsi="宋体" w:cs="宋体" w:eastAsia="宋体" w:hint="default"/>
        </w:rPr>
        <w:t>4</w:t>
      </w:r>
      <w:r>
        <w:rPr/>
        <w:t>）成本法转权益法</w:t>
      </w:r>
      <w:r>
        <w:rPr>
          <w:w w:val="100"/>
        </w:rPr>
        <w:t> </w:t>
      </w:r>
      <w:r>
        <w:rPr>
          <w:spacing w:val="-4"/>
          <w:w w:val="100"/>
        </w:rPr>
        <w:t>本公司因处置部分权益性投资等原因丧失了对被投资单位的控制的，在编制个别财务报表时，</w:t>
      </w:r>
    </w:p>
    <w:p>
      <w:pPr>
        <w:pStyle w:val="BodyText"/>
        <w:spacing w:line="355" w:lineRule="auto" w:before="30"/>
        <w:ind w:right="217"/>
        <w:jc w:val="both"/>
      </w:pPr>
      <w:r>
        <w:rPr>
          <w:spacing w:val="-2"/>
        </w:rPr>
        <w:t>处置后的剩余股权能够对被投资单位实施共同控制或施加重大影响的，改按权益法核算，并对该</w:t>
      </w:r>
      <w:r>
        <w:rPr>
          <w:spacing w:val="-25"/>
        </w:rPr>
        <w:t> </w:t>
      </w:r>
      <w:r>
        <w:rPr>
          <w:spacing w:val="-25"/>
        </w:rPr>
      </w:r>
      <w:r>
        <w:rPr/>
        <w:t>剩余股权视同自取得时即采用权益法核算进行调整。</w:t>
      </w:r>
    </w:p>
    <w:p>
      <w:pPr>
        <w:pStyle w:val="BodyText"/>
        <w:spacing w:line="357" w:lineRule="auto" w:before="32"/>
        <w:ind w:left="558" w:right="97"/>
        <w:jc w:val="left"/>
      </w:pPr>
      <w:r>
        <w:rPr/>
        <w:t>（</w:t>
      </w:r>
      <w:r>
        <w:rPr>
          <w:rFonts w:ascii="宋体" w:hAnsi="宋体" w:cs="宋体" w:eastAsia="宋体" w:hint="default"/>
        </w:rPr>
        <w:t>5</w:t>
      </w:r>
      <w:r>
        <w:rPr/>
        <w:t>）成本法转公允价值计量</w:t>
      </w:r>
      <w:r>
        <w:rPr>
          <w:w w:val="100"/>
        </w:rPr>
        <w:t> </w:t>
      </w:r>
      <w:r>
        <w:rPr>
          <w:spacing w:val="-4"/>
          <w:w w:val="100"/>
        </w:rPr>
        <w:t>本公司因处置部分权益性投资等原因丧失了对被投资单位的控制的，在编制个别财务报表时，</w:t>
      </w:r>
    </w:p>
    <w:p>
      <w:pPr>
        <w:pStyle w:val="BodyText"/>
        <w:spacing w:line="355" w:lineRule="auto" w:before="30"/>
        <w:ind w:right="208"/>
        <w:jc w:val="both"/>
      </w:pPr>
      <w:r>
        <w:rPr>
          <w:spacing w:val="-3"/>
        </w:rPr>
        <w:t>处置后的剩余股权不能对被投资单位实施共同控制或施加重大影响的，改按《企业会计准则第 </w:t>
      </w:r>
      <w:r>
        <w:rPr>
          <w:rFonts w:ascii="宋体" w:hAnsi="宋体" w:cs="宋体" w:eastAsia="宋体" w:hint="default"/>
        </w:rPr>
        <w:t>22</w:t>
      </w:r>
      <w:r>
        <w:rPr>
          <w:rFonts w:ascii="宋体" w:hAnsi="宋体" w:cs="宋体" w:eastAsia="宋体" w:hint="default"/>
          <w:spacing w:val="-80"/>
        </w:rPr>
        <w:t> </w:t>
      </w:r>
      <w:r>
        <w:rPr>
          <w:spacing w:val="-2"/>
        </w:rPr>
        <w:t>号——金融工具确认和计量》的有关规定进行会计处理，其在丧失控制之日的公允价值与账面价</w:t>
      </w:r>
      <w:r>
        <w:rPr>
          <w:spacing w:val="-26"/>
        </w:rPr>
        <w:t> </w:t>
      </w:r>
      <w:r>
        <w:rPr>
          <w:spacing w:val="-26"/>
        </w:rPr>
      </w:r>
      <w:r>
        <w:rPr/>
        <w:t>值间的差额计入当期损益。</w:t>
      </w:r>
    </w:p>
    <w:p>
      <w:pPr>
        <w:spacing w:line="355" w:lineRule="auto" w:before="35"/>
        <w:ind w:left="558" w:right="97"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、长期股权投资的处置</w:t>
      </w:r>
      <w:r>
        <w:rPr>
          <w:rFonts w:ascii="宋体" w:hAnsi="宋体" w:cs="宋体" w:eastAsia="宋体" w:hint="default"/>
          <w:b/>
          <w:bCs/>
          <w:w w:val="100"/>
          <w:sz w:val="21"/>
          <w:szCs w:val="21"/>
        </w:rPr>
        <w:t> </w:t>
      </w:r>
      <w:r>
        <w:rPr>
          <w:rFonts w:ascii="宋体" w:hAnsi="宋体" w:cs="宋体" w:eastAsia="宋体" w:hint="default"/>
          <w:spacing w:val="-2"/>
          <w:sz w:val="21"/>
          <w:szCs w:val="21"/>
        </w:rPr>
        <w:t>处置长期股权投资，其账面价值与实际取得价款之间的差额，应当计入当期损益。采用权益</w:t>
      </w:r>
    </w:p>
    <w:p>
      <w:pPr>
        <w:pStyle w:val="BodyText"/>
        <w:spacing w:line="355" w:lineRule="auto" w:before="32"/>
        <w:ind w:right="217"/>
        <w:jc w:val="both"/>
      </w:pPr>
      <w:r>
        <w:rPr>
          <w:spacing w:val="-2"/>
        </w:rPr>
        <w:t>法核算的长期股权投资，在处置该项投资时，采用与被投资单位直接处置相关资产或负债相同的</w:t>
      </w:r>
      <w:r>
        <w:rPr>
          <w:spacing w:val="-25"/>
        </w:rPr>
        <w:t> </w:t>
      </w:r>
      <w:r>
        <w:rPr>
          <w:spacing w:val="-25"/>
        </w:rPr>
      </w:r>
      <w:r>
        <w:rPr/>
        <w:t>基础，按相应比例对原计入其他综合收益的部分进行会计处理。</w:t>
      </w:r>
    </w:p>
    <w:p>
      <w:pPr>
        <w:pStyle w:val="BodyText"/>
        <w:spacing w:line="357" w:lineRule="auto" w:before="32"/>
        <w:ind w:right="97" w:firstLine="419"/>
        <w:jc w:val="left"/>
      </w:pPr>
      <w:r>
        <w:rPr>
          <w:spacing w:val="-2"/>
        </w:rPr>
        <w:t>处置对子公司股权投资的各项交易的条款、条件以及经济影响符合以下一种或多种情况，将</w:t>
      </w:r>
      <w:r>
        <w:rPr>
          <w:w w:val="100"/>
        </w:rPr>
        <w:t> </w:t>
      </w:r>
      <w:r>
        <w:rPr/>
        <w:t>多次交易事项作为一揽子交易进行会计处理：</w:t>
      </w:r>
    </w:p>
    <w:p>
      <w:pPr>
        <w:pStyle w:val="BodyText"/>
        <w:spacing w:line="240" w:lineRule="auto" w:before="30"/>
        <w:ind w:left="558" w:right="97"/>
        <w:jc w:val="left"/>
      </w:pPr>
      <w:r>
        <w:rPr/>
        <w:t>（</w:t>
      </w:r>
      <w:r>
        <w:rPr>
          <w:rFonts w:ascii="宋体" w:hAnsi="宋体" w:cs="宋体" w:eastAsia="宋体" w:hint="default"/>
        </w:rPr>
        <w:t>1</w:t>
      </w:r>
      <w:r>
        <w:rPr/>
        <w:t>）这些交易是同时或者在考虑了彼此影响的情况下订立的；</w:t>
      </w:r>
    </w:p>
    <w:p>
      <w:pPr>
        <w:pStyle w:val="BodyText"/>
        <w:spacing w:line="240" w:lineRule="auto" w:before="133"/>
        <w:ind w:left="558" w:right="97"/>
        <w:jc w:val="left"/>
      </w:pPr>
      <w:r>
        <w:rPr/>
        <w:t>（</w:t>
      </w:r>
      <w:r>
        <w:rPr>
          <w:rFonts w:ascii="宋体" w:hAnsi="宋体" w:cs="宋体" w:eastAsia="宋体" w:hint="default"/>
        </w:rPr>
        <w:t>2</w:t>
      </w:r>
      <w:r>
        <w:rPr/>
        <w:t>）这些交易整体才能达成一项完整的商业结果；</w:t>
      </w:r>
    </w:p>
    <w:p>
      <w:pPr>
        <w:pStyle w:val="BodyText"/>
        <w:spacing w:line="240" w:lineRule="auto" w:before="133"/>
        <w:ind w:left="558" w:right="97"/>
        <w:jc w:val="left"/>
      </w:pPr>
      <w:r>
        <w:rPr/>
        <w:t>（</w:t>
      </w:r>
      <w:r>
        <w:rPr>
          <w:rFonts w:ascii="宋体" w:hAnsi="宋体" w:cs="宋体" w:eastAsia="宋体" w:hint="default"/>
        </w:rPr>
        <w:t>3</w:t>
      </w:r>
      <w:r>
        <w:rPr/>
        <w:t>）一项交易的发生取决于其他至少一项交易的发生；</w:t>
      </w:r>
    </w:p>
    <w:p>
      <w:pPr>
        <w:pStyle w:val="BodyText"/>
        <w:spacing w:line="240" w:lineRule="auto" w:before="135"/>
        <w:ind w:left="558" w:right="97"/>
        <w:jc w:val="left"/>
      </w:pPr>
      <w:r>
        <w:rPr/>
        <w:t>（</w:t>
      </w:r>
      <w:r>
        <w:rPr>
          <w:rFonts w:ascii="宋体" w:hAnsi="宋体" w:cs="宋体" w:eastAsia="宋体" w:hint="default"/>
        </w:rPr>
        <w:t>4</w:t>
      </w:r>
      <w:r>
        <w:rPr/>
        <w:t>）一项交易单独看是不经济的，但是和其他交易一并考虑时是经济的。</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217" w:firstLine="419"/>
        <w:jc w:val="both"/>
      </w:pPr>
      <w:r>
        <w:rPr>
          <w:spacing w:val="-2"/>
        </w:rPr>
        <w:t>因处置部分股权投资或其他原因丧失了对原有子公司控制权的，不属于一揽子交易的，应当</w:t>
      </w:r>
      <w:r>
        <w:rPr>
          <w:w w:val="100"/>
        </w:rPr>
        <w:t> </w:t>
      </w:r>
      <w:r>
        <w:rPr/>
        <w:t>区分个别财务报表和合并财务报表进行相关会计处理：</w:t>
      </w:r>
    </w:p>
    <w:p>
      <w:pPr>
        <w:pStyle w:val="BodyText"/>
        <w:spacing w:line="357" w:lineRule="auto" w:before="30"/>
        <w:ind w:right="208" w:firstLine="419"/>
        <w:jc w:val="both"/>
      </w:pPr>
      <w:r>
        <w:rPr>
          <w:spacing w:val="-4"/>
        </w:rPr>
        <w:t>（</w:t>
      </w:r>
      <w:r>
        <w:rPr>
          <w:rFonts w:ascii="宋体" w:hAnsi="宋体" w:cs="宋体" w:eastAsia="宋体" w:hint="default"/>
          <w:spacing w:val="-4"/>
        </w:rPr>
        <w:t>1</w:t>
      </w:r>
      <w:r>
        <w:rPr>
          <w:spacing w:val="-4"/>
        </w:rPr>
        <w:t>）在个别财务报表中，对于处置的股权，其账面价值与实际取得价款之间的差额计入当期</w:t>
      </w:r>
      <w:r>
        <w:rPr>
          <w:w w:val="100"/>
        </w:rPr>
        <w:t> </w:t>
      </w:r>
      <w:r>
        <w:rPr>
          <w:spacing w:val="-2"/>
        </w:rPr>
        <w:t>损益。处置后的剩余股权能够对被投资单位实施共同控制或施加重大影响的，改按权益法核算，</w:t>
      </w:r>
      <w:r>
        <w:rPr>
          <w:spacing w:val="-25"/>
        </w:rPr>
        <w:t> </w:t>
      </w:r>
      <w:r>
        <w:rPr>
          <w:spacing w:val="-25"/>
        </w:rPr>
      </w:r>
      <w:r>
        <w:rPr>
          <w:spacing w:val="-2"/>
        </w:rPr>
        <w:t>并对该剩余股权视同自取得时即采用权益法核算进行调整；处置后的剩余股权不能对被投资单位</w:t>
      </w:r>
      <w:r>
        <w:rPr>
          <w:spacing w:val="-25"/>
        </w:rPr>
        <w:t> </w:t>
      </w:r>
      <w:r>
        <w:rPr>
          <w:spacing w:val="-25"/>
        </w:rPr>
      </w:r>
      <w:r>
        <w:rPr>
          <w:spacing w:val="-4"/>
        </w:rPr>
        <w:t>实施共同控制或施加重大影响的，改按《企业会计准则第</w:t>
      </w:r>
      <w:r>
        <w:rPr>
          <w:spacing w:val="-25"/>
        </w:rPr>
        <w:t> </w:t>
      </w:r>
      <w:r>
        <w:rPr>
          <w:rFonts w:ascii="宋体" w:hAnsi="宋体" w:cs="宋体" w:eastAsia="宋体" w:hint="default"/>
        </w:rPr>
        <w:t>22</w:t>
      </w:r>
      <w:r>
        <w:rPr>
          <w:rFonts w:ascii="宋体" w:hAnsi="宋体" w:cs="宋体" w:eastAsia="宋体" w:hint="default"/>
          <w:spacing w:val="-29"/>
        </w:rPr>
        <w:t> </w:t>
      </w:r>
      <w:r>
        <w:rPr>
          <w:spacing w:val="-4"/>
        </w:rPr>
        <w:t>号——金融工具确认和计量》的有关</w:t>
      </w:r>
      <w:r>
        <w:rPr>
          <w:spacing w:val="-95"/>
        </w:rPr>
        <w:t> </w:t>
      </w:r>
      <w:r>
        <w:rPr>
          <w:spacing w:val="-95"/>
        </w:rPr>
      </w:r>
      <w:r>
        <w:rPr/>
        <w:t>规定进行会计处理，其在丧失控制之日的公允价值与账面价值间的差额计入当期损益。</w:t>
      </w:r>
    </w:p>
    <w:p>
      <w:pPr>
        <w:pStyle w:val="BodyText"/>
        <w:spacing w:line="357" w:lineRule="auto" w:before="30"/>
        <w:ind w:right="208" w:firstLine="419"/>
        <w:jc w:val="both"/>
      </w:pPr>
      <w:r>
        <w:rPr>
          <w:spacing w:val="-4"/>
        </w:rPr>
        <w:t>（</w:t>
      </w:r>
      <w:r>
        <w:rPr>
          <w:rFonts w:ascii="宋体" w:hAnsi="宋体" w:cs="宋体" w:eastAsia="宋体" w:hint="default"/>
          <w:spacing w:val="-4"/>
        </w:rPr>
        <w:t>2</w:t>
      </w:r>
      <w:r>
        <w:rPr>
          <w:spacing w:val="-4"/>
        </w:rPr>
        <w:t>）在合并财务报表中，对于在丧失对子公司控制权以前的各项交易，处置价款与处置长期</w:t>
      </w:r>
      <w:r>
        <w:rPr>
          <w:w w:val="100"/>
        </w:rPr>
        <w:t> </w:t>
      </w:r>
      <w:r>
        <w:rPr>
          <w:spacing w:val="-2"/>
        </w:rPr>
        <w:t>股权投资相应对享有子公司自购买日或合并日开始持续计算的净资产份额之间的差额，调整资本</w:t>
      </w:r>
      <w:r>
        <w:rPr>
          <w:spacing w:val="-25"/>
        </w:rPr>
        <w:t> </w:t>
      </w:r>
      <w:r>
        <w:rPr>
          <w:spacing w:val="-25"/>
        </w:rPr>
      </w:r>
      <w:r>
        <w:rPr>
          <w:spacing w:val="-2"/>
        </w:rPr>
        <w:t>公积（股本溢价），资本公积不足冲减的，调整留存收益；在丧失对子公司控制权时，对于剩余</w:t>
      </w:r>
      <w:r>
        <w:rPr>
          <w:spacing w:val="-25"/>
        </w:rPr>
        <w:t> </w:t>
      </w:r>
      <w:r>
        <w:rPr>
          <w:spacing w:val="-25"/>
        </w:rPr>
      </w:r>
      <w:r>
        <w:rPr>
          <w:spacing w:val="-2"/>
        </w:rPr>
        <w:t>股权，按照其在丧失控制权日的公允价值进行重新计量。处置股权取得的对价与剩余股权公允价</w:t>
      </w:r>
      <w:r>
        <w:rPr>
          <w:spacing w:val="-25"/>
        </w:rPr>
        <w:t> </w:t>
      </w:r>
      <w:r>
        <w:rPr>
          <w:spacing w:val="-25"/>
        </w:rPr>
      </w:r>
      <w:r>
        <w:rPr>
          <w:spacing w:val="-2"/>
        </w:rPr>
        <w:t>值之和，减去按原持股比例计算应享有原有子公司自购买日开始持续计算的净资产的份额之间的</w:t>
      </w:r>
      <w:r>
        <w:rPr>
          <w:spacing w:val="-25"/>
        </w:rPr>
        <w:t> </w:t>
      </w:r>
      <w:r>
        <w:rPr>
          <w:spacing w:val="-25"/>
        </w:rPr>
      </w:r>
      <w:r>
        <w:rPr>
          <w:spacing w:val="-2"/>
        </w:rPr>
        <w:t>差额，计入丧失控制权当期的投资收益，同时冲减商誉。与原有子公司股权投资相关的其他综合</w:t>
      </w:r>
      <w:r>
        <w:rPr>
          <w:spacing w:val="-25"/>
        </w:rPr>
        <w:t> </w:t>
      </w:r>
      <w:r>
        <w:rPr>
          <w:spacing w:val="-25"/>
        </w:rPr>
      </w:r>
      <w:r>
        <w:rPr/>
        <w:t>收益等，在丧失控制权时转为当期投资收益。</w:t>
      </w:r>
    </w:p>
    <w:p>
      <w:pPr>
        <w:pStyle w:val="BodyText"/>
        <w:spacing w:line="357" w:lineRule="auto" w:before="30"/>
        <w:ind w:right="217" w:firstLine="419"/>
        <w:jc w:val="both"/>
      </w:pPr>
      <w:r>
        <w:rPr>
          <w:spacing w:val="-2"/>
        </w:rPr>
        <w:t>处置对子公司股权投资直至丧失控制权的各项交易属于一揽子交易的，将各项交易作为一项</w:t>
      </w:r>
      <w:r>
        <w:rPr>
          <w:w w:val="100"/>
        </w:rPr>
        <w:t> </w:t>
      </w:r>
      <w:r>
        <w:rPr>
          <w:spacing w:val="-2"/>
        </w:rPr>
        <w:t>处置子公司股权投资并丧失控制权的交易进行会计处理，区分个别财务报表和合并财务报表进行</w:t>
      </w:r>
      <w:r>
        <w:rPr>
          <w:spacing w:val="-26"/>
        </w:rPr>
        <w:t> </w:t>
      </w:r>
      <w:r>
        <w:rPr>
          <w:spacing w:val="-26"/>
        </w:rPr>
      </w:r>
      <w:r>
        <w:rPr/>
        <w:t>相关会计处理：</w:t>
      </w:r>
    </w:p>
    <w:p>
      <w:pPr>
        <w:pStyle w:val="BodyText"/>
        <w:spacing w:line="355" w:lineRule="auto" w:before="30"/>
        <w:ind w:right="208" w:firstLine="419"/>
        <w:jc w:val="both"/>
      </w:pPr>
      <w:r>
        <w:rPr>
          <w:spacing w:val="-4"/>
        </w:rPr>
        <w:t>（</w:t>
      </w:r>
      <w:r>
        <w:rPr>
          <w:rFonts w:ascii="宋体" w:hAnsi="宋体" w:cs="宋体" w:eastAsia="宋体" w:hint="default"/>
          <w:spacing w:val="-4"/>
        </w:rPr>
        <w:t>1</w:t>
      </w:r>
      <w:r>
        <w:rPr>
          <w:spacing w:val="-4"/>
        </w:rPr>
        <w:t>）在个别财务报表中，在丧失控制权之前每一次处置价款与处置的股权对应的长期股权投</w:t>
      </w:r>
      <w:r>
        <w:rPr>
          <w:w w:val="100"/>
        </w:rPr>
        <w:t> </w:t>
      </w:r>
      <w:r>
        <w:rPr>
          <w:spacing w:val="-6"/>
          <w:w w:val="100"/>
        </w:rPr>
        <w:t>资账面价值之间的差额，确认为其他综合收益，在丧失控制权时一并转入丧失控制权当期的损益。</w:t>
      </w:r>
    </w:p>
    <w:p>
      <w:pPr>
        <w:pStyle w:val="BodyText"/>
        <w:spacing w:line="357" w:lineRule="auto" w:before="32"/>
        <w:ind w:right="208" w:firstLine="419"/>
        <w:jc w:val="both"/>
      </w:pPr>
      <w:r>
        <w:rPr>
          <w:spacing w:val="-4"/>
        </w:rPr>
        <w:t>（</w:t>
      </w:r>
      <w:r>
        <w:rPr>
          <w:rFonts w:ascii="宋体" w:hAnsi="宋体" w:cs="宋体" w:eastAsia="宋体" w:hint="default"/>
          <w:spacing w:val="-4"/>
        </w:rPr>
        <w:t>2</w:t>
      </w:r>
      <w:r>
        <w:rPr>
          <w:spacing w:val="-4"/>
        </w:rPr>
        <w:t>）在合并财务报表中，在丧失控制权之前每一次处置价款与处置投资对应的享有该子公司</w:t>
      </w:r>
      <w:r>
        <w:rPr>
          <w:w w:val="100"/>
        </w:rPr>
        <w:t> </w:t>
      </w:r>
      <w:r>
        <w:rPr/>
        <w:t>净资产份额的差额，确认为其他综合收益，在丧失控制权时一并转入丧失控制权当期的损益。</w:t>
      </w:r>
    </w:p>
    <w:p>
      <w:pPr>
        <w:spacing w:line="355" w:lineRule="auto" w:before="30"/>
        <w:ind w:left="558" w:right="97"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如果本公司按照相关约定与其他参与方集体控制某项安排，并且对该安排回报具有重大影响</w:t>
      </w:r>
    </w:p>
    <w:p>
      <w:pPr>
        <w:pStyle w:val="BodyText"/>
        <w:spacing w:line="360" w:lineRule="auto" w:before="32"/>
        <w:ind w:right="97"/>
        <w:jc w:val="left"/>
      </w:pPr>
      <w:r>
        <w:rPr>
          <w:spacing w:val="-2"/>
        </w:rPr>
        <w:t>的活动决策，需要经过分享控制权的参与方一致同意时才存在，则视为本公司与其他参与方共同</w:t>
      </w:r>
      <w:r>
        <w:rPr>
          <w:spacing w:val="-25"/>
        </w:rPr>
        <w:t> </w:t>
      </w:r>
      <w:r>
        <w:rPr>
          <w:spacing w:val="-25"/>
        </w:rPr>
      </w:r>
      <w:r>
        <w:rPr/>
        <w:t>控制某项安排，该安排即属于合营安排。</w:t>
      </w:r>
    </w:p>
    <w:p>
      <w:pPr>
        <w:pStyle w:val="BodyText"/>
        <w:spacing w:line="355" w:lineRule="auto" w:before="28"/>
        <w:ind w:right="97" w:firstLine="419"/>
        <w:jc w:val="left"/>
      </w:pPr>
      <w:r>
        <w:rPr>
          <w:spacing w:val="-4"/>
          <w:w w:val="100"/>
        </w:rPr>
        <w:t>合营安排通过单独主体达成的，根据相关约定判断本公司对该单独主体的净资产享有权利时，</w:t>
      </w:r>
      <w:r>
        <w:rPr>
          <w:w w:val="100"/>
        </w:rPr>
        <w:t> </w:t>
      </w:r>
      <w:r>
        <w:rPr/>
        <w:t>将该单独主体作为合营企业，采用权益法核算。若根据相关约定判断本公司并非对该单独主体的</w:t>
      </w:r>
      <w:r>
        <w:rPr>
          <w:w w:val="100"/>
        </w:rPr>
        <w:t> </w:t>
      </w:r>
      <w:r>
        <w:rPr/>
        <w:t>净资产享有权利时，该单独主体作为共同经营，本公司确认与共同经营利益份额相关的项目，并</w:t>
      </w:r>
      <w:r>
        <w:rPr>
          <w:w w:val="100"/>
        </w:rPr>
        <w:t> </w:t>
      </w:r>
      <w:r>
        <w:rPr/>
        <w:t>按照相关企业会计准则的规定进行会计处理。</w:t>
      </w:r>
    </w:p>
    <w:p>
      <w:pPr>
        <w:pStyle w:val="BodyText"/>
        <w:spacing w:line="357" w:lineRule="auto" w:before="34"/>
        <w:ind w:right="208" w:firstLine="419"/>
        <w:jc w:val="both"/>
      </w:pPr>
      <w:r>
        <w:rPr>
          <w:spacing w:val="-2"/>
        </w:rPr>
        <w:t>重大影响，是指投资方对被投资单位的财务和经营政策有参与决策的权力，但并不能够控制</w:t>
      </w:r>
      <w:r>
        <w:rPr>
          <w:w w:val="100"/>
        </w:rPr>
        <w:t> </w:t>
      </w:r>
      <w:r>
        <w:rPr>
          <w:spacing w:val="-2"/>
        </w:rPr>
        <w:t>或者与其他方一起共同控制这些政策的制定。本公司通过以下一种或多种情形，并综合考虑所有</w:t>
      </w:r>
      <w:r>
        <w:rPr>
          <w:spacing w:val="-25"/>
        </w:rPr>
        <w:t> </w:t>
      </w:r>
      <w:r>
        <w:rPr>
          <w:spacing w:val="-25"/>
        </w:rPr>
      </w:r>
      <w:r>
        <w:rPr>
          <w:spacing w:val="-4"/>
        </w:rPr>
        <w:t>事实和情况后，判断对被投资单位具有重大影响。（</w:t>
      </w:r>
      <w:r>
        <w:rPr>
          <w:rFonts w:ascii="宋体" w:hAnsi="宋体" w:cs="宋体" w:eastAsia="宋体" w:hint="default"/>
          <w:spacing w:val="-4"/>
        </w:rPr>
        <w:t>1</w:t>
      </w:r>
      <w:r>
        <w:rPr>
          <w:spacing w:val="-4"/>
        </w:rPr>
        <w:t>）在被投资单位的董事会或类似权力机构中</w:t>
      </w:r>
      <w:r>
        <w:rPr>
          <w:spacing w:val="-33"/>
        </w:rPr>
        <w:t> </w:t>
      </w:r>
      <w:r>
        <w:rPr>
          <w:spacing w:val="-33"/>
        </w:rPr>
      </w:r>
      <w:r>
        <w:rPr>
          <w:spacing w:val="-2"/>
        </w:rPr>
        <w:t>派有代表；（</w:t>
      </w:r>
      <w:r>
        <w:rPr>
          <w:rFonts w:ascii="宋体" w:hAnsi="宋体" w:cs="宋体" w:eastAsia="宋体" w:hint="default"/>
          <w:spacing w:val="-2"/>
        </w:rPr>
        <w:t>2</w:t>
      </w:r>
      <w:r>
        <w:rPr>
          <w:spacing w:val="-2"/>
        </w:rPr>
        <w:t>）参与被投资单位财务和经营政策制定过程；（</w:t>
      </w:r>
      <w:r>
        <w:rPr>
          <w:rFonts w:ascii="宋体" w:hAnsi="宋体" w:cs="宋体" w:eastAsia="宋体" w:hint="default"/>
          <w:spacing w:val="-2"/>
        </w:rPr>
        <w:t>3</w:t>
      </w:r>
      <w:r>
        <w:rPr>
          <w:spacing w:val="-2"/>
        </w:rPr>
        <w:t>）与被投资单位之间发生重要交</w:t>
      </w:r>
      <w:r>
        <w:rPr>
          <w:spacing w:val="-30"/>
        </w:rPr>
        <w:t> </w:t>
      </w:r>
      <w:r>
        <w:rPr>
          <w:spacing w:val="-30"/>
        </w:rPr>
      </w:r>
      <w:r>
        <w:rPr/>
        <w:t>易；（</w:t>
      </w:r>
      <w:r>
        <w:rPr>
          <w:rFonts w:ascii="宋体" w:hAnsi="宋体" w:cs="宋体" w:eastAsia="宋体" w:hint="default"/>
        </w:rPr>
        <w:t>4</w:t>
      </w:r>
      <w:r>
        <w:rPr/>
        <w:t>）向被投资单位派出管理人员；（</w:t>
      </w:r>
      <w:r>
        <w:rPr>
          <w:rFonts w:ascii="宋体" w:hAnsi="宋体" w:cs="宋体" w:eastAsia="宋体" w:hint="default"/>
        </w:rPr>
        <w:t>5</w:t>
      </w:r>
      <w:r>
        <w:rPr/>
        <w:t>）向被投资单位提供关键技术资料。</w:t>
      </w:r>
    </w:p>
    <w:p>
      <w:pPr>
        <w:spacing w:after="0" w:line="357"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3"/>
        <w:spacing w:line="266" w:lineRule="auto"/>
        <w:ind w:right="7781"/>
        <w:jc w:val="left"/>
        <w:rPr>
          <w:b w:val="0"/>
          <w:bCs w:val="0"/>
        </w:rPr>
      </w:pPr>
      <w:r>
        <w:rPr>
          <w:rFonts w:ascii="Calibri" w:hAnsi="Calibri" w:cs="Calibri" w:eastAsia="Calibri" w:hint="default"/>
        </w:rPr>
        <w:t>12.</w:t>
      </w:r>
      <w:r>
        <w:rPr>
          <w:rFonts w:ascii="Calibri" w:hAnsi="Calibri" w:cs="Calibri" w:eastAsia="Calibri" w:hint="default"/>
          <w:spacing w:val="13"/>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357" w:lineRule="auto" w:before="33"/>
        <w:ind w:left="218" w:right="96" w:firstLine="419"/>
        <w:jc w:val="left"/>
      </w:pPr>
      <w:r>
        <w:rPr>
          <w:spacing w:val="-2"/>
        </w:rPr>
        <w:t>固定资产指为生产商品、提供劳务、出租或经营管理而持有，并且使用寿命超过一个会计年</w:t>
      </w:r>
      <w:r>
        <w:rPr>
          <w:w w:val="100"/>
        </w:rPr>
        <w:t> </w:t>
      </w:r>
      <w:r>
        <w:rPr/>
        <w:t>度的有形资产。固定资产在同时满足下列条件时予以确认：</w:t>
      </w:r>
    </w:p>
    <w:p>
      <w:pPr>
        <w:pStyle w:val="BodyText"/>
        <w:spacing w:line="240" w:lineRule="auto" w:before="30"/>
        <w:ind w:left="638" w:right="2465"/>
        <w:jc w:val="left"/>
      </w:pPr>
      <w:r>
        <w:rPr/>
        <w:t>（</w:t>
      </w:r>
      <w:r>
        <w:rPr>
          <w:rFonts w:ascii="宋体" w:hAnsi="宋体" w:cs="宋体" w:eastAsia="宋体" w:hint="default"/>
        </w:rPr>
        <w:t>1</w:t>
      </w:r>
      <w:r>
        <w:rPr/>
        <w:t>）与该固定资产有关的经济利益很可能流入企业；</w:t>
      </w:r>
    </w:p>
    <w:p>
      <w:pPr>
        <w:spacing w:line="290" w:lineRule="auto" w:before="133"/>
        <w:ind w:left="218" w:right="5063"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）该固定资产的成本能够可靠地计量。</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4.75-2.38</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10-16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9.50-5.94</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11.88</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19.00-11.88</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31.67-19.00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line="290" w:lineRule="auto" w:before="36"/>
        <w:ind w:left="638" w:right="96"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当本公司租入的固定资产符合下列一项或数项标准时，确认为融资租入固定资产：</w:t>
      </w:r>
    </w:p>
    <w:p>
      <w:pPr>
        <w:pStyle w:val="BodyText"/>
        <w:spacing w:line="240" w:lineRule="auto" w:before="89"/>
        <w:ind w:left="638" w:right="2465"/>
        <w:jc w:val="left"/>
      </w:pPr>
      <w:r>
        <w:rPr/>
        <w:t>（</w:t>
      </w:r>
      <w:r>
        <w:rPr>
          <w:rFonts w:ascii="宋体" w:hAnsi="宋体" w:cs="宋体" w:eastAsia="宋体" w:hint="default"/>
        </w:rPr>
        <w:t>1</w:t>
      </w:r>
      <w:r>
        <w:rPr/>
        <w:t>）在租赁期届满时，租赁资产的所有权转移给本公司。</w:t>
      </w:r>
    </w:p>
    <w:p>
      <w:pPr>
        <w:pStyle w:val="BodyText"/>
        <w:spacing w:line="355" w:lineRule="auto" w:before="133"/>
        <w:ind w:left="218" w:right="228" w:firstLine="419"/>
        <w:jc w:val="both"/>
      </w:pPr>
      <w:r>
        <w:rPr>
          <w:spacing w:val="-4"/>
        </w:rPr>
        <w:t>（</w:t>
      </w:r>
      <w:r>
        <w:rPr>
          <w:rFonts w:ascii="宋体" w:hAnsi="宋体" w:cs="宋体" w:eastAsia="宋体" w:hint="default"/>
          <w:spacing w:val="-4"/>
        </w:rPr>
        <w:t>2</w:t>
      </w:r>
      <w:r>
        <w:rPr>
          <w:spacing w:val="-4"/>
        </w:rPr>
        <w:t>）本公司有购买租赁资产的选择权，所订立的购买价款预计将远低于行使选择权时租赁资</w:t>
      </w:r>
      <w:r>
        <w:rPr>
          <w:w w:val="100"/>
        </w:rPr>
        <w:t> </w:t>
      </w:r>
      <w:r>
        <w:rPr/>
        <w:t>产的公允价值，因而在租赁开始日就可以合理确定本公司将会行使这种选择权。</w:t>
      </w:r>
    </w:p>
    <w:p>
      <w:pPr>
        <w:pStyle w:val="BodyText"/>
        <w:spacing w:line="240" w:lineRule="auto" w:before="34"/>
        <w:ind w:left="638" w:right="96"/>
        <w:jc w:val="left"/>
      </w:pPr>
      <w:r>
        <w:rPr/>
        <w:t>（</w:t>
      </w:r>
      <w:r>
        <w:rPr>
          <w:rFonts w:ascii="宋体" w:hAnsi="宋体" w:cs="宋体" w:eastAsia="宋体" w:hint="default"/>
        </w:rPr>
        <w:t>3</w:t>
      </w:r>
      <w:r>
        <w:rPr/>
        <w:t>）即使资产的所有权不转移，但租赁期占租赁资产使用寿命的大部分。</w:t>
      </w:r>
    </w:p>
    <w:p>
      <w:pPr>
        <w:pStyle w:val="BodyText"/>
        <w:spacing w:line="240" w:lineRule="auto" w:before="133"/>
        <w:ind w:left="638" w:right="96"/>
        <w:jc w:val="left"/>
      </w:pPr>
      <w:r>
        <w:rPr>
          <w:w w:val="100"/>
        </w:rPr>
        <w:t>（</w:t>
      </w:r>
      <w:r>
        <w:rPr>
          <w:rFonts w:ascii="宋体" w:hAnsi="宋体" w:cs="宋体" w:eastAsia="宋体" w:hint="default"/>
          <w:w w:val="100"/>
        </w:rPr>
        <w:t>4</w:t>
      </w:r>
      <w:r>
        <w:rPr>
          <w:spacing w:val="-101"/>
          <w:w w:val="100"/>
        </w:rPr>
        <w:t>）</w:t>
      </w:r>
      <w:r>
        <w:rPr>
          <w:w w:val="100"/>
        </w:rPr>
        <w:t>本</w:t>
      </w:r>
      <w:r>
        <w:rPr>
          <w:spacing w:val="-3"/>
          <w:w w:val="100"/>
        </w:rPr>
        <w:t>公</w:t>
      </w:r>
      <w:r>
        <w:rPr>
          <w:w w:val="100"/>
        </w:rPr>
        <w:t>司</w:t>
      </w:r>
      <w:r>
        <w:rPr>
          <w:spacing w:val="-3"/>
          <w:w w:val="100"/>
        </w:rPr>
        <w:t>在</w:t>
      </w:r>
      <w:r>
        <w:rPr>
          <w:w w:val="100"/>
        </w:rPr>
        <w:t>租</w:t>
      </w:r>
      <w:r>
        <w:rPr>
          <w:spacing w:val="-3"/>
          <w:w w:val="100"/>
        </w:rPr>
        <w:t>赁</w:t>
      </w:r>
      <w:r>
        <w:rPr>
          <w:w w:val="100"/>
        </w:rPr>
        <w:t>开</w:t>
      </w:r>
      <w:r>
        <w:rPr>
          <w:spacing w:val="-3"/>
          <w:w w:val="100"/>
        </w:rPr>
        <w:t>始日</w:t>
      </w:r>
      <w:r>
        <w:rPr>
          <w:w w:val="100"/>
        </w:rPr>
        <w:t>的最</w:t>
      </w:r>
      <w:r>
        <w:rPr>
          <w:spacing w:val="-3"/>
          <w:w w:val="100"/>
        </w:rPr>
        <w:t>低</w:t>
      </w:r>
      <w:r>
        <w:rPr>
          <w:w w:val="100"/>
        </w:rPr>
        <w:t>租</w:t>
      </w:r>
      <w:r>
        <w:rPr>
          <w:spacing w:val="-3"/>
          <w:w w:val="100"/>
        </w:rPr>
        <w:t>赁</w:t>
      </w:r>
      <w:r>
        <w:rPr>
          <w:w w:val="100"/>
        </w:rPr>
        <w:t>付</w:t>
      </w:r>
      <w:r>
        <w:rPr>
          <w:spacing w:val="-3"/>
          <w:w w:val="100"/>
        </w:rPr>
        <w:t>款</w:t>
      </w:r>
      <w:r>
        <w:rPr>
          <w:w w:val="100"/>
        </w:rPr>
        <w:t>额</w:t>
      </w:r>
      <w:r>
        <w:rPr>
          <w:spacing w:val="-3"/>
          <w:w w:val="100"/>
        </w:rPr>
        <w:t>现</w:t>
      </w:r>
      <w:r>
        <w:rPr>
          <w:w w:val="100"/>
        </w:rPr>
        <w:t>值</w:t>
      </w:r>
      <w:r>
        <w:rPr>
          <w:spacing w:val="-101"/>
          <w:w w:val="100"/>
        </w:rPr>
        <w:t>，</w:t>
      </w:r>
      <w:r>
        <w:rPr>
          <w:spacing w:val="-3"/>
          <w:w w:val="100"/>
        </w:rPr>
        <w:t>几</w:t>
      </w:r>
      <w:r>
        <w:rPr>
          <w:w w:val="100"/>
        </w:rPr>
        <w:t>乎相</w:t>
      </w:r>
      <w:r>
        <w:rPr>
          <w:spacing w:val="-3"/>
          <w:w w:val="100"/>
        </w:rPr>
        <w:t>当</w:t>
      </w:r>
      <w:r>
        <w:rPr>
          <w:w w:val="100"/>
        </w:rPr>
        <w:t>于</w:t>
      </w:r>
      <w:r>
        <w:rPr>
          <w:spacing w:val="-3"/>
          <w:w w:val="100"/>
        </w:rPr>
        <w:t>租</w:t>
      </w:r>
      <w:r>
        <w:rPr>
          <w:w w:val="100"/>
        </w:rPr>
        <w:t>赁</w:t>
      </w:r>
      <w:r>
        <w:rPr>
          <w:spacing w:val="-3"/>
          <w:w w:val="100"/>
        </w:rPr>
        <w:t>开</w:t>
      </w:r>
      <w:r>
        <w:rPr>
          <w:w w:val="100"/>
        </w:rPr>
        <w:t>始</w:t>
      </w:r>
      <w:r>
        <w:rPr>
          <w:spacing w:val="-3"/>
          <w:w w:val="100"/>
        </w:rPr>
        <w:t>日</w:t>
      </w:r>
      <w:r>
        <w:rPr>
          <w:w w:val="100"/>
        </w:rPr>
        <w:t>租</w:t>
      </w:r>
      <w:r>
        <w:rPr>
          <w:spacing w:val="-3"/>
          <w:w w:val="100"/>
        </w:rPr>
        <w:t>赁</w:t>
      </w:r>
      <w:r>
        <w:rPr>
          <w:w w:val="100"/>
        </w:rPr>
        <w:t>资产</w:t>
      </w:r>
      <w:r>
        <w:rPr>
          <w:spacing w:val="-3"/>
          <w:w w:val="100"/>
        </w:rPr>
        <w:t>公</w:t>
      </w:r>
      <w:r>
        <w:rPr>
          <w:w w:val="100"/>
        </w:rPr>
        <w:t>允</w:t>
      </w:r>
      <w:r>
        <w:rPr>
          <w:spacing w:val="-3"/>
          <w:w w:val="100"/>
        </w:rPr>
        <w:t>价值</w:t>
      </w:r>
      <w:r>
        <w:rPr>
          <w:w w:val="100"/>
        </w:rPr>
        <w:t>。</w:t>
      </w:r>
    </w:p>
    <w:p>
      <w:pPr>
        <w:pStyle w:val="BodyText"/>
        <w:spacing w:line="355" w:lineRule="auto" w:before="133"/>
        <w:ind w:left="638" w:right="96"/>
        <w:jc w:val="left"/>
      </w:pPr>
      <w:r>
        <w:rPr/>
        <w:t>（</w:t>
      </w:r>
      <w:r>
        <w:rPr>
          <w:rFonts w:ascii="宋体" w:hAnsi="宋体" w:cs="宋体" w:eastAsia="宋体" w:hint="default"/>
        </w:rPr>
        <w:t>5</w:t>
      </w:r>
      <w:r>
        <w:rPr/>
        <w:t>）租赁资产性质特殊，如果不作较大改造，只有本公司才能使用。</w:t>
      </w:r>
      <w:r>
        <w:rPr>
          <w:w w:val="100"/>
        </w:rPr>
        <w:t> </w:t>
      </w:r>
      <w:r>
        <w:rPr>
          <w:spacing w:val="-2"/>
        </w:rPr>
        <w:t>融资租赁租入的固定资产，按租赁开始日租赁资产公允价值与最低租赁付款额的现值两者中</w:t>
      </w:r>
    </w:p>
    <w:p>
      <w:pPr>
        <w:pStyle w:val="BodyText"/>
        <w:spacing w:line="357" w:lineRule="auto" w:before="34"/>
        <w:ind w:left="218" w:right="228"/>
        <w:jc w:val="both"/>
      </w:pPr>
      <w:r>
        <w:rPr>
          <w:spacing w:val="-1"/>
        </w:rPr>
        <w:t>较低者，作为入账价值。最低租赁付款额作为长期应付款的入账价值，其差额作为未确认融资费</w:t>
      </w:r>
      <w:r>
        <w:rPr>
          <w:spacing w:val="-55"/>
        </w:rPr>
        <w:t> </w:t>
      </w:r>
      <w:r>
        <w:rPr>
          <w:spacing w:val="-55"/>
        </w:rPr>
      </w:r>
      <w:r>
        <w:rPr>
          <w:spacing w:val="-1"/>
        </w:rPr>
        <w:t>用。在租赁谈判和签订租赁合同过程中发生的，可归属于租赁项目的手续费、律师费、差旅费、</w:t>
      </w:r>
      <w:r>
        <w:rPr>
          <w:spacing w:val="-55"/>
        </w:rPr>
        <w:t> </w:t>
      </w:r>
      <w:r>
        <w:rPr>
          <w:spacing w:val="-55"/>
        </w:rPr>
      </w:r>
      <w:r>
        <w:rPr>
          <w:spacing w:val="-1"/>
        </w:rPr>
        <w:t>印花税等初始直接费用，计入租入资产价值。未确认融资费用在租赁期内各个期间采用实际利率</w:t>
      </w:r>
      <w:r>
        <w:rPr>
          <w:spacing w:val="-55"/>
        </w:rPr>
        <w:t> </w:t>
      </w:r>
      <w:r>
        <w:rPr>
          <w:spacing w:val="-55"/>
        </w:rPr>
      </w:r>
      <w:r>
        <w:rPr/>
        <w:t>法进行分摊。</w:t>
      </w:r>
    </w:p>
    <w:p>
      <w:pPr>
        <w:pStyle w:val="BodyText"/>
        <w:spacing w:line="357" w:lineRule="auto" w:before="30"/>
        <w:ind w:left="218" w:right="228" w:firstLine="419"/>
        <w:jc w:val="both"/>
      </w:pPr>
      <w:r>
        <w:rPr>
          <w:spacing w:val="-2"/>
        </w:rPr>
        <w:t>本公司采用与自有固定资产相一致的折旧政策计提融资租入固定资产折旧。能够合理确定租</w:t>
      </w:r>
      <w:r>
        <w:rPr>
          <w:w w:val="100"/>
        </w:rPr>
        <w:t> </w:t>
      </w:r>
      <w:r>
        <w:rPr>
          <w:spacing w:val="-1"/>
        </w:rPr>
        <w:t>赁期届满时取得租赁资产所有权的，在租赁资产使用寿命内计提折旧。无法合理确定租赁期届满</w:t>
      </w:r>
      <w:r>
        <w:rPr>
          <w:spacing w:val="-55"/>
        </w:rPr>
        <w:t> </w:t>
      </w:r>
      <w:r>
        <w:rPr>
          <w:spacing w:val="-55"/>
        </w:rPr>
      </w:r>
      <w:r>
        <w:rPr/>
        <w:t>时能够取得租赁资产所有权的，在租赁期与租赁资产使用寿命两者中较短的期间内计提折旧。</w:t>
      </w:r>
    </w:p>
    <w:p>
      <w:pPr>
        <w:spacing w:line="240" w:lineRule="auto" w:before="11"/>
        <w:rPr>
          <w:rFonts w:ascii="宋体" w:hAnsi="宋体" w:cs="宋体" w:eastAsia="宋体" w:hint="default"/>
          <w:sz w:val="27"/>
          <w:szCs w:val="27"/>
        </w:rPr>
      </w:pPr>
    </w:p>
    <w:p>
      <w:pPr>
        <w:pStyle w:val="Heading3"/>
        <w:spacing w:line="240" w:lineRule="auto"/>
        <w:ind w:right="0"/>
        <w:jc w:val="both"/>
        <w:rPr>
          <w:b w:val="0"/>
          <w:bCs w:val="0"/>
        </w:rPr>
      </w:pPr>
      <w:r>
        <w:rPr>
          <w:rFonts w:ascii="Calibri" w:hAnsi="Calibri" w:cs="Calibri" w:eastAsia="Calibri" w:hint="default"/>
        </w:rPr>
        <w:t>13.  </w:t>
      </w:r>
      <w:r>
        <w:rPr>
          <w:rFonts w:ascii="Calibri" w:hAnsi="Calibri" w:cs="Calibri" w:eastAsia="Calibri" w:hint="default"/>
          <w:spacing w:val="13"/>
        </w:rPr>
        <w:t> </w:t>
      </w:r>
      <w:r>
        <w:rPr/>
        <w:t>在建工程</w:t>
      </w:r>
      <w:r>
        <w:rPr>
          <w:b w:val="0"/>
          <w:bCs w:val="0"/>
        </w:rPr>
      </w:r>
    </w:p>
    <w:p>
      <w:pPr>
        <w:spacing w:line="357" w:lineRule="auto" w:before="29"/>
        <w:ind w:left="638" w:right="9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在建工程的类别</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本公司自行建造的在建工程按实际成本计价，实际成本由建造该项资产达到预定可使用状态</w:t>
      </w:r>
    </w:p>
    <w:p>
      <w:pPr>
        <w:spacing w:after="0" w:line="357"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right="208"/>
        <w:jc w:val="both"/>
      </w:pPr>
      <w:r>
        <w:rPr>
          <w:spacing w:val="-1"/>
        </w:rPr>
        <w:t>前所发生的必要支出构成，包括工程用物资成本、人工成本、交纳的相关税费、应予资本化的借</w:t>
      </w:r>
      <w:r>
        <w:rPr>
          <w:spacing w:val="-55"/>
        </w:rPr>
        <w:t> </w:t>
      </w:r>
      <w:r>
        <w:rPr>
          <w:spacing w:val="-55"/>
        </w:rPr>
      </w:r>
      <w:r>
        <w:rPr/>
        <w:t>款费用以及应分摊的间接费用等。本公司的在建工程以项目分类核算。</w:t>
      </w:r>
    </w:p>
    <w:p>
      <w:pPr>
        <w:spacing w:line="355" w:lineRule="auto" w:before="30"/>
        <w:ind w:left="558" w:right="97"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在建工程项目按建造该项资产达到预定可使用状态前所发生的全部支出，作为固定资产的入</w:t>
      </w:r>
    </w:p>
    <w:p>
      <w:pPr>
        <w:pStyle w:val="BodyText"/>
        <w:spacing w:line="357" w:lineRule="auto" w:before="32"/>
        <w:ind w:right="208"/>
        <w:jc w:val="both"/>
      </w:pPr>
      <w:r>
        <w:rPr>
          <w:spacing w:val="-1"/>
        </w:rPr>
        <w:t>账价值。所建造的在建工程已达到预定可使用状态，但尚未办理竣工决算的，自达到预定可使用</w:t>
      </w:r>
      <w:r>
        <w:rPr>
          <w:spacing w:val="-55"/>
        </w:rPr>
        <w:t> </w:t>
      </w:r>
      <w:r>
        <w:rPr>
          <w:spacing w:val="-55"/>
        </w:rPr>
      </w:r>
      <w:r>
        <w:rPr>
          <w:spacing w:val="-1"/>
        </w:rPr>
        <w:t>状态之日起，根据工程预算、造价或者工程实际成本等，按估计的价值转入固定资产，并按本公</w:t>
      </w:r>
      <w:r>
        <w:rPr>
          <w:spacing w:val="-55"/>
        </w:rPr>
        <w:t> </w:t>
      </w:r>
      <w:r>
        <w:rPr>
          <w:spacing w:val="-55"/>
        </w:rPr>
      </w:r>
      <w:r>
        <w:rPr>
          <w:spacing w:val="-1"/>
        </w:rPr>
        <w:t>司固定资产折旧政策计提固定资产的折旧，待办理竣工决算后，再按实际成本调整原来的暂估价</w:t>
      </w:r>
      <w:r>
        <w:rPr>
          <w:spacing w:val="-55"/>
        </w:rPr>
        <w:t> </w:t>
      </w:r>
      <w:r>
        <w:rPr>
          <w:spacing w:val="-55"/>
        </w:rPr>
      </w:r>
      <w:r>
        <w:rPr/>
        <w:t>值，但不调整原已计提的折旧额。</w:t>
      </w:r>
    </w:p>
    <w:p>
      <w:pPr>
        <w:spacing w:line="240" w:lineRule="auto" w:before="11"/>
        <w:rPr>
          <w:rFonts w:ascii="宋体" w:hAnsi="宋体" w:cs="宋体" w:eastAsia="宋体" w:hint="default"/>
          <w:sz w:val="27"/>
          <w:szCs w:val="27"/>
        </w:rPr>
      </w:pPr>
    </w:p>
    <w:p>
      <w:pPr>
        <w:pStyle w:val="Heading3"/>
        <w:spacing w:line="240" w:lineRule="auto"/>
        <w:ind w:left="138" w:right="0"/>
        <w:jc w:val="both"/>
        <w:rPr>
          <w:b w:val="0"/>
          <w:bCs w:val="0"/>
        </w:rPr>
      </w:pPr>
      <w:r>
        <w:rPr>
          <w:rFonts w:ascii="Calibri" w:hAnsi="Calibri" w:cs="Calibri" w:eastAsia="Calibri" w:hint="default"/>
        </w:rPr>
        <w:t>14.  </w:t>
      </w:r>
      <w:r>
        <w:rPr>
          <w:rFonts w:ascii="Calibri" w:hAnsi="Calibri" w:cs="Calibri" w:eastAsia="Calibri" w:hint="default"/>
          <w:spacing w:val="13"/>
        </w:rPr>
        <w:t> </w:t>
      </w:r>
      <w:r>
        <w:rPr/>
        <w:t>借款费用</w:t>
      </w:r>
      <w:r>
        <w:rPr>
          <w:b w:val="0"/>
          <w:bCs w:val="0"/>
        </w:rPr>
      </w:r>
    </w:p>
    <w:p>
      <w:pPr>
        <w:spacing w:line="355" w:lineRule="auto" w:before="29"/>
        <w:ind w:left="558" w:right="97"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1"/>
          <w:sz w:val="21"/>
          <w:szCs w:val="21"/>
        </w:rPr>
        <w:t>公司发生的借款费用，可直接归属于符合资本化条件的资产的购建或者生产的，在符合资本</w:t>
      </w:r>
    </w:p>
    <w:p>
      <w:pPr>
        <w:pStyle w:val="BodyText"/>
        <w:spacing w:line="355" w:lineRule="auto" w:before="34"/>
        <w:ind w:right="208"/>
        <w:jc w:val="both"/>
      </w:pPr>
      <w:r>
        <w:rPr>
          <w:spacing w:val="-1"/>
        </w:rPr>
        <w:t>化条件的情况下开始资本化，计入相关资产成本；其他借款费用，在发生时根据其发生额确认为</w:t>
      </w:r>
      <w:r>
        <w:rPr>
          <w:spacing w:val="-55"/>
        </w:rPr>
        <w:t> </w:t>
      </w:r>
      <w:r>
        <w:rPr>
          <w:spacing w:val="-55"/>
        </w:rPr>
      </w:r>
      <w:r>
        <w:rPr/>
        <w:t>费用，计入当期损益。</w:t>
      </w:r>
    </w:p>
    <w:p>
      <w:pPr>
        <w:pStyle w:val="BodyText"/>
        <w:spacing w:line="355" w:lineRule="auto" w:before="32"/>
        <w:ind w:right="97" w:firstLine="419"/>
        <w:jc w:val="left"/>
      </w:pPr>
      <w:r>
        <w:rPr>
          <w:spacing w:val="-2"/>
        </w:rPr>
        <w:t>符合资本化条件的资产，是指需要经过相当长时间的购建或者生产活动才能达到预定可使用</w:t>
      </w:r>
      <w:r>
        <w:rPr>
          <w:w w:val="100"/>
        </w:rPr>
        <w:t> </w:t>
      </w:r>
      <w:r>
        <w:rPr/>
        <w:t>或者可销售状态的固定资产、投资性房地产和存货等资产。</w:t>
      </w:r>
    </w:p>
    <w:p>
      <w:pPr>
        <w:pStyle w:val="BodyText"/>
        <w:spacing w:line="240" w:lineRule="auto" w:before="32"/>
        <w:ind w:left="558" w:right="97"/>
        <w:jc w:val="left"/>
      </w:pPr>
      <w:r>
        <w:rPr/>
        <w:t>借款费用同时满足下列条件时开始资本化：</w:t>
      </w:r>
    </w:p>
    <w:p>
      <w:pPr>
        <w:pStyle w:val="BodyText"/>
        <w:spacing w:line="355" w:lineRule="auto" w:before="136"/>
        <w:ind w:right="96" w:firstLine="419"/>
        <w:jc w:val="left"/>
      </w:pPr>
      <w:r>
        <w:rPr>
          <w:spacing w:val="-6"/>
          <w:w w:val="100"/>
        </w:rPr>
        <w:t>（</w:t>
      </w:r>
      <w:r>
        <w:rPr>
          <w:rFonts w:ascii="宋体" w:hAnsi="宋体" w:cs="宋体" w:eastAsia="宋体" w:hint="default"/>
          <w:spacing w:val="-6"/>
          <w:w w:val="100"/>
        </w:rPr>
        <w:t>1</w:t>
      </w:r>
      <w:r>
        <w:rPr>
          <w:spacing w:val="-6"/>
          <w:w w:val="100"/>
        </w:rPr>
        <w:t>）资产支出已经发生，资产支出包括为购建或者生产符合资本化条件的资产而以支付现金、</w:t>
      </w:r>
      <w:r>
        <w:rPr>
          <w:w w:val="100"/>
        </w:rPr>
        <w:t> </w:t>
      </w:r>
      <w:r>
        <w:rPr/>
        <w:t>转移非现金资产或者承担带息债务形式发生的支出；</w:t>
      </w:r>
    </w:p>
    <w:p>
      <w:pPr>
        <w:pStyle w:val="BodyText"/>
        <w:spacing w:line="240" w:lineRule="auto" w:before="32"/>
        <w:ind w:left="558" w:right="97"/>
        <w:jc w:val="left"/>
      </w:pPr>
      <w:r>
        <w:rPr/>
        <w:t>（</w:t>
      </w:r>
      <w:r>
        <w:rPr>
          <w:rFonts w:ascii="宋体" w:hAnsi="宋体" w:cs="宋体" w:eastAsia="宋体" w:hint="default"/>
        </w:rPr>
        <w:t>2</w:t>
      </w:r>
      <w:r>
        <w:rPr/>
        <w:t>）借款费用已经发生；</w:t>
      </w:r>
    </w:p>
    <w:p>
      <w:pPr>
        <w:spacing w:line="355" w:lineRule="auto" w:before="133"/>
        <w:ind w:left="560" w:right="533" w:hanging="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）为使资产达到预定可使用或者可销售状态所必要的购建或者生产活动已经开始。</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借款费用资本化期间</w:t>
      </w:r>
      <w:r>
        <w:rPr>
          <w:rFonts w:ascii="宋体" w:hAnsi="宋体" w:cs="宋体" w:eastAsia="宋体" w:hint="default"/>
          <w:sz w:val="21"/>
          <w:szCs w:val="21"/>
        </w:rPr>
      </w:r>
    </w:p>
    <w:p>
      <w:pPr>
        <w:pStyle w:val="BodyText"/>
        <w:spacing w:line="355" w:lineRule="auto" w:before="34"/>
        <w:ind w:right="97" w:firstLine="419"/>
        <w:jc w:val="left"/>
      </w:pPr>
      <w:r>
        <w:rPr>
          <w:spacing w:val="-2"/>
        </w:rPr>
        <w:t>资本化期间，指从借款费用开始资本化时点到停止资本化时点的期间，借款费用暂停资本化</w:t>
      </w:r>
      <w:r>
        <w:rPr>
          <w:w w:val="100"/>
        </w:rPr>
        <w:t> </w:t>
      </w:r>
      <w:r>
        <w:rPr/>
        <w:t>的期间不包括在内。</w:t>
      </w:r>
    </w:p>
    <w:p>
      <w:pPr>
        <w:pStyle w:val="BodyText"/>
        <w:spacing w:line="357" w:lineRule="auto" w:before="32"/>
        <w:ind w:right="97" w:firstLine="419"/>
        <w:jc w:val="left"/>
      </w:pPr>
      <w:r>
        <w:rPr>
          <w:spacing w:val="-2"/>
        </w:rPr>
        <w:t>当购建或者生产符合资本化条件的资产达到预定可使用或者可销售状态时，借款费用停止资</w:t>
      </w:r>
      <w:r>
        <w:rPr>
          <w:w w:val="100"/>
        </w:rPr>
        <w:t> </w:t>
      </w:r>
      <w:r>
        <w:rPr/>
        <w:t>本化。</w:t>
      </w:r>
    </w:p>
    <w:p>
      <w:pPr>
        <w:pStyle w:val="BodyText"/>
        <w:spacing w:line="355" w:lineRule="auto" w:before="32"/>
        <w:ind w:right="97" w:firstLine="419"/>
        <w:jc w:val="left"/>
      </w:pPr>
      <w:r>
        <w:rPr>
          <w:spacing w:val="-2"/>
        </w:rPr>
        <w:t>当购建或者生产符合资本化条件的资产中部分项目分别完工且可单独使用时，该部分资产借</w:t>
      </w:r>
      <w:r>
        <w:rPr>
          <w:w w:val="100"/>
        </w:rPr>
        <w:t> </w:t>
      </w:r>
      <w:r>
        <w:rPr/>
        <w:t>款费用停止资本化。</w:t>
      </w:r>
    </w:p>
    <w:p>
      <w:pPr>
        <w:pStyle w:val="BodyText"/>
        <w:spacing w:line="355" w:lineRule="auto" w:before="32"/>
        <w:ind w:right="97" w:firstLine="419"/>
        <w:jc w:val="left"/>
      </w:pPr>
      <w:r>
        <w:rPr>
          <w:spacing w:val="-2"/>
        </w:rPr>
        <w:t>购建或者生产的资产的各部分分别完工，但必须等到整体完工后才可使用或可对外销售的，</w:t>
      </w:r>
      <w:r>
        <w:rPr>
          <w:w w:val="100"/>
        </w:rPr>
        <w:t> </w:t>
      </w:r>
      <w:r>
        <w:rPr/>
        <w:t>在该资产整体完工时停止借款费用资本化。</w:t>
      </w:r>
    </w:p>
    <w:p>
      <w:pPr>
        <w:spacing w:line="357" w:lineRule="auto" w:before="32"/>
        <w:ind w:left="558" w:right="207"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暂停资本化期间</w:t>
      </w:r>
      <w:r>
        <w:rPr>
          <w:rFonts w:ascii="宋体" w:hAnsi="宋体" w:cs="宋体" w:eastAsia="宋体" w:hint="default"/>
          <w:b/>
          <w:bCs/>
          <w:w w:val="100"/>
          <w:sz w:val="21"/>
          <w:szCs w:val="21"/>
        </w:rPr>
        <w:t> </w:t>
      </w:r>
      <w:r>
        <w:rPr>
          <w:rFonts w:ascii="宋体" w:hAnsi="宋体" w:cs="宋体" w:eastAsia="宋体" w:hint="default"/>
          <w:sz w:val="21"/>
          <w:szCs w:val="21"/>
        </w:rPr>
        <w:t>符合资本化条件的资产在购建或生产过程中发生的非正常中断、且中断时间连续超过</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p>
      <w:pPr>
        <w:pStyle w:val="BodyText"/>
        <w:spacing w:line="355" w:lineRule="auto" w:before="30"/>
        <w:ind w:right="208"/>
        <w:jc w:val="both"/>
      </w:pPr>
      <w:r>
        <w:rPr>
          <w:spacing w:val="-1"/>
        </w:rPr>
        <w:t>的，则借款费用暂停资本化；该项中断如是所购建或生产的符合资本化条件的资产达到预定可使</w:t>
      </w:r>
      <w:r>
        <w:rPr>
          <w:spacing w:val="-55"/>
        </w:rPr>
        <w:t> </w:t>
      </w:r>
      <w:r>
        <w:rPr>
          <w:spacing w:val="-55"/>
        </w:rPr>
      </w:r>
      <w:r>
        <w:rPr>
          <w:spacing w:val="-1"/>
        </w:rPr>
        <w:t>用状态或者可销售状态必要的程序，则借款费用继续资本化。在中断期间发生的借款费用确认为</w:t>
      </w:r>
    </w:p>
    <w:p>
      <w:pPr>
        <w:spacing w:after="0" w:line="355" w:lineRule="auto"/>
        <w:jc w:val="both"/>
        <w:sectPr>
          <w:footerReference w:type="default" r:id="rId61"/>
          <w:pgSz w:w="11910" w:h="16840"/>
          <w:pgMar w:footer="1195" w:header="882" w:top="1120" w:bottom="1380" w:left="1660" w:right="1060"/>
          <w:pgNumType w:start="87"/>
        </w:sectPr>
      </w:pPr>
    </w:p>
    <w:p>
      <w:pPr>
        <w:spacing w:line="240" w:lineRule="auto" w:before="1"/>
        <w:rPr>
          <w:rFonts w:ascii="宋体" w:hAnsi="宋体" w:cs="宋体" w:eastAsia="宋体" w:hint="default"/>
          <w:sz w:val="25"/>
          <w:szCs w:val="25"/>
        </w:rPr>
      </w:pPr>
    </w:p>
    <w:p>
      <w:pPr>
        <w:spacing w:line="357" w:lineRule="auto" w:before="36"/>
        <w:ind w:left="560" w:right="1988" w:hanging="423"/>
        <w:jc w:val="left"/>
        <w:rPr>
          <w:rFonts w:ascii="宋体" w:hAnsi="宋体" w:cs="宋体" w:eastAsia="宋体" w:hint="default"/>
          <w:sz w:val="21"/>
          <w:szCs w:val="21"/>
        </w:rPr>
      </w:pPr>
      <w:r>
        <w:rPr>
          <w:rFonts w:ascii="宋体" w:hAnsi="宋体" w:cs="宋体" w:eastAsia="宋体" w:hint="default"/>
          <w:spacing w:val="-2"/>
          <w:sz w:val="21"/>
          <w:szCs w:val="21"/>
        </w:rPr>
        <w:t>当期损益，直至资产的购建或者生产活动重新开始后借款费用继续资本化。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借款费用资本化金额的计算方法</w:t>
      </w:r>
      <w:r>
        <w:rPr>
          <w:rFonts w:ascii="宋体" w:hAnsi="宋体" w:cs="宋体" w:eastAsia="宋体" w:hint="default"/>
          <w:sz w:val="21"/>
          <w:szCs w:val="21"/>
        </w:rPr>
      </w:r>
    </w:p>
    <w:p>
      <w:pPr>
        <w:pStyle w:val="BodyText"/>
        <w:spacing w:line="355" w:lineRule="auto" w:before="30"/>
        <w:ind w:right="307" w:firstLine="419"/>
        <w:jc w:val="both"/>
      </w:pPr>
      <w:r>
        <w:rPr>
          <w:spacing w:val="-2"/>
        </w:rPr>
        <w:t>专门借款的利息费用（扣除尚未动用的借款资金存入银行取得的利息收入或者进行暂时性投</w:t>
      </w:r>
      <w:r>
        <w:rPr>
          <w:w w:val="100"/>
        </w:rPr>
        <w:t> </w:t>
      </w:r>
      <w:r>
        <w:rPr>
          <w:spacing w:val="-1"/>
        </w:rPr>
        <w:t>资取得的投资收益）及其辅助费用在所购建或者生产的符合资本化条件的资产达到预定可使用或</w:t>
      </w:r>
      <w:r>
        <w:rPr>
          <w:spacing w:val="-55"/>
        </w:rPr>
        <w:t> </w:t>
      </w:r>
      <w:r>
        <w:rPr>
          <w:spacing w:val="-55"/>
        </w:rPr>
      </w:r>
      <w:r>
        <w:rPr/>
        <w:t>者可销售状态前，予以资本化。</w:t>
      </w:r>
    </w:p>
    <w:p>
      <w:pPr>
        <w:pStyle w:val="BodyText"/>
        <w:spacing w:line="357" w:lineRule="auto" w:before="32"/>
        <w:ind w:right="96" w:firstLine="419"/>
        <w:jc w:val="left"/>
      </w:pPr>
      <w:r>
        <w:rPr>
          <w:spacing w:val="-1"/>
        </w:rPr>
        <w:t>根据累计资产支出超过专门借款部分的资产支出加权平均数乘以所占用一般借款的资本化率，</w:t>
      </w:r>
      <w:r>
        <w:rPr>
          <w:w w:val="100"/>
        </w:rPr>
        <w:t> </w:t>
      </w:r>
      <w:r>
        <w:rPr/>
        <w:t>计算确定一般借款应予资本化的利息金额。资本化率根据一般借款加权平均利率计算确定。</w:t>
      </w:r>
    </w:p>
    <w:p>
      <w:pPr>
        <w:pStyle w:val="BodyText"/>
        <w:spacing w:line="357" w:lineRule="auto" w:before="30"/>
        <w:ind w:right="310" w:firstLine="419"/>
        <w:jc w:val="both"/>
      </w:pPr>
      <w:r>
        <w:rPr>
          <w:spacing w:val="-2"/>
        </w:rPr>
        <w:t>借款存在折价或者溢价的，按照实际利率法确定每一会计期间应摊销的折价或者溢价金额，</w:t>
      </w:r>
      <w:r>
        <w:rPr>
          <w:w w:val="100"/>
        </w:rPr>
        <w:t> </w:t>
      </w:r>
      <w:r>
        <w:rPr/>
        <w:t>调整每期利息金额。</w:t>
      </w:r>
    </w:p>
    <w:p>
      <w:pPr>
        <w:spacing w:line="240" w:lineRule="auto" w:before="11"/>
        <w:rPr>
          <w:rFonts w:ascii="宋体" w:hAnsi="宋体" w:cs="宋体" w:eastAsia="宋体" w:hint="default"/>
          <w:sz w:val="27"/>
          <w:szCs w:val="27"/>
        </w:rPr>
      </w:pPr>
    </w:p>
    <w:p>
      <w:pPr>
        <w:pStyle w:val="Heading3"/>
        <w:spacing w:line="240" w:lineRule="auto"/>
        <w:ind w:left="138" w:right="2465"/>
        <w:jc w:val="left"/>
        <w:rPr>
          <w:b w:val="0"/>
          <w:bCs w:val="0"/>
        </w:rPr>
      </w:pPr>
      <w:r>
        <w:rPr>
          <w:rFonts w:ascii="Calibri" w:hAnsi="Calibri" w:cs="Calibri" w:eastAsia="Calibri" w:hint="default"/>
        </w:rPr>
        <w:t>15.  </w:t>
      </w:r>
      <w:r>
        <w:rPr>
          <w:rFonts w:ascii="Calibri" w:hAnsi="Calibri" w:cs="Calibri" w:eastAsia="Calibri" w:hint="default"/>
          <w:spacing w:val="13"/>
        </w:rPr>
        <w:t> </w:t>
      </w:r>
      <w:r>
        <w:rPr/>
        <w:t>无形资产</w:t>
      </w:r>
      <w:r>
        <w:rPr>
          <w:b w:val="0"/>
          <w:bCs w:val="0"/>
        </w:rPr>
      </w:r>
    </w:p>
    <w:p>
      <w:pPr>
        <w:pStyle w:val="Heading3"/>
        <w:spacing w:line="290" w:lineRule="auto" w:before="29"/>
        <w:ind w:left="558" w:right="5729" w:hanging="420"/>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w w:val="100"/>
        </w:rPr>
        <w:t> </w:t>
      </w:r>
      <w:r>
        <w:rPr>
          <w:rFonts w:ascii="宋体" w:hAnsi="宋体" w:cs="宋体" w:eastAsia="宋体" w:hint="default"/>
        </w:rPr>
        <w:t>1</w:t>
      </w:r>
      <w:r>
        <w:rPr/>
        <w:t>、 无形资产的初始计量</w:t>
      </w:r>
      <w:r>
        <w:rPr>
          <w:b w:val="0"/>
          <w:bCs w:val="0"/>
        </w:rPr>
      </w:r>
    </w:p>
    <w:p>
      <w:pPr>
        <w:pStyle w:val="BodyText"/>
        <w:spacing w:line="355" w:lineRule="auto" w:before="89"/>
        <w:ind w:right="308" w:firstLine="419"/>
        <w:jc w:val="both"/>
      </w:pPr>
      <w:r>
        <w:rPr>
          <w:spacing w:val="-2"/>
        </w:rPr>
        <w:t>外购无形资产的成本，包括购买价款、相关税费以及直接归属于使该项资产达到预定用途所</w:t>
      </w:r>
      <w:r>
        <w:rPr>
          <w:w w:val="100"/>
        </w:rPr>
        <w:t> </w:t>
      </w:r>
      <w:r>
        <w:rPr>
          <w:spacing w:val="-1"/>
        </w:rPr>
        <w:t>发生的其他支出。购买无形资产的价款超过正常信用条件延期支付，实质上具有融资性质的，无</w:t>
      </w:r>
      <w:r>
        <w:rPr>
          <w:spacing w:val="-55"/>
        </w:rPr>
        <w:t> </w:t>
      </w:r>
      <w:r>
        <w:rPr>
          <w:spacing w:val="-55"/>
        </w:rPr>
      </w:r>
      <w:r>
        <w:rPr/>
        <w:t>形资产的成本以购买价款的现值为基础确定。</w:t>
      </w:r>
    </w:p>
    <w:p>
      <w:pPr>
        <w:pStyle w:val="BodyText"/>
        <w:spacing w:line="357" w:lineRule="auto" w:before="34"/>
        <w:ind w:right="96" w:firstLine="419"/>
        <w:jc w:val="left"/>
      </w:pPr>
      <w:r>
        <w:rPr>
          <w:spacing w:val="-4"/>
          <w:w w:val="100"/>
        </w:rPr>
        <w:t>债务重组取得债务人用以抵债的无形资产，以该无形资产的公允价值为基础确定其入账价值，</w:t>
      </w:r>
      <w:r>
        <w:rPr>
          <w:w w:val="100"/>
        </w:rPr>
        <w:t> </w:t>
      </w:r>
      <w:r>
        <w:rPr/>
        <w:t>并将重组债务的账面价值与该用以抵债的无形资产公允价值之间的差额，计入当期损益。</w:t>
      </w:r>
    </w:p>
    <w:p>
      <w:pPr>
        <w:pStyle w:val="BodyText"/>
        <w:spacing w:line="357" w:lineRule="auto" w:before="30"/>
        <w:ind w:right="96" w:firstLine="419"/>
        <w:jc w:val="left"/>
      </w:pPr>
      <w:r>
        <w:rPr>
          <w:spacing w:val="-1"/>
        </w:rPr>
        <w:t>在非货币性资产交换具备商业实质且换入资产或换出资产的公允价值能够可靠计量的前提下，</w:t>
      </w:r>
      <w:r>
        <w:rPr>
          <w:w w:val="100"/>
        </w:rPr>
        <w:t> </w:t>
      </w:r>
      <w:r>
        <w:rPr/>
        <w:t>非货币性资产交换换入的无形资产以换出资产的公允价值为基础确定其入账价值，除非有确凿证</w:t>
      </w:r>
      <w:r>
        <w:rPr>
          <w:spacing w:val="-97"/>
        </w:rPr>
        <w:t> </w:t>
      </w:r>
      <w:r>
        <w:rPr>
          <w:spacing w:val="-97"/>
        </w:rPr>
      </w:r>
      <w:r>
        <w:rPr/>
        <w:t>据表明换入资产的公允价值更加可靠；不满足上述前提的非货币性资产交换，以换出资产的账面</w:t>
      </w:r>
      <w:r>
        <w:rPr>
          <w:spacing w:val="-97"/>
        </w:rPr>
        <w:t> </w:t>
      </w:r>
      <w:r>
        <w:rPr>
          <w:spacing w:val="-97"/>
        </w:rPr>
      </w:r>
      <w:r>
        <w:rPr/>
        <w:t>价值和应支付的相关税费作为换入无形资产的成本，不确认损益。</w:t>
      </w:r>
    </w:p>
    <w:p>
      <w:pPr>
        <w:pStyle w:val="BodyText"/>
        <w:spacing w:line="355" w:lineRule="auto" w:before="30"/>
        <w:ind w:right="310" w:firstLine="419"/>
        <w:jc w:val="both"/>
      </w:pPr>
      <w:r>
        <w:rPr>
          <w:spacing w:val="-2"/>
        </w:rPr>
        <w:t>以同一控制下的企业吸收合并方式取得的无形资产按被合并方的账面价值确定其入账价值；</w:t>
      </w:r>
      <w:r>
        <w:rPr>
          <w:w w:val="100"/>
        </w:rPr>
        <w:t> </w:t>
      </w:r>
      <w:r>
        <w:rPr/>
        <w:t>以非同一控制下的企业吸收合并方式取得的无形资产按公允价值确定其入账价值。</w:t>
      </w:r>
    </w:p>
    <w:p>
      <w:pPr>
        <w:pStyle w:val="BodyText"/>
        <w:spacing w:line="357" w:lineRule="auto" w:before="32"/>
        <w:ind w:right="308" w:firstLine="419"/>
        <w:jc w:val="both"/>
      </w:pPr>
      <w:r>
        <w:rPr>
          <w:spacing w:val="-7"/>
        </w:rPr>
        <w:t>内部自行开发的无形资产，其成本包括：开发该无形资产时耗用的材料、劳务成本、注册费、</w:t>
      </w:r>
      <w:r>
        <w:rPr>
          <w:w w:val="100"/>
        </w:rPr>
        <w:t> </w:t>
      </w:r>
      <w:r>
        <w:rPr>
          <w:spacing w:val="-1"/>
        </w:rPr>
        <w:t>在开发过程中使用的其他专利权和特许权的摊销以及满足资本化条件的利息费用，以及为使该无</w:t>
      </w:r>
      <w:r>
        <w:rPr>
          <w:spacing w:val="-55"/>
        </w:rPr>
        <w:t> </w:t>
      </w:r>
      <w:r>
        <w:rPr>
          <w:spacing w:val="-55"/>
        </w:rPr>
      </w:r>
      <w:r>
        <w:rPr/>
        <w:t>形资产达到预定用途前所发生的其他直接费用。</w:t>
      </w:r>
    </w:p>
    <w:p>
      <w:pPr>
        <w:spacing w:line="355" w:lineRule="auto" w:before="30"/>
        <w:ind w:left="558" w:right="9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、无形资产的后续计量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本公司在取得无形资产时分析判断其使用寿命，划分为使用寿命有限和使用寿命不确定的无</w:t>
      </w:r>
    </w:p>
    <w:p>
      <w:pPr>
        <w:pStyle w:val="BodyText"/>
        <w:spacing w:line="240" w:lineRule="auto" w:before="32"/>
        <w:ind w:right="2465"/>
        <w:jc w:val="left"/>
      </w:pPr>
      <w:r>
        <w:rPr/>
        <w:t>形资产。</w:t>
      </w:r>
    </w:p>
    <w:p>
      <w:pPr>
        <w:pStyle w:val="BodyText"/>
        <w:spacing w:line="355" w:lineRule="auto" w:before="135"/>
        <w:ind w:left="558" w:right="96"/>
        <w:jc w:val="left"/>
      </w:pPr>
      <w:r>
        <w:rPr/>
        <w:t>（</w:t>
      </w:r>
      <w:r>
        <w:rPr>
          <w:rFonts w:ascii="宋体" w:hAnsi="宋体" w:cs="宋体" w:eastAsia="宋体" w:hint="default"/>
        </w:rPr>
        <w:t>1</w:t>
      </w:r>
      <w:r>
        <w:rPr/>
        <w:t>）使用寿命有限的无形资产</w:t>
      </w:r>
      <w:r>
        <w:rPr>
          <w:w w:val="100"/>
        </w:rPr>
        <w:t> </w:t>
      </w:r>
      <w:r>
        <w:rPr>
          <w:spacing w:val="-2"/>
        </w:rPr>
        <w:t>对于使用寿命有限的无形资产，在为企业带来经济利益的期限内按直线法摊销。每期末，对</w:t>
      </w:r>
    </w:p>
    <w:p>
      <w:pPr>
        <w:pStyle w:val="BodyText"/>
        <w:spacing w:line="357" w:lineRule="auto" w:before="32"/>
        <w:ind w:right="96"/>
        <w:jc w:val="left"/>
      </w:pPr>
      <w:r>
        <w:rPr>
          <w:spacing w:val="-1"/>
        </w:rPr>
        <w:t>使用寿命有限的无形资产的使用寿命及摊销方法进行复核，如与原先估计数存在差异的，进行相</w:t>
      </w:r>
      <w:r>
        <w:rPr>
          <w:spacing w:val="-55"/>
        </w:rPr>
        <w:t> </w:t>
      </w:r>
      <w:r>
        <w:rPr>
          <w:spacing w:val="-55"/>
        </w:rPr>
      </w:r>
      <w:r>
        <w:rPr/>
        <w:t>应的调整。</w:t>
      </w:r>
    </w:p>
    <w:p>
      <w:pPr>
        <w:spacing w:after="0" w:line="357" w:lineRule="auto"/>
        <w:jc w:val="left"/>
        <w:sectPr>
          <w:footerReference w:type="default" r:id="rId62"/>
          <w:pgSz w:w="11910" w:h="16840"/>
          <w:pgMar w:footer="1195" w:header="882" w:top="1120" w:bottom="1380" w:left="1660" w:right="960"/>
          <w:pgNumType w:start="88"/>
        </w:sectPr>
      </w:pPr>
    </w:p>
    <w:p>
      <w:pPr>
        <w:spacing w:line="240" w:lineRule="auto" w:before="1"/>
        <w:rPr>
          <w:rFonts w:ascii="宋体" w:hAnsi="宋体" w:cs="宋体" w:eastAsia="宋体" w:hint="default"/>
          <w:sz w:val="25"/>
          <w:szCs w:val="25"/>
        </w:rPr>
      </w:pPr>
    </w:p>
    <w:p>
      <w:pPr>
        <w:pStyle w:val="BodyText"/>
        <w:spacing w:line="357" w:lineRule="auto" w:before="36"/>
        <w:ind w:left="558" w:right="123"/>
        <w:jc w:val="left"/>
      </w:pPr>
      <w:r>
        <w:rPr/>
        <w:t>（</w:t>
      </w:r>
      <w:r>
        <w:rPr>
          <w:rFonts w:ascii="宋体" w:hAnsi="宋体" w:cs="宋体" w:eastAsia="宋体" w:hint="default"/>
        </w:rPr>
        <w:t>2</w:t>
      </w:r>
      <w:r>
        <w:rPr/>
        <w:t>）使用寿命不确定的无形资产</w:t>
      </w:r>
      <w:r>
        <w:rPr>
          <w:w w:val="100"/>
        </w:rPr>
        <w:t> </w:t>
      </w:r>
      <w:r>
        <w:rPr>
          <w:spacing w:val="-2"/>
        </w:rPr>
        <w:t>无法预见无形资产为企业带来经济利益期限的，或使用期限不确定等无形资产视为使用寿命</w:t>
      </w:r>
    </w:p>
    <w:p>
      <w:pPr>
        <w:pStyle w:val="BodyText"/>
        <w:spacing w:line="355" w:lineRule="auto" w:before="30"/>
        <w:ind w:right="128"/>
        <w:jc w:val="both"/>
      </w:pPr>
      <w:r>
        <w:rPr>
          <w:spacing w:val="-1"/>
        </w:rPr>
        <w:t>不确定的无形资产。使用寿命不确定的判断依据为：来源于合同性权利或其他法定权利，但合同</w:t>
      </w:r>
      <w:r>
        <w:rPr>
          <w:spacing w:val="-55"/>
        </w:rPr>
        <w:t> </w:t>
      </w:r>
      <w:r>
        <w:rPr>
          <w:spacing w:val="-55"/>
        </w:rPr>
      </w:r>
      <w:r>
        <w:rPr>
          <w:spacing w:val="-1"/>
        </w:rPr>
        <w:t>规定或法律规定无明确使用年限，综合同行业情况或相关专家论证等，仍无法判断无形资产为公</w:t>
      </w:r>
      <w:r>
        <w:rPr>
          <w:spacing w:val="-55"/>
        </w:rPr>
        <w:t> </w:t>
      </w:r>
      <w:r>
        <w:rPr>
          <w:spacing w:val="-55"/>
        </w:rPr>
      </w:r>
      <w:r>
        <w:rPr/>
        <w:t>司带来经济利益的期限。</w:t>
      </w:r>
    </w:p>
    <w:p>
      <w:pPr>
        <w:pStyle w:val="BodyText"/>
        <w:spacing w:line="357" w:lineRule="auto" w:before="32"/>
        <w:ind w:right="123" w:firstLine="419"/>
        <w:jc w:val="left"/>
      </w:pPr>
      <w:r>
        <w:rPr>
          <w:spacing w:val="-7"/>
          <w:w w:val="100"/>
        </w:rPr>
        <w:t>对于使用寿命不确定的无形资产，在持有期间内不摊销，每期末对无形资产的寿命进行复核。</w:t>
      </w:r>
      <w:r>
        <w:rPr>
          <w:w w:val="100"/>
        </w:rPr>
        <w:t> </w:t>
      </w:r>
      <w:r>
        <w:rPr/>
        <w:t>如果期末重新复核后仍为不确定的，在每个会计期间继续进行减值测试。</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line="290" w:lineRule="auto" w:before="0"/>
        <w:ind w:left="558" w:right="123"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0"/>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１、研究阶段：为获取并理解新的科学或技术知识等而进行的独创性的有计划调查、研究活</w:t>
      </w:r>
    </w:p>
    <w:p>
      <w:pPr>
        <w:pStyle w:val="BodyText"/>
        <w:spacing w:line="240" w:lineRule="auto" w:before="91"/>
        <w:ind w:right="123"/>
        <w:jc w:val="left"/>
      </w:pPr>
      <w:r>
        <w:rPr/>
        <w:t>动的阶段。</w:t>
      </w:r>
    </w:p>
    <w:p>
      <w:pPr>
        <w:pStyle w:val="BodyText"/>
        <w:spacing w:line="355" w:lineRule="auto" w:before="133"/>
        <w:ind w:right="123" w:firstLine="419"/>
        <w:jc w:val="left"/>
      </w:pPr>
      <w:r>
        <w:rPr>
          <w:spacing w:val="-2"/>
        </w:rPr>
        <w:t>开发阶段：在进行商业性生产或使用前，将研究成果或其他知识应用于某项计划或设计，以</w:t>
      </w:r>
      <w:r>
        <w:rPr>
          <w:w w:val="100"/>
        </w:rPr>
        <w:t> </w:t>
      </w:r>
      <w:r>
        <w:rPr/>
        <w:t>生产出新的或具有实质性改进的材料、装置、产品等活动的阶段。</w:t>
      </w:r>
    </w:p>
    <w:p>
      <w:pPr>
        <w:spacing w:line="357" w:lineRule="auto" w:before="32"/>
        <w:ind w:left="558" w:right="123" w:firstLine="0"/>
        <w:jc w:val="left"/>
        <w:rPr>
          <w:rFonts w:ascii="宋体" w:hAnsi="宋体" w:cs="宋体" w:eastAsia="宋体" w:hint="default"/>
          <w:sz w:val="21"/>
          <w:szCs w:val="21"/>
        </w:rPr>
      </w:pPr>
      <w:r>
        <w:rPr>
          <w:rFonts w:ascii="宋体" w:hAnsi="宋体" w:cs="宋体" w:eastAsia="宋体" w:hint="default"/>
          <w:sz w:val="21"/>
          <w:szCs w:val="21"/>
        </w:rPr>
        <w:t>内部研究开发项目研究阶段的支出，在发生时计入当期损益。</w:t>
      </w:r>
      <w:r>
        <w:rPr>
          <w:rFonts w:ascii="宋体" w:hAnsi="宋体" w:cs="宋体" w:eastAsia="宋体" w:hint="default"/>
          <w:w w:val="100"/>
          <w:sz w:val="21"/>
          <w:szCs w:val="21"/>
        </w:rPr>
        <w:t> </w:t>
      </w:r>
      <w:r>
        <w:rPr>
          <w:rFonts w:ascii="宋体" w:hAnsi="宋体" w:cs="宋体" w:eastAsia="宋体" w:hint="default"/>
          <w:b/>
          <w:bCs/>
          <w:sz w:val="21"/>
          <w:szCs w:val="21"/>
        </w:rPr>
        <w:t>２、开发阶段支出符合资本化的具体标准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30"/>
        <w:ind w:left="558" w:right="123"/>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133"/>
        <w:ind w:left="558" w:right="123"/>
        <w:jc w:val="left"/>
      </w:pPr>
      <w:r>
        <w:rPr/>
        <w:t>（</w:t>
      </w:r>
      <w:r>
        <w:rPr>
          <w:rFonts w:ascii="宋体" w:hAnsi="宋体" w:cs="宋体" w:eastAsia="宋体" w:hint="default"/>
        </w:rPr>
        <w:t>2</w:t>
      </w:r>
      <w:r>
        <w:rPr/>
        <w:t>）具有完成该无形资产并使用或出售的意图；</w:t>
      </w:r>
    </w:p>
    <w:p>
      <w:pPr>
        <w:pStyle w:val="BodyText"/>
        <w:spacing w:line="355" w:lineRule="auto" w:before="133"/>
        <w:ind w:right="123" w:firstLine="419"/>
        <w:jc w:val="left"/>
      </w:pPr>
      <w:r>
        <w:rPr>
          <w:spacing w:val="-4"/>
        </w:rPr>
        <w:t>（</w:t>
      </w:r>
      <w:r>
        <w:rPr>
          <w:rFonts w:ascii="宋体" w:hAnsi="宋体" w:cs="宋体" w:eastAsia="宋体" w:hint="default"/>
          <w:spacing w:val="-4"/>
        </w:rPr>
        <w:t>3</w:t>
      </w:r>
      <w:r>
        <w:rPr>
          <w:spacing w:val="-4"/>
        </w:rPr>
        <w:t>）无形资产产生经济利益的方式，包括能够证明运用该无形资产生产的产品存在市场或无</w:t>
      </w:r>
      <w:r>
        <w:rPr>
          <w:w w:val="100"/>
        </w:rPr>
        <w:t> </w:t>
      </w:r>
      <w:r>
        <w:rPr/>
        <w:t>形资产自身存在市场，无形资产将在内部使用的，能够证明其有用性；</w:t>
      </w:r>
    </w:p>
    <w:p>
      <w:pPr>
        <w:pStyle w:val="BodyText"/>
        <w:spacing w:line="355" w:lineRule="auto" w:before="34"/>
        <w:ind w:right="123" w:firstLine="419"/>
        <w:jc w:val="left"/>
      </w:pPr>
      <w:r>
        <w:rPr>
          <w:spacing w:val="-4"/>
        </w:rPr>
        <w:t>（</w:t>
      </w:r>
      <w:r>
        <w:rPr>
          <w:rFonts w:ascii="宋体" w:hAnsi="宋体" w:cs="宋体" w:eastAsia="宋体" w:hint="default"/>
          <w:spacing w:val="-4"/>
        </w:rPr>
        <w:t>4</w:t>
      </w:r>
      <w:r>
        <w:rPr>
          <w:spacing w:val="-4"/>
        </w:rPr>
        <w:t>）有足够的技术、财务资源和其他资源支持，以完成该无形资产的开发，并有能力使用或</w:t>
      </w:r>
      <w:r>
        <w:rPr>
          <w:w w:val="100"/>
        </w:rPr>
        <w:t> </w:t>
      </w:r>
      <w:r>
        <w:rPr/>
        <w:t>出售该无形资产；</w:t>
      </w:r>
    </w:p>
    <w:p>
      <w:pPr>
        <w:pStyle w:val="BodyText"/>
        <w:spacing w:line="240" w:lineRule="auto" w:before="32"/>
        <w:ind w:left="558" w:right="123"/>
        <w:jc w:val="left"/>
      </w:pPr>
      <w:r>
        <w:rPr/>
        <w:t>（</w:t>
      </w:r>
      <w:r>
        <w:rPr>
          <w:rFonts w:ascii="宋体" w:hAnsi="宋体" w:cs="宋体" w:eastAsia="宋体" w:hint="default"/>
        </w:rPr>
        <w:t>5</w:t>
      </w:r>
      <w:r>
        <w:rPr/>
        <w:t>）归属于该无形资产开发阶段的支出能够可靠地计量。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64" w:lineRule="auto" w:before="0"/>
        <w:ind w:left="558" w:right="123" w:hanging="420"/>
        <w:jc w:val="left"/>
        <w:rPr>
          <w:rFonts w:ascii="宋体" w:hAnsi="宋体" w:cs="宋体" w:eastAsia="宋体" w:hint="default"/>
          <w:sz w:val="21"/>
          <w:szCs w:val="21"/>
        </w:rPr>
      </w:pPr>
      <w:r>
        <w:rPr>
          <w:rFonts w:ascii="Calibri" w:hAnsi="Calibri" w:cs="Calibri" w:eastAsia="Calibri" w:hint="default"/>
          <w:b/>
          <w:bCs/>
          <w:sz w:val="21"/>
          <w:szCs w:val="21"/>
        </w:rPr>
        <w:t>16.</w:t>
      </w:r>
      <w:r>
        <w:rPr>
          <w:rFonts w:ascii="Calibri" w:hAnsi="Calibri" w:cs="Calibri" w:eastAsia="Calibri" w:hint="default"/>
          <w:b/>
          <w:bCs/>
          <w:spacing w:val="12"/>
          <w:sz w:val="21"/>
          <w:szCs w:val="21"/>
        </w:rPr>
        <w:t> </w:t>
      </w:r>
      <w:r>
        <w:rPr>
          <w:rFonts w:ascii="宋体" w:hAnsi="宋体" w:cs="宋体" w:eastAsia="宋体" w:hint="default"/>
          <w:b/>
          <w:bCs/>
          <w:sz w:val="21"/>
          <w:szCs w:val="21"/>
        </w:rPr>
        <w:t>长期资产减值</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本公司在资产负债表日判断长期资产是否存在可能发生减值的迹象。如果长期资产存在减值</w:t>
      </w:r>
    </w:p>
    <w:p>
      <w:pPr>
        <w:pStyle w:val="BodyText"/>
        <w:spacing w:line="355" w:lineRule="auto" w:before="114"/>
        <w:ind w:right="128"/>
        <w:jc w:val="both"/>
      </w:pPr>
      <w:r>
        <w:rPr>
          <w:spacing w:val="-1"/>
        </w:rPr>
        <w:t>迹象的，以单项资产为基础估计其可收回金额；难以对单项资产的可收回金额进行估计的，以该</w:t>
      </w:r>
      <w:r>
        <w:rPr>
          <w:spacing w:val="-55"/>
        </w:rPr>
        <w:t> </w:t>
      </w:r>
      <w:r>
        <w:rPr>
          <w:spacing w:val="-55"/>
        </w:rPr>
      </w:r>
      <w:r>
        <w:rPr/>
        <w:t>资产所属的资产组为基础确定资产组的可收回金额。</w:t>
      </w:r>
    </w:p>
    <w:p>
      <w:pPr>
        <w:pStyle w:val="BodyText"/>
        <w:spacing w:line="355" w:lineRule="auto" w:before="32"/>
        <w:ind w:right="123" w:firstLine="419"/>
        <w:jc w:val="left"/>
      </w:pPr>
      <w:r>
        <w:rPr>
          <w:spacing w:val="-2"/>
        </w:rPr>
        <w:t>资产可收回金额的估计，根据其公允价值减去处置费用后的净额与资产预计未来现金流量的</w:t>
      </w:r>
      <w:r>
        <w:rPr>
          <w:w w:val="100"/>
        </w:rPr>
        <w:t> </w:t>
      </w:r>
      <w:r>
        <w:rPr/>
        <w:t>现值两者之间较高者确定。</w:t>
      </w:r>
    </w:p>
    <w:p>
      <w:pPr>
        <w:pStyle w:val="BodyText"/>
        <w:spacing w:line="357" w:lineRule="auto" w:before="32"/>
        <w:ind w:right="128" w:firstLine="419"/>
        <w:jc w:val="both"/>
      </w:pPr>
      <w:r>
        <w:rPr>
          <w:spacing w:val="-2"/>
        </w:rPr>
        <w:t>可收回金额的计量结果表明，长期资产的可收回金额低于其账面价值的，将长期资产的账面</w:t>
      </w:r>
      <w:r>
        <w:rPr>
          <w:w w:val="100"/>
        </w:rPr>
        <w:t> </w:t>
      </w:r>
      <w:r>
        <w:rPr>
          <w:spacing w:val="-1"/>
        </w:rPr>
        <w:t>价值减记至可收回金额，减记的金额确认为资产减值损失，计入当期损益，同时计提相应的资产</w:t>
      </w:r>
      <w:r>
        <w:rPr>
          <w:spacing w:val="-55"/>
        </w:rPr>
        <w:t> </w:t>
      </w:r>
      <w:r>
        <w:rPr>
          <w:spacing w:val="-55"/>
        </w:rPr>
      </w:r>
      <w:r>
        <w:rPr/>
        <w:t>减值准备。资产减值损失一经确认，在以后会计期间不得转回。</w:t>
      </w:r>
    </w:p>
    <w:p>
      <w:pPr>
        <w:pStyle w:val="BodyText"/>
        <w:spacing w:line="240" w:lineRule="auto" w:before="30"/>
        <w:ind w:left="558" w:right="0"/>
        <w:jc w:val="left"/>
      </w:pPr>
      <w:r>
        <w:rPr/>
        <w:t>资产减值损失确认后，减值资产的折旧或者摊销费用在未来期间作相应调整，以使该资产在</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558" w:right="123" w:hanging="420"/>
        <w:jc w:val="left"/>
      </w:pPr>
      <w:r>
        <w:rPr>
          <w:spacing w:val="-5"/>
          <w:w w:val="100"/>
        </w:rPr>
        <w:t>剩余使用寿命内，系统地分摊调整后的资产账面价值（扣除预计净残值）。</w:t>
      </w:r>
      <w:r>
        <w:rPr>
          <w:spacing w:val="-89"/>
          <w:w w:val="100"/>
        </w:rPr>
        <w:t> </w:t>
      </w:r>
      <w:r>
        <w:rPr>
          <w:spacing w:val="-89"/>
          <w:w w:val="100"/>
        </w:rPr>
      </w:r>
      <w:r>
        <w:rPr>
          <w:spacing w:val="-2"/>
        </w:rPr>
        <w:t>因企业合并所形成的商誉和使用寿命不确定的无形资产，无论是否存在减值迹象，每年都进</w:t>
      </w:r>
    </w:p>
    <w:p>
      <w:pPr>
        <w:pStyle w:val="BodyText"/>
        <w:spacing w:line="240" w:lineRule="auto" w:before="30"/>
        <w:ind w:right="123"/>
        <w:jc w:val="left"/>
      </w:pPr>
      <w:r>
        <w:rPr/>
        <w:t>行减值测试。</w:t>
      </w:r>
    </w:p>
    <w:p>
      <w:pPr>
        <w:pStyle w:val="BodyText"/>
        <w:spacing w:line="357" w:lineRule="auto" w:before="133"/>
        <w:ind w:right="128" w:firstLine="419"/>
        <w:jc w:val="both"/>
      </w:pPr>
      <w:r>
        <w:rPr>
          <w:spacing w:val="-2"/>
        </w:rPr>
        <w:t>商誉结合与其相关的资产组或者资产组组合进行减值测试。在对包含商誉的相关资产组或者</w:t>
      </w:r>
      <w:r>
        <w:rPr>
          <w:w w:val="100"/>
        </w:rPr>
        <w:t> </w:t>
      </w:r>
      <w:r>
        <w:rPr>
          <w:spacing w:val="-1"/>
        </w:rPr>
        <w:t>资产组组合进行减值测试时，如与商誉相关的资产组或者资产组组合存在减值迹象的，先对不包</w:t>
      </w:r>
      <w:r>
        <w:rPr>
          <w:spacing w:val="-55"/>
        </w:rPr>
        <w:t> </w:t>
      </w:r>
      <w:r>
        <w:rPr>
          <w:spacing w:val="-55"/>
        </w:rPr>
      </w:r>
      <w:r>
        <w:rPr>
          <w:spacing w:val="-1"/>
        </w:rPr>
        <w:t>含商誉的资产组或者资产组组合进行减值测试，计算可收回金额，并与相关账面价值相比较，确</w:t>
      </w:r>
      <w:r>
        <w:rPr>
          <w:spacing w:val="-55"/>
        </w:rPr>
        <w:t> </w:t>
      </w:r>
      <w:r>
        <w:rPr>
          <w:spacing w:val="-55"/>
        </w:rPr>
      </w:r>
      <w:r>
        <w:rPr>
          <w:spacing w:val="-1"/>
        </w:rPr>
        <w:t>认相应的减值损失。再对包含商誉的资产组或者资产组组合进行减值测试，比较这些相关资产组</w:t>
      </w:r>
      <w:r>
        <w:rPr>
          <w:spacing w:val="-55"/>
        </w:rPr>
        <w:t> </w:t>
      </w:r>
      <w:r>
        <w:rPr>
          <w:spacing w:val="-55"/>
        </w:rPr>
      </w:r>
      <w:r>
        <w:rPr>
          <w:spacing w:val="-1"/>
        </w:rPr>
        <w:t>或者资产组组合的账面价值（包括所分摊的商誉的账面价值部分）与其可收回金额，如相关资产</w:t>
      </w:r>
      <w:r>
        <w:rPr>
          <w:spacing w:val="-55"/>
        </w:rPr>
        <w:t> </w:t>
      </w:r>
      <w:r>
        <w:rPr>
          <w:spacing w:val="-55"/>
        </w:rPr>
      </w:r>
      <w:r>
        <w:rPr/>
        <w:t>组或者资产组组合的可收回金额低于其账面价值的，确认商誉的减值损失。</w:t>
      </w:r>
    </w:p>
    <w:p>
      <w:pPr>
        <w:spacing w:line="240" w:lineRule="auto" w:before="11"/>
        <w:rPr>
          <w:rFonts w:ascii="宋体" w:hAnsi="宋体" w:cs="宋体" w:eastAsia="宋体" w:hint="default"/>
          <w:sz w:val="27"/>
          <w:szCs w:val="27"/>
        </w:rPr>
      </w:pPr>
    </w:p>
    <w:p>
      <w:pPr>
        <w:pStyle w:val="Heading3"/>
        <w:spacing w:line="240" w:lineRule="auto"/>
        <w:ind w:left="138" w:right="123"/>
        <w:jc w:val="left"/>
        <w:rPr>
          <w:b w:val="0"/>
          <w:bCs w:val="0"/>
        </w:rPr>
      </w:pPr>
      <w:r>
        <w:rPr>
          <w:rFonts w:ascii="Calibri" w:hAnsi="Calibri" w:cs="Calibri" w:eastAsia="Calibri" w:hint="default"/>
        </w:rPr>
        <w:t>17.  </w:t>
      </w:r>
      <w:r>
        <w:rPr>
          <w:rFonts w:ascii="Calibri" w:hAnsi="Calibri" w:cs="Calibri" w:eastAsia="Calibri" w:hint="default"/>
          <w:spacing w:val="13"/>
        </w:rPr>
        <w:t> </w:t>
      </w:r>
      <w:r>
        <w:rPr/>
        <w:t>长期待摊费用</w:t>
      </w:r>
      <w:r>
        <w:rPr>
          <w:b w:val="0"/>
          <w:bCs w:val="0"/>
        </w:rPr>
      </w:r>
    </w:p>
    <w:p>
      <w:pPr>
        <w:pStyle w:val="BodyText"/>
        <w:spacing w:line="357" w:lineRule="auto" w:before="29"/>
        <w:ind w:right="127" w:firstLine="419"/>
        <w:jc w:val="both"/>
      </w:pPr>
      <w:r>
        <w:rPr/>
        <w:t>长期待摊费用，是指本公司已经发生但应由本期和以后各期负担的分摊期限在</w:t>
      </w:r>
      <w:r>
        <w:rPr>
          <w:spacing w:val="-50"/>
        </w:rPr>
        <w:t> </w:t>
      </w:r>
      <w:r>
        <w:rPr>
          <w:rFonts w:ascii="宋体" w:hAnsi="宋体" w:cs="宋体" w:eastAsia="宋体" w:hint="default"/>
        </w:rPr>
        <w:t>1</w:t>
      </w:r>
      <w:r>
        <w:rPr>
          <w:rFonts w:ascii="宋体" w:hAnsi="宋体" w:cs="宋体" w:eastAsia="宋体" w:hint="default"/>
          <w:spacing w:val="-48"/>
        </w:rPr>
        <w:t> </w:t>
      </w:r>
      <w:r>
        <w:rPr/>
        <w:t>年以上的各</w:t>
      </w:r>
      <w:r>
        <w:rPr>
          <w:w w:val="100"/>
        </w:rPr>
        <w:t> </w:t>
      </w:r>
      <w:r>
        <w:rPr>
          <w:spacing w:val="-1"/>
        </w:rPr>
        <w:t>项费用。长期待摊费用在受益期内按直线法分期摊销。若长期待摊的费用项目不能使以后会计期</w:t>
      </w:r>
      <w:r>
        <w:rPr>
          <w:spacing w:val="-55"/>
        </w:rPr>
        <w:t> </w:t>
      </w:r>
      <w:r>
        <w:rPr>
          <w:spacing w:val="-55"/>
        </w:rPr>
      </w:r>
      <w:r>
        <w:rPr/>
        <w:t>间受益，则将尚未摊销的该项目的摊余价值全部转入当期损益。</w:t>
      </w:r>
    </w:p>
    <w:p>
      <w:pPr>
        <w:spacing w:line="240" w:lineRule="auto" w:before="8"/>
        <w:rPr>
          <w:rFonts w:ascii="宋体" w:hAnsi="宋体" w:cs="宋体" w:eastAsia="宋体" w:hint="default"/>
          <w:sz w:val="27"/>
          <w:szCs w:val="27"/>
        </w:rPr>
      </w:pPr>
    </w:p>
    <w:p>
      <w:pPr>
        <w:pStyle w:val="Heading3"/>
        <w:spacing w:line="266" w:lineRule="auto"/>
        <w:ind w:left="138" w:right="6101"/>
        <w:jc w:val="left"/>
        <w:rPr>
          <w:b w:val="0"/>
          <w:bCs w:val="0"/>
        </w:rPr>
      </w:pPr>
      <w:r>
        <w:rPr>
          <w:rFonts w:ascii="Calibri" w:hAnsi="Calibri" w:cs="Calibri" w:eastAsia="Calibri" w:hint="default"/>
        </w:rPr>
        <w:t>18.</w:t>
      </w:r>
      <w:r>
        <w:rPr>
          <w:rFonts w:ascii="Calibri" w:hAnsi="Calibri" w:cs="Calibri" w:eastAsia="Calibri" w:hint="default"/>
          <w:spacing w:val="1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357" w:lineRule="auto" w:before="33"/>
        <w:ind w:right="137" w:firstLine="419"/>
        <w:jc w:val="both"/>
      </w:pPr>
      <w:r>
        <w:rPr>
          <w:spacing w:val="-2"/>
        </w:rPr>
        <w:t>短期薪酬是指本公司在职工提供相关服务的年度报告期间结束后十二个月内需要全部予以支</w:t>
      </w:r>
      <w:r>
        <w:rPr>
          <w:w w:val="100"/>
        </w:rPr>
        <w:t> </w:t>
      </w:r>
      <w:r>
        <w:rPr>
          <w:spacing w:val="-2"/>
        </w:rPr>
        <w:t>付的职工薪酬，离职后福利和辞退福利除外。本公司在职工提供服务的会计期间，将应付的短期</w:t>
      </w:r>
      <w:r>
        <w:rPr>
          <w:spacing w:val="-25"/>
        </w:rPr>
        <w:t> </w:t>
      </w:r>
      <w:r>
        <w:rPr>
          <w:spacing w:val="-25"/>
        </w:rPr>
      </w:r>
      <w:r>
        <w:rPr/>
        <w:t>薪酬确认为负债，并根据职工提供服务的受益对象计入相关资产成本和费用。</w:t>
      </w:r>
    </w:p>
    <w:p>
      <w:pPr>
        <w:spacing w:line="240" w:lineRule="auto" w:before="8"/>
        <w:rPr>
          <w:rFonts w:ascii="宋体" w:hAnsi="宋体" w:cs="宋体" w:eastAsia="宋体" w:hint="default"/>
          <w:sz w:val="27"/>
          <w:szCs w:val="27"/>
        </w:rPr>
      </w:pPr>
    </w:p>
    <w:p>
      <w:pPr>
        <w:spacing w:line="290" w:lineRule="auto" w:before="0"/>
        <w:ind w:left="558" w:right="123"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离职后福利是指本公司为获得职工提供的服务而在职工退休或与企业解除劳动关系后，提供</w:t>
      </w:r>
    </w:p>
    <w:p>
      <w:pPr>
        <w:pStyle w:val="BodyText"/>
        <w:spacing w:line="355" w:lineRule="auto" w:before="89"/>
        <w:ind w:right="123"/>
        <w:jc w:val="left"/>
      </w:pPr>
      <w:r>
        <w:rPr>
          <w:spacing w:val="-2"/>
        </w:rPr>
        <w:t>的各种形式的报酬和福利，短期薪酬和辞退福利除外。离职后福利计划分类为设定提存计划和设</w:t>
      </w:r>
      <w:r>
        <w:rPr>
          <w:spacing w:val="-25"/>
        </w:rPr>
        <w:t> </w:t>
      </w:r>
      <w:r>
        <w:rPr>
          <w:spacing w:val="-25"/>
        </w:rPr>
      </w:r>
      <w:r>
        <w:rPr/>
        <w:t>定受益计划。</w:t>
      </w:r>
    </w:p>
    <w:p>
      <w:pPr>
        <w:pStyle w:val="BodyText"/>
        <w:spacing w:line="355" w:lineRule="auto" w:before="35"/>
        <w:ind w:right="137" w:firstLine="419"/>
        <w:jc w:val="both"/>
      </w:pPr>
      <w:r>
        <w:rPr>
          <w:spacing w:val="-2"/>
        </w:rPr>
        <w:t>离职后福利设定提存计划主要为参加由各地劳动及社会保障机构组织实施的社会基本养老保</w:t>
      </w:r>
      <w:r>
        <w:rPr>
          <w:w w:val="100"/>
        </w:rPr>
        <w:t> </w:t>
      </w:r>
      <w:r>
        <w:rPr>
          <w:spacing w:val="-2"/>
        </w:rPr>
        <w:t>险、失业保险等。在职工为本公司提供服务的会计期间，将根据设定提存计划计算的应缴存金额</w:t>
      </w:r>
      <w:r>
        <w:rPr>
          <w:spacing w:val="-25"/>
        </w:rPr>
        <w:t> </w:t>
      </w:r>
      <w:r>
        <w:rPr>
          <w:spacing w:val="-25"/>
        </w:rPr>
      </w:r>
      <w:r>
        <w:rPr/>
        <w:t>确认为负债，并计入当期损益或相关资产成本。</w:t>
      </w:r>
    </w:p>
    <w:p>
      <w:pPr>
        <w:pStyle w:val="BodyText"/>
        <w:spacing w:line="240" w:lineRule="auto" w:before="32"/>
        <w:ind w:left="558" w:right="123"/>
        <w:jc w:val="left"/>
      </w:pPr>
      <w:r>
        <w:rPr/>
        <w:t>本公司按照国家规定的标准定期缴付上述款项后，不再有其他的支付义务。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90" w:lineRule="auto" w:before="0"/>
        <w:ind w:left="558" w:right="123"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辞退福利是指本公司在职工劳动合同到期之前解除与职工的劳动关系，或者为鼓励职工自愿</w:t>
      </w:r>
    </w:p>
    <w:p>
      <w:pPr>
        <w:pStyle w:val="BodyText"/>
        <w:spacing w:line="357" w:lineRule="auto" w:before="91"/>
        <w:ind w:right="137"/>
        <w:jc w:val="both"/>
      </w:pPr>
      <w:r>
        <w:rPr>
          <w:spacing w:val="-2"/>
        </w:rPr>
        <w:t>接受裁减而给予职工的补偿，在本公司不能单方面撤回解除劳动关系计划或裁减建议时和确认与</w:t>
      </w:r>
      <w:r>
        <w:rPr>
          <w:spacing w:val="-25"/>
        </w:rPr>
        <w:t> </w:t>
      </w:r>
      <w:r>
        <w:rPr>
          <w:spacing w:val="-25"/>
        </w:rPr>
      </w:r>
      <w:r>
        <w:rPr>
          <w:spacing w:val="-2"/>
        </w:rPr>
        <w:t>涉及支付辞退福利的重组相关的成本费用时两者孰早日，确认因解除与职工的劳动关系给予补偿</w:t>
      </w:r>
      <w:r>
        <w:rPr>
          <w:spacing w:val="-26"/>
        </w:rPr>
        <w:t> </w:t>
      </w:r>
      <w:r>
        <w:rPr>
          <w:spacing w:val="-26"/>
        </w:rPr>
      </w:r>
      <w:r>
        <w:rPr/>
        <w:t>而产生的负债，同时计入当期损益。</w:t>
      </w:r>
    </w:p>
    <w:p>
      <w:pPr>
        <w:spacing w:after="0" w:line="357" w:lineRule="auto"/>
        <w:jc w:val="both"/>
        <w:sectPr>
          <w:footerReference w:type="default" r:id="rId63"/>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75"/>
        <w:ind w:left="558" w:right="123"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z w:val="21"/>
          <w:szCs w:val="21"/>
        </w:rPr>
        <w:t>其他长期职工福利是指除短期薪酬、离职后福利、辞退福利之外的其他所有职工福利。</w:t>
      </w:r>
    </w:p>
    <w:p>
      <w:pPr>
        <w:pStyle w:val="BodyText"/>
        <w:spacing w:line="355" w:lineRule="auto" w:before="91"/>
        <w:ind w:right="123" w:firstLine="419"/>
        <w:jc w:val="left"/>
      </w:pPr>
      <w:r>
        <w:rPr>
          <w:spacing w:val="-2"/>
        </w:rPr>
        <w:t>对符合设定提存计划条件的其他长期职工福利，在职工为本公司提供服务的会计期间，将应</w:t>
      </w:r>
      <w:r>
        <w:rPr>
          <w:w w:val="100"/>
        </w:rPr>
        <w:t> </w:t>
      </w:r>
      <w:r>
        <w:rPr/>
        <w:t>缴存金额确认为负债，并计入当期损益或相关资产成本。</w:t>
      </w:r>
    </w:p>
    <w:p>
      <w:pPr>
        <w:spacing w:line="240" w:lineRule="auto" w:before="10"/>
        <w:rPr>
          <w:rFonts w:ascii="宋体" w:hAnsi="宋体" w:cs="宋体" w:eastAsia="宋体" w:hint="default"/>
          <w:sz w:val="27"/>
          <w:szCs w:val="27"/>
        </w:rPr>
      </w:pPr>
    </w:p>
    <w:p>
      <w:pPr>
        <w:pStyle w:val="Heading3"/>
        <w:spacing w:line="240" w:lineRule="auto"/>
        <w:ind w:left="138" w:right="123"/>
        <w:jc w:val="left"/>
        <w:rPr>
          <w:b w:val="0"/>
          <w:bCs w:val="0"/>
        </w:rPr>
      </w:pPr>
      <w:r>
        <w:rPr>
          <w:rFonts w:ascii="Calibri" w:hAnsi="Calibri" w:cs="Calibri" w:eastAsia="Calibri" w:hint="default"/>
        </w:rPr>
        <w:t>19.  </w:t>
      </w:r>
      <w:r>
        <w:rPr>
          <w:rFonts w:ascii="Calibri" w:hAnsi="Calibri" w:cs="Calibri" w:eastAsia="Calibri" w:hint="default"/>
          <w:spacing w:val="13"/>
        </w:rPr>
        <w:t> </w:t>
      </w:r>
      <w:r>
        <w:rPr/>
        <w:t>预计负债</w:t>
      </w:r>
      <w:r>
        <w:rPr>
          <w:b w:val="0"/>
          <w:bCs w:val="0"/>
        </w:rPr>
      </w:r>
    </w:p>
    <w:p>
      <w:pPr>
        <w:pStyle w:val="BodyText"/>
        <w:spacing w:line="357" w:lineRule="auto" w:before="32"/>
        <w:ind w:left="558" w:right="1428"/>
        <w:jc w:val="left"/>
      </w:pPr>
      <w:r>
        <w:rPr>
          <w:rFonts w:ascii="宋体" w:hAnsi="宋体" w:cs="宋体" w:eastAsia="宋体"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预计负债的确认标准</w:t>
      </w:r>
      <w:r>
        <w:rPr>
          <w:rFonts w:ascii="宋体" w:hAnsi="宋体" w:cs="宋体" w:eastAsia="宋体" w:hint="default"/>
          <w:b/>
          <w:bCs/>
          <w:spacing w:val="-103"/>
        </w:rPr>
        <w:t> </w:t>
      </w:r>
      <w:r>
        <w:rPr>
          <w:rFonts w:ascii="宋体" w:hAnsi="宋体" w:cs="宋体" w:eastAsia="宋体" w:hint="default"/>
          <w:b/>
          <w:bCs/>
          <w:spacing w:val="-103"/>
        </w:rPr>
      </w:r>
      <w:r>
        <w:rPr>
          <w:spacing w:val="-2"/>
        </w:rPr>
        <w:t>与或有事项相关的义务同时满足下列条件时，本公司确认为预计负债：</w:t>
      </w:r>
      <w:r>
        <w:rPr>
          <w:spacing w:val="-45"/>
        </w:rPr>
        <w:t> </w:t>
      </w:r>
      <w:r>
        <w:rPr>
          <w:spacing w:val="-45"/>
        </w:rPr>
      </w:r>
      <w:r>
        <w:rPr/>
        <w:t>该义务是本公司承担的现时义务；</w:t>
      </w:r>
      <w:r>
        <w:rPr>
          <w:w w:val="100"/>
        </w:rPr>
        <w:t> </w:t>
      </w:r>
      <w:r>
        <w:rPr/>
        <w:t>履行该义务很可能导致经济利益流出本公司；</w:t>
      </w:r>
      <w:r>
        <w:rPr>
          <w:w w:val="100"/>
        </w:rPr>
        <w:t> </w:t>
      </w:r>
      <w:r>
        <w:rPr/>
        <w:t>该义务的金额能够可靠地计量。</w:t>
      </w:r>
    </w:p>
    <w:p>
      <w:pPr>
        <w:pStyle w:val="BodyText"/>
        <w:spacing w:line="355" w:lineRule="auto" w:before="30"/>
        <w:ind w:left="558" w:right="123" w:firstLine="2"/>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6"/>
        </w:rPr>
        <w:t> </w:t>
      </w:r>
      <w:r>
        <w:rPr>
          <w:rFonts w:ascii="宋体" w:hAnsi="宋体" w:cs="宋体" w:eastAsia="宋体" w:hint="default"/>
          <w:b/>
          <w:bCs/>
        </w:rPr>
        <w:t>预计负债的计量方法</w:t>
      </w:r>
      <w:r>
        <w:rPr>
          <w:rFonts w:ascii="宋体" w:hAnsi="宋体" w:cs="宋体" w:eastAsia="宋体" w:hint="default"/>
          <w:b/>
          <w:bCs/>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w:t>
      </w:r>
    </w:p>
    <w:p>
      <w:pPr>
        <w:pStyle w:val="BodyText"/>
        <w:spacing w:line="357" w:lineRule="auto" w:before="34"/>
        <w:ind w:left="558" w:right="123" w:hanging="420"/>
        <w:jc w:val="left"/>
      </w:pPr>
      <w:r>
        <w:rPr/>
        <w:t>因素。对于货币时间价值影响重大的，通过对相关未来现金流出进行折现后确定最佳估计数。</w:t>
      </w:r>
      <w:r>
        <w:rPr>
          <w:w w:val="100"/>
        </w:rPr>
        <w:t> </w:t>
      </w:r>
      <w:r>
        <w:rPr/>
        <w:t>最佳估计数分别以下情况处理：</w:t>
      </w:r>
      <w:r>
        <w:rPr>
          <w:w w:val="100"/>
        </w:rPr>
        <w:t> </w:t>
      </w:r>
      <w:r>
        <w:rPr>
          <w:spacing w:val="-7"/>
          <w:w w:val="100"/>
        </w:rPr>
        <w:t>所需支出存在一个连续范围（或区间），且该范围内各种结果发生的可能性相同的，则最佳估</w:t>
      </w:r>
    </w:p>
    <w:p>
      <w:pPr>
        <w:pStyle w:val="BodyText"/>
        <w:spacing w:line="357" w:lineRule="auto" w:before="30"/>
        <w:ind w:left="558" w:right="123" w:hanging="420"/>
        <w:jc w:val="left"/>
      </w:pPr>
      <w:r>
        <w:rPr/>
        <w:t>计数按照该范围的中间值即上下限金额的平均数确定。</w:t>
      </w:r>
      <w:r>
        <w:rPr>
          <w:w w:val="100"/>
        </w:rPr>
        <w:t> </w:t>
      </w:r>
      <w:r>
        <w:rPr>
          <w:spacing w:val="-7"/>
          <w:w w:val="100"/>
        </w:rPr>
        <w:t>所需支出不存在一个连续范围（或区间），或虽然存在一个连续范围但该范围内各种结果发生</w:t>
      </w:r>
    </w:p>
    <w:p>
      <w:pPr>
        <w:pStyle w:val="BodyText"/>
        <w:spacing w:line="355" w:lineRule="auto" w:before="30"/>
        <w:ind w:right="128"/>
        <w:jc w:val="both"/>
      </w:pPr>
      <w:r>
        <w:rPr>
          <w:spacing w:val="-1"/>
        </w:rPr>
        <w:t>的可能性不相同的，如或有事项涉及单个项目的，则最佳估计数按照最可能发生金额确定；如或</w:t>
      </w:r>
      <w:r>
        <w:rPr>
          <w:spacing w:val="-55"/>
        </w:rPr>
        <w:t> </w:t>
      </w:r>
      <w:r>
        <w:rPr>
          <w:spacing w:val="-55"/>
        </w:rPr>
      </w:r>
      <w:r>
        <w:rPr/>
        <w:t>有事项涉及多个项目的，则最佳估计数按各种可能结果及相关概率计算确定。</w:t>
      </w:r>
    </w:p>
    <w:p>
      <w:pPr>
        <w:pStyle w:val="BodyText"/>
        <w:spacing w:line="355" w:lineRule="auto" w:before="32"/>
        <w:ind w:right="123" w:firstLine="419"/>
        <w:jc w:val="left"/>
      </w:pPr>
      <w:r>
        <w:rPr>
          <w:spacing w:val="-2"/>
        </w:rPr>
        <w:t>本公司清偿预计负债所需支出全部或部分预期由第三方补偿的，补偿金额在基本确定能够收</w:t>
      </w:r>
      <w:r>
        <w:rPr>
          <w:w w:val="100"/>
        </w:rPr>
        <w:t> </w:t>
      </w:r>
      <w:r>
        <w:rPr/>
        <w:t>到时，作为资产单独确认，确认的补偿金额不超过预计负债的账面价值。</w:t>
      </w:r>
    </w:p>
    <w:p>
      <w:pPr>
        <w:spacing w:line="240" w:lineRule="auto" w:before="0"/>
        <w:rPr>
          <w:rFonts w:ascii="宋体" w:hAnsi="宋体" w:cs="宋体" w:eastAsia="宋体" w:hint="default"/>
          <w:sz w:val="28"/>
          <w:szCs w:val="28"/>
        </w:rPr>
      </w:pPr>
    </w:p>
    <w:p>
      <w:pPr>
        <w:pStyle w:val="Heading3"/>
        <w:spacing w:line="240" w:lineRule="auto"/>
        <w:ind w:left="138" w:right="123"/>
        <w:jc w:val="left"/>
        <w:rPr>
          <w:b w:val="0"/>
          <w:bCs w:val="0"/>
        </w:rPr>
      </w:pPr>
      <w:r>
        <w:rPr>
          <w:rFonts w:ascii="Calibri" w:hAnsi="Calibri" w:cs="Calibri" w:eastAsia="Calibri" w:hint="default"/>
        </w:rPr>
        <w:t>20.  </w:t>
      </w:r>
      <w:r>
        <w:rPr>
          <w:rFonts w:ascii="Calibri" w:hAnsi="Calibri" w:cs="Calibri" w:eastAsia="Calibri" w:hint="default"/>
          <w:spacing w:val="12"/>
        </w:rPr>
        <w:t> </w:t>
      </w:r>
      <w:r>
        <w:rPr/>
        <w:t>收入</w:t>
      </w:r>
      <w:r>
        <w:rPr>
          <w:b w:val="0"/>
          <w:bCs w:val="0"/>
        </w:rPr>
      </w:r>
    </w:p>
    <w:p>
      <w:pPr>
        <w:spacing w:line="355" w:lineRule="auto" w:before="32"/>
        <w:ind w:left="558" w:right="12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本公司销售的商品在同时满足下列条件时，按从购货方已收或应收的合同或协议价款的金额</w:t>
      </w:r>
    </w:p>
    <w:p>
      <w:pPr>
        <w:pStyle w:val="BodyText"/>
        <w:spacing w:line="357" w:lineRule="auto" w:before="32"/>
        <w:ind w:right="127"/>
        <w:jc w:val="both"/>
      </w:pPr>
      <w:r>
        <w:rPr>
          <w:spacing w:val="-1"/>
        </w:rPr>
        <w:t>确认销售商品收入：（</w:t>
      </w:r>
      <w:r>
        <w:rPr>
          <w:rFonts w:ascii="宋体" w:hAnsi="宋体" w:cs="宋体" w:eastAsia="宋体" w:hint="default"/>
          <w:spacing w:val="-1"/>
        </w:rPr>
        <w:t>1</w:t>
      </w:r>
      <w:r>
        <w:rPr>
          <w:spacing w:val="-1"/>
        </w:rPr>
        <w:t>）已将商品所有权上的主要风险和报酬转移给购货方；（</w:t>
      </w:r>
      <w:r>
        <w:rPr>
          <w:rFonts w:ascii="宋体" w:hAnsi="宋体" w:cs="宋体" w:eastAsia="宋体" w:hint="default"/>
          <w:spacing w:val="-1"/>
        </w:rPr>
        <w:t>2</w:t>
      </w:r>
      <w:r>
        <w:rPr>
          <w:spacing w:val="-1"/>
        </w:rPr>
        <w:t>）既没有保留</w:t>
      </w:r>
      <w:r>
        <w:rPr>
          <w:spacing w:val="-54"/>
        </w:rPr>
        <w:t> </w:t>
      </w:r>
      <w:r>
        <w:rPr>
          <w:spacing w:val="-54"/>
        </w:rPr>
      </w:r>
      <w:r>
        <w:rPr>
          <w:spacing w:val="-4"/>
        </w:rPr>
        <w:t>通常与所有权相联系的继续管理权，也没有对已售出的商品实施有效控制；（</w:t>
      </w:r>
      <w:r>
        <w:rPr>
          <w:rFonts w:ascii="宋体" w:hAnsi="宋体" w:cs="宋体" w:eastAsia="宋体" w:hint="default"/>
          <w:spacing w:val="-4"/>
        </w:rPr>
        <w:t>3</w:t>
      </w:r>
      <w:r>
        <w:rPr>
          <w:spacing w:val="-4"/>
        </w:rPr>
        <w:t>）收入的金额能够</w:t>
      </w:r>
      <w:r>
        <w:rPr>
          <w:spacing w:val="-33"/>
        </w:rPr>
        <w:t> </w:t>
      </w:r>
      <w:r>
        <w:rPr>
          <w:spacing w:val="-33"/>
        </w:rPr>
      </w:r>
      <w:r>
        <w:rPr>
          <w:spacing w:val="-1"/>
        </w:rPr>
        <w:t>可靠地计量；（</w:t>
      </w:r>
      <w:r>
        <w:rPr>
          <w:rFonts w:ascii="宋体" w:hAnsi="宋体" w:cs="宋体" w:eastAsia="宋体" w:hint="default"/>
          <w:spacing w:val="-1"/>
        </w:rPr>
        <w:t>4</w:t>
      </w:r>
      <w:r>
        <w:rPr>
          <w:spacing w:val="-1"/>
        </w:rPr>
        <w:t>）相关的经济利益很可能流入企业；（</w:t>
      </w:r>
      <w:r>
        <w:rPr>
          <w:rFonts w:ascii="宋体" w:hAnsi="宋体" w:cs="宋体" w:eastAsia="宋体" w:hint="default"/>
          <w:spacing w:val="-1"/>
        </w:rPr>
        <w:t>5</w:t>
      </w:r>
      <w:r>
        <w:rPr>
          <w:spacing w:val="-1"/>
        </w:rPr>
        <w:t>）相关的已发生或将发生的成本能够可</w:t>
      </w:r>
      <w:r>
        <w:rPr>
          <w:spacing w:val="-55"/>
        </w:rPr>
        <w:t> </w:t>
      </w:r>
      <w:r>
        <w:rPr>
          <w:spacing w:val="-55"/>
        </w:rPr>
      </w:r>
      <w:r>
        <w:rPr/>
        <w:t>靠地计量。</w:t>
      </w:r>
    </w:p>
    <w:p>
      <w:pPr>
        <w:spacing w:line="357" w:lineRule="auto" w:before="30"/>
        <w:ind w:left="558" w:right="123"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w:t>
      </w:r>
    </w:p>
    <w:p>
      <w:pPr>
        <w:pStyle w:val="BodyText"/>
        <w:spacing w:line="240" w:lineRule="auto" w:before="30"/>
        <w:ind w:right="123"/>
        <w:jc w:val="left"/>
      </w:pPr>
      <w:r>
        <w:rPr/>
        <w:t>让渡资产使用权收入金额：</w:t>
      </w:r>
    </w:p>
    <w:p>
      <w:pPr>
        <w:spacing w:after="0" w:line="240" w:lineRule="auto"/>
        <w:jc w:val="left"/>
        <w:sectPr>
          <w:footerReference w:type="default" r:id="rId64"/>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558" w:right="97"/>
        <w:jc w:val="left"/>
      </w:pPr>
      <w:r>
        <w:rPr/>
        <w:t>（</w:t>
      </w:r>
      <w:r>
        <w:rPr>
          <w:rFonts w:ascii="宋体" w:hAnsi="宋体" w:cs="宋体" w:eastAsia="宋体" w:hint="default"/>
        </w:rPr>
        <w:t>1</w:t>
      </w:r>
      <w:r>
        <w:rPr/>
        <w:t>）利息收入金额，按照他人使用本企业货币资金的时间和实际利率计算确定。</w:t>
      </w:r>
    </w:p>
    <w:p>
      <w:pPr>
        <w:pStyle w:val="BodyText"/>
        <w:spacing w:line="355" w:lineRule="auto" w:before="135"/>
        <w:ind w:left="558" w:right="97"/>
        <w:jc w:val="left"/>
      </w:pPr>
      <w:r>
        <w:rPr/>
        <w:t>（</w:t>
      </w:r>
      <w:r>
        <w:rPr>
          <w:rFonts w:ascii="宋体" w:hAnsi="宋体" w:cs="宋体" w:eastAsia="宋体" w:hint="default"/>
        </w:rPr>
        <w:t>2</w:t>
      </w:r>
      <w:r>
        <w:rPr/>
        <w:t>）使用费收入金额，按照有关合同或协议约定的收费时间和方法计算确定。</w:t>
      </w:r>
      <w:r>
        <w:rPr>
          <w:w w:val="100"/>
        </w:rPr>
        <w:t> </w:t>
      </w:r>
      <w:r>
        <w:rPr>
          <w:rFonts w:ascii="宋体" w:hAnsi="宋体" w:cs="宋体" w:eastAsia="宋体" w:hint="default"/>
          <w:b/>
          <w:bCs/>
        </w:rPr>
        <w:t>3</w:t>
      </w:r>
      <w:r>
        <w:rPr>
          <w:rFonts w:ascii="宋体" w:hAnsi="宋体" w:cs="宋体" w:eastAsia="宋体" w:hint="default"/>
          <w:b/>
          <w:bCs/>
        </w:rPr>
        <w:t>、提供劳务收入的确认依据和方法</w:t>
      </w:r>
      <w:r>
        <w:rPr>
          <w:rFonts w:ascii="宋体" w:hAnsi="宋体" w:cs="宋体" w:eastAsia="宋体" w:hint="default"/>
          <w:b/>
          <w:bCs/>
          <w:w w:val="100"/>
        </w:rPr>
        <w:t> </w:t>
      </w:r>
      <w:r>
        <w:rPr>
          <w:spacing w:val="-4"/>
          <w:w w:val="100"/>
        </w:rPr>
        <w:t>在资产负债表日提供劳务交易的结果能够可靠估计的，采用完工百分比法确认提供劳务收入。</w:t>
      </w:r>
    </w:p>
    <w:p>
      <w:pPr>
        <w:pStyle w:val="BodyText"/>
        <w:spacing w:line="355" w:lineRule="auto" w:before="32"/>
        <w:ind w:right="208"/>
        <w:jc w:val="both"/>
      </w:pPr>
      <w:r>
        <w:rPr>
          <w:spacing w:val="-1"/>
        </w:rPr>
        <w:t>按完工百分比法确认相关的劳务收入，完工百分比按已完工作的工作量占应提供总工作量的比例</w:t>
      </w:r>
      <w:r>
        <w:rPr>
          <w:spacing w:val="-55"/>
        </w:rPr>
        <w:t> </w:t>
      </w:r>
      <w:r>
        <w:rPr>
          <w:spacing w:val="-55"/>
        </w:rPr>
      </w:r>
      <w:r>
        <w:rPr/>
        <w:t>确定。</w:t>
      </w:r>
    </w:p>
    <w:p>
      <w:pPr>
        <w:pStyle w:val="BodyText"/>
        <w:spacing w:line="240" w:lineRule="auto" w:before="34"/>
        <w:ind w:left="558" w:right="97"/>
        <w:jc w:val="left"/>
      </w:pPr>
      <w:r>
        <w:rPr/>
        <w:t>提供劳务交易的结果能够可靠估计，是指同时满足下列条件：</w:t>
      </w:r>
    </w:p>
    <w:p>
      <w:pPr>
        <w:pStyle w:val="BodyText"/>
        <w:spacing w:line="240" w:lineRule="auto" w:before="133"/>
        <w:ind w:left="558" w:right="97"/>
        <w:jc w:val="left"/>
      </w:pPr>
      <w:r>
        <w:rPr/>
        <w:t>（</w:t>
      </w:r>
      <w:r>
        <w:rPr>
          <w:rFonts w:ascii="宋体" w:hAnsi="宋体" w:cs="宋体" w:eastAsia="宋体" w:hint="default"/>
        </w:rPr>
        <w:t>1</w:t>
      </w:r>
      <w:r>
        <w:rPr/>
        <w:t>）收入的金额能够可靠地计量；</w:t>
      </w:r>
    </w:p>
    <w:p>
      <w:pPr>
        <w:pStyle w:val="BodyText"/>
        <w:spacing w:line="240" w:lineRule="auto" w:before="133"/>
        <w:ind w:left="558" w:right="97"/>
        <w:jc w:val="left"/>
      </w:pPr>
      <w:r>
        <w:rPr/>
        <w:t>（</w:t>
      </w:r>
      <w:r>
        <w:rPr>
          <w:rFonts w:ascii="宋体" w:hAnsi="宋体" w:cs="宋体" w:eastAsia="宋体" w:hint="default"/>
        </w:rPr>
        <w:t>2</w:t>
      </w:r>
      <w:r>
        <w:rPr/>
        <w:t>）相关的经济利益很可能流入企业；</w:t>
      </w:r>
    </w:p>
    <w:p>
      <w:pPr>
        <w:pStyle w:val="BodyText"/>
        <w:spacing w:line="240" w:lineRule="auto" w:before="133"/>
        <w:ind w:left="558" w:right="97"/>
        <w:jc w:val="left"/>
      </w:pPr>
      <w:r>
        <w:rPr/>
        <w:t>（</w:t>
      </w:r>
      <w:r>
        <w:rPr>
          <w:rFonts w:ascii="宋体" w:hAnsi="宋体" w:cs="宋体" w:eastAsia="宋体" w:hint="default"/>
        </w:rPr>
        <w:t>3</w:t>
      </w:r>
      <w:r>
        <w:rPr/>
        <w:t>）交易的完工进度能够可靠地确定；</w:t>
      </w:r>
    </w:p>
    <w:p>
      <w:pPr>
        <w:pStyle w:val="BodyText"/>
        <w:spacing w:line="355" w:lineRule="auto" w:before="135"/>
        <w:ind w:left="558" w:right="97"/>
        <w:jc w:val="left"/>
      </w:pPr>
      <w:r>
        <w:rPr/>
        <w:t>（</w:t>
      </w:r>
      <w:r>
        <w:rPr>
          <w:rFonts w:ascii="宋体" w:hAnsi="宋体" w:cs="宋体" w:eastAsia="宋体" w:hint="default"/>
        </w:rPr>
        <w:t>4</w:t>
      </w:r>
      <w:r>
        <w:rPr/>
        <w:t>）交易中已发生和将发生的成本能够可靠地计量。</w:t>
      </w:r>
      <w:r>
        <w:rPr>
          <w:w w:val="100"/>
        </w:rPr>
        <w:t> </w:t>
      </w:r>
      <w:r>
        <w:rPr>
          <w:spacing w:val="-2"/>
        </w:rPr>
        <w:t>按照已收或应收的合同或协议价款确定提供劳务收入总额，但已收或应收的合同或协议价款</w:t>
      </w:r>
    </w:p>
    <w:p>
      <w:pPr>
        <w:pStyle w:val="BodyText"/>
        <w:spacing w:line="355" w:lineRule="auto" w:before="32"/>
        <w:ind w:right="208"/>
        <w:jc w:val="both"/>
      </w:pPr>
      <w:r>
        <w:rPr>
          <w:spacing w:val="-1"/>
        </w:rPr>
        <w:t>不公允的除外。资产负债表日按照提供劳务收入总额乘以完工进度扣除以前会计期间累计已确认</w:t>
      </w:r>
      <w:r>
        <w:rPr>
          <w:spacing w:val="-56"/>
        </w:rPr>
        <w:t> </w:t>
      </w:r>
      <w:r>
        <w:rPr>
          <w:spacing w:val="-56"/>
        </w:rPr>
      </w:r>
      <w:r>
        <w:rPr>
          <w:spacing w:val="-1"/>
        </w:rPr>
        <w:t>提供劳务收入后的金额，确认当期提供劳务收入；同时，按照提供劳务估计总成本乘以完工进度</w:t>
      </w:r>
      <w:r>
        <w:rPr>
          <w:spacing w:val="-55"/>
        </w:rPr>
        <w:t> </w:t>
      </w:r>
      <w:r>
        <w:rPr>
          <w:spacing w:val="-55"/>
        </w:rPr>
      </w:r>
      <w:r>
        <w:rPr/>
        <w:t>扣除以前会计期间累计已确认劳务成本后的金额，结转当期劳务成本。</w:t>
      </w:r>
    </w:p>
    <w:p>
      <w:pPr>
        <w:pStyle w:val="BodyText"/>
        <w:spacing w:line="240" w:lineRule="auto" w:before="34"/>
        <w:ind w:left="558" w:right="97"/>
        <w:jc w:val="left"/>
      </w:pPr>
      <w:r>
        <w:rPr/>
        <w:t>在资产负债表日提供劳务交易结果不能够可靠估计的，分别下列情况处理：</w:t>
      </w:r>
    </w:p>
    <w:p>
      <w:pPr>
        <w:pStyle w:val="BodyText"/>
        <w:spacing w:line="355" w:lineRule="auto" w:before="133"/>
        <w:ind w:right="208" w:firstLine="419"/>
        <w:jc w:val="both"/>
      </w:pPr>
      <w:r>
        <w:rPr>
          <w:spacing w:val="-4"/>
        </w:rPr>
        <w:t>（</w:t>
      </w:r>
      <w:r>
        <w:rPr>
          <w:rFonts w:ascii="宋体" w:hAnsi="宋体" w:cs="宋体" w:eastAsia="宋体" w:hint="default"/>
          <w:spacing w:val="-4"/>
        </w:rPr>
        <w:t>1</w:t>
      </w:r>
      <w:r>
        <w:rPr>
          <w:spacing w:val="-4"/>
        </w:rPr>
        <w:t>）已经发生的劳务成本预计能够得到补偿的，按照已经发生的劳务成本金额确认提供劳务</w:t>
      </w:r>
      <w:r>
        <w:rPr>
          <w:w w:val="100"/>
        </w:rPr>
        <w:t> </w:t>
      </w:r>
      <w:r>
        <w:rPr/>
        <w:t>收入，并按相同金额结转劳务成本。</w:t>
      </w:r>
    </w:p>
    <w:p>
      <w:pPr>
        <w:pStyle w:val="BodyText"/>
        <w:spacing w:line="355" w:lineRule="auto" w:before="32"/>
        <w:ind w:right="208" w:firstLine="419"/>
        <w:jc w:val="both"/>
      </w:pPr>
      <w:r>
        <w:rPr>
          <w:spacing w:val="-4"/>
        </w:rPr>
        <w:t>（</w:t>
      </w:r>
      <w:r>
        <w:rPr>
          <w:rFonts w:ascii="宋体" w:hAnsi="宋体" w:cs="宋体" w:eastAsia="宋体" w:hint="default"/>
          <w:spacing w:val="-4"/>
        </w:rPr>
        <w:t>2</w:t>
      </w:r>
      <w:r>
        <w:rPr>
          <w:spacing w:val="-4"/>
        </w:rPr>
        <w:t>）已经发生的劳务成本预计不能够得到补偿的，将已经发生的劳务成本计入当期损益，不</w:t>
      </w:r>
      <w:r>
        <w:rPr>
          <w:w w:val="100"/>
        </w:rPr>
        <w:t> </w:t>
      </w:r>
      <w:r>
        <w:rPr/>
        <w:t>确认提供劳务收入。</w:t>
      </w:r>
    </w:p>
    <w:p>
      <w:pPr>
        <w:pStyle w:val="BodyText"/>
        <w:spacing w:line="355" w:lineRule="auto" w:before="34"/>
        <w:ind w:right="217" w:firstLine="419"/>
        <w:jc w:val="both"/>
      </w:pPr>
      <w:r>
        <w:rPr>
          <w:spacing w:val="-2"/>
        </w:rPr>
        <w:t>本公司与其他企业签订的合同或协议包括销售商品和提供劳务时，销售商品部分和提供劳务</w:t>
      </w:r>
      <w:r>
        <w:rPr>
          <w:w w:val="100"/>
        </w:rPr>
        <w:t> </w:t>
      </w:r>
      <w:r>
        <w:rPr>
          <w:spacing w:val="-2"/>
        </w:rPr>
        <w:t>部分能够区分且能够单独计量的，将销售商品的部分作为销售商品处理，将提供劳务的部分作为</w:t>
      </w:r>
      <w:r>
        <w:rPr>
          <w:spacing w:val="-25"/>
        </w:rPr>
        <w:t> </w:t>
      </w:r>
      <w:r>
        <w:rPr>
          <w:spacing w:val="-25"/>
        </w:rPr>
      </w:r>
      <w:r>
        <w:rPr>
          <w:spacing w:val="-2"/>
        </w:rPr>
        <w:t>提供劳务处理。销售商品部分和提供劳务部分不能够区分，或虽能区分但不能够单独计量的，将</w:t>
      </w:r>
      <w:r>
        <w:rPr>
          <w:spacing w:val="-25"/>
        </w:rPr>
        <w:t> </w:t>
      </w:r>
      <w:r>
        <w:rPr>
          <w:spacing w:val="-25"/>
        </w:rPr>
      </w:r>
      <w:r>
        <w:rPr/>
        <w:t>销售商品部分和提供劳务部分全部作为销售商品处理。</w:t>
      </w:r>
    </w:p>
    <w:p>
      <w:pPr>
        <w:spacing w:line="240" w:lineRule="auto" w:before="0"/>
        <w:rPr>
          <w:rFonts w:ascii="宋体" w:hAnsi="宋体" w:cs="宋体" w:eastAsia="宋体" w:hint="default"/>
          <w:sz w:val="28"/>
          <w:szCs w:val="28"/>
        </w:rPr>
      </w:pPr>
    </w:p>
    <w:p>
      <w:pPr>
        <w:pStyle w:val="Heading3"/>
        <w:spacing w:line="266" w:lineRule="auto"/>
        <w:ind w:left="138" w:right="2966"/>
        <w:jc w:val="left"/>
        <w:rPr>
          <w:b w:val="0"/>
          <w:bCs w:val="0"/>
        </w:rPr>
      </w:pPr>
      <w:r>
        <w:rPr>
          <w:rFonts w:ascii="Calibri" w:hAnsi="Calibri" w:cs="Calibri" w:eastAsia="Calibri" w:hint="default"/>
        </w:rPr>
        <w:t>21.</w:t>
      </w:r>
      <w:r>
        <w:rPr>
          <w:rFonts w:ascii="Calibri" w:hAnsi="Calibri" w:cs="Calibri" w:eastAsia="Calibri" w:hint="default"/>
          <w:spacing w:val="1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355" w:lineRule="auto" w:before="33"/>
        <w:ind w:right="208" w:firstLine="419"/>
        <w:jc w:val="both"/>
      </w:pPr>
      <w:r>
        <w:rPr>
          <w:spacing w:val="-2"/>
        </w:rPr>
        <w:t>与资产相关的政府补助，是指本公司取得的、用于购建或以其他方式形成长期资产的政府补</w:t>
      </w:r>
      <w:r>
        <w:rPr>
          <w:w w:val="100"/>
        </w:rPr>
        <w:t> </w:t>
      </w:r>
      <w:r>
        <w:rPr>
          <w:spacing w:val="-1"/>
        </w:rPr>
        <w:t>助。与资产相关的政府补助，确认为递延收益，按照所建造或购买的资产使用年限分期计入营业</w:t>
      </w:r>
      <w:r>
        <w:rPr>
          <w:spacing w:val="-56"/>
        </w:rPr>
        <w:t> </w:t>
      </w:r>
      <w:r>
        <w:rPr>
          <w:spacing w:val="-56"/>
        </w:rPr>
      </w:r>
      <w:r>
        <w:rPr/>
        <w:t>外收入；</w:t>
      </w:r>
    </w:p>
    <w:p>
      <w:pPr>
        <w:spacing w:line="240" w:lineRule="auto" w:before="13"/>
        <w:rPr>
          <w:rFonts w:ascii="宋体" w:hAnsi="宋体" w:cs="宋体" w:eastAsia="宋体" w:hint="default"/>
          <w:sz w:val="27"/>
          <w:szCs w:val="27"/>
        </w:rPr>
      </w:pPr>
    </w:p>
    <w:p>
      <w:pPr>
        <w:spacing w:line="290" w:lineRule="auto" w:before="0"/>
        <w:ind w:left="558" w:right="97"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与收益相关的政府补助，是指除与资产相关的政府补助之外的政府补助。与收益相关的政府</w:t>
      </w:r>
    </w:p>
    <w:p>
      <w:pPr>
        <w:pStyle w:val="BodyText"/>
        <w:spacing w:line="355" w:lineRule="auto" w:before="89"/>
        <w:ind w:right="208"/>
        <w:jc w:val="both"/>
      </w:pPr>
      <w:r>
        <w:rPr>
          <w:spacing w:val="-1"/>
        </w:rPr>
        <w:t>补助，用于补偿企业以后期间的相关费用或损失的，确认为递延收益，在确认相关费用的期间计</w:t>
      </w:r>
      <w:r>
        <w:rPr>
          <w:spacing w:val="-55"/>
        </w:rPr>
        <w:t> </w:t>
      </w:r>
      <w:r>
        <w:rPr>
          <w:spacing w:val="-55"/>
        </w:rPr>
      </w:r>
      <w:r>
        <w:rPr>
          <w:spacing w:val="-6"/>
          <w:w w:val="100"/>
        </w:rPr>
        <w:t>入当期营业外收入；用于补偿企业已发生的相关费用或损失的，取得时直接计入当期营业外收入。</w:t>
      </w:r>
    </w:p>
    <w:p>
      <w:pPr>
        <w:spacing w:after="0" w:line="355" w:lineRule="auto"/>
        <w:jc w:val="both"/>
        <w:sectPr>
          <w:footerReference w:type="default" r:id="rId65"/>
          <w:pgSz w:w="11910" w:h="16840"/>
          <w:pgMar w:footer="1195" w:header="882" w:top="1120" w:bottom="1380" w:left="1660" w:right="1060"/>
          <w:pgNumType w:start="9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266" w:lineRule="auto" w:before="0"/>
        <w:ind w:left="558" w:right="97" w:hanging="420"/>
        <w:jc w:val="left"/>
        <w:rPr>
          <w:rFonts w:ascii="宋体" w:hAnsi="宋体" w:cs="宋体" w:eastAsia="宋体" w:hint="default"/>
          <w:sz w:val="21"/>
          <w:szCs w:val="21"/>
        </w:rPr>
      </w:pPr>
      <w:r>
        <w:rPr>
          <w:rFonts w:ascii="Calibri" w:hAnsi="Calibri" w:cs="Calibri" w:eastAsia="Calibri" w:hint="default"/>
          <w:b/>
          <w:bCs/>
          <w:sz w:val="21"/>
          <w:szCs w:val="21"/>
        </w:rPr>
        <w:t>22.</w:t>
      </w:r>
      <w:r>
        <w:rPr>
          <w:rFonts w:ascii="Calibri" w:hAnsi="Calibri" w:cs="Calibri" w:eastAsia="Calibri" w:hint="default"/>
          <w:b/>
          <w:bCs/>
          <w:spacing w:val="12"/>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z w:val="21"/>
          <w:szCs w:val="21"/>
        </w:rPr>
        <w:t>递延所得税资产和递延所得税负债根据资产和负债的计税基础与其账面价值的差额</w:t>
      </w:r>
      <w:r>
        <w:rPr>
          <w:rFonts w:ascii="宋体" w:hAnsi="宋体" w:cs="宋体" w:eastAsia="宋体" w:hint="default"/>
          <w:sz w:val="21"/>
          <w:szCs w:val="21"/>
        </w:rPr>
        <w:t>(</w:t>
      </w:r>
      <w:r>
        <w:rPr>
          <w:rFonts w:ascii="宋体" w:hAnsi="宋体" w:cs="宋体" w:eastAsia="宋体" w:hint="default"/>
          <w:sz w:val="21"/>
          <w:szCs w:val="21"/>
        </w:rPr>
        <w:t>暂时性</w:t>
      </w:r>
    </w:p>
    <w:p>
      <w:pPr>
        <w:pStyle w:val="BodyText"/>
        <w:spacing w:line="355" w:lineRule="auto" w:before="110"/>
        <w:ind w:right="208"/>
        <w:jc w:val="both"/>
      </w:pPr>
      <w:r>
        <w:rPr>
          <w:spacing w:val="-4"/>
        </w:rPr>
        <w:t>差异</w:t>
      </w:r>
      <w:r>
        <w:rPr>
          <w:rFonts w:ascii="宋体" w:hAnsi="宋体" w:cs="宋体" w:eastAsia="宋体" w:hint="default"/>
          <w:spacing w:val="-4"/>
        </w:rPr>
        <w:t>)</w:t>
      </w:r>
      <w:r>
        <w:rPr>
          <w:spacing w:val="-4"/>
        </w:rPr>
        <w:t>计算确认。于资产负债表日，递延所得税资产和递延所得税负债，按照预期收回该资产或清</w:t>
      </w:r>
      <w:r>
        <w:rPr>
          <w:spacing w:val="-34"/>
        </w:rPr>
        <w:t> </w:t>
      </w:r>
      <w:r>
        <w:rPr>
          <w:spacing w:val="-34"/>
        </w:rPr>
      </w:r>
      <w:r>
        <w:rPr/>
        <w:t>偿该负债期间的适用税率计量。</w:t>
      </w:r>
    </w:p>
    <w:p>
      <w:pPr>
        <w:spacing w:line="357" w:lineRule="auto" w:before="32"/>
        <w:ind w:left="558" w:right="97"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本公司以很可能取得用来抵扣可抵扣暂时性差异、能够结转以后年度的可抵扣亏损和税款抵</w:t>
      </w:r>
    </w:p>
    <w:p>
      <w:pPr>
        <w:pStyle w:val="BodyText"/>
        <w:spacing w:line="357" w:lineRule="auto" w:before="30"/>
        <w:ind w:right="207"/>
        <w:jc w:val="both"/>
      </w:pPr>
      <w:r>
        <w:rPr>
          <w:spacing w:val="-1"/>
        </w:rPr>
        <w:t>减的应纳税所得额为限，确认由可抵扣暂时性差异产生的递延所得税资产。但是，同时具有下列</w:t>
      </w:r>
      <w:r>
        <w:rPr>
          <w:spacing w:val="-56"/>
        </w:rPr>
        <w:t> </w:t>
      </w:r>
      <w:r>
        <w:rPr>
          <w:spacing w:val="-56"/>
        </w:rPr>
      </w:r>
      <w:r>
        <w:rPr>
          <w:spacing w:val="-4"/>
          <w:w w:val="100"/>
        </w:rPr>
        <w:t>特征的交易中因资产或负债的初始确认所产生的递延所得税资产不予确认：（</w:t>
      </w:r>
      <w:r>
        <w:rPr>
          <w:rFonts w:ascii="宋体" w:hAnsi="宋体" w:cs="宋体" w:eastAsia="宋体" w:hint="default"/>
          <w:spacing w:val="-4"/>
          <w:w w:val="100"/>
        </w:rPr>
        <w:t>1</w:t>
      </w:r>
      <w:r>
        <w:rPr>
          <w:spacing w:val="-4"/>
          <w:w w:val="100"/>
        </w:rPr>
        <w:t>）该交易不是企业</w:t>
      </w:r>
      <w:r>
        <w:rPr>
          <w:spacing w:val="-82"/>
          <w:w w:val="100"/>
        </w:rPr>
        <w:t> </w:t>
      </w:r>
      <w:r>
        <w:rPr>
          <w:spacing w:val="-82"/>
          <w:w w:val="100"/>
        </w:rPr>
      </w:r>
      <w:r>
        <w:rPr>
          <w:spacing w:val="-5"/>
          <w:w w:val="100"/>
        </w:rPr>
        <w:t>合并；（</w:t>
      </w:r>
      <w:r>
        <w:rPr>
          <w:rFonts w:ascii="宋体" w:hAnsi="宋体" w:cs="宋体" w:eastAsia="宋体" w:hint="default"/>
          <w:spacing w:val="-5"/>
          <w:w w:val="100"/>
        </w:rPr>
        <w:t>2</w:t>
      </w:r>
      <w:r>
        <w:rPr>
          <w:spacing w:val="-5"/>
          <w:w w:val="100"/>
        </w:rPr>
        <w:t>）交易发生时既不影响会计利润也不影响应纳税所得额或可抵扣亏损。</w:t>
      </w:r>
    </w:p>
    <w:p>
      <w:pPr>
        <w:pStyle w:val="BodyText"/>
        <w:spacing w:line="355" w:lineRule="auto" w:before="32"/>
        <w:ind w:right="208" w:firstLine="419"/>
        <w:jc w:val="both"/>
      </w:pPr>
      <w:r>
        <w:rPr>
          <w:spacing w:val="-2"/>
        </w:rPr>
        <w:t>对于与联营企业投资相关的可抵扣暂时性差异，同时满足下列条件的，确认相应的递延所得</w:t>
      </w:r>
      <w:r>
        <w:rPr>
          <w:w w:val="100"/>
        </w:rPr>
        <w:t> </w:t>
      </w:r>
      <w:r>
        <w:rPr>
          <w:spacing w:val="-1"/>
        </w:rPr>
        <w:t>税资产：暂时性差异在可预见的未来很可能转回，且未来很可能获得用来抵扣可抵扣暂时性差异</w:t>
      </w:r>
      <w:r>
        <w:rPr>
          <w:spacing w:val="-55"/>
        </w:rPr>
        <w:t> </w:t>
      </w:r>
      <w:r>
        <w:rPr>
          <w:spacing w:val="-55"/>
        </w:rPr>
      </w:r>
      <w:r>
        <w:rPr/>
        <w:t>的应纳税所得额。</w:t>
      </w:r>
    </w:p>
    <w:p>
      <w:pPr>
        <w:spacing w:line="355" w:lineRule="auto" w:before="32"/>
        <w:ind w:left="558" w:right="97"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公司将当期与以前期间应交未交的应纳税暂时性差异确认为递延所得税负债。但不包括：</w:t>
      </w:r>
    </w:p>
    <w:p>
      <w:pPr>
        <w:pStyle w:val="BodyText"/>
        <w:spacing w:line="240" w:lineRule="auto" w:before="34"/>
        <w:ind w:left="558" w:right="97"/>
        <w:jc w:val="left"/>
      </w:pPr>
      <w:r>
        <w:rPr/>
        <w:t>（</w:t>
      </w:r>
      <w:r>
        <w:rPr>
          <w:rFonts w:ascii="宋体" w:hAnsi="宋体" w:cs="宋体" w:eastAsia="宋体" w:hint="default"/>
        </w:rPr>
        <w:t>1</w:t>
      </w:r>
      <w:r>
        <w:rPr/>
        <w:t>）商誉的初始确认所形成的暂时性差异；</w:t>
      </w:r>
    </w:p>
    <w:p>
      <w:pPr>
        <w:pStyle w:val="BodyText"/>
        <w:spacing w:line="355" w:lineRule="auto" w:before="133"/>
        <w:ind w:right="207" w:firstLine="419"/>
        <w:jc w:val="both"/>
      </w:pPr>
      <w:r>
        <w:rPr>
          <w:spacing w:val="-4"/>
        </w:rPr>
        <w:t>（</w:t>
      </w:r>
      <w:r>
        <w:rPr>
          <w:rFonts w:ascii="宋体" w:hAnsi="宋体" w:cs="宋体" w:eastAsia="宋体" w:hint="default"/>
          <w:spacing w:val="-4"/>
        </w:rPr>
        <w:t>2</w:t>
      </w:r>
      <w:r>
        <w:rPr>
          <w:spacing w:val="-4"/>
        </w:rPr>
        <w:t>）非企业合并形成的交易或事项，且该交易或事项发生时既不影响会计利润，也不影响应</w:t>
      </w:r>
      <w:r>
        <w:rPr>
          <w:w w:val="100"/>
        </w:rPr>
        <w:t> </w:t>
      </w:r>
      <w:r>
        <w:rPr/>
        <w:t>纳税所得额（或可抵扣亏损）所形成的暂时性差异；</w:t>
      </w:r>
    </w:p>
    <w:p>
      <w:pPr>
        <w:pStyle w:val="BodyText"/>
        <w:spacing w:line="355" w:lineRule="auto" w:before="32"/>
        <w:ind w:right="208" w:firstLine="419"/>
        <w:jc w:val="both"/>
      </w:pPr>
      <w:r>
        <w:rPr>
          <w:spacing w:val="-4"/>
        </w:rPr>
        <w:t>（</w:t>
      </w:r>
      <w:r>
        <w:rPr>
          <w:rFonts w:ascii="宋体" w:hAnsi="宋体" w:cs="宋体" w:eastAsia="宋体" w:hint="default"/>
          <w:spacing w:val="-4"/>
        </w:rPr>
        <w:t>3</w:t>
      </w:r>
      <w:r>
        <w:rPr>
          <w:spacing w:val="-4"/>
        </w:rPr>
        <w:t>）对于与子公司、联营企业投资相关的应纳税暂时性差异，该暂时性差异转回的时间能够</w:t>
      </w:r>
      <w:r>
        <w:rPr>
          <w:w w:val="100"/>
        </w:rPr>
        <w:t> </w:t>
      </w:r>
      <w:r>
        <w:rPr/>
        <w:t>控制并且该暂时性差异在可预见的未来很可能不会转回。</w:t>
      </w:r>
    </w:p>
    <w:p>
      <w:pPr>
        <w:pStyle w:val="Heading3"/>
        <w:spacing w:line="240" w:lineRule="auto" w:before="34"/>
        <w:ind w:left="560" w:right="97"/>
        <w:jc w:val="left"/>
        <w:rPr>
          <w:b w:val="0"/>
          <w:bCs w:val="0"/>
        </w:rPr>
      </w:pPr>
      <w:r>
        <w:rPr>
          <w:rFonts w:ascii="宋体" w:hAnsi="宋体" w:cs="宋体" w:eastAsia="宋体" w:hint="default"/>
        </w:rPr>
        <w:t>3</w:t>
      </w:r>
      <w:r>
        <w:rPr/>
        <w:t>、同时满足下列条件时，将递延所得税资产及递延所得税负债以抵销后的净额列示</w:t>
      </w:r>
      <w:r>
        <w:rPr>
          <w:b w:val="0"/>
          <w:bCs w:val="0"/>
        </w:rPr>
      </w:r>
    </w:p>
    <w:p>
      <w:pPr>
        <w:pStyle w:val="BodyText"/>
        <w:spacing w:line="240" w:lineRule="auto" w:before="133"/>
        <w:ind w:left="558" w:right="97"/>
        <w:jc w:val="left"/>
      </w:pPr>
      <w:r>
        <w:rPr/>
        <w:t>（</w:t>
      </w:r>
      <w:r>
        <w:rPr>
          <w:rFonts w:ascii="宋体" w:hAnsi="宋体" w:cs="宋体" w:eastAsia="宋体" w:hint="default"/>
        </w:rPr>
        <w:t>1</w:t>
      </w:r>
      <w:r>
        <w:rPr/>
        <w:t>）企业拥有以净额结算当期所得税资产及当期所得税负债的法定权利；</w:t>
      </w:r>
    </w:p>
    <w:p>
      <w:pPr>
        <w:pStyle w:val="BodyText"/>
        <w:spacing w:line="357" w:lineRule="auto" w:before="133"/>
        <w:ind w:right="208" w:firstLine="424"/>
        <w:jc w:val="both"/>
      </w:pPr>
      <w:r>
        <w:rPr>
          <w:spacing w:val="-4"/>
          <w:w w:val="100"/>
        </w:rPr>
        <w:t>（</w:t>
      </w:r>
      <w:r>
        <w:rPr>
          <w:rFonts w:ascii="宋体" w:hAnsi="宋体" w:cs="宋体" w:eastAsia="宋体" w:hint="default"/>
          <w:spacing w:val="-4"/>
          <w:w w:val="100"/>
        </w:rPr>
        <w:t>2</w:t>
      </w:r>
      <w:r>
        <w:rPr>
          <w:spacing w:val="-4"/>
          <w:w w:val="100"/>
        </w:rPr>
        <w:t>）递延所得税资产和递延所得税负债是与同一税收征管部门对同一纳税主体征收的所得税</w:t>
      </w:r>
      <w:r>
        <w:rPr>
          <w:w w:val="100"/>
        </w:rPr>
        <w:t> </w:t>
      </w:r>
      <w:r>
        <w:rPr>
          <w:spacing w:val="-1"/>
        </w:rPr>
        <w:t>相关或者对不同的纳税主体相关，但在未来每一具有重要性的递延所得税资产和递延所得税负债</w:t>
      </w:r>
      <w:r>
        <w:rPr>
          <w:spacing w:val="-55"/>
        </w:rPr>
        <w:t> </w:t>
      </w:r>
      <w:r>
        <w:rPr>
          <w:spacing w:val="-55"/>
        </w:rPr>
      </w:r>
      <w:r>
        <w:rPr>
          <w:spacing w:val="-1"/>
        </w:rPr>
        <w:t>转回的期间内，涉及的纳税主体体意图以净额结算当期所得税资产及当期所得税负债或是同时取</w:t>
      </w:r>
      <w:r>
        <w:rPr>
          <w:spacing w:val="-55"/>
        </w:rPr>
        <w:t> </w:t>
      </w:r>
      <w:r>
        <w:rPr>
          <w:spacing w:val="-55"/>
        </w:rPr>
      </w:r>
      <w:r>
        <w:rPr/>
        <w:t>得资产、清偿债务。</w:t>
      </w:r>
    </w:p>
    <w:p>
      <w:pPr>
        <w:spacing w:line="240" w:lineRule="auto" w:before="8"/>
        <w:rPr>
          <w:rFonts w:ascii="宋体" w:hAnsi="宋体" w:cs="宋体" w:eastAsia="宋体" w:hint="default"/>
          <w:sz w:val="27"/>
          <w:szCs w:val="27"/>
        </w:rPr>
      </w:pPr>
    </w:p>
    <w:p>
      <w:pPr>
        <w:pStyle w:val="Heading3"/>
        <w:spacing w:line="266" w:lineRule="auto"/>
        <w:ind w:left="138" w:right="6181"/>
        <w:jc w:val="left"/>
        <w:rPr>
          <w:b w:val="0"/>
          <w:bCs w:val="0"/>
        </w:rPr>
      </w:pPr>
      <w:r>
        <w:rPr>
          <w:rFonts w:ascii="Calibri" w:hAnsi="Calibri" w:cs="Calibri" w:eastAsia="Calibri" w:hint="default"/>
        </w:rPr>
        <w:t>23.</w:t>
      </w:r>
      <w:r>
        <w:rPr>
          <w:rFonts w:ascii="Calibri" w:hAnsi="Calibri" w:cs="Calibri" w:eastAsia="Calibri" w:hint="default"/>
          <w:spacing w:val="1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357" w:lineRule="auto" w:before="33"/>
        <w:ind w:right="97" w:firstLine="419"/>
        <w:jc w:val="left"/>
      </w:pPr>
      <w:r>
        <w:rPr>
          <w:spacing w:val="-1"/>
        </w:rPr>
        <w:t>（</w:t>
      </w:r>
      <w:r>
        <w:rPr>
          <w:rFonts w:ascii="宋体" w:hAnsi="宋体" w:cs="宋体" w:eastAsia="宋体" w:hint="default"/>
          <w:spacing w:val="-1"/>
        </w:rPr>
        <w:t>1</w:t>
      </w:r>
      <w:r>
        <w:rPr>
          <w:spacing w:val="-1"/>
        </w:rPr>
        <w:t>）公司租入资产所支付的租赁费，在不扣除免租期的整个租赁期内，按直线法进行分摊，</w:t>
      </w:r>
      <w:r>
        <w:rPr>
          <w:w w:val="100"/>
        </w:rPr>
        <w:t> </w:t>
      </w:r>
      <w:r>
        <w:rPr/>
        <w:t>计入当期费用。公司支付的与租赁交易相关的初始直接费用，计入当期费用。</w:t>
      </w:r>
    </w:p>
    <w:p>
      <w:pPr>
        <w:pStyle w:val="BodyText"/>
        <w:spacing w:line="357" w:lineRule="auto" w:before="30"/>
        <w:ind w:right="210" w:firstLine="419"/>
        <w:jc w:val="both"/>
      </w:pPr>
      <w:r>
        <w:rPr>
          <w:spacing w:val="-2"/>
        </w:rPr>
        <w:t>资产出租方承担了应由公司承担的与租赁相关的费用时，公司将该部分费用从租金总额中扣</w:t>
      </w:r>
      <w:r>
        <w:rPr>
          <w:w w:val="100"/>
        </w:rPr>
        <w:t> </w:t>
      </w:r>
      <w:r>
        <w:rPr/>
        <w:t>除，按扣除后的租金费用在租赁期内分摊，计入当期费用。</w:t>
      </w:r>
    </w:p>
    <w:p>
      <w:pPr>
        <w:pStyle w:val="BodyText"/>
        <w:spacing w:line="240" w:lineRule="auto" w:before="30"/>
        <w:ind w:left="558" w:right="0"/>
        <w:jc w:val="left"/>
      </w:pPr>
      <w:r>
        <w:rPr/>
        <w:t>（</w:t>
      </w:r>
      <w:r>
        <w:rPr>
          <w:rFonts w:ascii="宋体" w:hAnsi="宋体" w:cs="宋体" w:eastAsia="宋体" w:hint="default"/>
        </w:rPr>
        <w:t>2</w:t>
      </w:r>
      <w:r>
        <w:rPr/>
        <w:t>）公司出租资产所收取的租赁费，在不扣除免租期的整个租赁期内，按直线法进行分摊，</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218" w:right="96"/>
        <w:jc w:val="left"/>
      </w:pPr>
      <w:r>
        <w:rPr>
          <w:spacing w:val="-1"/>
        </w:rPr>
        <w:t>确认为租赁收入。公司支付的与租赁交易相关的初始直接费用，计入当期费用；如金额较大的，</w:t>
      </w:r>
      <w:r>
        <w:rPr>
          <w:spacing w:val="-55"/>
        </w:rPr>
        <w:t> </w:t>
      </w:r>
      <w:r>
        <w:rPr>
          <w:spacing w:val="-55"/>
        </w:rPr>
      </w:r>
      <w:r>
        <w:rPr/>
        <w:t>则予以资本化，在整个租赁期间内按照与租赁收入确认相同的基础分期计入当期收益。</w:t>
      </w:r>
    </w:p>
    <w:p>
      <w:pPr>
        <w:pStyle w:val="BodyText"/>
        <w:spacing w:line="355" w:lineRule="auto" w:before="30"/>
        <w:ind w:left="218" w:right="230" w:firstLine="419"/>
        <w:jc w:val="both"/>
      </w:pPr>
      <w:r>
        <w:rPr>
          <w:spacing w:val="-2"/>
        </w:rPr>
        <w:t>公司承担了应由承租方承担的与租赁相关的费用时，公司将该部分费用从租金收入总额中扣</w:t>
      </w:r>
      <w:r>
        <w:rPr>
          <w:w w:val="100"/>
        </w:rPr>
        <w:t> </w:t>
      </w:r>
      <w:r>
        <w:rPr/>
        <w:t>除，按扣除后的租金费用在租赁期内分配。</w:t>
      </w:r>
    </w:p>
    <w:p>
      <w:pPr>
        <w:spacing w:line="240" w:lineRule="auto" w:before="13"/>
        <w:rPr>
          <w:rFonts w:ascii="宋体" w:hAnsi="宋体" w:cs="宋体" w:eastAsia="宋体" w:hint="default"/>
          <w:sz w:val="27"/>
          <w:szCs w:val="27"/>
        </w:rPr>
      </w:pPr>
    </w:p>
    <w:p>
      <w:pPr>
        <w:pStyle w:val="Heading3"/>
        <w:spacing w:line="240" w:lineRule="auto"/>
        <w:ind w:right="2465"/>
        <w:jc w:val="left"/>
        <w:rPr>
          <w:b w:val="0"/>
          <w:bCs w:val="0"/>
        </w:rPr>
      </w:pPr>
      <w:r>
        <w:rPr>
          <w:rFonts w:ascii="宋体" w:hAnsi="宋体" w:cs="宋体" w:eastAsia="宋体" w:hint="default"/>
        </w:rPr>
        <w:t>(2)</w:t>
      </w:r>
      <w:r>
        <w:rPr/>
        <w:t>、融资租赁的会计处理方法</w:t>
      </w:r>
      <w:r>
        <w:rPr>
          <w:b w:val="0"/>
          <w:bCs w:val="0"/>
        </w:rPr>
      </w:r>
    </w:p>
    <w:p>
      <w:pPr>
        <w:pStyle w:val="BodyText"/>
        <w:spacing w:line="357" w:lineRule="auto" w:before="56"/>
        <w:ind w:left="218" w:right="228" w:firstLine="419"/>
        <w:jc w:val="both"/>
      </w:pPr>
      <w:r>
        <w:rPr>
          <w:spacing w:val="-4"/>
        </w:rPr>
        <w:t>（</w:t>
      </w:r>
      <w:r>
        <w:rPr>
          <w:rFonts w:ascii="宋体" w:hAnsi="宋体" w:cs="宋体" w:eastAsia="宋体" w:hint="default"/>
          <w:spacing w:val="-4"/>
        </w:rPr>
        <w:t>1</w:t>
      </w:r>
      <w:r>
        <w:rPr>
          <w:spacing w:val="-4"/>
        </w:rPr>
        <w:t>）融资租入资产：公司在承租开始日，将租赁资产公允价值与最低租赁付款额现值两者中</w:t>
      </w:r>
      <w:r>
        <w:rPr>
          <w:w w:val="100"/>
        </w:rPr>
        <w:t> </w:t>
      </w:r>
      <w:r>
        <w:rPr>
          <w:spacing w:val="-1"/>
        </w:rPr>
        <w:t>较低者作为租入资产的入账价值，将最低租赁付款额作为长期应付款的入账价值，其差额作为未</w:t>
      </w:r>
      <w:r>
        <w:rPr>
          <w:spacing w:val="-55"/>
        </w:rPr>
        <w:t> </w:t>
      </w:r>
      <w:r>
        <w:rPr>
          <w:spacing w:val="-55"/>
        </w:rPr>
      </w:r>
      <w:r>
        <w:rPr/>
        <w:t>确认的融资费用。</w:t>
      </w:r>
    </w:p>
    <w:p>
      <w:pPr>
        <w:pStyle w:val="BodyText"/>
        <w:spacing w:line="240" w:lineRule="auto" w:before="31"/>
        <w:ind w:left="638" w:right="96"/>
        <w:jc w:val="left"/>
      </w:pPr>
      <w:r>
        <w:rPr/>
        <w:t>公司采用实际利率法对未确认的融资费用，在资产租赁期间内摊销，计入财务费用。</w:t>
      </w:r>
    </w:p>
    <w:p>
      <w:pPr>
        <w:pStyle w:val="BodyText"/>
        <w:spacing w:line="357" w:lineRule="auto" w:before="133"/>
        <w:ind w:left="218" w:right="228" w:firstLine="419"/>
        <w:jc w:val="both"/>
      </w:pPr>
      <w:r>
        <w:rPr>
          <w:spacing w:val="-4"/>
        </w:rPr>
        <w:t>（</w:t>
      </w:r>
      <w:r>
        <w:rPr>
          <w:rFonts w:ascii="宋体" w:hAnsi="宋体" w:cs="宋体" w:eastAsia="宋体" w:hint="default"/>
          <w:spacing w:val="-4"/>
        </w:rPr>
        <w:t>2</w:t>
      </w:r>
      <w:r>
        <w:rPr>
          <w:spacing w:val="-4"/>
        </w:rPr>
        <w:t>）融资租出资产：公司在租赁开始日，将应收融资租赁款，未担保余值之和与其现值的差</w:t>
      </w:r>
      <w:r>
        <w:rPr>
          <w:w w:val="100"/>
        </w:rPr>
        <w:t> </w:t>
      </w:r>
      <w:r>
        <w:rPr>
          <w:spacing w:val="-1"/>
        </w:rPr>
        <w:t>额确认为未实现融资收益，在将来收到租金的各期间内确认为租赁收入，公司发生的与出租交易</w:t>
      </w:r>
      <w:r>
        <w:rPr>
          <w:spacing w:val="-55"/>
        </w:rPr>
        <w:t> </w:t>
      </w:r>
      <w:r>
        <w:rPr>
          <w:spacing w:val="-55"/>
        </w:rPr>
      </w:r>
      <w:r>
        <w:rPr/>
        <w:t>相关的初始直接费用，计入应收融资租赁款的初始计量中，并减少租赁期内确认的收益金额。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ind w:right="2465"/>
        <w:jc w:val="left"/>
        <w:rPr>
          <w:b w:val="0"/>
          <w:bCs w:val="0"/>
        </w:rPr>
      </w:pPr>
      <w:r>
        <w:rPr/>
        <w:t>六、税项</w:t>
      </w:r>
      <w:r>
        <w:rPr>
          <w:b w:val="0"/>
          <w:bCs w:val="0"/>
        </w:rPr>
      </w:r>
    </w:p>
    <w:p>
      <w:pPr>
        <w:pStyle w:val="Heading3"/>
        <w:tabs>
          <w:tab w:pos="642" w:val="left" w:leader="none"/>
        </w:tabs>
        <w:spacing w:line="240" w:lineRule="auto" w:before="56"/>
        <w:ind w:right="2465"/>
        <w:jc w:val="left"/>
        <w:rPr>
          <w:b w:val="0"/>
          <w:bCs w:val="0"/>
        </w:rPr>
      </w:pPr>
      <w:r>
        <w:rPr>
          <w:rFonts w:ascii="Calibri" w:hAnsi="Calibri" w:cs="Calibri" w:eastAsia="Calibri" w:hint="default"/>
        </w:rPr>
        <w:t>1.</w:t>
        <w:tab/>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境内销售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w:t>
            </w:r>
          </w:p>
        </w:tc>
      </w:tr>
    </w:tbl>
    <w:p>
      <w:pPr>
        <w:spacing w:line="240" w:lineRule="auto" w:before="5"/>
        <w:rPr>
          <w:rFonts w:ascii="宋体" w:hAnsi="宋体" w:cs="宋体" w:eastAsia="宋体" w:hint="default"/>
          <w:b/>
          <w:bCs/>
          <w:sz w:val="15"/>
          <w:szCs w:val="15"/>
        </w:rPr>
      </w:pPr>
    </w:p>
    <w:p>
      <w:pPr>
        <w:pStyle w:val="BodyText"/>
        <w:spacing w:line="274" w:lineRule="exact" w:before="36"/>
        <w:ind w:left="218" w:right="2465"/>
        <w:jc w:val="left"/>
      </w:pPr>
      <w:r>
        <w:rPr/>
        <w:t>存在不同企业所得税税率纳税主体的，披露情况说明</w:t>
      </w:r>
    </w:p>
    <w:p>
      <w:pPr>
        <w:pStyle w:val="BodyText"/>
        <w:spacing w:line="274" w:lineRule="exact"/>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28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南宁市智诚合讯信息技术有限公司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慧球科技（重庆）有限公司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上海慧球通信科技有限公司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杭州郡原物业服务有限公司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湖南郡原物业服务有限公司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沈阳辽原物业管理有限公司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成都山外山物业管理有限公司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建德郡原物业服务有限公司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60" w:right="1120"/>
        </w:sectPr>
      </w:pPr>
    </w:p>
    <w:p>
      <w:pPr>
        <w:pStyle w:val="Heading3"/>
        <w:spacing w:line="290" w:lineRule="auto" w:before="36"/>
        <w:ind w:left="23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9" w:val="left" w:leader="none"/>
        </w:tabs>
        <w:spacing w:line="240" w:lineRule="auto" w:before="177"/>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20"/>
          <w:cols w:num="2" w:equalWidth="0">
            <w:col w:w="2773" w:space="3749"/>
            <w:col w:w="2708"/>
          </w:cols>
        </w:sectPr>
      </w:pPr>
    </w:p>
    <w:p>
      <w:pPr>
        <w:spacing w:line="240" w:lineRule="auto" w:before="7"/>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2223"/>
        <w:gridCol w:w="3300"/>
        <w:gridCol w:w="3327"/>
      </w:tblGrid>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right"/>
              <w:rPr>
                <w:rFonts w:ascii="宋体" w:hAnsi="宋体" w:cs="宋体" w:eastAsia="宋体" w:hint="default"/>
                <w:sz w:val="18"/>
                <w:szCs w:val="18"/>
              </w:rPr>
            </w:pPr>
            <w:r>
              <w:rPr>
                <w:rFonts w:ascii="宋体"/>
                <w:spacing w:val="-1"/>
                <w:sz w:val="18"/>
              </w:rPr>
              <w:t>146,870.13</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spacing w:val="-1"/>
                <w:sz w:val="18"/>
              </w:rPr>
              <w:t>197,630.15</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right"/>
              <w:rPr>
                <w:rFonts w:ascii="宋体" w:hAnsi="宋体" w:cs="宋体" w:eastAsia="宋体" w:hint="default"/>
                <w:sz w:val="18"/>
                <w:szCs w:val="18"/>
              </w:rPr>
            </w:pPr>
            <w:r>
              <w:rPr>
                <w:rFonts w:ascii="宋体"/>
                <w:spacing w:val="-1"/>
                <w:sz w:val="18"/>
              </w:rPr>
              <w:t>33,420,476.16</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right"/>
              <w:rPr>
                <w:rFonts w:ascii="宋体" w:hAnsi="宋体" w:cs="宋体" w:eastAsia="宋体" w:hint="default"/>
                <w:sz w:val="18"/>
                <w:szCs w:val="18"/>
              </w:rPr>
            </w:pPr>
            <w:r>
              <w:rPr>
                <w:rFonts w:ascii="宋体"/>
                <w:spacing w:val="-1"/>
                <w:sz w:val="18"/>
              </w:rPr>
              <w:t>30,532,520.23</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spacing w:val="-1"/>
                <w:sz w:val="18"/>
              </w:rPr>
              <w:t>1,322,241.00</w:t>
            </w:r>
          </w:p>
        </w:tc>
        <w:tc>
          <w:tcPr>
            <w:tcW w:w="332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spacing w:val="-1"/>
                <w:sz w:val="18"/>
              </w:rPr>
              <w:t>34,889,587.29</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spacing w:val="-1"/>
                <w:sz w:val="18"/>
              </w:rPr>
              <w:t>30,730,150.38</w:t>
            </w:r>
          </w:p>
        </w:tc>
      </w:tr>
      <w:tr>
        <w:trPr>
          <w:trHeight w:val="562"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8" w:right="-2"/>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存</w:t>
            </w:r>
            <w:r>
              <w:rPr>
                <w:rFonts w:ascii="宋体" w:hAnsi="宋体" w:cs="宋体" w:eastAsia="宋体" w:hint="default"/>
                <w:w w:val="100"/>
                <w:sz w:val="21"/>
                <w:szCs w:val="21"/>
              </w:rPr>
              <w:t>放</w:t>
            </w:r>
            <w:r>
              <w:rPr>
                <w:rFonts w:ascii="宋体" w:hAnsi="宋体" w:cs="宋体" w:eastAsia="宋体" w:hint="default"/>
                <w:spacing w:val="-3"/>
                <w:w w:val="100"/>
                <w:sz w:val="21"/>
                <w:szCs w:val="21"/>
              </w:rPr>
              <w:t>在</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的款</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2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60" w:right="1120"/>
        </w:sectPr>
      </w:pPr>
    </w:p>
    <w:p>
      <w:pPr>
        <w:pStyle w:val="Heading3"/>
        <w:spacing w:line="240" w:lineRule="auto" w:before="36"/>
        <w:ind w:left="238" w:right="-20"/>
        <w:jc w:val="left"/>
        <w:rPr>
          <w:b w:val="0"/>
          <w:bCs w:val="0"/>
        </w:rPr>
      </w:pPr>
      <w:r>
        <w:rPr>
          <w:rFonts w:ascii="宋体" w:hAnsi="宋体" w:cs="宋体" w:eastAsia="宋体" w:hint="default"/>
        </w:rPr>
        <w:t>2</w:t>
      </w:r>
      <w:r>
        <w:rPr/>
        <w:t>、</w:t>
      </w:r>
      <w:r>
        <w:rPr>
          <w:spacing w:val="-2"/>
        </w:rPr>
        <w:t> </w:t>
      </w:r>
      <w:r>
        <w:rPr/>
        <w:t>应收账款</w:t>
      </w:r>
      <w:r>
        <w:rPr>
          <w:b w:val="0"/>
          <w:bCs w:val="0"/>
        </w:rPr>
      </w:r>
    </w:p>
    <w:p>
      <w:pPr>
        <w:pStyle w:val="Heading3"/>
        <w:spacing w:line="240" w:lineRule="auto" w:before="56"/>
        <w:ind w:left="23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9" w:val="left" w:leader="none"/>
        </w:tabs>
        <w:spacing w:line="240" w:lineRule="auto" w:before="177"/>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20"/>
          <w:cols w:num="2" w:equalWidth="0">
            <w:col w:w="2502" w:space="3917"/>
            <w:col w:w="2811"/>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382"/>
        <w:gridCol w:w="747"/>
        <w:gridCol w:w="737"/>
        <w:gridCol w:w="737"/>
        <w:gridCol w:w="756"/>
        <w:gridCol w:w="735"/>
        <w:gridCol w:w="775"/>
        <w:gridCol w:w="756"/>
        <w:gridCol w:w="771"/>
        <w:gridCol w:w="770"/>
        <w:gridCol w:w="730"/>
      </w:tblGrid>
      <w:tr>
        <w:trPr>
          <w:trHeight w:val="283"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7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2" w:type="dxa"/>
            <w:vMerge/>
            <w:tcBorders>
              <w:left w:val="single" w:sz="4" w:space="0" w:color="000000"/>
              <w:right w:val="single" w:sz="4" w:space="0" w:color="000000"/>
            </w:tcBorders>
          </w:tcPr>
          <w:p>
            <w:pP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5" w:type="dxa"/>
            <w:vMerge w:val="restart"/>
            <w:tcBorders>
              <w:top w:val="single" w:sz="4" w:space="0" w:color="000000"/>
              <w:left w:val="single" w:sz="4" w:space="0" w:color="000000"/>
              <w:right w:val="single" w:sz="4" w:space="0" w:color="000000"/>
            </w:tcBorders>
          </w:tcPr>
          <w:p>
            <w:pPr>
              <w:pStyle w:val="TableParagraph"/>
              <w:spacing w:line="272" w:lineRule="exact" w:before="135"/>
              <w:ind w:left="148" w:right="15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0" w:type="dxa"/>
            <w:vMerge w:val="restart"/>
            <w:tcBorders>
              <w:top w:val="single" w:sz="4" w:space="0" w:color="000000"/>
              <w:left w:val="single" w:sz="4" w:space="0" w:color="000000"/>
              <w:right w:val="single" w:sz="4" w:space="0" w:color="000000"/>
            </w:tcBorders>
          </w:tcPr>
          <w:p>
            <w:pPr>
              <w:pStyle w:val="TableParagraph"/>
              <w:spacing w:line="272" w:lineRule="exact" w:before="135"/>
              <w:ind w:left="148" w:right="14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4" w:hRule="exact"/>
        </w:trPr>
        <w:tc>
          <w:tcPr>
            <w:tcW w:w="1382" w:type="dxa"/>
            <w:vMerge/>
            <w:tcBorders>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03" w:right="0"/>
              <w:jc w:val="left"/>
              <w:rPr>
                <w:rFonts w:ascii="宋体" w:hAnsi="宋体" w:cs="宋体" w:eastAsia="宋体" w:hint="default"/>
                <w:sz w:val="21"/>
                <w:szCs w:val="21"/>
              </w:rPr>
            </w:pPr>
            <w:r>
              <w:rPr>
                <w:rFonts w:ascii="宋体"/>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5"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15" w:right="0"/>
              <w:jc w:val="left"/>
              <w:rPr>
                <w:rFonts w:ascii="宋体" w:hAnsi="宋体" w:cs="宋体" w:eastAsia="宋体" w:hint="default"/>
                <w:sz w:val="21"/>
                <w:szCs w:val="21"/>
              </w:rPr>
            </w:pPr>
            <w:r>
              <w:rPr>
                <w:rFonts w:ascii="宋体"/>
                <w:sz w:val="21"/>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0" w:type="dxa"/>
            <w:vMerge/>
            <w:tcBorders>
              <w:left w:val="single" w:sz="4" w:space="0" w:color="000000"/>
              <w:bottom w:val="single" w:sz="4" w:space="0" w:color="000000"/>
              <w:right w:val="single" w:sz="4" w:space="0" w:color="000000"/>
            </w:tcBorders>
          </w:tcPr>
          <w:p>
            <w:pPr/>
          </w:p>
        </w:tc>
      </w:tr>
      <w:tr>
        <w:trPr>
          <w:trHeight w:val="1100"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7"/>
                <w:sz w:val="21"/>
                <w:szCs w:val="21"/>
              </w:rPr>
              <w:t>单项金额重大</w:t>
            </w:r>
          </w:p>
          <w:p>
            <w:pPr>
              <w:pStyle w:val="TableParagraph"/>
              <w:spacing w:line="237" w:lineRule="auto" w:before="1"/>
              <w:ind w:left="26" w:right="23"/>
              <w:jc w:val="both"/>
              <w:rPr>
                <w:rFonts w:ascii="宋体" w:hAnsi="宋体" w:cs="宋体" w:eastAsia="宋体" w:hint="default"/>
                <w:sz w:val="21"/>
                <w:szCs w:val="21"/>
              </w:rPr>
            </w:pPr>
            <w:r>
              <w:rPr>
                <w:rFonts w:ascii="宋体" w:hAnsi="宋体" w:cs="宋体" w:eastAsia="宋体" w:hint="default"/>
                <w:spacing w:val="7"/>
                <w:sz w:val="21"/>
                <w:szCs w:val="21"/>
              </w:rPr>
              <w:t>并单独计提坏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账准备的应收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账款</w:t>
            </w: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7"/>
                <w:sz w:val="21"/>
                <w:szCs w:val="21"/>
              </w:rPr>
              <w:t>按信用风险特</w:t>
            </w:r>
          </w:p>
          <w:p>
            <w:pPr>
              <w:pStyle w:val="TableParagraph"/>
              <w:spacing w:line="237" w:lineRule="auto"/>
              <w:ind w:left="26" w:right="23"/>
              <w:jc w:val="both"/>
              <w:rPr>
                <w:rFonts w:ascii="宋体" w:hAnsi="宋体" w:cs="宋体" w:eastAsia="宋体" w:hint="default"/>
                <w:sz w:val="21"/>
                <w:szCs w:val="21"/>
              </w:rPr>
            </w:pPr>
            <w:r>
              <w:rPr>
                <w:rFonts w:ascii="宋体" w:hAnsi="宋体" w:cs="宋体" w:eastAsia="宋体" w:hint="default"/>
                <w:spacing w:val="7"/>
                <w:sz w:val="21"/>
                <w:szCs w:val="21"/>
              </w:rPr>
              <w:t>征组合计提坏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账准备的应收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sz w:val="18"/>
              </w:rPr>
              <w:t>23,992,</w:t>
            </w:r>
          </w:p>
          <w:p>
            <w:pPr>
              <w:pStyle w:val="TableParagraph"/>
              <w:spacing w:line="234" w:lineRule="exact"/>
              <w:ind w:left="168" w:right="0"/>
              <w:jc w:val="left"/>
              <w:rPr>
                <w:rFonts w:ascii="宋体" w:hAnsi="宋体" w:cs="宋体" w:eastAsia="宋体" w:hint="default"/>
                <w:sz w:val="18"/>
                <w:szCs w:val="18"/>
              </w:rPr>
            </w:pPr>
            <w:r>
              <w:rPr>
                <w:rFonts w:ascii="宋体"/>
                <w:sz w:val="18"/>
              </w:rPr>
              <w:t>399.99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9" w:right="0"/>
              <w:jc w:val="center"/>
              <w:rPr>
                <w:rFonts w:ascii="宋体" w:hAnsi="宋体" w:cs="宋体" w:eastAsia="宋体" w:hint="default"/>
                <w:sz w:val="18"/>
                <w:szCs w:val="18"/>
              </w:rPr>
            </w:pPr>
            <w:r>
              <w:rPr>
                <w:rFonts w:ascii="宋体"/>
                <w:sz w:val="18"/>
              </w:rPr>
              <w:t>1,040,8</w:t>
            </w:r>
          </w:p>
          <w:p>
            <w:pPr>
              <w:pStyle w:val="TableParagraph"/>
              <w:spacing w:line="234" w:lineRule="exact"/>
              <w:ind w:left="219" w:right="0"/>
              <w:jc w:val="center"/>
              <w:rPr>
                <w:rFonts w:ascii="宋体" w:hAnsi="宋体" w:cs="宋体" w:eastAsia="宋体" w:hint="default"/>
                <w:sz w:val="18"/>
                <w:szCs w:val="18"/>
              </w:rPr>
            </w:pPr>
            <w:r>
              <w:rPr>
                <w:rFonts w:ascii="宋体"/>
                <w:sz w:val="18"/>
              </w:rPr>
              <w:t>75.75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7" w:right="0"/>
              <w:jc w:val="left"/>
              <w:rPr>
                <w:rFonts w:ascii="宋体" w:hAnsi="宋体" w:cs="宋体" w:eastAsia="宋体" w:hint="default"/>
                <w:sz w:val="18"/>
                <w:szCs w:val="18"/>
              </w:rPr>
            </w:pPr>
            <w:r>
              <w:rPr>
                <w:rFonts w:ascii="宋体"/>
                <w:sz w:val="18"/>
              </w:rPr>
              <w:t>4.34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sz w:val="18"/>
              </w:rPr>
              <w:t>22,951,</w:t>
            </w:r>
          </w:p>
          <w:p>
            <w:pPr>
              <w:pStyle w:val="TableParagraph"/>
              <w:spacing w:line="234" w:lineRule="exact"/>
              <w:ind w:left="155" w:right="0"/>
              <w:jc w:val="left"/>
              <w:rPr>
                <w:rFonts w:ascii="宋体" w:hAnsi="宋体" w:cs="宋体" w:eastAsia="宋体" w:hint="default"/>
                <w:sz w:val="18"/>
                <w:szCs w:val="18"/>
              </w:rPr>
            </w:pPr>
            <w:r>
              <w:rPr>
                <w:rFonts w:ascii="宋体"/>
                <w:sz w:val="18"/>
              </w:rPr>
              <w:t>524.24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7" w:right="0"/>
              <w:jc w:val="center"/>
              <w:rPr>
                <w:rFonts w:ascii="宋体" w:hAnsi="宋体" w:cs="宋体" w:eastAsia="宋体" w:hint="default"/>
                <w:sz w:val="18"/>
                <w:szCs w:val="18"/>
              </w:rPr>
            </w:pPr>
            <w:r>
              <w:rPr>
                <w:rFonts w:ascii="宋体"/>
                <w:sz w:val="18"/>
              </w:rPr>
              <w:t>4,758,9</w:t>
            </w:r>
          </w:p>
          <w:p>
            <w:pPr>
              <w:pStyle w:val="TableParagraph"/>
              <w:spacing w:line="234" w:lineRule="exact"/>
              <w:ind w:left="257" w:right="0"/>
              <w:jc w:val="center"/>
              <w:rPr>
                <w:rFonts w:ascii="宋体" w:hAnsi="宋体" w:cs="宋体" w:eastAsia="宋体" w:hint="default"/>
                <w:sz w:val="18"/>
                <w:szCs w:val="18"/>
              </w:rPr>
            </w:pPr>
            <w:r>
              <w:rPr>
                <w:rFonts w:ascii="宋体"/>
                <w:sz w:val="18"/>
              </w:rPr>
              <w:t>78.16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8" w:right="0"/>
              <w:jc w:val="left"/>
              <w:rPr>
                <w:rFonts w:ascii="宋体" w:hAnsi="宋体" w:cs="宋体" w:eastAsia="宋体" w:hint="default"/>
                <w:sz w:val="18"/>
                <w:szCs w:val="18"/>
              </w:rPr>
            </w:pPr>
            <w:r>
              <w:rPr>
                <w:rFonts w:ascii="宋体"/>
                <w:sz w:val="18"/>
              </w:rPr>
              <w:t>81.09</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286,687</w:t>
            </w:r>
          </w:p>
          <w:p>
            <w:pPr>
              <w:pStyle w:val="TableParagraph"/>
              <w:spacing w:line="234" w:lineRule="exact"/>
              <w:ind w:left="463" w:right="0"/>
              <w:jc w:val="left"/>
              <w:rPr>
                <w:rFonts w:ascii="宋体" w:hAnsi="宋体" w:cs="宋体" w:eastAsia="宋体" w:hint="default"/>
                <w:sz w:val="18"/>
                <w:szCs w:val="18"/>
              </w:rPr>
            </w:pPr>
            <w:r>
              <w:rPr>
                <w:rFonts w:ascii="宋体"/>
                <w:sz w:val="18"/>
              </w:rPr>
              <w:t>.37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sz w:val="18"/>
              </w:rPr>
              <w:t>6.02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6" w:right="0"/>
              <w:jc w:val="center"/>
              <w:rPr>
                <w:rFonts w:ascii="宋体" w:hAnsi="宋体" w:cs="宋体" w:eastAsia="宋体" w:hint="default"/>
                <w:sz w:val="18"/>
                <w:szCs w:val="18"/>
              </w:rPr>
            </w:pPr>
            <w:r>
              <w:rPr>
                <w:rFonts w:ascii="宋体"/>
                <w:sz w:val="18"/>
              </w:rPr>
              <w:t>4,472,2</w:t>
            </w:r>
          </w:p>
          <w:p>
            <w:pPr>
              <w:pStyle w:val="TableParagraph"/>
              <w:spacing w:line="234" w:lineRule="exact"/>
              <w:ind w:left="216" w:right="0"/>
              <w:jc w:val="center"/>
              <w:rPr>
                <w:rFonts w:ascii="宋体" w:hAnsi="宋体" w:cs="宋体" w:eastAsia="宋体" w:hint="default"/>
                <w:sz w:val="18"/>
                <w:szCs w:val="18"/>
              </w:rPr>
            </w:pPr>
            <w:r>
              <w:rPr>
                <w:rFonts w:ascii="宋体"/>
                <w:sz w:val="18"/>
              </w:rPr>
              <w:t>90.79</w:t>
            </w:r>
          </w:p>
        </w:tc>
      </w:tr>
      <w:tr>
        <w:trPr>
          <w:trHeight w:val="1099"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7"/>
                <w:sz w:val="21"/>
                <w:szCs w:val="21"/>
              </w:rPr>
              <w:t>单项金额不重</w:t>
            </w:r>
          </w:p>
          <w:p>
            <w:pPr>
              <w:pStyle w:val="TableParagraph"/>
              <w:spacing w:line="237" w:lineRule="auto"/>
              <w:ind w:left="26" w:right="23"/>
              <w:jc w:val="both"/>
              <w:rPr>
                <w:rFonts w:ascii="宋体" w:hAnsi="宋体" w:cs="宋体" w:eastAsia="宋体" w:hint="default"/>
                <w:sz w:val="21"/>
                <w:szCs w:val="21"/>
              </w:rPr>
            </w:pPr>
            <w:r>
              <w:rPr>
                <w:rFonts w:ascii="宋体" w:hAnsi="宋体" w:cs="宋体" w:eastAsia="宋体" w:hint="default"/>
                <w:spacing w:val="7"/>
                <w:sz w:val="21"/>
                <w:szCs w:val="21"/>
              </w:rPr>
              <w:t>大但单独计提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坏账准备的应</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收账款</w:t>
            </w: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7" w:right="0"/>
              <w:jc w:val="center"/>
              <w:rPr>
                <w:rFonts w:ascii="宋体" w:hAnsi="宋体" w:cs="宋体" w:eastAsia="宋体" w:hint="default"/>
                <w:sz w:val="18"/>
                <w:szCs w:val="18"/>
              </w:rPr>
            </w:pPr>
            <w:r>
              <w:rPr>
                <w:rFonts w:ascii="宋体"/>
                <w:sz w:val="18"/>
              </w:rPr>
              <w:t>1,109,5</w:t>
            </w:r>
          </w:p>
          <w:p>
            <w:pPr>
              <w:pStyle w:val="TableParagraph"/>
              <w:spacing w:line="234" w:lineRule="exact"/>
              <w:ind w:left="257" w:right="0"/>
              <w:jc w:val="center"/>
              <w:rPr>
                <w:rFonts w:ascii="宋体" w:hAnsi="宋体" w:cs="宋体" w:eastAsia="宋体" w:hint="default"/>
                <w:sz w:val="18"/>
                <w:szCs w:val="18"/>
              </w:rPr>
            </w:pPr>
            <w:r>
              <w:rPr>
                <w:rFonts w:ascii="宋体"/>
                <w:sz w:val="18"/>
              </w:rPr>
              <w:t>61.00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8" w:right="0"/>
              <w:jc w:val="left"/>
              <w:rPr>
                <w:rFonts w:ascii="宋体" w:hAnsi="宋体" w:cs="宋体" w:eastAsia="宋体" w:hint="default"/>
                <w:sz w:val="18"/>
                <w:szCs w:val="18"/>
              </w:rPr>
            </w:pPr>
            <w:r>
              <w:rPr>
                <w:rFonts w:ascii="宋体"/>
                <w:sz w:val="18"/>
              </w:rPr>
              <w:t>18.91</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z w:val="18"/>
              </w:rPr>
              <w:t>88,764.</w:t>
            </w:r>
          </w:p>
          <w:p>
            <w:pPr>
              <w:pStyle w:val="TableParagraph"/>
              <w:spacing w:line="234" w:lineRule="exact"/>
              <w:ind w:right="23"/>
              <w:jc w:val="right"/>
              <w:rPr>
                <w:rFonts w:ascii="宋体" w:hAnsi="宋体" w:cs="宋体" w:eastAsia="宋体" w:hint="default"/>
                <w:sz w:val="18"/>
                <w:szCs w:val="18"/>
              </w:rPr>
            </w:pPr>
            <w:r>
              <w:rPr>
                <w:rFonts w:ascii="宋体"/>
                <w:sz w:val="18"/>
              </w:rPr>
              <w:t>88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sz w:val="18"/>
              </w:rPr>
              <w:t>8.00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6" w:right="0"/>
              <w:jc w:val="center"/>
              <w:rPr>
                <w:rFonts w:ascii="宋体" w:hAnsi="宋体" w:cs="宋体" w:eastAsia="宋体" w:hint="default"/>
                <w:sz w:val="18"/>
                <w:szCs w:val="18"/>
              </w:rPr>
            </w:pPr>
            <w:r>
              <w:rPr>
                <w:rFonts w:ascii="宋体"/>
                <w:sz w:val="18"/>
              </w:rPr>
              <w:t>1,020,7</w:t>
            </w:r>
          </w:p>
          <w:p>
            <w:pPr>
              <w:pStyle w:val="TableParagraph"/>
              <w:spacing w:line="234" w:lineRule="exact"/>
              <w:ind w:left="216" w:right="0"/>
              <w:jc w:val="center"/>
              <w:rPr>
                <w:rFonts w:ascii="宋体" w:hAnsi="宋体" w:cs="宋体" w:eastAsia="宋体" w:hint="default"/>
                <w:sz w:val="18"/>
                <w:szCs w:val="18"/>
              </w:rPr>
            </w:pPr>
            <w:r>
              <w:rPr>
                <w:rFonts w:ascii="宋体"/>
                <w:sz w:val="18"/>
              </w:rPr>
              <w:t>96.12</w:t>
            </w:r>
          </w:p>
        </w:tc>
      </w:tr>
      <w:tr>
        <w:trPr>
          <w:trHeight w:val="478"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sz w:val="18"/>
              </w:rPr>
              <w:t>23,992,</w:t>
            </w:r>
          </w:p>
          <w:p>
            <w:pPr>
              <w:pStyle w:val="TableParagraph"/>
              <w:spacing w:line="234" w:lineRule="exact"/>
              <w:ind w:left="168" w:right="0"/>
              <w:jc w:val="left"/>
              <w:rPr>
                <w:rFonts w:ascii="宋体" w:hAnsi="宋体" w:cs="宋体" w:eastAsia="宋体" w:hint="default"/>
                <w:sz w:val="18"/>
                <w:szCs w:val="18"/>
              </w:rPr>
            </w:pPr>
            <w:r>
              <w:rPr>
                <w:rFonts w:ascii="宋体"/>
                <w:sz w:val="18"/>
              </w:rPr>
              <w:t>399.99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9" w:right="0"/>
              <w:jc w:val="center"/>
              <w:rPr>
                <w:rFonts w:ascii="宋体" w:hAnsi="宋体" w:cs="宋体" w:eastAsia="宋体" w:hint="default"/>
                <w:sz w:val="18"/>
                <w:szCs w:val="18"/>
              </w:rPr>
            </w:pPr>
            <w:r>
              <w:rPr>
                <w:rFonts w:ascii="宋体"/>
                <w:sz w:val="18"/>
              </w:rPr>
              <w:t>1,040,8</w:t>
            </w:r>
          </w:p>
          <w:p>
            <w:pPr>
              <w:pStyle w:val="TableParagraph"/>
              <w:spacing w:line="234" w:lineRule="exact"/>
              <w:ind w:left="219" w:right="0"/>
              <w:jc w:val="center"/>
              <w:rPr>
                <w:rFonts w:ascii="宋体" w:hAnsi="宋体" w:cs="宋体" w:eastAsia="宋体" w:hint="default"/>
                <w:sz w:val="18"/>
                <w:szCs w:val="18"/>
              </w:rPr>
            </w:pPr>
            <w:r>
              <w:rPr>
                <w:rFonts w:ascii="宋体"/>
                <w:sz w:val="18"/>
              </w:rPr>
              <w:t>75.75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w w:val="100"/>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sz w:val="18"/>
              </w:rPr>
              <w:t>22,951,</w:t>
            </w:r>
          </w:p>
          <w:p>
            <w:pPr>
              <w:pStyle w:val="TableParagraph"/>
              <w:spacing w:line="234" w:lineRule="exact"/>
              <w:ind w:left="155" w:right="0"/>
              <w:jc w:val="left"/>
              <w:rPr>
                <w:rFonts w:ascii="宋体" w:hAnsi="宋体" w:cs="宋体" w:eastAsia="宋体" w:hint="default"/>
                <w:sz w:val="18"/>
                <w:szCs w:val="18"/>
              </w:rPr>
            </w:pPr>
            <w:r>
              <w:rPr>
                <w:rFonts w:ascii="宋体"/>
                <w:sz w:val="18"/>
              </w:rPr>
              <w:t>524.24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7" w:right="0"/>
              <w:jc w:val="center"/>
              <w:rPr>
                <w:rFonts w:ascii="宋体" w:hAnsi="宋体" w:cs="宋体" w:eastAsia="宋体" w:hint="default"/>
                <w:sz w:val="18"/>
                <w:szCs w:val="18"/>
              </w:rPr>
            </w:pPr>
            <w:r>
              <w:rPr>
                <w:rFonts w:ascii="宋体"/>
                <w:sz w:val="18"/>
              </w:rPr>
              <w:t>5,868,5</w:t>
            </w:r>
          </w:p>
          <w:p>
            <w:pPr>
              <w:pStyle w:val="TableParagraph"/>
              <w:spacing w:line="234" w:lineRule="exact"/>
              <w:ind w:left="257" w:right="0"/>
              <w:jc w:val="center"/>
              <w:rPr>
                <w:rFonts w:ascii="宋体" w:hAnsi="宋体" w:cs="宋体" w:eastAsia="宋体" w:hint="default"/>
                <w:sz w:val="18"/>
                <w:szCs w:val="18"/>
              </w:rPr>
            </w:pPr>
            <w:r>
              <w:rPr>
                <w:rFonts w:ascii="宋体"/>
                <w:sz w:val="18"/>
              </w:rPr>
              <w:t>39.16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w w:val="100"/>
                <w:sz w:val="21"/>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375,452</w:t>
            </w:r>
          </w:p>
          <w:p>
            <w:pPr>
              <w:pStyle w:val="TableParagraph"/>
              <w:spacing w:line="234" w:lineRule="exact"/>
              <w:ind w:left="463" w:right="0"/>
              <w:jc w:val="left"/>
              <w:rPr>
                <w:rFonts w:ascii="宋体" w:hAnsi="宋体" w:cs="宋体" w:eastAsia="宋体" w:hint="default"/>
                <w:sz w:val="18"/>
                <w:szCs w:val="18"/>
              </w:rPr>
            </w:pPr>
            <w:r>
              <w:rPr>
                <w:rFonts w:ascii="宋体"/>
                <w:sz w:val="18"/>
              </w:rPr>
              <w:t>.25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w w:val="100"/>
                <w:sz w:val="21"/>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6" w:right="0"/>
              <w:jc w:val="center"/>
              <w:rPr>
                <w:rFonts w:ascii="宋体" w:hAnsi="宋体" w:cs="宋体" w:eastAsia="宋体" w:hint="default"/>
                <w:sz w:val="18"/>
                <w:szCs w:val="18"/>
              </w:rPr>
            </w:pPr>
            <w:r>
              <w:rPr>
                <w:rFonts w:ascii="宋体"/>
                <w:sz w:val="18"/>
              </w:rPr>
              <w:t>5,493,0</w:t>
            </w:r>
          </w:p>
          <w:p>
            <w:pPr>
              <w:pStyle w:val="TableParagraph"/>
              <w:spacing w:line="234" w:lineRule="exact"/>
              <w:ind w:left="216" w:right="0"/>
              <w:jc w:val="center"/>
              <w:rPr>
                <w:rFonts w:ascii="宋体" w:hAnsi="宋体" w:cs="宋体" w:eastAsia="宋体" w:hint="default"/>
                <w:sz w:val="18"/>
                <w:szCs w:val="18"/>
              </w:rPr>
            </w:pPr>
            <w:r>
              <w:rPr>
                <w:rFonts w:ascii="宋体"/>
                <w:sz w:val="18"/>
              </w:rPr>
              <w:t>86.91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6"/>
        <w:ind w:left="238" w:right="0"/>
        <w:jc w:val="left"/>
      </w:pPr>
      <w:r>
        <w:rPr/>
        <w:t>√适用□不适用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left="238" w:right="0"/>
        <w:jc w:val="left"/>
        <w:rPr>
          <w:b w:val="0"/>
          <w:bCs w:val="0"/>
        </w:rPr>
      </w:pPr>
      <w:r>
        <w:rPr/>
        <w:pict>
          <v:shape style="position:absolute;margin-left:212.210007pt;margin-top:33.383667pt;width:.48001pt;height:.12pt;mso-position-horizontal-relative:page;mso-position-vertical-relative:paragraph;z-index:-593728" type="#_x0000_t75" stroked="false">
            <v:imagedata r:id="rId58" o:title=""/>
          </v:shape>
        </w:pict>
      </w:r>
      <w:r>
        <w:rPr/>
        <w:pict>
          <v:shape style="position:absolute;margin-left:306.649994pt;margin-top:33.383667pt;width:.47998pt;height:.12pt;mso-position-horizontal-relative:page;mso-position-vertical-relative:paragraph;z-index:-593704" type="#_x0000_t75" stroked="false">
            <v:imagedata r:id="rId58" o:title=""/>
          </v:shape>
        </w:pict>
      </w:r>
      <w:r>
        <w:rPr/>
        <w:pict>
          <v:shape style="position:absolute;margin-left:441.790009pt;margin-top:33.383667pt;width:.48001pt;height:.12pt;mso-position-horizontal-relative:page;mso-position-vertical-relative:paragraph;z-index:-593680" type="#_x0000_t75" stroked="false">
            <v:imagedata r:id="rId58" o:title=""/>
          </v:shape>
        </w:pict>
      </w:r>
      <w:r>
        <w:rPr/>
        <w:pict>
          <v:group style="position:absolute;margin-left:84.264pt;margin-top:50.423687pt;width:443.15pt;height:.5pt;mso-position-horizontal-relative:page;mso-position-vertical-relative:paragraph;z-index:-593656" coordorigin="1685,1008" coordsize="8863,10">
            <v:shape style="position:absolute;left:1685;top:1008;width:4448;height:10" type="#_x0000_t75" stroked="false">
              <v:imagedata r:id="rId66" o:title=""/>
            </v:shape>
            <v:shape style="position:absolute;left:6128;top:1008;width:4419;height:10" type="#_x0000_t75" stroked="false">
              <v:imagedata r:id="rId67" o:title=""/>
            </v:shape>
            <w10:wrap type="none"/>
          </v:group>
        </w:pict>
      </w:r>
      <w:r>
        <w:rPr>
          <w:rFonts w:ascii="宋体" w:hAnsi="宋体" w:cs="宋体" w:eastAsia="宋体" w:hint="default"/>
        </w:rPr>
        <w:t>(2).</w:t>
      </w:r>
      <w:r>
        <w:rPr>
          <w:rFonts w:ascii="宋体" w:hAnsi="宋体" w:cs="宋体" w:eastAsia="宋体" w:hint="default"/>
          <w:spacing w:val="43"/>
        </w:rPr>
        <w:t> </w:t>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10" w:type="dxa"/>
        <w:tblLayout w:type="fixed"/>
        <w:tblCellMar>
          <w:top w:w="0" w:type="dxa"/>
          <w:left w:w="0" w:type="dxa"/>
          <w:bottom w:w="0" w:type="dxa"/>
          <w:right w:w="0" w:type="dxa"/>
        </w:tblCellMar>
        <w:tblLook w:val="01E0"/>
      </w:tblPr>
      <w:tblGrid>
        <w:gridCol w:w="2578"/>
        <w:gridCol w:w="1889"/>
        <w:gridCol w:w="2703"/>
        <w:gridCol w:w="1707"/>
      </w:tblGrid>
      <w:tr>
        <w:trPr>
          <w:trHeight w:val="367" w:hRule="exact"/>
        </w:trPr>
        <w:tc>
          <w:tcPr>
            <w:tcW w:w="2578" w:type="dxa"/>
            <w:tcBorders>
              <w:top w:val="single" w:sz="12" w:space="0" w:color="000000"/>
              <w:left w:val="nil" w:sz="6" w:space="0" w:color="auto"/>
              <w:bottom w:val="nil" w:sz="6" w:space="0" w:color="auto"/>
              <w:right w:val="single" w:sz="4" w:space="0" w:color="000000"/>
            </w:tcBorders>
          </w:tcPr>
          <w:p>
            <w:pPr>
              <w:pStyle w:val="TableParagraph"/>
              <w:spacing w:line="240" w:lineRule="auto" w:before="32"/>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8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2"/>
              <w:ind w:left="57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70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占应收账款期末余额的比例</w:t>
            </w:r>
            <w:r>
              <w:rPr>
                <w:rFonts w:ascii="宋体" w:hAnsi="宋体" w:cs="宋体" w:eastAsia="宋体" w:hint="default"/>
                <w:sz w:val="18"/>
                <w:szCs w:val="18"/>
              </w:rPr>
              <w:t>(%)</w:t>
            </w:r>
          </w:p>
        </w:tc>
        <w:tc>
          <w:tcPr>
            <w:tcW w:w="1707" w:type="dxa"/>
            <w:tcBorders>
              <w:top w:val="single" w:sz="12" w:space="0" w:color="000000"/>
              <w:left w:val="single" w:sz="4" w:space="0" w:color="000000"/>
              <w:bottom w:val="nil" w:sz="6" w:space="0" w:color="auto"/>
              <w:right w:val="nil" w:sz="6" w:space="0" w:color="auto"/>
            </w:tcBorders>
          </w:tcPr>
          <w:p>
            <w:pPr>
              <w:pStyle w:val="TableParagraph"/>
              <w:spacing w:line="240" w:lineRule="auto" w:before="32"/>
              <w:ind w:left="218"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5" w:hRule="exact"/>
        </w:trPr>
        <w:tc>
          <w:tcPr>
            <w:tcW w:w="2578" w:type="dxa"/>
            <w:tcBorders>
              <w:top w:val="nil" w:sz="6" w:space="0" w:color="auto"/>
              <w:left w:val="nil" w:sz="6" w:space="0" w:color="auto"/>
              <w:bottom w:val="single" w:sz="12" w:space="0" w:color="000000"/>
              <w:right w:val="single" w:sz="4" w:space="0" w:color="000000"/>
            </w:tcBorders>
          </w:tcPr>
          <w:p>
            <w:pPr>
              <w:pStyle w:val="TableParagraph"/>
              <w:spacing w:line="240" w:lineRule="auto" w:before="29"/>
              <w:ind w:left="11" w:right="0"/>
              <w:jc w:val="center"/>
              <w:rPr>
                <w:rFonts w:ascii="宋体" w:hAnsi="宋体" w:cs="宋体" w:eastAsia="宋体" w:hint="default"/>
                <w:sz w:val="18"/>
                <w:szCs w:val="18"/>
              </w:rPr>
            </w:pPr>
            <w:r>
              <w:rPr>
                <w:rFonts w:ascii="宋体" w:hAnsi="宋体" w:cs="宋体" w:eastAsia="宋体" w:hint="default"/>
                <w:sz w:val="18"/>
                <w:szCs w:val="18"/>
              </w:rPr>
              <w:t>期末余额前五名应收账款汇总</w:t>
            </w:r>
          </w:p>
        </w:tc>
        <w:tc>
          <w:tcPr>
            <w:tcW w:w="188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9"/>
              <w:ind w:left="604" w:right="0"/>
              <w:jc w:val="left"/>
              <w:rPr>
                <w:rFonts w:ascii="宋体" w:hAnsi="宋体" w:cs="宋体" w:eastAsia="宋体" w:hint="default"/>
                <w:sz w:val="18"/>
                <w:szCs w:val="18"/>
              </w:rPr>
            </w:pPr>
            <w:r>
              <w:rPr>
                <w:rFonts w:ascii="宋体"/>
                <w:sz w:val="18"/>
              </w:rPr>
              <w:t>19,508,710.98</w:t>
            </w:r>
          </w:p>
        </w:tc>
        <w:tc>
          <w:tcPr>
            <w:tcW w:w="270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81.31</w:t>
            </w:r>
          </w:p>
        </w:tc>
        <w:tc>
          <w:tcPr>
            <w:tcW w:w="1707" w:type="dxa"/>
            <w:tcBorders>
              <w:top w:val="nil" w:sz="6" w:space="0" w:color="auto"/>
              <w:left w:val="single" w:sz="4" w:space="0" w:color="000000"/>
              <w:bottom w:val="single" w:sz="12" w:space="0" w:color="000000"/>
              <w:right w:val="nil" w:sz="6" w:space="0" w:color="auto"/>
            </w:tcBorders>
          </w:tcPr>
          <w:p>
            <w:pPr>
              <w:pStyle w:val="TableParagraph"/>
              <w:spacing w:line="240" w:lineRule="auto" w:before="29"/>
              <w:ind w:left="696" w:right="0"/>
              <w:jc w:val="left"/>
              <w:rPr>
                <w:rFonts w:ascii="宋体" w:hAnsi="宋体" w:cs="宋体" w:eastAsia="宋体" w:hint="default"/>
                <w:sz w:val="18"/>
                <w:szCs w:val="18"/>
              </w:rPr>
            </w:pPr>
            <w:r>
              <w:rPr>
                <w:rFonts w:ascii="宋体"/>
                <w:sz w:val="18"/>
              </w:rPr>
              <w:t>733,086.33</w:t>
            </w:r>
          </w:p>
        </w:tc>
      </w:tr>
    </w:tbl>
    <w:p>
      <w:pPr>
        <w:spacing w:after="0" w:line="240" w:lineRule="auto"/>
        <w:jc w:val="left"/>
        <w:rPr>
          <w:rFonts w:ascii="宋体" w:hAnsi="宋体" w:cs="宋体" w:eastAsia="宋体" w:hint="default"/>
          <w:sz w:val="18"/>
          <w:szCs w:val="18"/>
        </w:rPr>
        <w:sectPr>
          <w:type w:val="continuous"/>
          <w:pgSz w:w="11910" w:h="16840"/>
          <w:pgMar w:top="1120" w:bottom="1380" w:left="1560" w:right="1120"/>
        </w:sectPr>
      </w:pPr>
    </w:p>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40" w:right="660"/>
        </w:sectPr>
      </w:pPr>
    </w:p>
    <w:p>
      <w:pPr>
        <w:pStyle w:val="Heading3"/>
        <w:spacing w:line="240" w:lineRule="auto" w:before="36"/>
        <w:ind w:left="258" w:right="-19"/>
        <w:jc w:val="left"/>
        <w:rPr>
          <w:b w:val="0"/>
          <w:bCs w:val="0"/>
        </w:rPr>
      </w:pPr>
      <w:r>
        <w:rPr>
          <w:rFonts w:ascii="宋体" w:hAnsi="宋体" w:cs="宋体" w:eastAsia="宋体" w:hint="default"/>
        </w:rPr>
        <w:t>3</w:t>
      </w:r>
      <w:r>
        <w:rPr/>
        <w:t>、</w:t>
      </w:r>
      <w:r>
        <w:rPr>
          <w:spacing w:val="-2"/>
        </w:rPr>
        <w:t> </w:t>
      </w:r>
      <w:r>
        <w:rPr/>
        <w:t>预付款项</w:t>
      </w:r>
      <w:r>
        <w:rPr>
          <w:b w:val="0"/>
          <w:bCs w:val="0"/>
        </w:rPr>
      </w:r>
    </w:p>
    <w:p>
      <w:pPr>
        <w:pStyle w:val="Heading3"/>
        <w:spacing w:line="240" w:lineRule="auto" w:before="58"/>
        <w:ind w:left="25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9" w:val="left" w:leader="none"/>
        </w:tabs>
        <w:spacing w:line="240" w:lineRule="auto" w:before="177"/>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660"/>
          <w:cols w:num="2" w:equalWidth="0">
            <w:col w:w="2776" w:space="3746"/>
            <w:col w:w="3188"/>
          </w:cols>
        </w:sectPr>
      </w:pPr>
    </w:p>
    <w:p>
      <w:pPr>
        <w:spacing w:line="240" w:lineRule="auto" w:before="7"/>
        <w:rPr>
          <w:rFonts w:ascii="宋体" w:hAnsi="宋体" w:cs="宋体" w:eastAsia="宋体" w:hint="default"/>
          <w:sz w:val="2"/>
          <w:szCs w:val="2"/>
        </w:rPr>
      </w:pPr>
    </w:p>
    <w:tbl>
      <w:tblPr>
        <w:tblW w:w="0" w:type="auto"/>
        <w:jc w:val="left"/>
        <w:tblInd w:w="21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768" w:right="0"/>
              <w:jc w:val="left"/>
              <w:rPr>
                <w:rFonts w:ascii="宋体" w:hAnsi="宋体" w:cs="宋体" w:eastAsia="宋体" w:hint="default"/>
                <w:sz w:val="18"/>
                <w:szCs w:val="18"/>
              </w:rPr>
            </w:pPr>
            <w:r>
              <w:rPr>
                <w:rFonts w:ascii="宋体"/>
                <w:sz w:val="18"/>
              </w:rPr>
              <w:t>1,353,025.57</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6"/>
              <w:jc w:val="right"/>
              <w:rPr>
                <w:rFonts w:ascii="宋体" w:hAnsi="宋体" w:cs="宋体" w:eastAsia="宋体" w:hint="default"/>
                <w:sz w:val="18"/>
                <w:szCs w:val="18"/>
              </w:rPr>
            </w:pPr>
            <w:r>
              <w:rPr>
                <w:rFonts w:ascii="宋体"/>
                <w:spacing w:val="-1"/>
                <w:sz w:val="18"/>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6"/>
              <w:jc w:val="right"/>
              <w:rPr>
                <w:rFonts w:ascii="宋体" w:hAnsi="宋体" w:cs="宋体" w:eastAsia="宋体" w:hint="default"/>
                <w:sz w:val="18"/>
                <w:szCs w:val="18"/>
              </w:rPr>
            </w:pPr>
            <w:r>
              <w:rPr>
                <w:rFonts w:ascii="宋体"/>
                <w:spacing w:val="-1"/>
                <w:sz w:val="18"/>
              </w:rPr>
              <w:t>601,732.36</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6"/>
              <w:jc w:val="right"/>
              <w:rPr>
                <w:rFonts w:ascii="宋体" w:hAnsi="宋体" w:cs="宋体" w:eastAsia="宋体" w:hint="default"/>
                <w:sz w:val="18"/>
                <w:szCs w:val="18"/>
              </w:rPr>
            </w:pPr>
            <w:r>
              <w:rPr>
                <w:rFonts w:ascii="宋体"/>
                <w:sz w:val="18"/>
              </w:rPr>
              <w:t>96.60</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pacing w:val="-1"/>
                <w:sz w:val="18"/>
              </w:rPr>
              <w:t>21,190.03</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3.40</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4" w:type="dxa"/>
            <w:tcBorders>
              <w:top w:val="single" w:sz="6" w:space="0" w:color="000000"/>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4" w:type="dxa"/>
            <w:tcBorders>
              <w:top w:val="single" w:sz="6" w:space="0" w:color="000000"/>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768" w:right="0"/>
              <w:jc w:val="left"/>
              <w:rPr>
                <w:rFonts w:ascii="宋体" w:hAnsi="宋体" w:cs="宋体" w:eastAsia="宋体" w:hint="default"/>
                <w:sz w:val="18"/>
                <w:szCs w:val="18"/>
              </w:rPr>
            </w:pPr>
            <w:r>
              <w:rPr>
                <w:rFonts w:ascii="宋体"/>
                <w:sz w:val="18"/>
              </w:rPr>
              <w:t>1,353,025.57</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6"/>
              <w:jc w:val="right"/>
              <w:rPr>
                <w:rFonts w:ascii="宋体" w:hAnsi="宋体" w:cs="宋体" w:eastAsia="宋体" w:hint="default"/>
                <w:sz w:val="18"/>
                <w:szCs w:val="18"/>
              </w:rPr>
            </w:pPr>
            <w:r>
              <w:rPr>
                <w:rFonts w:ascii="宋体"/>
                <w:spacing w:val="-1"/>
                <w:sz w:val="18"/>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6"/>
              <w:jc w:val="right"/>
              <w:rPr>
                <w:rFonts w:ascii="宋体" w:hAnsi="宋体" w:cs="宋体" w:eastAsia="宋体" w:hint="default"/>
                <w:sz w:val="18"/>
                <w:szCs w:val="18"/>
              </w:rPr>
            </w:pPr>
            <w:r>
              <w:rPr>
                <w:rFonts w:ascii="宋体"/>
                <w:spacing w:val="-1"/>
                <w:sz w:val="18"/>
              </w:rPr>
              <w:t>622,922.39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6"/>
              <w:jc w:val="right"/>
              <w:rPr>
                <w:rFonts w:ascii="宋体" w:hAnsi="宋体" w:cs="宋体" w:eastAsia="宋体" w:hint="default"/>
                <w:sz w:val="18"/>
                <w:szCs w:val="18"/>
              </w:rPr>
            </w:pPr>
            <w:r>
              <w:rPr>
                <w:rFonts w:ascii="宋体"/>
                <w:spacing w:val="-1"/>
                <w:sz w:val="18"/>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36"/>
        <w:ind w:left="258" w:right="0"/>
        <w:jc w:val="left"/>
        <w:rPr>
          <w:b w:val="0"/>
          <w:bCs w:val="0"/>
        </w:rPr>
      </w:pPr>
      <w:r>
        <w:rPr/>
        <w:pict>
          <v:shape style="position:absolute;margin-left:256.369995pt;margin-top:35.183693pt;width:.47998pt;height:.12pt;mso-position-horizontal-relative:page;mso-position-vertical-relative:paragraph;z-index:-593632" type="#_x0000_t75" stroked="false">
            <v:imagedata r:id="rId58" o:title=""/>
          </v:shape>
        </w:pict>
      </w:r>
      <w:r>
        <w:rPr/>
        <w:pict>
          <v:shape style="position:absolute;margin-left:401.109985pt;margin-top:35.183693pt;width:.48001pt;height:.12pt;mso-position-horizontal-relative:page;mso-position-vertical-relative:paragraph;z-index:-593608" type="#_x0000_t75" stroked="false">
            <v:imagedata r:id="rId58" o:title=""/>
          </v:shape>
        </w:pict>
      </w:r>
      <w:r>
        <w:rPr/>
        <w:pict>
          <v:group style="position:absolute;margin-left:82.823997pt;margin-top:52.223713pt;width:473.85pt;height:.5pt;mso-position-horizontal-relative:page;mso-position-vertical-relative:paragraph;z-index:-593584" coordorigin="1656,1044" coordsize="9477,10">
            <v:shape style="position:absolute;left:1656;top:1044;width:3471;height:10" type="#_x0000_t75" stroked="false">
              <v:imagedata r:id="rId68" o:title=""/>
            </v:shape>
            <v:shape style="position:absolute;left:5123;top:1044;width:6011;height:10" type="#_x0000_t75" stroked="false">
              <v:imagedata r:id="rId69" o:title=""/>
            </v:shape>
            <w10:wrap type="none"/>
          </v:group>
        </w:pict>
      </w: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02" w:type="dxa"/>
        <w:tblLayout w:type="fixed"/>
        <w:tblCellMar>
          <w:top w:w="0" w:type="dxa"/>
          <w:left w:w="0" w:type="dxa"/>
          <w:bottom w:w="0" w:type="dxa"/>
          <w:right w:w="0" w:type="dxa"/>
        </w:tblCellMar>
        <w:tblLook w:val="01E0"/>
      </w:tblPr>
      <w:tblGrid>
        <w:gridCol w:w="3490"/>
        <w:gridCol w:w="2895"/>
        <w:gridCol w:w="3106"/>
      </w:tblGrid>
      <w:tr>
        <w:trPr>
          <w:trHeight w:val="367" w:hRule="exact"/>
        </w:trPr>
        <w:tc>
          <w:tcPr>
            <w:tcW w:w="3490" w:type="dxa"/>
            <w:tcBorders>
              <w:top w:val="single" w:sz="12" w:space="0" w:color="000000"/>
              <w:left w:val="nil" w:sz="6" w:space="0" w:color="auto"/>
              <w:bottom w:val="nil" w:sz="6" w:space="0" w:color="auto"/>
              <w:right w:val="single" w:sz="4" w:space="0" w:color="000000"/>
            </w:tcBorders>
          </w:tcPr>
          <w:p>
            <w:pPr>
              <w:pStyle w:val="TableParagraph"/>
              <w:spacing w:line="240" w:lineRule="auto" w:before="32"/>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9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3106" w:type="dxa"/>
            <w:tcBorders>
              <w:top w:val="single" w:sz="12" w:space="0" w:color="000000"/>
              <w:left w:val="single" w:sz="4" w:space="0" w:color="000000"/>
              <w:bottom w:val="nil" w:sz="6" w:space="0" w:color="auto"/>
              <w:right w:val="nil" w:sz="6" w:space="0" w:color="auto"/>
            </w:tcBorders>
          </w:tcPr>
          <w:p>
            <w:pPr>
              <w:pStyle w:val="TableParagraph"/>
              <w:spacing w:line="240" w:lineRule="auto" w:before="32"/>
              <w:ind w:left="511" w:right="0"/>
              <w:jc w:val="left"/>
              <w:rPr>
                <w:rFonts w:ascii="宋体" w:hAnsi="宋体" w:cs="宋体" w:eastAsia="宋体" w:hint="default"/>
                <w:sz w:val="18"/>
                <w:szCs w:val="18"/>
              </w:rPr>
            </w:pPr>
            <w:r>
              <w:rPr>
                <w:rFonts w:ascii="宋体" w:hAnsi="宋体" w:cs="宋体" w:eastAsia="宋体" w:hint="default"/>
                <w:sz w:val="18"/>
                <w:szCs w:val="18"/>
              </w:rPr>
              <w:t>占预付账款总额的比例</w:t>
            </w:r>
            <w:r>
              <w:rPr>
                <w:rFonts w:ascii="宋体" w:hAnsi="宋体" w:cs="宋体" w:eastAsia="宋体" w:hint="default"/>
                <w:sz w:val="18"/>
                <w:szCs w:val="18"/>
              </w:rPr>
              <w:t>(%)</w:t>
            </w:r>
          </w:p>
        </w:tc>
      </w:tr>
      <w:tr>
        <w:trPr>
          <w:trHeight w:val="353" w:hRule="exact"/>
        </w:trPr>
        <w:tc>
          <w:tcPr>
            <w:tcW w:w="3490" w:type="dxa"/>
            <w:tcBorders>
              <w:top w:val="nil" w:sz="6" w:space="0" w:color="auto"/>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期末余额前五名预付账款汇总</w:t>
            </w:r>
          </w:p>
        </w:tc>
        <w:tc>
          <w:tcPr>
            <w:tcW w:w="289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9"/>
              <w:ind w:left="1702" w:right="0"/>
              <w:jc w:val="left"/>
              <w:rPr>
                <w:rFonts w:ascii="宋体" w:hAnsi="宋体" w:cs="宋体" w:eastAsia="宋体" w:hint="default"/>
                <w:sz w:val="18"/>
                <w:szCs w:val="18"/>
              </w:rPr>
            </w:pPr>
            <w:r>
              <w:rPr>
                <w:rFonts w:ascii="宋体"/>
                <w:sz w:val="18"/>
              </w:rPr>
              <w:t>1,281,896.03</w:t>
            </w:r>
          </w:p>
        </w:tc>
        <w:tc>
          <w:tcPr>
            <w:tcW w:w="3106" w:type="dxa"/>
            <w:tcBorders>
              <w:top w:val="nil" w:sz="6" w:space="0" w:color="auto"/>
              <w:left w:val="single" w:sz="4" w:space="0" w:color="000000"/>
              <w:bottom w:val="single" w:sz="12" w:space="0" w:color="000000"/>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z w:val="18"/>
              </w:rPr>
              <w:t>94.74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120" w:bottom="1380" w:left="1540" w:right="660"/>
        </w:sectPr>
      </w:pPr>
    </w:p>
    <w:p>
      <w:pPr>
        <w:pStyle w:val="Heading3"/>
        <w:spacing w:line="240" w:lineRule="auto" w:before="36"/>
        <w:ind w:left="258" w:right="0"/>
        <w:jc w:val="left"/>
        <w:rPr>
          <w:b w:val="0"/>
          <w:bCs w:val="0"/>
        </w:rPr>
      </w:pPr>
      <w:r>
        <w:rPr>
          <w:rFonts w:ascii="宋体" w:hAnsi="宋体" w:cs="宋体" w:eastAsia="宋体" w:hint="default"/>
        </w:rPr>
        <w:t>4</w:t>
      </w:r>
      <w:r>
        <w:rPr/>
        <w:t>、</w:t>
      </w:r>
      <w:r>
        <w:rPr>
          <w:spacing w:val="-1"/>
        </w:rPr>
        <w:t> </w:t>
      </w:r>
      <w:r>
        <w:rPr/>
        <w:t>其他应收款</w:t>
      </w:r>
      <w:r>
        <w:rPr>
          <w:b w:val="0"/>
          <w:bCs w:val="0"/>
        </w:rPr>
      </w:r>
    </w:p>
    <w:p>
      <w:pPr>
        <w:pStyle w:val="Heading3"/>
        <w:spacing w:line="240" w:lineRule="auto" w:before="56"/>
        <w:ind w:left="258" w:right="0"/>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504" w:val="left" w:leader="none"/>
        </w:tabs>
        <w:spacing w:line="240" w:lineRule="auto" w:before="178"/>
        <w:ind w:left="452"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660"/>
          <w:cols w:num="2" w:equalWidth="0">
            <w:col w:w="3597" w:space="2627"/>
            <w:col w:w="3486"/>
          </w:cols>
        </w:sectPr>
      </w:pPr>
    </w:p>
    <w:p>
      <w:pPr>
        <w:spacing w:line="240" w:lineRule="auto" w:before="4"/>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266"/>
        <w:gridCol w:w="1207"/>
        <w:gridCol w:w="591"/>
        <w:gridCol w:w="941"/>
        <w:gridCol w:w="415"/>
        <w:gridCol w:w="1205"/>
        <w:gridCol w:w="1118"/>
        <w:gridCol w:w="590"/>
        <w:gridCol w:w="941"/>
        <w:gridCol w:w="504"/>
        <w:gridCol w:w="1116"/>
      </w:tblGrid>
      <w:tr>
        <w:trPr>
          <w:trHeight w:val="293" w:hRule="exact"/>
        </w:trPr>
        <w:tc>
          <w:tcPr>
            <w:tcW w:w="2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26" w:right="17"/>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3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66" w:type="dxa"/>
            <w:vMerge/>
            <w:tcBorders>
              <w:left w:val="single" w:sz="4" w:space="0" w:color="000000"/>
              <w:right w:val="single" w:sz="4" w:space="0" w:color="000000"/>
            </w:tcBorders>
          </w:tcPr>
          <w:p>
            <w:pP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86" w:right="384"/>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40" w:right="34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3" w:hRule="exact"/>
        </w:trPr>
        <w:tc>
          <w:tcPr>
            <w:tcW w:w="266" w:type="dxa"/>
            <w:vMerge/>
            <w:tcBorders>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1" w:right="7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5"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45" w:right="41"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05" w:type="dxa"/>
            <w:vMerge/>
            <w:tcBorders>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2" w:right="7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35" w:right="3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16"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40" w:right="6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66"/>
        <w:gridCol w:w="1207"/>
        <w:gridCol w:w="591"/>
        <w:gridCol w:w="941"/>
        <w:gridCol w:w="415"/>
        <w:gridCol w:w="1205"/>
        <w:gridCol w:w="1118"/>
        <w:gridCol w:w="590"/>
        <w:gridCol w:w="941"/>
        <w:gridCol w:w="504"/>
        <w:gridCol w:w="1116"/>
      </w:tblGrid>
      <w:tr>
        <w:trPr>
          <w:trHeight w:val="5732" w:hRule="exact"/>
        </w:trPr>
        <w:tc>
          <w:tcPr>
            <w:tcW w:w="2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17"/>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07"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5730" w:hRule="exact"/>
        </w:trPr>
        <w:tc>
          <w:tcPr>
            <w:tcW w:w="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26" w:right="17"/>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13,746,376.8</w:t>
            </w:r>
          </w:p>
          <w:p>
            <w:pPr>
              <w:pStyle w:val="TableParagraph"/>
              <w:spacing w:line="234" w:lineRule="exact"/>
              <w:ind w:right="25"/>
              <w:jc w:val="right"/>
              <w:rPr>
                <w:rFonts w:ascii="宋体" w:hAnsi="宋体" w:cs="宋体" w:eastAsia="宋体" w:hint="default"/>
                <w:sz w:val="18"/>
                <w:szCs w:val="18"/>
              </w:rPr>
            </w:pPr>
            <w:r>
              <w:rPr>
                <w:rFonts w:ascii="宋体"/>
                <w:sz w:val="18"/>
              </w:rPr>
              <w:t>3</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z w:val="18"/>
              </w:rPr>
              <w:t>100.0</w:t>
            </w:r>
          </w:p>
          <w:p>
            <w:pPr>
              <w:pStyle w:val="TableParagraph"/>
              <w:spacing w:line="234" w:lineRule="exact"/>
              <w:ind w:right="26"/>
              <w:jc w:val="right"/>
              <w:rPr>
                <w:rFonts w:ascii="宋体" w:hAnsi="宋体" w:cs="宋体" w:eastAsia="宋体" w:hint="default"/>
                <w:sz w:val="18"/>
                <w:szCs w:val="18"/>
              </w:rPr>
            </w:pPr>
            <w:r>
              <w:rPr>
                <w:rFonts w:ascii="宋体"/>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pacing w:val="-1"/>
                <w:sz w:val="18"/>
              </w:rPr>
              <w:t>674,078.7</w:t>
            </w:r>
          </w:p>
          <w:p>
            <w:pPr>
              <w:pStyle w:val="TableParagraph"/>
              <w:spacing w:line="234" w:lineRule="exact"/>
              <w:ind w:right="25"/>
              <w:jc w:val="right"/>
              <w:rPr>
                <w:rFonts w:ascii="宋体" w:hAnsi="宋体" w:cs="宋体" w:eastAsia="宋体" w:hint="default"/>
                <w:sz w:val="18"/>
                <w:szCs w:val="18"/>
              </w:rPr>
            </w:pPr>
            <w:r>
              <w:rPr>
                <w:rFonts w:ascii="宋体"/>
                <w:sz w:val="18"/>
              </w:rPr>
              <w:t>6</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4.9</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13,072,298.0</w:t>
            </w:r>
          </w:p>
          <w:p>
            <w:pPr>
              <w:pStyle w:val="TableParagraph"/>
              <w:spacing w:line="234" w:lineRule="exact"/>
              <w:ind w:right="27"/>
              <w:jc w:val="right"/>
              <w:rPr>
                <w:rFonts w:ascii="宋体" w:hAnsi="宋体" w:cs="宋体" w:eastAsia="宋体" w:hint="default"/>
                <w:sz w:val="18"/>
                <w:szCs w:val="18"/>
              </w:rPr>
            </w:pPr>
            <w:r>
              <w:rPr>
                <w:rFonts w:ascii="宋体"/>
                <w:sz w:val="18"/>
              </w:rPr>
              <w:t>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2,101,786.4</w:t>
            </w:r>
          </w:p>
          <w:p>
            <w:pPr>
              <w:pStyle w:val="TableParagraph"/>
              <w:spacing w:line="234" w:lineRule="exact"/>
              <w:ind w:right="25"/>
              <w:jc w:val="right"/>
              <w:rPr>
                <w:rFonts w:ascii="宋体" w:hAnsi="宋体" w:cs="宋体" w:eastAsia="宋体" w:hint="default"/>
                <w:sz w:val="18"/>
                <w:szCs w:val="18"/>
              </w:rPr>
            </w:pPr>
            <w:r>
              <w:rPr>
                <w:rFonts w:ascii="宋体"/>
                <w:sz w:val="18"/>
              </w:rPr>
              <w:t>4</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100.0</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2"/>
              <w:jc w:val="right"/>
              <w:rPr>
                <w:rFonts w:ascii="宋体" w:hAnsi="宋体" w:cs="宋体" w:eastAsia="宋体" w:hint="default"/>
                <w:sz w:val="18"/>
                <w:szCs w:val="18"/>
              </w:rPr>
            </w:pPr>
            <w:r>
              <w:rPr>
                <w:rFonts w:ascii="宋体"/>
                <w:spacing w:val="-1"/>
                <w:sz w:val="18"/>
              </w:rPr>
              <w:t>216,773.3</w:t>
            </w:r>
          </w:p>
          <w:p>
            <w:pPr>
              <w:pStyle w:val="TableParagraph"/>
              <w:spacing w:line="234" w:lineRule="exact"/>
              <w:ind w:right="23"/>
              <w:jc w:val="right"/>
              <w:rPr>
                <w:rFonts w:ascii="宋体" w:hAnsi="宋体" w:cs="宋体" w:eastAsia="宋体" w:hint="default"/>
                <w:sz w:val="18"/>
                <w:szCs w:val="18"/>
              </w:rPr>
            </w:pPr>
            <w:r>
              <w:rPr>
                <w:rFonts w:ascii="宋体"/>
                <w:sz w:val="18"/>
              </w:rPr>
              <w:t>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5"/>
              <w:jc w:val="right"/>
              <w:rPr>
                <w:rFonts w:ascii="宋体" w:hAnsi="宋体" w:cs="宋体" w:eastAsia="宋体" w:hint="default"/>
                <w:sz w:val="18"/>
                <w:szCs w:val="18"/>
              </w:rPr>
            </w:pPr>
            <w:r>
              <w:rPr>
                <w:rFonts w:ascii="宋体"/>
                <w:sz w:val="18"/>
              </w:rPr>
              <w:t>10.3</w:t>
            </w:r>
          </w:p>
          <w:p>
            <w:pPr>
              <w:pStyle w:val="TableParagraph"/>
              <w:spacing w:line="234" w:lineRule="exact"/>
              <w:ind w:right="29"/>
              <w:jc w:val="right"/>
              <w:rPr>
                <w:rFonts w:ascii="宋体" w:hAnsi="宋体" w:cs="宋体" w:eastAsia="宋体" w:hint="default"/>
                <w:sz w:val="18"/>
                <w:szCs w:val="18"/>
              </w:rPr>
            </w:pPr>
            <w:r>
              <w:rPr>
                <w:rFonts w:ascii="宋体"/>
                <w:sz w:val="18"/>
              </w:rPr>
              <w:t>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1,885,013.0</w:t>
            </w:r>
          </w:p>
          <w:p>
            <w:pPr>
              <w:pStyle w:val="TableParagraph"/>
              <w:spacing w:line="234" w:lineRule="exact"/>
              <w:ind w:right="25"/>
              <w:jc w:val="right"/>
              <w:rPr>
                <w:rFonts w:ascii="宋体" w:hAnsi="宋体" w:cs="宋体" w:eastAsia="宋体" w:hint="default"/>
                <w:sz w:val="18"/>
                <w:szCs w:val="18"/>
              </w:rPr>
            </w:pPr>
            <w:r>
              <w:rPr>
                <w:rFonts w:ascii="宋体"/>
                <w:sz w:val="18"/>
              </w:rPr>
              <w:t>6</w:t>
            </w:r>
          </w:p>
        </w:tc>
      </w:tr>
    </w:tbl>
    <w:p>
      <w:pPr>
        <w:spacing w:after="0" w:line="234" w:lineRule="exact"/>
        <w:jc w:val="right"/>
        <w:rPr>
          <w:rFonts w:ascii="宋体" w:hAnsi="宋体" w:cs="宋体" w:eastAsia="宋体" w:hint="default"/>
          <w:sz w:val="18"/>
          <w:szCs w:val="18"/>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66"/>
        <w:gridCol w:w="1207"/>
        <w:gridCol w:w="591"/>
        <w:gridCol w:w="941"/>
        <w:gridCol w:w="415"/>
        <w:gridCol w:w="1205"/>
        <w:gridCol w:w="1118"/>
        <w:gridCol w:w="590"/>
        <w:gridCol w:w="941"/>
        <w:gridCol w:w="504"/>
        <w:gridCol w:w="1116"/>
      </w:tblGrid>
      <w:tr>
        <w:trPr>
          <w:trHeight w:val="6003" w:hRule="exact"/>
        </w:trPr>
        <w:tc>
          <w:tcPr>
            <w:tcW w:w="2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17"/>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07"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13,746,376.8</w:t>
            </w:r>
          </w:p>
          <w:p>
            <w:pPr>
              <w:pStyle w:val="TableParagraph"/>
              <w:spacing w:line="240" w:lineRule="auto"/>
              <w:ind w:right="25"/>
              <w:jc w:val="right"/>
              <w:rPr>
                <w:rFonts w:ascii="宋体" w:hAnsi="宋体" w:cs="宋体" w:eastAsia="宋体" w:hint="default"/>
                <w:sz w:val="18"/>
                <w:szCs w:val="18"/>
              </w:rPr>
            </w:pPr>
            <w:r>
              <w:rPr>
                <w:rFonts w:ascii="宋体"/>
                <w:sz w:val="18"/>
              </w:rPr>
              <w:t>3</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674,078.7</w:t>
            </w:r>
          </w:p>
          <w:p>
            <w:pPr>
              <w:pStyle w:val="TableParagraph"/>
              <w:spacing w:line="240" w:lineRule="auto"/>
              <w:ind w:right="25"/>
              <w:jc w:val="right"/>
              <w:rPr>
                <w:rFonts w:ascii="宋体" w:hAnsi="宋体" w:cs="宋体" w:eastAsia="宋体" w:hint="default"/>
                <w:sz w:val="18"/>
                <w:szCs w:val="18"/>
              </w:rPr>
            </w:pPr>
            <w:r>
              <w:rPr>
                <w:rFonts w:ascii="宋体"/>
                <w:sz w:val="18"/>
              </w:rPr>
              <w:t>6</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13,072,298.0</w:t>
            </w:r>
          </w:p>
          <w:p>
            <w:pPr>
              <w:pStyle w:val="TableParagraph"/>
              <w:spacing w:line="240" w:lineRule="auto"/>
              <w:ind w:right="27"/>
              <w:jc w:val="right"/>
              <w:rPr>
                <w:rFonts w:ascii="宋体" w:hAnsi="宋体" w:cs="宋体" w:eastAsia="宋体" w:hint="default"/>
                <w:sz w:val="18"/>
                <w:szCs w:val="18"/>
              </w:rPr>
            </w:pPr>
            <w:r>
              <w:rPr>
                <w:rFonts w:ascii="宋体"/>
                <w:sz w:val="18"/>
              </w:rPr>
              <w:t>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2,101,786.4</w:t>
            </w:r>
          </w:p>
          <w:p>
            <w:pPr>
              <w:pStyle w:val="TableParagraph"/>
              <w:spacing w:line="240" w:lineRule="auto"/>
              <w:ind w:right="25"/>
              <w:jc w:val="right"/>
              <w:rPr>
                <w:rFonts w:ascii="宋体" w:hAnsi="宋体" w:cs="宋体" w:eastAsia="宋体" w:hint="default"/>
                <w:sz w:val="18"/>
                <w:szCs w:val="18"/>
              </w:rPr>
            </w:pPr>
            <w:r>
              <w:rPr>
                <w:rFonts w:ascii="宋体"/>
                <w:sz w:val="18"/>
              </w:rPr>
              <w:t>4</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216,773.3</w:t>
            </w:r>
          </w:p>
          <w:p>
            <w:pPr>
              <w:pStyle w:val="TableParagraph"/>
              <w:spacing w:line="240" w:lineRule="auto"/>
              <w:ind w:right="23"/>
              <w:jc w:val="right"/>
              <w:rPr>
                <w:rFonts w:ascii="宋体" w:hAnsi="宋体" w:cs="宋体" w:eastAsia="宋体" w:hint="default"/>
                <w:sz w:val="18"/>
                <w:szCs w:val="18"/>
              </w:rPr>
            </w:pPr>
            <w:r>
              <w:rPr>
                <w:rFonts w:ascii="宋体"/>
                <w:sz w:val="18"/>
              </w:rPr>
              <w:t>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1,885,013.0</w:t>
            </w:r>
          </w:p>
          <w:p>
            <w:pPr>
              <w:pStyle w:val="TableParagraph"/>
              <w:spacing w:line="240" w:lineRule="auto"/>
              <w:ind w:right="25"/>
              <w:jc w:val="right"/>
              <w:rPr>
                <w:rFonts w:ascii="宋体" w:hAnsi="宋体" w:cs="宋体" w:eastAsia="宋体" w:hint="default"/>
                <w:sz w:val="18"/>
                <w:szCs w:val="18"/>
              </w:rPr>
            </w:pPr>
            <w:r>
              <w:rPr>
                <w:rFonts w:ascii="宋体"/>
                <w:sz w:val="18"/>
              </w:rPr>
              <w:t>6</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82" w:footer="1195" w:top="1120" w:bottom="1380" w:left="1660" w:right="1120"/>
        </w:sectPr>
      </w:pPr>
    </w:p>
    <w:p>
      <w:pPr>
        <w:pStyle w:val="BodyText"/>
        <w:spacing w:line="274" w:lineRule="exact" w:before="36"/>
        <w:ind w:right="0"/>
        <w:jc w:val="left"/>
      </w:pPr>
      <w:r>
        <w:rPr>
          <w:spacing w:val="-2"/>
        </w:rPr>
        <w:t>组合中，按账龄分析法计提坏账准备的其他应收款：</w:t>
      </w:r>
    </w:p>
    <w:p>
      <w:pPr>
        <w:pStyle w:val="BodyText"/>
        <w:spacing w:line="274" w:lineRule="exact"/>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973" w:space="1549"/>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74"/>
        <w:gridCol w:w="2203"/>
        <w:gridCol w:w="2131"/>
        <w:gridCol w:w="2187"/>
      </w:tblGrid>
      <w:tr>
        <w:trPr>
          <w:trHeight w:val="281"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12,605,111.34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378,114.58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241,011.30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12,050.57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225,717.62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33,857.64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15.00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598,561.57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179,568.47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10,975.00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5,487.50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65,000.00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65,000.00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100.00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13,746,376.83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674,078.76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4.90</w:t>
            </w:r>
          </w:p>
        </w:tc>
      </w:tr>
    </w:tbl>
    <w:p>
      <w:pPr>
        <w:spacing w:after="0" w:line="205" w:lineRule="exact"/>
        <w:jc w:val="right"/>
        <w:rPr>
          <w:rFonts w:ascii="宋体" w:hAnsi="宋体" w:cs="宋体" w:eastAsia="宋体" w:hint="default"/>
          <w:sz w:val="18"/>
          <w:szCs w:val="18"/>
        </w:rPr>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4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资产转让款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500,000.00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500,000.00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投标保证金、押金及备用金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1,782,229.40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498,718.77</w:t>
            </w:r>
          </w:p>
        </w:tc>
      </w:tr>
      <w:tr>
        <w:trPr>
          <w:trHeight w:val="24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往来款项及其他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11,464,147.43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1,103,067.67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13,746,376.83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2,101,786.44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before="36"/>
        <w:ind w:right="-16"/>
        <w:jc w:val="left"/>
        <w:rPr>
          <w:b w:val="0"/>
          <w:bCs w:val="0"/>
        </w:rPr>
      </w:pPr>
      <w:r>
        <w:rPr>
          <w:rFonts w:ascii="宋体" w:hAnsi="宋体" w:cs="宋体" w:eastAsia="宋体" w:hint="default"/>
        </w:rPr>
        <w:t>(3).</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7"/>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05"/>
        <w:gridCol w:w="1323"/>
        <w:gridCol w:w="1394"/>
        <w:gridCol w:w="1296"/>
        <w:gridCol w:w="1733"/>
        <w:gridCol w:w="1644"/>
      </w:tblGrid>
      <w:tr>
        <w:trPr>
          <w:trHeight w:val="833"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8"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63"/>
              <w:jc w:val="right"/>
              <w:rPr>
                <w:rFonts w:ascii="宋体" w:hAnsi="宋体" w:cs="宋体" w:eastAsia="宋体" w:hint="default"/>
                <w:sz w:val="21"/>
                <w:szCs w:val="21"/>
              </w:rPr>
            </w:pPr>
            <w:r>
              <w:rPr>
                <w:rFonts w:ascii="宋体" w:hAnsi="宋体" w:cs="宋体" w:eastAsia="宋体" w:hint="default"/>
                <w:sz w:val="21"/>
                <w:szCs w:val="21"/>
              </w:rPr>
              <w:t>账龄</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89" w:right="120"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93" w:right="39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8" w:hRule="exact"/>
        </w:trPr>
        <w:tc>
          <w:tcPr>
            <w:tcW w:w="1505"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沈阳华凌房地</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产有限公司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sz w:val="21"/>
              </w:rPr>
              <w:t>5,742,005.61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41.77</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172,260.17</w:t>
            </w:r>
          </w:p>
        </w:tc>
      </w:tr>
      <w:tr>
        <w:trPr>
          <w:trHeight w:val="559"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上海盈郡企业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sz w:val="21"/>
              </w:rPr>
              <w:t>2,500,000.00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18.19</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75,000.00</w:t>
            </w:r>
          </w:p>
        </w:tc>
      </w:tr>
      <w:tr>
        <w:trPr>
          <w:trHeight w:val="559"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湖南中锴置业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sz w:val="21"/>
              </w:rPr>
              <w:t>1,008,797.62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7.34</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30,263.93</w:t>
            </w:r>
          </w:p>
        </w:tc>
      </w:tr>
      <w:tr>
        <w:trPr>
          <w:trHeight w:val="833"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湖南省标志房</w:t>
            </w:r>
          </w:p>
          <w:p>
            <w:pPr>
              <w:pStyle w:val="TableParagraph"/>
              <w:spacing w:line="272" w:lineRule="exact" w:before="27"/>
              <w:ind w:left="24" w:right="201"/>
              <w:jc w:val="left"/>
              <w:rPr>
                <w:rFonts w:ascii="宋体" w:hAnsi="宋体" w:cs="宋体" w:eastAsia="宋体" w:hint="default"/>
                <w:sz w:val="21"/>
                <w:szCs w:val="21"/>
              </w:rPr>
            </w:pPr>
            <w:r>
              <w:rPr>
                <w:rFonts w:ascii="宋体" w:hAnsi="宋体" w:cs="宋体" w:eastAsia="宋体" w:hint="default"/>
                <w:sz w:val="21"/>
                <w:szCs w:val="21"/>
              </w:rPr>
              <w:t>地产开发有限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sz w:val="21"/>
              </w:rPr>
              <w:t>1,000,000.00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7.27</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w:t>
            </w:r>
          </w:p>
        </w:tc>
      </w:tr>
      <w:tr>
        <w:trPr>
          <w:trHeight w:val="833"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上海二工大工</w:t>
            </w:r>
          </w:p>
          <w:p>
            <w:pPr>
              <w:pStyle w:val="TableParagraph"/>
              <w:spacing w:line="272" w:lineRule="exact" w:before="27"/>
              <w:ind w:left="24" w:right="201"/>
              <w:jc w:val="left"/>
              <w:rPr>
                <w:rFonts w:ascii="宋体" w:hAnsi="宋体" w:cs="宋体" w:eastAsia="宋体" w:hint="default"/>
                <w:sz w:val="21"/>
                <w:szCs w:val="21"/>
              </w:rPr>
            </w:pPr>
            <w:r>
              <w:rPr>
                <w:rFonts w:ascii="宋体" w:hAnsi="宋体" w:cs="宋体" w:eastAsia="宋体" w:hint="default"/>
                <w:sz w:val="21"/>
                <w:szCs w:val="21"/>
              </w:rPr>
              <w:t>业设计发展有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4" w:right="0"/>
              <w:jc w:val="center"/>
              <w:rPr>
                <w:rFonts w:ascii="宋体" w:hAnsi="宋体" w:cs="宋体" w:eastAsia="宋体" w:hint="default"/>
                <w:sz w:val="21"/>
                <w:szCs w:val="21"/>
              </w:rPr>
            </w:pPr>
            <w:r>
              <w:rPr>
                <w:rFonts w:ascii="宋体"/>
                <w:sz w:val="21"/>
              </w:rPr>
              <w:t>576,656.00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4.19</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17,299.68</w:t>
            </w:r>
          </w:p>
        </w:tc>
      </w:tr>
      <w:tr>
        <w:trPr>
          <w:trHeight w:val="288"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10,827,459.23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9"/>
              <w:jc w:val="center"/>
              <w:rPr>
                <w:rFonts w:ascii="宋体" w:hAnsi="宋体" w:cs="宋体" w:eastAsia="宋体" w:hint="default"/>
                <w:sz w:val="21"/>
                <w:szCs w:val="21"/>
              </w:rPr>
            </w:pPr>
            <w:r>
              <w:rPr>
                <w:rFonts w:ascii="宋体"/>
                <w:w w:val="100"/>
                <w:sz w:val="21"/>
              </w:rPr>
              <w:t>/</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78.76</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324,823.78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before="36"/>
        <w:ind w:right="-19"/>
        <w:jc w:val="left"/>
        <w:rPr>
          <w:b w:val="0"/>
          <w:bCs w:val="0"/>
        </w:rPr>
      </w:pPr>
      <w:r>
        <w:rPr>
          <w:rFonts w:ascii="宋体" w:hAnsi="宋体" w:cs="宋体" w:eastAsia="宋体" w:hint="default"/>
        </w:rPr>
        <w:t>5</w:t>
      </w:r>
      <w:r>
        <w:rPr/>
        <w:t>、</w:t>
      </w:r>
      <w:r>
        <w:rPr>
          <w:spacing w:val="-3"/>
        </w:rPr>
        <w:t> </w:t>
      </w:r>
      <w:r>
        <w:rPr/>
        <w:t>存货</w:t>
      </w:r>
      <w:r>
        <w:rPr>
          <w:b w:val="0"/>
          <w:bCs w:val="0"/>
        </w:rPr>
      </w:r>
    </w:p>
    <w:p>
      <w:pPr>
        <w:pStyle w:val="Heading3"/>
        <w:tabs>
          <w:tab w:pos="849" w:val="left" w:leader="none"/>
        </w:tabs>
        <w:spacing w:line="240" w:lineRule="auto" w:before="56"/>
        <w:ind w:right="-19"/>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695" w:space="4827"/>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02"/>
        <w:gridCol w:w="1193"/>
        <w:gridCol w:w="1248"/>
        <w:gridCol w:w="1251"/>
        <w:gridCol w:w="1229"/>
        <w:gridCol w:w="1239"/>
        <w:gridCol w:w="1234"/>
      </w:tblGrid>
      <w:tr>
        <w:trPr>
          <w:trHeight w:val="289" w:hRule="exact"/>
        </w:trPr>
        <w:tc>
          <w:tcPr>
            <w:tcW w:w="1502" w:type="dxa"/>
            <w:vMerge w:val="restart"/>
            <w:tcBorders>
              <w:top w:val="single" w:sz="6" w:space="0" w:color="000000"/>
              <w:left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502" w:type="dxa"/>
            <w:vMerge/>
            <w:tcBorders>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93"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93"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212,773.76</w:t>
            </w: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212,773.76</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182,972.11</w:t>
            </w: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182,972.11</w:t>
            </w: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93"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消耗性生物资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193"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w:t>
            </w:r>
          </w:p>
          <w:p>
            <w:pPr>
              <w:pStyle w:val="TableParagraph"/>
              <w:spacing w:line="272" w:lineRule="exact" w:before="27"/>
              <w:ind w:left="24" w:right="199"/>
              <w:jc w:val="left"/>
              <w:rPr>
                <w:rFonts w:ascii="宋体" w:hAnsi="宋体" w:cs="宋体" w:eastAsia="宋体" w:hint="default"/>
                <w:sz w:val="21"/>
                <w:szCs w:val="21"/>
              </w:rPr>
            </w:pPr>
            <w:r>
              <w:rPr>
                <w:rFonts w:ascii="宋体" w:hAnsi="宋体" w:cs="宋体" w:eastAsia="宋体" w:hint="default"/>
                <w:sz w:val="21"/>
                <w:szCs w:val="21"/>
              </w:rPr>
              <w:t>的已完工未结</w:t>
            </w:r>
            <w:r>
              <w:rPr>
                <w:rFonts w:ascii="宋体" w:hAnsi="宋体" w:cs="宋体" w:eastAsia="宋体" w:hint="default"/>
                <w:w w:val="100"/>
                <w:sz w:val="21"/>
                <w:szCs w:val="21"/>
              </w:rPr>
              <w:t> </w:t>
            </w:r>
            <w:r>
              <w:rPr>
                <w:rFonts w:ascii="宋体" w:hAnsi="宋体" w:cs="宋体" w:eastAsia="宋体" w:hint="default"/>
                <w:sz w:val="21"/>
                <w:szCs w:val="21"/>
              </w:rPr>
              <w:t>算资产</w:t>
            </w:r>
          </w:p>
        </w:tc>
        <w:tc>
          <w:tcPr>
            <w:tcW w:w="1193"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502"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212,773.76</w:t>
            </w: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212,773.76</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182,972.11</w:t>
            </w: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182,972.11</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5"/>
        <w:ind w:right="2465"/>
        <w:jc w:val="left"/>
        <w:rPr>
          <w:b w:val="0"/>
          <w:bCs w:val="0"/>
        </w:rPr>
      </w:pPr>
      <w:r>
        <w:rPr>
          <w:rFonts w:ascii="宋体" w:hAnsi="宋体" w:cs="宋体" w:eastAsia="宋体" w:hint="default"/>
        </w:rPr>
        <w:t>6</w:t>
      </w:r>
      <w:r>
        <w:rPr/>
        <w:t>、</w:t>
      </w:r>
      <w:r>
        <w:rPr>
          <w:spacing w:val="-1"/>
        </w:rPr>
        <w:t> </w:t>
      </w:r>
      <w:r>
        <w:rPr/>
        <w:t>其他流动资产</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center"/>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智慧城市共建款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预交企业所得税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727,868.97</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50,727,868.97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15,000,000.00</w:t>
            </w:r>
          </w:p>
        </w:tc>
      </w:tr>
    </w:tbl>
    <w:p>
      <w:pPr>
        <w:spacing w:line="240" w:lineRule="auto" w:before="7"/>
        <w:rPr>
          <w:rFonts w:ascii="宋体" w:hAnsi="宋体" w:cs="宋体" w:eastAsia="宋体" w:hint="default"/>
          <w:sz w:val="15"/>
          <w:szCs w:val="15"/>
        </w:rPr>
      </w:pPr>
    </w:p>
    <w:p>
      <w:pPr>
        <w:pStyle w:val="Heading3"/>
        <w:spacing w:line="355" w:lineRule="auto" w:before="36"/>
        <w:ind w:right="216"/>
        <w:jc w:val="left"/>
        <w:rPr>
          <w:b w:val="0"/>
          <w:bCs w:val="0"/>
        </w:rPr>
      </w:pPr>
      <w:r>
        <w:rPr>
          <w:rFonts w:ascii="宋体" w:hAnsi="宋体" w:cs="宋体" w:eastAsia="宋体" w:hint="default"/>
        </w:rPr>
        <w:t>1</w:t>
      </w:r>
      <w:r>
        <w:rPr/>
        <w:t>、其他流动资产是购买的期限</w:t>
      </w:r>
      <w:r>
        <w:rPr>
          <w:spacing w:val="-60"/>
        </w:rPr>
        <w:t> </w:t>
      </w:r>
      <w:r>
        <w:rPr>
          <w:rFonts w:ascii="宋体" w:hAnsi="宋体" w:cs="宋体" w:eastAsia="宋体" w:hint="default"/>
        </w:rPr>
        <w:t>35</w:t>
      </w:r>
      <w:r>
        <w:rPr>
          <w:rFonts w:ascii="宋体" w:hAnsi="宋体" w:cs="宋体" w:eastAsia="宋体" w:hint="default"/>
          <w:spacing w:val="-61"/>
        </w:rPr>
        <w:t> </w:t>
      </w:r>
      <w:r>
        <w:rPr/>
        <w:t>天的银行保本理财产品</w:t>
      </w:r>
      <w:r>
        <w:rPr>
          <w:spacing w:val="-60"/>
        </w:rPr>
        <w:t> </w:t>
      </w:r>
      <w:r>
        <w:rPr>
          <w:rFonts w:ascii="宋体" w:hAnsi="宋体" w:cs="宋体" w:eastAsia="宋体" w:hint="default"/>
        </w:rPr>
        <w:t>15,000,000.00</w:t>
      </w:r>
      <w:r>
        <w:rPr>
          <w:rFonts w:ascii="宋体" w:hAnsi="宋体" w:cs="宋体" w:eastAsia="宋体" w:hint="default"/>
          <w:spacing w:val="-61"/>
        </w:rPr>
        <w:t> </w:t>
      </w:r>
      <w:r>
        <w:rPr/>
        <w:t>元，本公司将其作为现</w:t>
      </w:r>
      <w:r>
        <w:rPr>
          <w:w w:val="100"/>
        </w:rPr>
        <w:t> </w:t>
      </w:r>
      <w:r>
        <w:rPr/>
        <w:t>金等价物。</w:t>
      </w:r>
      <w:r>
        <w:rPr>
          <w:b w:val="0"/>
          <w:bCs w:val="0"/>
        </w:rPr>
      </w:r>
    </w:p>
    <w:p>
      <w:pPr>
        <w:pStyle w:val="Heading3"/>
        <w:spacing w:line="274" w:lineRule="exact" w:before="33"/>
        <w:ind w:right="96"/>
        <w:jc w:val="left"/>
        <w:rPr>
          <w:b w:val="0"/>
          <w:bCs w:val="0"/>
        </w:rPr>
      </w:pPr>
      <w:r>
        <w:rPr>
          <w:rFonts w:ascii="宋体" w:hAnsi="宋体" w:cs="宋体" w:eastAsia="宋体" w:hint="default"/>
        </w:rPr>
        <w:t>2</w:t>
      </w:r>
      <w:r>
        <w:rPr/>
        <w:t>、其他流动资产期末余额智慧城市共建款</w:t>
      </w:r>
      <w:r>
        <w:rPr>
          <w:spacing w:val="-54"/>
        </w:rPr>
        <w:t> </w:t>
      </w:r>
      <w:r>
        <w:rPr>
          <w:rFonts w:ascii="宋体" w:hAnsi="宋体" w:cs="宋体" w:eastAsia="宋体" w:hint="default"/>
        </w:rPr>
        <w:t>50,000,000.00</w:t>
      </w:r>
      <w:r>
        <w:rPr>
          <w:rFonts w:ascii="宋体" w:hAnsi="宋体" w:cs="宋体" w:eastAsia="宋体" w:hint="default"/>
          <w:spacing w:val="-53"/>
        </w:rPr>
        <w:t> </w:t>
      </w:r>
      <w:r>
        <w:rPr/>
        <w:t>元是本期新增智慧城市业务形成相关</w:t>
      </w:r>
      <w:r>
        <w:rPr>
          <w:b w:val="0"/>
          <w:bCs w:val="0"/>
        </w:rPr>
      </w:r>
    </w:p>
    <w:p>
      <w:pPr>
        <w:pStyle w:val="Heading3"/>
        <w:spacing w:line="280" w:lineRule="exact"/>
        <w:ind w:right="96"/>
        <w:jc w:val="left"/>
        <w:rPr>
          <w:b w:val="0"/>
          <w:bCs w:val="0"/>
        </w:rPr>
      </w:pPr>
      <w:r>
        <w:rPr/>
        <w:t>款项。智慧城市共建款</w:t>
      </w:r>
      <w:r>
        <w:rPr>
          <w:spacing w:val="-5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万元用于</w:t>
      </w:r>
      <w:r>
        <w:rPr>
          <w:rFonts w:ascii="Times New Roman" w:hAnsi="Times New Roman" w:cs="Times New Roman" w:eastAsia="Times New Roman" w:hint="default"/>
        </w:rPr>
        <w:t>“</w:t>
      </w:r>
      <w:r>
        <w:rPr/>
        <w:t>西安市机关干部住宅智慧社区</w:t>
      </w:r>
      <w:r>
        <w:rPr>
          <w:rFonts w:ascii="Times New Roman" w:hAnsi="Times New Roman" w:cs="Times New Roman" w:eastAsia="Times New Roman" w:hint="default"/>
        </w:rPr>
        <w:t>”</w:t>
      </w:r>
      <w:r>
        <w:rPr/>
        <w:t>项目建设，主要是协助中</w:t>
      </w:r>
      <w:r>
        <w:rPr>
          <w:b w:val="0"/>
          <w:bCs w:val="0"/>
        </w:rPr>
      </w:r>
    </w:p>
    <w:p>
      <w:pPr>
        <w:pStyle w:val="Heading3"/>
        <w:spacing w:line="274" w:lineRule="exact" w:before="16"/>
        <w:ind w:right="219"/>
        <w:jc w:val="left"/>
        <w:rPr>
          <w:b w:val="0"/>
          <w:bCs w:val="0"/>
        </w:rPr>
      </w:pPr>
      <w:r>
        <w:rPr/>
        <w:t>科建</w:t>
      </w:r>
      <w:r>
        <w:rPr>
          <w:rFonts w:ascii="Times New Roman" w:hAnsi="Times New Roman" w:cs="Times New Roman" w:eastAsia="Times New Roman" w:hint="default"/>
        </w:rPr>
        <w:t>”</w:t>
      </w:r>
      <w:r>
        <w:rPr/>
        <w:t>住宅智慧社区</w:t>
      </w:r>
      <w:r>
        <w:rPr>
          <w:rFonts w:ascii="Times New Roman" w:hAnsi="Times New Roman" w:cs="Times New Roman" w:eastAsia="Times New Roman" w:hint="default"/>
        </w:rPr>
        <w:t>”</w:t>
      </w:r>
      <w:r>
        <w:rPr/>
        <w:t>项目建设，按照合同约定该笔建设资金贵州中科建应于</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月全额返</w:t>
      </w:r>
      <w:r>
        <w:rPr>
          <w:w w:val="100"/>
        </w:rPr>
        <w:t> </w:t>
      </w:r>
      <w:r>
        <w:rPr/>
        <w:t>还，并支付合同约定的资金占用费。因此核算在流动资产。</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70"/>
          <w:pgSz w:w="11910" w:h="16840"/>
          <w:pgMar w:footer="1195" w:header="882" w:top="1120" w:bottom="1380" w:left="1580" w:right="1040"/>
        </w:sectPr>
      </w:pPr>
    </w:p>
    <w:p>
      <w:pPr>
        <w:pStyle w:val="Heading3"/>
        <w:spacing w:line="240" w:lineRule="auto" w:before="36"/>
        <w:ind w:right="-19"/>
        <w:jc w:val="left"/>
        <w:rPr>
          <w:b w:val="0"/>
          <w:bCs w:val="0"/>
        </w:rPr>
      </w:pPr>
      <w:r>
        <w:rPr>
          <w:rFonts w:ascii="宋体" w:hAnsi="宋体" w:cs="宋体" w:eastAsia="宋体" w:hint="default"/>
        </w:rPr>
        <w:t>7</w:t>
      </w:r>
      <w:r>
        <w:rPr/>
        <w:t>、</w:t>
      </w:r>
      <w:r>
        <w:rPr>
          <w:b w:val="0"/>
          <w:bCs w:val="0"/>
        </w:rPr>
      </w:r>
    </w:p>
    <w:p>
      <w:pPr>
        <w:pStyle w:val="Heading3"/>
        <w:spacing w:line="240" w:lineRule="auto" w:before="56"/>
        <w:ind w:right="-19"/>
        <w:jc w:val="left"/>
        <w:rPr>
          <w:b w:val="0"/>
          <w:bCs w:val="0"/>
        </w:rPr>
      </w:pPr>
      <w:r>
        <w:rPr>
          <w:rFonts w:ascii="宋体" w:hAnsi="宋体" w:cs="宋体" w:eastAsia="宋体" w:hint="default"/>
        </w:rPr>
        <w:t>8</w:t>
      </w:r>
      <w:r>
        <w:rPr/>
        <w:t>、</w:t>
      </w:r>
      <w:r>
        <w:rPr>
          <w:spacing w:val="-2"/>
        </w:rPr>
        <w:t> </w:t>
      </w:r>
      <w:r>
        <w:rPr/>
        <w:t>固定资产</w:t>
      </w:r>
      <w:r>
        <w:rPr>
          <w:b w:val="0"/>
          <w:bCs w:val="0"/>
        </w:rPr>
      </w:r>
    </w:p>
    <w:p>
      <w:pPr>
        <w:pStyle w:val="Heading3"/>
        <w:spacing w:line="240" w:lineRule="auto" w:before="59"/>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1711"/>
        <w:gridCol w:w="1709"/>
        <w:gridCol w:w="1709"/>
        <w:gridCol w:w="1454"/>
      </w:tblGrid>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213,205.00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502,782.00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2"/>
              <w:jc w:val="right"/>
              <w:rPr>
                <w:rFonts w:ascii="宋体" w:hAnsi="宋体" w:cs="宋体" w:eastAsia="宋体" w:hint="default"/>
                <w:sz w:val="18"/>
                <w:szCs w:val="18"/>
              </w:rPr>
            </w:pPr>
            <w:r>
              <w:rPr>
                <w:rFonts w:ascii="宋体"/>
                <w:spacing w:val="-1"/>
                <w:sz w:val="18"/>
              </w:rPr>
              <w:t>433,979.50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1,149,966.50</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80,000.00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106,487.70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2"/>
              <w:jc w:val="right"/>
              <w:rPr>
                <w:rFonts w:ascii="宋体" w:hAnsi="宋体" w:cs="宋体" w:eastAsia="宋体" w:hint="default"/>
                <w:sz w:val="18"/>
                <w:szCs w:val="18"/>
              </w:rPr>
            </w:pPr>
            <w:r>
              <w:rPr>
                <w:rFonts w:ascii="宋体"/>
                <w:spacing w:val="-1"/>
                <w:sz w:val="18"/>
              </w:rPr>
              <w:t>4,100.00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190,587.70</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80,000.00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106,487.70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4,100.00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190,587.70</w:t>
            </w:r>
          </w:p>
        </w:tc>
      </w:tr>
      <w:tr>
        <w:trPr>
          <w:trHeight w:val="559"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4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95,040.00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27,001.00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24,900.00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146,941.00</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3"/>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95,040.00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27,001.00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2"/>
              <w:jc w:val="right"/>
              <w:rPr>
                <w:rFonts w:ascii="宋体" w:hAnsi="宋体" w:cs="宋体" w:eastAsia="宋体" w:hint="default"/>
                <w:sz w:val="18"/>
                <w:szCs w:val="18"/>
              </w:rPr>
            </w:pPr>
            <w:r>
              <w:rPr>
                <w:rFonts w:ascii="宋体"/>
                <w:spacing w:val="-1"/>
                <w:sz w:val="18"/>
              </w:rPr>
              <w:t>24,900.00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146,941.00</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198,165.00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582,268.70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413,179.50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1,193,613.20</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175,947.80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285,211.82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2"/>
              <w:jc w:val="right"/>
              <w:rPr>
                <w:rFonts w:ascii="宋体" w:hAnsi="宋体" w:cs="宋体" w:eastAsia="宋体" w:hint="default"/>
                <w:sz w:val="18"/>
                <w:szCs w:val="18"/>
              </w:rPr>
            </w:pPr>
            <w:r>
              <w:rPr>
                <w:rFonts w:ascii="宋体"/>
                <w:spacing w:val="-1"/>
                <w:sz w:val="18"/>
              </w:rPr>
              <w:t>236,851.91</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698,011.53</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63,309.03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63,514.54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2"/>
              <w:jc w:val="right"/>
              <w:rPr>
                <w:rFonts w:ascii="宋体" w:hAnsi="宋体" w:cs="宋体" w:eastAsia="宋体" w:hint="default"/>
                <w:sz w:val="18"/>
                <w:szCs w:val="18"/>
              </w:rPr>
            </w:pPr>
            <w:r>
              <w:rPr>
                <w:rFonts w:ascii="宋体"/>
                <w:spacing w:val="-1"/>
                <w:sz w:val="18"/>
              </w:rPr>
              <w:t>37,903.10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164,726.67</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63,309.03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63,514.54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37,903.10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164,726.67</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64,432.80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10,131.43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2"/>
              <w:jc w:val="right"/>
              <w:rPr>
                <w:rFonts w:ascii="宋体" w:hAnsi="宋体" w:cs="宋体" w:eastAsia="宋体" w:hint="default"/>
                <w:sz w:val="18"/>
                <w:szCs w:val="18"/>
              </w:rPr>
            </w:pPr>
            <w:r>
              <w:rPr>
                <w:rFonts w:ascii="宋体"/>
                <w:spacing w:val="-1"/>
                <w:sz w:val="18"/>
              </w:rPr>
              <w:t>18,396.50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92,960.73</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3"/>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64,432.80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10,131.43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2"/>
              <w:jc w:val="right"/>
              <w:rPr>
                <w:rFonts w:ascii="宋体" w:hAnsi="宋体" w:cs="宋体" w:eastAsia="宋体" w:hint="default"/>
                <w:sz w:val="18"/>
                <w:szCs w:val="18"/>
              </w:rPr>
            </w:pPr>
            <w:r>
              <w:rPr>
                <w:rFonts w:ascii="宋体"/>
                <w:spacing w:val="-1"/>
                <w:sz w:val="18"/>
              </w:rPr>
              <w:t>18,396.50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92,960.73</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174,824.03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338,594.93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2"/>
              <w:jc w:val="right"/>
              <w:rPr>
                <w:rFonts w:ascii="宋体" w:hAnsi="宋体" w:cs="宋体" w:eastAsia="宋体" w:hint="default"/>
                <w:sz w:val="18"/>
                <w:szCs w:val="18"/>
              </w:rPr>
            </w:pPr>
            <w:r>
              <w:rPr>
                <w:rFonts w:ascii="宋体"/>
                <w:spacing w:val="-1"/>
                <w:sz w:val="18"/>
              </w:rPr>
              <w:t>256,358.51</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769,777.47</w:t>
            </w:r>
          </w:p>
        </w:tc>
      </w:tr>
    </w:tbl>
    <w:p>
      <w:pPr>
        <w:spacing w:after="0" w:line="22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312"/>
        <w:gridCol w:w="1711"/>
        <w:gridCol w:w="1709"/>
        <w:gridCol w:w="1709"/>
        <w:gridCol w:w="1454"/>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23,340.97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243,673.77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2"/>
              <w:jc w:val="right"/>
              <w:rPr>
                <w:rFonts w:ascii="宋体" w:hAnsi="宋体" w:cs="宋体" w:eastAsia="宋体" w:hint="default"/>
                <w:sz w:val="18"/>
                <w:szCs w:val="18"/>
              </w:rPr>
            </w:pPr>
            <w:r>
              <w:rPr>
                <w:rFonts w:ascii="宋体"/>
                <w:spacing w:val="-1"/>
                <w:sz w:val="18"/>
              </w:rPr>
              <w:t>156,820.99</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423,835.73</w:t>
            </w:r>
          </w:p>
        </w:tc>
      </w:tr>
      <w:tr>
        <w:trPr>
          <w:trHeight w:val="289"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21"/>
              <w:jc w:val="right"/>
              <w:rPr>
                <w:rFonts w:ascii="宋体" w:hAnsi="宋体" w:cs="宋体" w:eastAsia="宋体" w:hint="default"/>
                <w:sz w:val="18"/>
                <w:szCs w:val="18"/>
              </w:rPr>
            </w:pPr>
            <w:r>
              <w:rPr>
                <w:rFonts w:ascii="宋体"/>
                <w:spacing w:val="-1"/>
                <w:sz w:val="18"/>
              </w:rPr>
              <w:t>37,257.20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21"/>
              <w:jc w:val="right"/>
              <w:rPr>
                <w:rFonts w:ascii="宋体" w:hAnsi="宋体" w:cs="宋体" w:eastAsia="宋体" w:hint="default"/>
                <w:sz w:val="18"/>
                <w:szCs w:val="18"/>
              </w:rPr>
            </w:pPr>
            <w:r>
              <w:rPr>
                <w:rFonts w:ascii="宋体"/>
                <w:spacing w:val="-1"/>
                <w:sz w:val="18"/>
              </w:rPr>
              <w:t>217,570.18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22"/>
              <w:jc w:val="right"/>
              <w:rPr>
                <w:rFonts w:ascii="宋体" w:hAnsi="宋体" w:cs="宋体" w:eastAsia="宋体" w:hint="default"/>
                <w:sz w:val="18"/>
                <w:szCs w:val="18"/>
              </w:rPr>
            </w:pPr>
            <w:r>
              <w:rPr>
                <w:rFonts w:ascii="宋体"/>
                <w:spacing w:val="-1"/>
                <w:sz w:val="18"/>
              </w:rPr>
              <w:t>197,127.59</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21"/>
              <w:jc w:val="right"/>
              <w:rPr>
                <w:rFonts w:ascii="宋体" w:hAnsi="宋体" w:cs="宋体" w:eastAsia="宋体" w:hint="default"/>
                <w:sz w:val="18"/>
                <w:szCs w:val="18"/>
              </w:rPr>
            </w:pPr>
            <w:r>
              <w:rPr>
                <w:rFonts w:ascii="宋体"/>
                <w:spacing w:val="-1"/>
                <w:sz w:val="18"/>
              </w:rPr>
              <w:t>451,954.97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71"/>
          <w:pgSz w:w="11910" w:h="16840"/>
          <w:pgMar w:footer="1195" w:header="882" w:top="1120" w:bottom="1380" w:left="1580" w:right="1040"/>
          <w:pgNumType w:start="101"/>
        </w:sectPr>
      </w:pPr>
    </w:p>
    <w:p>
      <w:pPr>
        <w:pStyle w:val="Heading3"/>
        <w:spacing w:line="240" w:lineRule="auto" w:before="36"/>
        <w:ind w:right="-19"/>
        <w:jc w:val="left"/>
        <w:rPr>
          <w:b w:val="0"/>
          <w:bCs w:val="0"/>
        </w:rPr>
      </w:pPr>
      <w:r>
        <w:rPr>
          <w:rFonts w:ascii="宋体" w:hAnsi="宋体" w:cs="宋体" w:eastAsia="宋体" w:hint="default"/>
        </w:rPr>
        <w:t>9</w:t>
      </w:r>
      <w:r>
        <w:rPr/>
        <w:t>、</w:t>
      </w:r>
      <w:r>
        <w:rPr>
          <w:spacing w:val="-2"/>
        </w:rPr>
        <w:t> </w:t>
      </w:r>
      <w:r>
        <w:rPr/>
        <w:t>在建工程</w:t>
      </w:r>
      <w:r>
        <w:rPr>
          <w:b w:val="0"/>
          <w:bCs w:val="0"/>
        </w:rPr>
      </w:r>
    </w:p>
    <w:p>
      <w:pPr>
        <w:spacing w:line="290" w:lineRule="auto" w:before="56"/>
        <w:ind w:left="21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853"/>
        <w:gridCol w:w="1177"/>
        <w:gridCol w:w="1176"/>
        <w:gridCol w:w="1162"/>
        <w:gridCol w:w="1164"/>
        <w:gridCol w:w="1177"/>
        <w:gridCol w:w="1188"/>
      </w:tblGrid>
      <w:tr>
        <w:trPr>
          <w:trHeight w:val="286" w:hRule="exact"/>
        </w:trPr>
        <w:tc>
          <w:tcPr>
            <w:tcW w:w="1853"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2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853" w:type="dxa"/>
            <w:vMerge/>
            <w:tcBorders>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5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6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6"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重庆两江智慧政务系</w:t>
            </w:r>
          </w:p>
          <w:p>
            <w:pPr>
              <w:pStyle w:val="TableParagraph"/>
              <w:spacing w:line="234" w:lineRule="exact" w:before="23"/>
              <w:ind w:left="24" w:right="21"/>
              <w:jc w:val="left"/>
              <w:rPr>
                <w:rFonts w:ascii="宋体" w:hAnsi="宋体" w:cs="宋体" w:eastAsia="宋体" w:hint="default"/>
                <w:sz w:val="18"/>
                <w:szCs w:val="18"/>
              </w:rPr>
            </w:pPr>
            <w:r>
              <w:rPr>
                <w:rFonts w:ascii="宋体" w:hAnsi="宋体" w:cs="宋体" w:eastAsia="宋体" w:hint="default"/>
                <w:sz w:val="18"/>
                <w:szCs w:val="18"/>
              </w:rPr>
              <w:t>统、智慧金融系统及运 营项目</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331,929.39</w:t>
            </w:r>
          </w:p>
        </w:tc>
        <w:tc>
          <w:tcPr>
            <w:tcW w:w="117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0" w:right="0"/>
              <w:jc w:val="center"/>
              <w:rPr>
                <w:rFonts w:ascii="宋体" w:hAnsi="宋体" w:cs="宋体" w:eastAsia="宋体" w:hint="default"/>
                <w:sz w:val="18"/>
                <w:szCs w:val="18"/>
              </w:rPr>
            </w:pPr>
            <w:r>
              <w:rPr>
                <w:rFonts w:ascii="宋体"/>
                <w:sz w:val="18"/>
              </w:rPr>
              <w:t>331,929.39</w:t>
            </w:r>
          </w:p>
        </w:tc>
        <w:tc>
          <w:tcPr>
            <w:tcW w:w="1164" w:type="dxa"/>
            <w:tcBorders>
              <w:top w:val="single" w:sz="6" w:space="0" w:color="000000"/>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53" w:type="dxa"/>
            <w:tcBorders>
              <w:top w:val="single" w:sz="6" w:space="0" w:color="000000"/>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331,929.39</w:t>
            </w:r>
          </w:p>
        </w:tc>
        <w:tc>
          <w:tcPr>
            <w:tcW w:w="117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0" w:right="0"/>
              <w:jc w:val="center"/>
              <w:rPr>
                <w:rFonts w:ascii="宋体" w:hAnsi="宋体" w:cs="宋体" w:eastAsia="宋体" w:hint="default"/>
                <w:sz w:val="18"/>
                <w:szCs w:val="18"/>
              </w:rPr>
            </w:pPr>
            <w:r>
              <w:rPr>
                <w:rFonts w:ascii="宋体"/>
                <w:sz w:val="18"/>
              </w:rPr>
              <w:t>331,929.39</w:t>
            </w:r>
          </w:p>
        </w:tc>
        <w:tc>
          <w:tcPr>
            <w:tcW w:w="1164" w:type="dxa"/>
            <w:tcBorders>
              <w:top w:val="single" w:sz="6" w:space="0" w:color="000000"/>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7" w:lineRule="exact"/>
        <w:ind w:left="218" w:right="96"/>
        <w:jc w:val="left"/>
      </w:pPr>
      <w:r>
        <w:rPr>
          <w:spacing w:val="-3"/>
        </w:rPr>
        <w:t>公司与重庆两江新区管委会签订了智慧金融</w:t>
      </w:r>
      <w:r>
        <w:rPr>
          <w:rFonts w:ascii="Times New Roman" w:hAnsi="Times New Roman" w:cs="Times New Roman" w:eastAsia="Times New Roman" w:hint="default"/>
          <w:spacing w:val="-3"/>
        </w:rPr>
        <w:t>&amp;</w:t>
      </w:r>
      <w:r>
        <w:rPr>
          <w:spacing w:val="-3"/>
        </w:rPr>
        <w:t>智慧政务共建合同，该项目整体规模约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亿元人民</w:t>
      </w:r>
    </w:p>
    <w:p>
      <w:pPr>
        <w:pStyle w:val="BodyText"/>
        <w:spacing w:line="225" w:lineRule="auto" w:before="5"/>
        <w:ind w:left="218" w:right="127"/>
        <w:jc w:val="left"/>
      </w:pPr>
      <w:r>
        <w:rPr/>
        <w:t>币，建成后预计营业收入约</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亿元人民币，本合同建设项目约</w:t>
      </w:r>
      <w:r>
        <w:rPr>
          <w:spacing w:val="-55"/>
        </w:rPr>
        <w:t> </w:t>
      </w:r>
      <w:r>
        <w:rPr>
          <w:rFonts w:ascii="Times New Roman" w:hAnsi="Times New Roman" w:cs="Times New Roman" w:eastAsia="Times New Roman" w:hint="default"/>
        </w:rPr>
        <w:t>1.54</w:t>
      </w:r>
      <w:r>
        <w:rPr>
          <w:rFonts w:ascii="Times New Roman" w:hAnsi="Times New Roman" w:cs="Times New Roman" w:eastAsia="Times New Roman" w:hint="default"/>
          <w:spacing w:val="-2"/>
        </w:rPr>
        <w:t> </w:t>
      </w:r>
      <w:r>
        <w:rPr/>
        <w:t>亿元人民币，本项目以两江</w:t>
      </w:r>
      <w:r>
        <w:rPr>
          <w:w w:val="100"/>
        </w:rPr>
        <w:t> </w:t>
      </w:r>
      <w:r>
        <w:rPr/>
        <w:t>新区智慧城市的</w:t>
      </w:r>
      <w:r>
        <w:rPr>
          <w:spacing w:val="-49"/>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基础设施为基础，建设面向两江新区的智慧政务和智慧金融软硬件服务系统。</w:t>
      </w:r>
      <w:r>
        <w:rPr>
          <w:w w:val="100"/>
        </w:rPr>
        <w:t> </w:t>
      </w:r>
      <w:r>
        <w:rPr/>
        <w:t>该项目现预算</w:t>
      </w:r>
      <w:r>
        <w:rPr>
          <w:spacing w:val="-54"/>
        </w:rPr>
        <w:t> </w:t>
      </w:r>
      <w:r>
        <w:rPr>
          <w:rFonts w:ascii="Times New Roman" w:hAnsi="Times New Roman" w:cs="Times New Roman" w:eastAsia="Times New Roman" w:hint="default"/>
        </w:rPr>
        <w:t>1.54</w:t>
      </w:r>
      <w:r>
        <w:rPr>
          <w:rFonts w:ascii="Times New Roman" w:hAnsi="Times New Roman" w:cs="Times New Roman" w:eastAsia="Times New Roman" w:hint="default"/>
          <w:spacing w:val="-4"/>
        </w:rPr>
        <w:t> </w:t>
      </w:r>
      <w:r>
        <w:rPr/>
        <w:t>亿元，项目预计完工时间是</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月，目前项目正常进行中。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pStyle w:val="Heading3"/>
        <w:spacing w:line="240" w:lineRule="auto" w:before="37"/>
        <w:ind w:right="-18"/>
        <w:jc w:val="left"/>
        <w:rPr>
          <w:b w:val="0"/>
          <w:bCs w:val="0"/>
        </w:rPr>
      </w:pPr>
      <w:r>
        <w:rPr>
          <w:rFonts w:ascii="宋体" w:hAnsi="宋体" w:cs="宋体" w:eastAsia="宋体" w:hint="default"/>
        </w:rPr>
        <w:t>10</w:t>
      </w:r>
      <w:r>
        <w:rPr/>
        <w:t>、</w:t>
      </w:r>
      <w:r>
        <w:rPr>
          <w:spacing w:val="-24"/>
        </w:rPr>
        <w:t> </w:t>
      </w:r>
      <w:r>
        <w:rPr/>
        <w:t>长期待摊费用</w:t>
      </w:r>
      <w:r>
        <w:rPr>
          <w:b w:val="0"/>
          <w:bCs w:val="0"/>
        </w:rPr>
      </w:r>
    </w:p>
    <w:p>
      <w:pPr>
        <w:pStyle w:val="BodyText"/>
        <w:spacing w:line="240" w:lineRule="auto" w:before="59"/>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7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14" w:right="0"/>
              <w:jc w:val="left"/>
              <w:rPr>
                <w:rFonts w:ascii="宋体" w:hAnsi="宋体" w:cs="宋体" w:eastAsia="宋体" w:hint="default"/>
                <w:sz w:val="18"/>
                <w:szCs w:val="18"/>
              </w:rPr>
            </w:pPr>
            <w:r>
              <w:rPr>
                <w:rFonts w:ascii="宋体" w:hAnsi="宋体" w:cs="宋体" w:eastAsia="宋体" w:hint="default"/>
                <w:sz w:val="18"/>
                <w:szCs w:val="18"/>
              </w:rPr>
              <w:t>新视窗软件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15,000.00</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90" w:lineRule="auto" w:before="36"/>
        <w:ind w:right="-18"/>
        <w:jc w:val="left"/>
        <w:rPr>
          <w:b w:val="0"/>
          <w:bCs w:val="0"/>
        </w:rPr>
      </w:pPr>
      <w:r>
        <w:rPr>
          <w:rFonts w:ascii="宋体" w:hAnsi="宋体" w:cs="宋体" w:eastAsia="宋体" w:hint="default"/>
        </w:rPr>
        <w:t>11</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2"/>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3300"/>
        <w:gridCol w:w="3308"/>
      </w:tblGrid>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8"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557" w:hRule="exact"/>
        </w:trPr>
        <w:tc>
          <w:tcPr>
            <w:tcW w:w="2444"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853,281.24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213,320.31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365,937.32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91,484.33</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853,281.24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213,320.31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365,937.32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91,484.33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before="36"/>
        <w:ind w:right="-17"/>
        <w:jc w:val="left"/>
        <w:rPr>
          <w:b w:val="0"/>
          <w:bCs w:val="0"/>
        </w:rPr>
      </w:pPr>
      <w:r>
        <w:rPr>
          <w:rFonts w:ascii="宋体" w:hAnsi="宋体" w:cs="宋体" w:eastAsia="宋体" w:hint="default"/>
        </w:rPr>
        <w:t>(2).</w:t>
      </w:r>
      <w:r>
        <w:rPr>
          <w:rFonts w:ascii="宋体" w:hAnsi="宋体" w:cs="宋体" w:eastAsia="宋体" w:hint="default"/>
          <w:spacing w:val="56"/>
        </w:rPr>
        <w:t> </w:t>
      </w:r>
      <w:r>
        <w:rPr/>
        <w:t>未确认递延所得税资产明细</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7" w:space="318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861,673.27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226,288.31</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15,622,638.78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18,770,396.37</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16,484,312.05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18,996,684.68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before="36"/>
        <w:ind w:right="-17"/>
        <w:jc w:val="left"/>
        <w:rPr>
          <w:b w:val="0"/>
          <w:bCs w:val="0"/>
        </w:rPr>
      </w:pPr>
      <w:r>
        <w:rPr>
          <w:rFonts w:ascii="宋体" w:hAnsi="宋体" w:cs="宋体" w:eastAsia="宋体" w:hint="default"/>
        </w:rPr>
        <w:t>(3).</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866" w:space="601"/>
            <w:col w:w="282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6"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680,369.86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9,658,438.05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14,320,657.20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3,763,598.21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3,769,369.31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5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2,200,602.52</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15,622,638.78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18,770,396.37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before="36"/>
        <w:ind w:right="2465"/>
        <w:jc w:val="left"/>
        <w:rPr>
          <w:b w:val="0"/>
          <w:bCs w:val="0"/>
        </w:rPr>
      </w:pPr>
      <w:r>
        <w:rPr>
          <w:rFonts w:ascii="宋体" w:hAnsi="宋体" w:cs="宋体" w:eastAsia="宋体" w:hint="default"/>
        </w:rPr>
        <w:t>12</w:t>
      </w:r>
      <w:r>
        <w:rPr/>
        <w:t>、</w:t>
      </w:r>
      <w:r>
        <w:rPr>
          <w:spacing w:val="-24"/>
        </w:rPr>
        <w:t> </w:t>
      </w:r>
      <w:r>
        <w:rPr/>
        <w:t>其他非流动资产</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16"/>
        <w:gridCol w:w="3080"/>
        <w:gridCol w:w="3001"/>
      </w:tblGrid>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预付装修工程款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430,009.50</w:t>
            </w:r>
          </w:p>
        </w:tc>
        <w:tc>
          <w:tcPr>
            <w:tcW w:w="3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
        </w:tc>
        <w:tc>
          <w:tcPr>
            <w:tcW w:w="3080" w:type="dxa"/>
            <w:tcBorders>
              <w:top w:val="single" w:sz="6" w:space="0" w:color="000000"/>
              <w:left w:val="single" w:sz="6" w:space="0" w:color="000000"/>
              <w:bottom w:val="single" w:sz="6" w:space="0" w:color="000000"/>
              <w:right w:val="single" w:sz="6" w:space="0" w:color="000000"/>
            </w:tcBorders>
          </w:tcPr>
          <w:p>
            <w:pPr/>
          </w:p>
        </w:tc>
        <w:tc>
          <w:tcPr>
            <w:tcW w:w="3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430,009.50</w:t>
            </w:r>
          </w:p>
        </w:tc>
        <w:tc>
          <w:tcPr>
            <w:tcW w:w="300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before="36"/>
        <w:ind w:right="-18"/>
        <w:jc w:val="left"/>
        <w:rPr>
          <w:b w:val="0"/>
          <w:bCs w:val="0"/>
        </w:rPr>
      </w:pPr>
      <w:r>
        <w:rPr>
          <w:rFonts w:ascii="宋体" w:hAnsi="宋体" w:cs="宋体" w:eastAsia="宋体" w:hint="default"/>
        </w:rPr>
        <w:t>13</w:t>
      </w:r>
      <w:r>
        <w:rPr/>
        <w:t>、</w:t>
      </w:r>
      <w:r>
        <w:rPr>
          <w:spacing w:val="-25"/>
        </w:rPr>
        <w:t> </w:t>
      </w:r>
      <w:r>
        <w:rPr/>
        <w:t>应付票据</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3"/>
              <w:jc w:val="right"/>
              <w:rPr>
                <w:rFonts w:ascii="宋体" w:hAnsi="宋体" w:cs="宋体" w:eastAsia="宋体" w:hint="default"/>
                <w:sz w:val="18"/>
                <w:szCs w:val="18"/>
              </w:rPr>
            </w:pPr>
            <w:r>
              <w:rPr>
                <w:rFonts w:ascii="宋体"/>
                <w:spacing w:val="-1"/>
                <w:sz w:val="18"/>
              </w:rPr>
              <w:t>12,570.00</w:t>
            </w: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4"/>
              <w:jc w:val="right"/>
              <w:rPr>
                <w:rFonts w:ascii="宋体" w:hAnsi="宋体" w:cs="宋体" w:eastAsia="宋体" w:hint="default"/>
                <w:sz w:val="18"/>
                <w:szCs w:val="18"/>
              </w:rPr>
            </w:pPr>
            <w:r>
              <w:rPr>
                <w:rFonts w:ascii="宋体"/>
                <w:spacing w:val="-1"/>
                <w:sz w:val="18"/>
              </w:rPr>
              <w:t>1,322,241.00</w:t>
            </w: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1,334,811.00</w:t>
            </w:r>
          </w:p>
        </w:tc>
        <w:tc>
          <w:tcPr>
            <w:tcW w:w="324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before="36"/>
        <w:ind w:right="-19"/>
        <w:jc w:val="left"/>
        <w:rPr>
          <w:b w:val="0"/>
          <w:bCs w:val="0"/>
        </w:rPr>
      </w:pPr>
      <w:r>
        <w:rPr>
          <w:rFonts w:ascii="宋体" w:hAnsi="宋体" w:cs="宋体" w:eastAsia="宋体" w:hint="default"/>
        </w:rPr>
        <w:t>14</w:t>
      </w:r>
      <w:r>
        <w:rPr/>
        <w:t>、</w:t>
      </w:r>
      <w:r>
        <w:rPr>
          <w:spacing w:val="-25"/>
        </w:rPr>
        <w:t> </w:t>
      </w:r>
      <w:r>
        <w:rPr/>
        <w:t>应付账款</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2,030,439.80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407,283.53</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37,680.00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2,030,439.80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444,963.53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3"/>
        <w:spacing w:line="240" w:lineRule="auto" w:before="36"/>
        <w:ind w:right="-19"/>
        <w:jc w:val="left"/>
        <w:rPr>
          <w:b w:val="0"/>
          <w:bCs w:val="0"/>
        </w:rPr>
      </w:pPr>
      <w:r>
        <w:rPr>
          <w:rFonts w:ascii="宋体" w:hAnsi="宋体" w:cs="宋体" w:eastAsia="宋体" w:hint="default"/>
        </w:rPr>
        <w:t>15</w:t>
      </w:r>
      <w:r>
        <w:rPr/>
        <w:t>、</w:t>
      </w:r>
      <w:r>
        <w:rPr>
          <w:spacing w:val="-25"/>
        </w:rPr>
        <w:t> </w:t>
      </w:r>
      <w:r>
        <w:rPr/>
        <w:t>预收款项</w:t>
      </w:r>
      <w:r>
        <w:rPr>
          <w:b w:val="0"/>
          <w:bCs w:val="0"/>
        </w:rPr>
      </w:r>
    </w:p>
    <w:p>
      <w:pPr>
        <w:pStyle w:val="Heading3"/>
        <w:spacing w:line="240" w:lineRule="auto" w:before="58"/>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4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5,443,164.34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3,843,831.93</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3077"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476.92</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5,443,164.34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3,844,308.85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3"/>
        <w:spacing w:line="290" w:lineRule="auto" w:before="36"/>
        <w:ind w:right="-16"/>
        <w:jc w:val="left"/>
        <w:rPr>
          <w:b w:val="0"/>
          <w:bCs w:val="0"/>
        </w:rPr>
      </w:pPr>
      <w:r>
        <w:rPr>
          <w:rFonts w:ascii="宋体" w:hAnsi="宋体" w:cs="宋体" w:eastAsia="宋体" w:hint="default"/>
        </w:rPr>
        <w:t>16</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8"/>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497,729.76</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27,929,373.21</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26,475,958.55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sz w:val="18"/>
              </w:rPr>
              <w:t>1,951,144.42</w:t>
            </w:r>
          </w:p>
        </w:tc>
      </w:tr>
      <w:tr>
        <w:trPr>
          <w:trHeight w:val="5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3,819.50</w:t>
            </w:r>
          </w:p>
        </w:tc>
        <w:tc>
          <w:tcPr>
            <w:tcW w:w="1606"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1,836,767.20</w:t>
            </w:r>
          </w:p>
        </w:tc>
        <w:tc>
          <w:tcPr>
            <w:tcW w:w="1611"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1,840,586.70</w:t>
            </w:r>
          </w:p>
        </w:tc>
        <w:tc>
          <w:tcPr>
            <w:tcW w:w="1620" w:type="dxa"/>
            <w:tcBorders>
              <w:top w:val="single" w:sz="6" w:space="0" w:color="000000"/>
              <w:left w:val="single" w:sz="4" w:space="0" w:color="000000"/>
              <w:bottom w:val="single" w:sz="4" w:space="0" w:color="000000"/>
              <w:right w:val="single" w:sz="4" w:space="0" w:color="000000"/>
            </w:tcBorders>
          </w:tcPr>
          <w:p>
            <w:pPr/>
          </w:p>
        </w:tc>
      </w:tr>
      <w:tr>
        <w:trPr>
          <w:trHeight w:val="286"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8"/>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501,549.26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29,766,140.41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28,316,545.25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27" w:right="0"/>
              <w:jc w:val="left"/>
              <w:rPr>
                <w:rFonts w:ascii="宋体" w:hAnsi="宋体" w:cs="宋体" w:eastAsia="宋体" w:hint="default"/>
                <w:sz w:val="18"/>
                <w:szCs w:val="18"/>
              </w:rPr>
            </w:pPr>
            <w:r>
              <w:rPr>
                <w:rFonts w:ascii="宋体"/>
                <w:sz w:val="18"/>
              </w:rPr>
              <w:t>1,951,144.42</w:t>
            </w:r>
          </w:p>
        </w:tc>
      </w:tr>
    </w:tbl>
    <w:p>
      <w:pPr>
        <w:spacing w:line="240" w:lineRule="auto" w:before="2"/>
        <w:rPr>
          <w:rFonts w:ascii="宋体" w:hAnsi="宋体" w:cs="宋体" w:eastAsia="宋体" w:hint="default"/>
          <w:sz w:val="20"/>
          <w:szCs w:val="20"/>
        </w:rPr>
      </w:pPr>
    </w:p>
    <w:p>
      <w:pPr>
        <w:pStyle w:val="Heading3"/>
        <w:spacing w:line="240" w:lineRule="auto" w:before="36"/>
        <w:ind w:right="2465"/>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218"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488,489.21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24,148,778.91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22,695,364.25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1,941,903.87</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1,986,708.74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1,986,708.74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970499.42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970499.42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830,056.79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830,056.79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63,661.38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63,661.38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76,781.25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76,781.25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735,973.76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735,973.76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9,240.55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87,412.38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87,412.38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9,240.55</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497,729.76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27,929,373.21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26,475,958.55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1,951,144.42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before="36"/>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3,819.50</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1,702,680.78</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1,706,500.28</w:t>
            </w:r>
          </w:p>
        </w:tc>
        <w:tc>
          <w:tcPr>
            <w:tcW w:w="1591" w:type="dxa"/>
            <w:tcBorders>
              <w:top w:val="single" w:sz="6" w:space="0" w:color="000000"/>
              <w:left w:val="single" w:sz="4" w:space="0" w:color="000000"/>
              <w:bottom w:val="single" w:sz="4" w:space="0" w:color="000000"/>
              <w:right w:val="single" w:sz="4" w:space="0" w:color="000000"/>
            </w:tcBorders>
          </w:tcPr>
          <w:p>
            <w:pP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134,086.42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134,086.42</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3,819.50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1,836,767.20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1,840,586.70</w:t>
            </w:r>
          </w:p>
        </w:tc>
        <w:tc>
          <w:tcPr>
            <w:tcW w:w="15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36"/>
        <w:ind w:right="2465"/>
        <w:jc w:val="left"/>
        <w:rPr>
          <w:b w:val="0"/>
          <w:bCs w:val="0"/>
        </w:rPr>
      </w:pPr>
      <w:r>
        <w:rPr>
          <w:rFonts w:ascii="宋体" w:hAnsi="宋体" w:cs="宋体" w:eastAsia="宋体" w:hint="default"/>
        </w:rPr>
        <w:t>17</w:t>
      </w:r>
      <w:r>
        <w:rPr/>
        <w:t>、</w:t>
      </w:r>
      <w:r>
        <w:rPr>
          <w:spacing w:val="-25"/>
        </w:rPr>
        <w:t> </w:t>
      </w:r>
      <w:r>
        <w:rPr/>
        <w:t>应交税费</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289"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323"/>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471,481.97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952.25</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526,104.58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756,617.76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505,709.39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1,143,150.27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11,104.08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5,813.20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60,891.26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50,442.87</w:t>
            </w:r>
          </w:p>
        </w:tc>
      </w:tr>
      <w:tr>
        <w:trPr>
          <w:trHeight w:val="24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45,792.30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35,892.91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5,645.37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16,876.26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22,556.13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15,927.07</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1,649,285.08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2,025,672.59</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before="175"/>
        <w:ind w:right="-18"/>
        <w:jc w:val="left"/>
        <w:rPr>
          <w:b w:val="0"/>
          <w:bCs w:val="0"/>
        </w:rPr>
      </w:pPr>
      <w:r>
        <w:rPr>
          <w:rFonts w:ascii="宋体" w:hAnsi="宋体" w:cs="宋体" w:eastAsia="宋体" w:hint="default"/>
        </w:rPr>
        <w:t>18</w:t>
      </w:r>
      <w:r>
        <w:rPr/>
        <w:t>、</w:t>
      </w:r>
      <w:r>
        <w:rPr>
          <w:spacing w:val="-25"/>
        </w:rPr>
        <w:t> </w:t>
      </w:r>
      <w:r>
        <w:rPr/>
        <w:t>其他应付款</w:t>
      </w:r>
      <w:r>
        <w:rPr>
          <w:b w:val="0"/>
          <w:bCs w:val="0"/>
        </w:rPr>
      </w:r>
    </w:p>
    <w:p>
      <w:pPr>
        <w:pStyle w:val="Heading3"/>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关联方借款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57,000,000.00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8,217,669.35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7,208,117.50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7,084,494.38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4,321,089.42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往来款项及其他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3,845,647.14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31,807,981.00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76,147,810.87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43,337,187.92</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before="36"/>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41"/>
        <w:ind w:left="21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18" w:space="280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946"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62,000,000.00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9"/>
                <w:sz w:val="18"/>
                <w:szCs w:val="18"/>
              </w:rPr>
              <w:t> </w:t>
            </w:r>
            <w:r>
              <w:rPr>
                <w:rFonts w:ascii="宋体" w:hAnsi="宋体" w:cs="宋体" w:eastAsia="宋体" w:hint="default"/>
                <w:sz w:val="18"/>
                <w:szCs w:val="18"/>
              </w:rPr>
              <w:t>57,000,000.00</w:t>
            </w:r>
            <w:r>
              <w:rPr>
                <w:rFonts w:ascii="宋体" w:hAnsi="宋体" w:cs="宋体" w:eastAsia="宋体" w:hint="default"/>
                <w:spacing w:val="-46"/>
                <w:sz w:val="18"/>
                <w:szCs w:val="18"/>
              </w:rPr>
              <w:t> </w:t>
            </w:r>
            <w:r>
              <w:rPr>
                <w:rFonts w:ascii="宋体" w:hAnsi="宋体" w:cs="宋体" w:eastAsia="宋体" w:hint="default"/>
                <w:sz w:val="18"/>
                <w:szCs w:val="18"/>
              </w:rPr>
              <w:t>元为本</w:t>
            </w:r>
          </w:p>
          <w:p>
            <w:pPr>
              <w:pStyle w:val="TableParagraph"/>
              <w:spacing w:line="232" w:lineRule="exact" w:before="23"/>
              <w:ind w:left="103" w:right="119"/>
              <w:jc w:val="left"/>
              <w:rPr>
                <w:rFonts w:ascii="宋体" w:hAnsi="宋体" w:cs="宋体" w:eastAsia="宋体" w:hint="default"/>
                <w:sz w:val="18"/>
                <w:szCs w:val="18"/>
              </w:rPr>
            </w:pPr>
            <w:r>
              <w:rPr>
                <w:rFonts w:ascii="宋体" w:hAnsi="宋体" w:cs="宋体" w:eastAsia="宋体" w:hint="default"/>
                <w:sz w:val="18"/>
                <w:szCs w:val="18"/>
              </w:rPr>
              <w:t>公司向本公司董事长顾国平的借款； 账龄</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5,000,000.00</w:t>
            </w:r>
            <w:r>
              <w:rPr>
                <w:rFonts w:ascii="宋体" w:hAnsi="宋体" w:cs="宋体" w:eastAsia="宋体" w:hint="default"/>
                <w:spacing w:val="-44"/>
                <w:sz w:val="18"/>
                <w:szCs w:val="18"/>
              </w:rPr>
              <w:t> </w:t>
            </w:r>
            <w:r>
              <w:rPr>
                <w:rFonts w:ascii="宋体" w:hAnsi="宋体" w:cs="宋体" w:eastAsia="宋体" w:hint="default"/>
                <w:sz w:val="18"/>
                <w:szCs w:val="18"/>
              </w:rPr>
              <w:t>元为保证 金。</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pStyle w:val="Heading3"/>
        <w:spacing w:line="240" w:lineRule="auto" w:before="37"/>
        <w:ind w:right="-18"/>
        <w:jc w:val="left"/>
        <w:rPr>
          <w:b w:val="0"/>
          <w:bCs w:val="0"/>
        </w:rPr>
      </w:pPr>
      <w:r>
        <w:rPr>
          <w:rFonts w:ascii="宋体" w:hAnsi="宋体" w:cs="宋体" w:eastAsia="宋体" w:hint="default"/>
        </w:rPr>
        <w:t>19</w:t>
      </w:r>
      <w:r>
        <w:rPr/>
        <w:t>、</w:t>
      </w:r>
      <w:r>
        <w:rPr>
          <w:b w:val="0"/>
          <w:bCs w:val="0"/>
        </w:rPr>
      </w:r>
    </w:p>
    <w:p>
      <w:pPr>
        <w:spacing w:line="20" w:lineRule="exact"/>
        <w:ind w:left="716" w:right="0" w:firstLine="0"/>
        <w:rPr>
          <w:rFonts w:ascii="宋体" w:hAnsi="宋体" w:cs="宋体" w:eastAsia="宋体" w:hint="default"/>
          <w:sz w:val="2"/>
          <w:szCs w:val="2"/>
        </w:rPr>
      </w:pPr>
      <w:r>
        <w:rPr>
          <w:rFonts w:ascii="宋体" w:hAnsi="宋体" w:cs="宋体" w:eastAsia="宋体" w:hint="default"/>
          <w:sz w:val="2"/>
          <w:szCs w:val="2"/>
        </w:rPr>
        <w:pict>
          <v:group style="width:32.3pt;height:.6pt;mso-position-horizontal-relative:char;mso-position-vertical-relative:line" coordorigin="0,0" coordsize="646,12">
            <v:group style="position:absolute;left:6;top:6;width:634;height:2" coordorigin="6,6" coordsize="634,2">
              <v:shape style="position:absolute;left:6;top:6;width:634;height:2" coordorigin="6,6" coordsize="634,0" path="m6,6l640,6e" filled="false" stroked="true" strokeweight=".599980pt" strokecolor="#000000">
                <v:path arrowok="t"/>
              </v:shape>
            </v:group>
          </v:group>
        </w:pict>
      </w:r>
      <w:r>
        <w:rPr>
          <w:rFonts w:ascii="宋体" w:hAnsi="宋体" w:cs="宋体" w:eastAsia="宋体" w:hint="default"/>
          <w:sz w:val="2"/>
          <w:szCs w:val="2"/>
        </w:rPr>
      </w:r>
    </w:p>
    <w:p>
      <w:pPr>
        <w:pStyle w:val="Heading3"/>
        <w:spacing w:line="240" w:lineRule="auto" w:before="37"/>
        <w:ind w:right="-18"/>
        <w:jc w:val="left"/>
        <w:rPr>
          <w:b w:val="0"/>
          <w:bCs w:val="0"/>
        </w:rPr>
      </w:pPr>
      <w:r>
        <w:rPr>
          <w:rFonts w:ascii="宋体" w:hAnsi="宋体" w:cs="宋体" w:eastAsia="宋体" w:hint="default"/>
        </w:rPr>
        <w:t>20</w:t>
      </w:r>
      <w:r>
        <w:rPr/>
        <w:t>、</w:t>
      </w:r>
      <w:r>
        <w:rPr>
          <w:spacing w:val="-24"/>
        </w:rPr>
        <w:t> </w:t>
      </w:r>
      <w:r>
        <w:rPr/>
        <w:t>其他非流动负债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6"/>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01" w:space="43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7"/>
        <w:gridCol w:w="2897"/>
        <w:gridCol w:w="2895"/>
      </w:tblGrid>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物业管理商业用房维修基金</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5"/>
              <w:jc w:val="right"/>
              <w:rPr>
                <w:rFonts w:ascii="宋体" w:hAnsi="宋体" w:cs="宋体" w:eastAsia="宋体" w:hint="default"/>
                <w:sz w:val="18"/>
                <w:szCs w:val="18"/>
              </w:rPr>
            </w:pPr>
            <w:r>
              <w:rPr>
                <w:rFonts w:ascii="宋体"/>
                <w:spacing w:val="-1"/>
                <w:sz w:val="18"/>
              </w:rPr>
              <w:t>2,601,702.35</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2,336,937.63</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2,601,702.35</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2,336,937.63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8"/>
        <w:ind w:right="2465"/>
        <w:jc w:val="left"/>
        <w:rPr>
          <w:b w:val="0"/>
          <w:bCs w:val="0"/>
        </w:rPr>
      </w:pPr>
      <w:r>
        <w:rPr>
          <w:rFonts w:ascii="宋体" w:hAnsi="宋体" w:cs="宋体" w:eastAsia="宋体" w:hint="default"/>
        </w:rPr>
        <w:t>21</w:t>
      </w:r>
      <w:r>
        <w:rPr/>
        <w:t>、</w:t>
      </w:r>
      <w:r>
        <w:rPr>
          <w:spacing w:val="-26"/>
        </w:rPr>
        <w:t> </w:t>
      </w:r>
      <w:r>
        <w:rPr/>
        <w:t>股本</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11"/>
        <w:gridCol w:w="1477"/>
        <w:gridCol w:w="953"/>
        <w:gridCol w:w="955"/>
        <w:gridCol w:w="1025"/>
        <w:gridCol w:w="1039"/>
        <w:gridCol w:w="1013"/>
        <w:gridCol w:w="1476"/>
      </w:tblGrid>
      <w:tr>
        <w:trPr>
          <w:trHeight w:val="283" w:hRule="exact"/>
        </w:trPr>
        <w:tc>
          <w:tcPr>
            <w:tcW w:w="1111" w:type="dxa"/>
            <w:vMerge w:val="restart"/>
            <w:tcBorders>
              <w:top w:val="single" w:sz="4" w:space="0" w:color="000000"/>
              <w:left w:val="single" w:sz="4" w:space="0" w:color="000000"/>
              <w:right w:val="single" w:sz="4" w:space="0" w:color="000000"/>
            </w:tcBorders>
          </w:tcPr>
          <w:p>
            <w:pP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9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111"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1"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61"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76" w:type="dxa"/>
            <w:vMerge/>
            <w:tcBorders>
              <w:left w:val="single" w:sz="4" w:space="0" w:color="000000"/>
              <w:bottom w:val="single" w:sz="4" w:space="0" w:color="000000"/>
              <w:right w:val="single" w:sz="4" w:space="0" w:color="000000"/>
            </w:tcBorders>
          </w:tcPr>
          <w:p>
            <w:pPr/>
          </w:p>
        </w:tc>
      </w:tr>
      <w:tr>
        <w:trPr>
          <w:trHeight w:val="283"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394,793,708.00</w:t>
            </w:r>
          </w:p>
        </w:tc>
        <w:tc>
          <w:tcPr>
            <w:tcW w:w="95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394,793,708.00</w:t>
            </w:r>
          </w:p>
        </w:tc>
      </w:tr>
    </w:tbl>
    <w:p>
      <w:pPr>
        <w:spacing w:line="240" w:lineRule="auto" w:before="12"/>
        <w:rPr>
          <w:rFonts w:ascii="宋体" w:hAnsi="宋体" w:cs="宋体" w:eastAsia="宋体" w:hint="default"/>
          <w:sz w:val="19"/>
          <w:szCs w:val="19"/>
        </w:rPr>
      </w:pPr>
    </w:p>
    <w:p>
      <w:pPr>
        <w:pStyle w:val="Heading3"/>
        <w:spacing w:line="240" w:lineRule="auto" w:before="36"/>
        <w:ind w:right="2465"/>
        <w:jc w:val="left"/>
        <w:rPr>
          <w:b w:val="0"/>
          <w:bCs w:val="0"/>
        </w:rPr>
      </w:pPr>
      <w:r>
        <w:rPr>
          <w:rFonts w:ascii="宋体" w:hAnsi="宋体" w:cs="宋体" w:eastAsia="宋体" w:hint="default"/>
        </w:rPr>
        <w:t>22</w:t>
      </w:r>
      <w:r>
        <w:rPr/>
        <w:t>、</w:t>
      </w:r>
      <w:r>
        <w:rPr>
          <w:spacing w:val="-25"/>
        </w:rPr>
        <w:t> </w:t>
      </w:r>
      <w:r>
        <w:rPr/>
        <w:t>资本公积</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90" w:right="0"/>
              <w:jc w:val="left"/>
              <w:rPr>
                <w:rFonts w:ascii="宋体" w:hAnsi="宋体" w:cs="宋体" w:eastAsia="宋体" w:hint="default"/>
                <w:sz w:val="18"/>
                <w:szCs w:val="18"/>
              </w:rPr>
            </w:pPr>
            <w:r>
              <w:rPr>
                <w:rFonts w:ascii="宋体"/>
                <w:sz w:val="18"/>
              </w:rPr>
              <w:t>344,618,224.96</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09" w:right="0"/>
              <w:jc w:val="left"/>
              <w:rPr>
                <w:rFonts w:ascii="宋体" w:hAnsi="宋体" w:cs="宋体" w:eastAsia="宋体" w:hint="default"/>
                <w:sz w:val="18"/>
                <w:szCs w:val="18"/>
              </w:rPr>
            </w:pPr>
            <w:r>
              <w:rPr>
                <w:rFonts w:ascii="宋体"/>
                <w:sz w:val="18"/>
              </w:rPr>
              <w:t>344,618,224.96</w:t>
            </w:r>
          </w:p>
        </w:tc>
      </w:tr>
    </w:tbl>
    <w:p>
      <w:pPr>
        <w:spacing w:after="0" w:line="205" w:lineRule="exact"/>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17,565,507.18</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25,839,371.23</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43,404,878.41</w:t>
            </w: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362,183,732.14</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25,839,371.23</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388,023,103.37</w:t>
            </w:r>
          </w:p>
        </w:tc>
      </w:tr>
    </w:tbl>
    <w:p>
      <w:pPr>
        <w:pStyle w:val="BodyText"/>
        <w:spacing w:line="239" w:lineRule="exact"/>
        <w:ind w:left="158" w:right="0"/>
        <w:jc w:val="left"/>
      </w:pPr>
      <w:r>
        <w:rPr/>
        <w:t>其他说明，包括本期增减变动情况、变动原因说明：</w:t>
      </w:r>
    </w:p>
    <w:p>
      <w:pPr>
        <w:pStyle w:val="Heading3"/>
        <w:spacing w:line="357" w:lineRule="auto"/>
        <w:ind w:left="158" w:right="143" w:firstLine="844"/>
        <w:jc w:val="both"/>
        <w:rPr>
          <w:b w:val="0"/>
          <w:bCs w:val="0"/>
        </w:rPr>
      </w:pPr>
      <w:r>
        <w:rPr/>
        <w:t>（</w:t>
      </w:r>
      <w:r>
        <w:rPr>
          <w:rFonts w:ascii="宋体" w:hAnsi="宋体" w:cs="宋体" w:eastAsia="宋体" w:hint="default"/>
        </w:rPr>
        <w:t>1</w:t>
      </w:r>
      <w:r>
        <w:rPr/>
        <w:t>）为支持公司发展</w:t>
      </w:r>
      <w:r>
        <w:rPr>
          <w:rFonts w:ascii="宋体" w:hAnsi="宋体" w:cs="宋体" w:eastAsia="宋体" w:hint="default"/>
        </w:rPr>
        <w:t>,</w:t>
      </w:r>
      <w:r>
        <w:rPr/>
        <w:t>改善公司经营状况</w:t>
      </w:r>
      <w:r>
        <w:rPr>
          <w:rFonts w:ascii="宋体" w:hAnsi="宋体" w:cs="宋体" w:eastAsia="宋体" w:hint="default"/>
        </w:rPr>
        <w:t>,</w:t>
      </w:r>
      <w:r>
        <w:rPr/>
        <w:t>公司董事长顾国平先生决定豁免公司对其负</w:t>
      </w:r>
      <w:r>
        <w:rPr>
          <w:w w:val="100"/>
        </w:rPr>
        <w:t> </w:t>
      </w:r>
      <w:r>
        <w:rPr/>
        <w:t>有之部分债务</w:t>
      </w:r>
      <w:r>
        <w:rPr>
          <w:rFonts w:ascii="宋体" w:hAnsi="宋体" w:cs="宋体" w:eastAsia="宋体" w:hint="default"/>
        </w:rPr>
        <w:t>,</w:t>
      </w:r>
      <w:r>
        <w:rPr/>
        <w:t>豁免债务金额为人民币</w:t>
      </w:r>
      <w:r>
        <w:rPr>
          <w:spacing w:val="-51"/>
        </w:rPr>
        <w:t> </w:t>
      </w:r>
      <w:r>
        <w:rPr>
          <w:rFonts w:ascii="宋体" w:hAnsi="宋体" w:cs="宋体" w:eastAsia="宋体" w:hint="default"/>
        </w:rPr>
        <w:t>25,000,000.00</w:t>
      </w:r>
      <w:r>
        <w:rPr>
          <w:rFonts w:ascii="宋体" w:hAnsi="宋体" w:cs="宋体" w:eastAsia="宋体" w:hint="default"/>
          <w:spacing w:val="-50"/>
        </w:rPr>
        <w:t> </w:t>
      </w:r>
      <w:r>
        <w:rPr/>
        <w:t>元。</w:t>
      </w: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28</w:t>
      </w:r>
      <w:r>
        <w:rPr>
          <w:rFonts w:ascii="宋体" w:hAnsi="宋体" w:cs="宋体" w:eastAsia="宋体" w:hint="default"/>
          <w:spacing w:val="-51"/>
        </w:rPr>
        <w:t> </w:t>
      </w:r>
      <w:r>
        <w:rPr/>
        <w:t>日，公司第八届董事</w:t>
      </w:r>
      <w:r>
        <w:rPr>
          <w:w w:val="100"/>
        </w:rPr>
        <w:t> </w:t>
      </w:r>
      <w:r>
        <w:rPr>
          <w:spacing w:val="-1"/>
          <w:w w:val="100"/>
        </w:rPr>
        <w:t>会第十九次会议审议通过就前述债务豁免事项与顾国平先生签署《债务豁免协议》。本公司从经</w:t>
      </w:r>
      <w:r>
        <w:rPr>
          <w:spacing w:val="-98"/>
          <w:w w:val="100"/>
        </w:rPr>
        <w:t> </w:t>
      </w:r>
      <w:r>
        <w:rPr>
          <w:spacing w:val="-98"/>
          <w:w w:val="100"/>
        </w:rPr>
      </w:r>
      <w:r>
        <w:rPr>
          <w:spacing w:val="-1"/>
        </w:rPr>
        <w:t>济实质上判断前述顾国平先生豁免公司债务属于对本公司的资本性投入，应作为权益性交易，故</w:t>
      </w:r>
      <w:r>
        <w:rPr>
          <w:spacing w:val="-89"/>
        </w:rPr>
        <w:t> </w:t>
      </w:r>
      <w:r>
        <w:rPr>
          <w:spacing w:val="-89"/>
        </w:rPr>
      </w:r>
      <w:r>
        <w:rPr/>
        <w:t>将顾国平先生豁免公司的人民币</w:t>
      </w:r>
      <w:r>
        <w:rPr>
          <w:spacing w:val="-53"/>
        </w:rPr>
        <w:t> </w:t>
      </w:r>
      <w:r>
        <w:rPr>
          <w:rFonts w:ascii="宋体" w:hAnsi="宋体" w:cs="宋体" w:eastAsia="宋体" w:hint="default"/>
        </w:rPr>
        <w:t>25,000,000.00</w:t>
      </w:r>
      <w:r>
        <w:rPr>
          <w:rFonts w:ascii="宋体" w:hAnsi="宋体" w:cs="宋体" w:eastAsia="宋体" w:hint="default"/>
          <w:spacing w:val="-53"/>
        </w:rPr>
        <w:t> </w:t>
      </w:r>
      <w:r>
        <w:rPr/>
        <w:t>元债务计入资本公积。</w:t>
      </w:r>
      <w:r>
        <w:rPr>
          <w:b w:val="0"/>
          <w:bCs w:val="0"/>
        </w:rPr>
      </w:r>
    </w:p>
    <w:p>
      <w:pPr>
        <w:pStyle w:val="Heading3"/>
        <w:spacing w:line="355" w:lineRule="auto" w:before="31"/>
        <w:ind w:left="158" w:right="150" w:firstLine="847"/>
        <w:jc w:val="both"/>
        <w:rPr>
          <w:b w:val="0"/>
          <w:bCs w:val="0"/>
        </w:rPr>
      </w:pPr>
      <w:r>
        <w:rPr/>
        <w:t>（</w:t>
      </w:r>
      <w:r>
        <w:rPr>
          <w:rFonts w:ascii="宋体" w:hAnsi="宋体" w:cs="宋体" w:eastAsia="宋体" w:hint="default"/>
        </w:rPr>
        <w:t>2</w:t>
      </w:r>
      <w:r>
        <w:rPr/>
        <w:t>）本公司从经济实质上判断，将公司董事长顾国平先生对公司的无息借款按同期银</w:t>
      </w:r>
      <w:r>
        <w:rPr>
          <w:w w:val="100"/>
        </w:rPr>
        <w:t> </w:t>
      </w:r>
      <w:r>
        <w:rPr/>
        <w:t>行贷款利率根据实际占用天数计提利息</w:t>
      </w:r>
      <w:r>
        <w:rPr>
          <w:spacing w:val="-55"/>
        </w:rPr>
        <w:t> </w:t>
      </w:r>
      <w:r>
        <w:rPr>
          <w:rFonts w:ascii="宋体" w:hAnsi="宋体" w:cs="宋体" w:eastAsia="宋体" w:hint="default"/>
        </w:rPr>
        <w:t>839,371.23</w:t>
      </w:r>
      <w:r>
        <w:rPr>
          <w:rFonts w:ascii="宋体" w:hAnsi="宋体" w:cs="宋体" w:eastAsia="宋体" w:hint="default"/>
          <w:spacing w:val="-55"/>
        </w:rPr>
        <w:t> </w:t>
      </w:r>
      <w:r>
        <w:rPr/>
        <w:t>元作为视同捐赠处理计入资本公积。</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3"/>
        <w:spacing w:line="240" w:lineRule="auto" w:before="36"/>
        <w:ind w:left="158" w:right="0"/>
        <w:jc w:val="left"/>
        <w:rPr>
          <w:b w:val="0"/>
          <w:bCs w:val="0"/>
        </w:rPr>
      </w:pPr>
      <w:r>
        <w:rPr>
          <w:rFonts w:ascii="宋体" w:hAnsi="宋体" w:cs="宋体" w:eastAsia="宋体" w:hint="default"/>
        </w:rPr>
        <w:t>23</w:t>
      </w:r>
      <w:r>
        <w:rPr/>
        <w:t>、</w:t>
      </w:r>
      <w:r>
        <w:rPr>
          <w:spacing w:val="-25"/>
        </w:rPr>
        <w:t> </w:t>
      </w:r>
      <w:r>
        <w:rPr/>
        <w:t>盈余公积</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08" w:right="0"/>
              <w:jc w:val="left"/>
              <w:rPr>
                <w:rFonts w:ascii="宋体" w:hAnsi="宋体" w:cs="宋体" w:eastAsia="宋体" w:hint="default"/>
                <w:sz w:val="18"/>
                <w:szCs w:val="18"/>
              </w:rPr>
            </w:pPr>
            <w:r>
              <w:rPr>
                <w:rFonts w:ascii="宋体"/>
                <w:sz w:val="18"/>
              </w:rPr>
              <w:t>38,483,861.71</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8" w:right="0"/>
              <w:jc w:val="left"/>
              <w:rPr>
                <w:rFonts w:ascii="宋体" w:hAnsi="宋体" w:cs="宋体" w:eastAsia="宋体" w:hint="default"/>
                <w:sz w:val="18"/>
                <w:szCs w:val="18"/>
              </w:rPr>
            </w:pPr>
            <w:r>
              <w:rPr>
                <w:rFonts w:ascii="宋体"/>
                <w:sz w:val="18"/>
              </w:rPr>
              <w:t>38,483,861.71</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08" w:right="0"/>
              <w:jc w:val="left"/>
              <w:rPr>
                <w:rFonts w:ascii="宋体" w:hAnsi="宋体" w:cs="宋体" w:eastAsia="宋体" w:hint="default"/>
                <w:sz w:val="18"/>
                <w:szCs w:val="18"/>
              </w:rPr>
            </w:pPr>
            <w:r>
              <w:rPr>
                <w:rFonts w:ascii="宋体"/>
                <w:sz w:val="18"/>
              </w:rPr>
              <w:t>38,483,861.71</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8" w:right="0"/>
              <w:jc w:val="left"/>
              <w:rPr>
                <w:rFonts w:ascii="宋体" w:hAnsi="宋体" w:cs="宋体" w:eastAsia="宋体" w:hint="default"/>
                <w:sz w:val="18"/>
                <w:szCs w:val="18"/>
              </w:rPr>
            </w:pPr>
            <w:r>
              <w:rPr>
                <w:rFonts w:ascii="宋体"/>
                <w:sz w:val="18"/>
              </w:rPr>
              <w:t>38,483,861.71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7"/>
        <w:ind w:left="158" w:right="0"/>
        <w:jc w:val="left"/>
        <w:rPr>
          <w:b w:val="0"/>
          <w:bCs w:val="0"/>
        </w:rPr>
      </w:pPr>
      <w:r>
        <w:rPr>
          <w:rFonts w:ascii="宋体" w:hAnsi="宋体" w:cs="宋体" w:eastAsia="宋体" w:hint="default"/>
        </w:rPr>
        <w:t>24</w:t>
      </w:r>
      <w:r>
        <w:rPr/>
        <w:t>、</w:t>
      </w:r>
      <w:r>
        <w:rPr>
          <w:spacing w:val="-25"/>
        </w:rPr>
        <w:t> </w:t>
      </w:r>
      <w:r>
        <w:rPr/>
        <w:t>未分配利润</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2777"/>
        <w:gridCol w:w="2689"/>
      </w:tblGrid>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-793,479,337.48</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-794,086,109.50</w:t>
            </w:r>
          </w:p>
        </w:tc>
      </w:tr>
      <w:tr>
        <w:trPr>
          <w:trHeight w:val="56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-793,479,337.48</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-794,086,109.50</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5,131,893.00</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606,772.02</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-788,347,444.48</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-793,479,337.48</w:t>
            </w:r>
          </w:p>
        </w:tc>
      </w:tr>
    </w:tbl>
    <w:p>
      <w:pPr>
        <w:spacing w:after="0" w:line="208" w:lineRule="exact"/>
        <w:jc w:val="right"/>
        <w:rPr>
          <w:rFonts w:ascii="宋体" w:hAnsi="宋体" w:cs="宋体" w:eastAsia="宋体" w:hint="default"/>
          <w:sz w:val="18"/>
          <w:szCs w:val="18"/>
        </w:rPr>
        <w:sectPr>
          <w:pgSz w:w="11910" w:h="16840"/>
          <w:pgMar w:header="882" w:footer="1195" w:top="1120" w:bottom="1380" w:left="1640" w:right="1120"/>
        </w:sectPr>
      </w:pPr>
    </w:p>
    <w:p>
      <w:pPr>
        <w:spacing w:line="240" w:lineRule="auto" w:before="1"/>
        <w:rPr>
          <w:rFonts w:ascii="宋体" w:hAnsi="宋体" w:cs="宋体" w:eastAsia="宋体" w:hint="default"/>
          <w:sz w:val="25"/>
          <w:szCs w:val="25"/>
        </w:rPr>
      </w:pPr>
    </w:p>
    <w:p>
      <w:pPr>
        <w:pStyle w:val="Heading3"/>
        <w:spacing w:line="240" w:lineRule="auto" w:before="36"/>
        <w:ind w:right="2465"/>
        <w:jc w:val="left"/>
        <w:rPr>
          <w:b w:val="0"/>
          <w:bCs w:val="0"/>
        </w:rPr>
      </w:pPr>
      <w:r>
        <w:rPr>
          <w:rFonts w:ascii="宋体" w:hAnsi="宋体" w:cs="宋体" w:eastAsia="宋体" w:hint="default"/>
        </w:rPr>
        <w:t>25</w:t>
      </w:r>
      <w:r>
        <w:rPr/>
        <w:t>、</w:t>
      </w:r>
      <w:r>
        <w:rPr>
          <w:spacing w:val="-23"/>
        </w:rPr>
        <w:t> </w:t>
      </w:r>
      <w:r>
        <w:rPr/>
        <w:t>营业收入和营业成本</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3"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85,687,497.65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62,702,981.68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44,400,646.96</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32,178,887.29</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7,221,945.53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594,120.75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2,968,104.58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686,670.99</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92,909,443.18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63,297,102.43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47,368,751.54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32,865,558.28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7"/>
        <w:ind w:right="2465"/>
        <w:jc w:val="left"/>
        <w:rPr>
          <w:b w:val="0"/>
          <w:bCs w:val="0"/>
        </w:rPr>
      </w:pPr>
      <w:r>
        <w:rPr>
          <w:rFonts w:ascii="宋体" w:hAnsi="宋体" w:cs="宋体" w:eastAsia="宋体" w:hint="default"/>
        </w:rPr>
        <w:t>26</w:t>
      </w:r>
      <w:r>
        <w:rPr/>
        <w:t>、</w:t>
      </w:r>
      <w:r>
        <w:rPr>
          <w:spacing w:val="-24"/>
        </w:rPr>
        <w:t> </w:t>
      </w:r>
      <w:r>
        <w:rPr/>
        <w:t>营业税金及附加</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2,678,964.78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2,261,076.65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249,656.37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154,931.14</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181,838.66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113,095.98</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62,359.12</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21"/>
              <w:jc w:val="right"/>
              <w:rPr>
                <w:rFonts w:ascii="宋体" w:hAnsi="宋体" w:cs="宋体" w:eastAsia="宋体" w:hint="default"/>
                <w:sz w:val="18"/>
                <w:szCs w:val="18"/>
              </w:rPr>
            </w:pPr>
            <w:r>
              <w:rPr>
                <w:rFonts w:ascii="宋体"/>
                <w:spacing w:val="-1"/>
                <w:sz w:val="18"/>
              </w:rPr>
              <w:t>3,172,818.93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2,529,103.77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7"/>
        <w:ind w:right="2465"/>
        <w:jc w:val="left"/>
        <w:rPr>
          <w:b w:val="0"/>
          <w:bCs w:val="0"/>
        </w:rPr>
      </w:pPr>
      <w:r>
        <w:rPr>
          <w:rFonts w:ascii="宋体" w:hAnsi="宋体" w:cs="宋体" w:eastAsia="宋体" w:hint="default"/>
        </w:rPr>
        <w:t>27</w:t>
      </w:r>
      <w:r>
        <w:rPr/>
        <w:t>、</w:t>
      </w:r>
      <w:r>
        <w:rPr>
          <w:spacing w:val="-25"/>
        </w:rPr>
        <w:t> </w:t>
      </w:r>
      <w:r>
        <w:rPr/>
        <w:t>管理费用</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10,319,049.63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4,149,743.11</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1,861,827.46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496,666.64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558,892.81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1,305,952.05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9"/>
              <w:jc w:val="right"/>
              <w:rPr>
                <w:rFonts w:ascii="宋体" w:hAnsi="宋体" w:cs="宋体" w:eastAsia="宋体" w:hint="default"/>
                <w:sz w:val="21"/>
                <w:szCs w:val="21"/>
              </w:rPr>
            </w:pPr>
            <w:r>
              <w:rPr>
                <w:rFonts w:ascii="宋体" w:hAnsi="宋体" w:cs="宋体" w:eastAsia="宋体" w:hint="default"/>
                <w:spacing w:val="-1"/>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219,751.56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611,086.55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209,618.00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1,019,226.00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9"/>
              <w:jc w:val="right"/>
              <w:rPr>
                <w:rFonts w:ascii="宋体" w:hAnsi="宋体" w:cs="宋体" w:eastAsia="宋体" w:hint="default"/>
                <w:sz w:val="21"/>
                <w:szCs w:val="21"/>
              </w:rPr>
            </w:pPr>
            <w:r>
              <w:rPr>
                <w:rFonts w:ascii="宋体" w:hAnsi="宋体" w:cs="宋体" w:eastAsia="宋体" w:hint="default"/>
                <w:spacing w:val="-1"/>
                <w:sz w:val="21"/>
                <w:szCs w:val="21"/>
              </w:rPr>
              <w:t>审计评估费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622,109.40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574,512.90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会务费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17,108.00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141,948.70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107,906.24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65,294.74</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9"/>
              <w:jc w:val="right"/>
              <w:rPr>
                <w:rFonts w:ascii="宋体" w:hAnsi="宋体" w:cs="宋体" w:eastAsia="宋体" w:hint="default"/>
                <w:sz w:val="21"/>
                <w:szCs w:val="21"/>
              </w:rPr>
            </w:pPr>
            <w:r>
              <w:rPr>
                <w:rFonts w:ascii="宋体" w:hAnsi="宋体" w:cs="宋体" w:eastAsia="宋体" w:hint="default"/>
                <w:spacing w:val="-1"/>
                <w:sz w:val="21"/>
                <w:szCs w:val="21"/>
              </w:rPr>
              <w:t>车辆使用费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238,550.76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200,976.79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3,774,697.66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231,270.90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498,743.71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502,861.62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18,428,255.23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9,299,540.00</w:t>
            </w:r>
          </w:p>
        </w:tc>
      </w:tr>
    </w:tbl>
    <w:p>
      <w:pPr>
        <w:spacing w:line="240" w:lineRule="auto" w:before="7"/>
        <w:rPr>
          <w:rFonts w:ascii="宋体" w:hAnsi="宋体" w:cs="宋体" w:eastAsia="宋体" w:hint="default"/>
          <w:sz w:val="15"/>
          <w:szCs w:val="15"/>
        </w:rPr>
      </w:pPr>
    </w:p>
    <w:p>
      <w:pPr>
        <w:pStyle w:val="BodyText"/>
        <w:spacing w:line="240" w:lineRule="auto" w:before="36"/>
        <w:ind w:left="218" w:right="2465"/>
        <w:jc w:val="left"/>
      </w:pPr>
      <w:r>
        <w:rPr/>
        <w:t>其他说明：</w:t>
      </w:r>
    </w:p>
    <w:p>
      <w:pPr>
        <w:pStyle w:val="Heading3"/>
        <w:spacing w:line="355" w:lineRule="auto" w:before="116"/>
        <w:ind w:right="216" w:firstLine="419"/>
        <w:jc w:val="left"/>
        <w:rPr>
          <w:b w:val="0"/>
          <w:bCs w:val="0"/>
        </w:rPr>
      </w:pPr>
      <w:r>
        <w:rPr/>
        <w:t>管理费用本期发生额较上期发生额增加</w:t>
      </w:r>
      <w:r>
        <w:rPr>
          <w:spacing w:val="-44"/>
        </w:rPr>
        <w:t> </w:t>
      </w:r>
      <w:r>
        <w:rPr>
          <w:rFonts w:ascii="宋体" w:hAnsi="宋体" w:cs="宋体" w:eastAsia="宋体" w:hint="default"/>
        </w:rPr>
        <w:t>9,128,715.23</w:t>
      </w:r>
      <w:r>
        <w:rPr>
          <w:rFonts w:ascii="宋体" w:hAnsi="宋体" w:cs="宋体" w:eastAsia="宋体" w:hint="default"/>
          <w:spacing w:val="-45"/>
        </w:rPr>
        <w:t> </w:t>
      </w:r>
      <w:r>
        <w:rPr/>
        <w:t>元，增幅为</w:t>
      </w:r>
      <w:r>
        <w:rPr>
          <w:spacing w:val="-45"/>
        </w:rPr>
        <w:t> </w:t>
      </w:r>
      <w:r>
        <w:rPr>
          <w:rFonts w:ascii="宋体" w:hAnsi="宋体" w:cs="宋体" w:eastAsia="宋体" w:hint="default"/>
        </w:rPr>
        <w:t>98.16%</w:t>
      </w:r>
      <w:r>
        <w:rPr/>
        <w:t>，增加的原因主要</w:t>
      </w:r>
      <w:r>
        <w:rPr>
          <w:w w:val="100"/>
        </w:rPr>
        <w:t> </w:t>
      </w:r>
      <w:r>
        <w:rPr/>
        <w:t>是随着本期开展智慧城市业务，公司加大了人力和办公场所等系列投入。</w:t>
      </w:r>
      <w:r>
        <w:rPr>
          <w:b w:val="0"/>
          <w:bCs w:val="0"/>
        </w:rPr>
      </w:r>
    </w:p>
    <w:p>
      <w:pPr>
        <w:spacing w:after="0" w:line="355" w:lineRule="auto"/>
        <w:jc w:val="left"/>
        <w:sectPr>
          <w:pgSz w:w="11910" w:h="16840"/>
          <w:pgMar w:header="882" w:footer="1195" w:top="1120" w:bottom="1380" w:left="1580" w:right="1040"/>
        </w:sectPr>
      </w:pPr>
    </w:p>
    <w:p>
      <w:pPr>
        <w:spacing w:line="240" w:lineRule="auto" w:before="1"/>
        <w:rPr>
          <w:rFonts w:ascii="宋体" w:hAnsi="宋体" w:cs="宋体" w:eastAsia="宋体" w:hint="default"/>
          <w:b/>
          <w:bCs/>
          <w:sz w:val="25"/>
          <w:szCs w:val="25"/>
        </w:rPr>
      </w:pPr>
    </w:p>
    <w:p>
      <w:pPr>
        <w:spacing w:line="290" w:lineRule="auto" w:before="36"/>
        <w:ind w:left="218" w:right="7701" w:firstLine="0"/>
        <w:jc w:val="left"/>
        <w:rPr>
          <w:rFonts w:ascii="宋体" w:hAnsi="宋体" w:cs="宋体" w:eastAsia="宋体" w:hint="default"/>
          <w:sz w:val="21"/>
          <w:szCs w:val="21"/>
        </w:rPr>
      </w:pP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销售费用</w:t>
      </w:r>
      <w:r>
        <w:rPr>
          <w:rFonts w:ascii="宋体" w:hAnsi="宋体" w:cs="宋体" w:eastAsia="宋体" w:hint="default"/>
          <w:b/>
          <w:bCs/>
          <w:w w:val="100"/>
          <w:sz w:val="21"/>
          <w:szCs w:val="21"/>
        </w:rPr>
        <w:t> </w:t>
      </w:r>
      <w:r>
        <w:rPr>
          <w:rFonts w:ascii="宋体" w:hAnsi="宋体" w:cs="宋体" w:eastAsia="宋体" w:hint="default"/>
          <w:sz w:val="21"/>
          <w:szCs w:val="21"/>
        </w:rPr>
        <w:t>其他说明：</w:t>
      </w:r>
    </w:p>
    <w:p>
      <w:pPr>
        <w:pStyle w:val="BodyText"/>
        <w:spacing w:line="230" w:lineRule="auto" w:before="22"/>
        <w:ind w:left="218" w:right="230"/>
        <w:jc w:val="both"/>
      </w:pPr>
      <w:r>
        <w:rPr/>
        <w:t>公司</w:t>
      </w:r>
      <w:r>
        <w:rPr>
          <w:spacing w:val="-3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7"/>
        </w:rPr>
        <w:t> </w:t>
      </w:r>
      <w:r>
        <w:rPr>
          <w:spacing w:val="-4"/>
        </w:rPr>
        <w:t>年刚开始展开智慧城市业务，业务模式和组织架构还在不断的探索和调整中，管理人员</w:t>
      </w:r>
      <w:r>
        <w:rPr>
          <w:spacing w:val="-97"/>
        </w:rPr>
        <w:t> </w:t>
      </w:r>
      <w:r>
        <w:rPr>
          <w:spacing w:val="-97"/>
        </w:rPr>
      </w:r>
      <w:r>
        <w:rPr>
          <w:spacing w:val="-2"/>
        </w:rPr>
        <w:t>与销售人员并未严格区分工作职能，因此管理费用与销售费用未做区分，全部核算到管理费用。</w:t>
      </w:r>
      <w:r>
        <w:rPr>
          <w:spacing w:val="-25"/>
        </w:rPr>
        <w:t> </w:t>
      </w:r>
      <w:r>
        <w:rPr>
          <w:spacing w:val="-25"/>
        </w:rPr>
      </w:r>
      <w:r>
        <w:rPr/>
        <w:t>后期随着业务模式逐步成熟，组织结构进一步明郎，再严格区分管理与销售费用。</w:t>
      </w:r>
    </w:p>
    <w:p>
      <w:pPr>
        <w:spacing w:line="240" w:lineRule="auto" w:before="7"/>
        <w:rPr>
          <w:rFonts w:ascii="宋体" w:hAnsi="宋体" w:cs="宋体" w:eastAsia="宋体" w:hint="default"/>
          <w:sz w:val="22"/>
          <w:szCs w:val="22"/>
        </w:rPr>
      </w:pPr>
    </w:p>
    <w:p>
      <w:pPr>
        <w:pStyle w:val="Heading3"/>
        <w:spacing w:line="240" w:lineRule="auto" w:before="36"/>
        <w:ind w:right="2465"/>
        <w:jc w:val="left"/>
        <w:rPr>
          <w:b w:val="0"/>
          <w:bCs w:val="0"/>
        </w:rPr>
      </w:pPr>
      <w:r>
        <w:rPr>
          <w:rFonts w:ascii="宋体" w:hAnsi="宋体" w:cs="宋体" w:eastAsia="宋体" w:hint="default"/>
        </w:rPr>
        <w:t>29</w:t>
      </w:r>
      <w:r>
        <w:rPr/>
        <w:t>、</w:t>
      </w:r>
      <w:r>
        <w:rPr>
          <w:spacing w:val="-25"/>
        </w:rPr>
        <w:t> </w:t>
      </w:r>
      <w:r>
        <w:rPr/>
        <w:t>财务费用</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839,371.23</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-285,903.83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-247,364.20</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100,000.23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72,366.32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653,467.63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-174,997.88</w:t>
            </w:r>
          </w:p>
        </w:tc>
      </w:tr>
    </w:tbl>
    <w:p>
      <w:pPr>
        <w:spacing w:line="240" w:lineRule="auto" w:before="7"/>
        <w:rPr>
          <w:rFonts w:ascii="宋体" w:hAnsi="宋体" w:cs="宋体" w:eastAsia="宋体" w:hint="default"/>
          <w:sz w:val="15"/>
          <w:szCs w:val="15"/>
        </w:rPr>
      </w:pPr>
    </w:p>
    <w:p>
      <w:pPr>
        <w:pStyle w:val="BodyText"/>
        <w:spacing w:line="273" w:lineRule="exact" w:before="36"/>
        <w:ind w:left="218" w:right="2465"/>
        <w:jc w:val="left"/>
      </w:pPr>
      <w:r>
        <w:rPr/>
        <w:t>其他说明：</w:t>
      </w:r>
    </w:p>
    <w:p>
      <w:pPr>
        <w:pStyle w:val="Heading3"/>
        <w:spacing w:line="237" w:lineRule="auto"/>
        <w:ind w:right="96"/>
        <w:jc w:val="left"/>
        <w:rPr>
          <w:b w:val="0"/>
          <w:bCs w:val="0"/>
        </w:rPr>
      </w:pPr>
      <w:r>
        <w:rPr/>
        <w:t>财务费用本期发生额较上期发生额增加</w:t>
      </w:r>
      <w:r>
        <w:rPr>
          <w:spacing w:val="-54"/>
        </w:rPr>
        <w:t> </w:t>
      </w:r>
      <w:r>
        <w:rPr>
          <w:rFonts w:ascii="宋体" w:hAnsi="宋体" w:cs="宋体" w:eastAsia="宋体" w:hint="default"/>
        </w:rPr>
        <w:t>828,465.51</w:t>
      </w:r>
      <w:r>
        <w:rPr>
          <w:rFonts w:ascii="宋体" w:hAnsi="宋体" w:cs="宋体" w:eastAsia="宋体" w:hint="default"/>
          <w:spacing w:val="-54"/>
        </w:rPr>
        <w:t> </w:t>
      </w:r>
      <w:r>
        <w:rPr/>
        <w:t>元，增加的原因如本附注六（十九）所述，</w:t>
      </w:r>
      <w:r>
        <w:rPr>
          <w:w w:val="100"/>
        </w:rPr>
        <w:t> </w:t>
      </w:r>
      <w:r>
        <w:rPr>
          <w:spacing w:val="-1"/>
        </w:rPr>
        <w:t>本公司从经济实质上判断，将公司董事长顾国平先生对公司的无息借款按同期银行贷款利率根据</w:t>
      </w:r>
      <w:r>
        <w:rPr>
          <w:spacing w:val="-88"/>
        </w:rPr>
        <w:t> </w:t>
      </w:r>
      <w:r>
        <w:rPr>
          <w:spacing w:val="-88"/>
        </w:rPr>
      </w:r>
      <w:r>
        <w:rPr/>
        <w:t>实际占用天数计提利息</w:t>
      </w:r>
      <w:r>
        <w:rPr>
          <w:spacing w:val="-52"/>
        </w:rPr>
        <w:t> </w:t>
      </w:r>
      <w:r>
        <w:rPr>
          <w:rFonts w:ascii="宋体" w:hAnsi="宋体" w:cs="宋体" w:eastAsia="宋体" w:hint="default"/>
        </w:rPr>
        <w:t>839,371.23</w:t>
      </w:r>
      <w:r>
        <w:rPr>
          <w:rFonts w:ascii="宋体" w:hAnsi="宋体" w:cs="宋体" w:eastAsia="宋体" w:hint="default"/>
          <w:spacing w:val="-52"/>
        </w:rPr>
        <w:t> </w:t>
      </w:r>
      <w:r>
        <w:rPr/>
        <w:t>元作为视同捐赠处理计入资本公积。</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3"/>
        <w:spacing w:line="240" w:lineRule="auto" w:before="36"/>
        <w:ind w:right="-18"/>
        <w:jc w:val="left"/>
        <w:rPr>
          <w:b w:val="0"/>
          <w:bCs w:val="0"/>
        </w:rPr>
      </w:pPr>
      <w:r>
        <w:rPr>
          <w:rFonts w:ascii="宋体" w:hAnsi="宋体" w:cs="宋体" w:eastAsia="宋体" w:hint="default"/>
        </w:rPr>
        <w:t>30</w:t>
      </w:r>
      <w:r>
        <w:rPr/>
        <w:t>、</w:t>
      </w:r>
      <w:r>
        <w:rPr>
          <w:spacing w:val="-24"/>
        </w:rPr>
        <w:t> </w:t>
      </w:r>
      <w:r>
        <w:rPr/>
        <w:t>资产减值损失</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1,123,882.85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313,959.26</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1,123,882.85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313,959.26</w:t>
            </w:r>
          </w:p>
        </w:tc>
      </w:tr>
    </w:tbl>
    <w:p>
      <w:pPr>
        <w:pStyle w:val="BodyText"/>
        <w:spacing w:line="240" w:lineRule="auto" w:before="26"/>
        <w:ind w:left="218" w:right="2465"/>
        <w:jc w:val="left"/>
      </w:pPr>
      <w:r>
        <w:rPr/>
        <w:t>其他说明：</w:t>
      </w:r>
    </w:p>
    <w:p>
      <w:pPr>
        <w:pStyle w:val="Heading3"/>
        <w:spacing w:line="357" w:lineRule="auto" w:before="116"/>
        <w:ind w:right="222" w:firstLine="419"/>
        <w:jc w:val="left"/>
        <w:rPr>
          <w:b w:val="0"/>
          <w:bCs w:val="0"/>
        </w:rPr>
      </w:pPr>
      <w:r>
        <w:rPr/>
        <w:t>资产减值损失本期发生额较上期发生额增加</w:t>
      </w:r>
      <w:r>
        <w:rPr>
          <w:spacing w:val="-53"/>
        </w:rPr>
        <w:t> </w:t>
      </w:r>
      <w:r>
        <w:rPr>
          <w:rFonts w:ascii="宋体" w:hAnsi="宋体" w:cs="宋体" w:eastAsia="宋体" w:hint="default"/>
        </w:rPr>
        <w:t>809,923.59</w:t>
      </w:r>
      <w:r>
        <w:rPr>
          <w:rFonts w:ascii="宋体" w:hAnsi="宋体" w:cs="宋体" w:eastAsia="宋体" w:hint="default"/>
          <w:spacing w:val="-52"/>
        </w:rPr>
        <w:t> </w:t>
      </w:r>
      <w:r>
        <w:rPr>
          <w:spacing w:val="-9"/>
        </w:rPr>
        <w:t>元，增幅为</w:t>
      </w:r>
      <w:r>
        <w:rPr>
          <w:spacing w:val="-53"/>
        </w:rPr>
        <w:t> </w:t>
      </w:r>
      <w:r>
        <w:rPr>
          <w:rFonts w:ascii="宋体" w:hAnsi="宋体" w:cs="宋体" w:eastAsia="宋体" w:hint="default"/>
          <w:spacing w:val="-3"/>
        </w:rPr>
        <w:t>257.97%</w:t>
      </w:r>
      <w:r>
        <w:rPr>
          <w:spacing w:val="-3"/>
        </w:rPr>
        <w:t>，原因主要是受</w:t>
      </w:r>
      <w:r>
        <w:rPr>
          <w:w w:val="100"/>
        </w:rPr>
        <w:t> </w:t>
      </w:r>
      <w:r>
        <w:rPr/>
        <w:t>期末应收账款、其他应收款余额及账龄的影响，计提的坏账准备相应增加。</w:t>
      </w:r>
      <w:r>
        <w:rPr>
          <w:b w:val="0"/>
          <w:bCs w:val="0"/>
        </w:rPr>
      </w:r>
    </w:p>
    <w:p>
      <w:pPr>
        <w:spacing w:after="0" w:line="357" w:lineRule="auto"/>
        <w:jc w:val="left"/>
        <w:sectPr>
          <w:type w:val="continuous"/>
          <w:pgSz w:w="11910" w:h="16840"/>
          <w:pgMar w:top="1120" w:bottom="1380" w:left="1580" w:right="1040"/>
        </w:sectPr>
      </w:pPr>
    </w:p>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before="36"/>
        <w:ind w:right="-18"/>
        <w:jc w:val="left"/>
        <w:rPr>
          <w:b w:val="0"/>
          <w:bCs w:val="0"/>
        </w:rPr>
      </w:pPr>
      <w:r>
        <w:rPr>
          <w:rFonts w:ascii="宋体" w:hAnsi="宋体" w:cs="宋体" w:eastAsia="宋体" w:hint="default"/>
        </w:rPr>
        <w:t>31</w:t>
      </w:r>
      <w:r>
        <w:rPr/>
        <w:t>、</w:t>
      </w:r>
      <w:r>
        <w:rPr>
          <w:spacing w:val="-25"/>
        </w:rPr>
        <w:t> </w:t>
      </w:r>
      <w:r>
        <w:rPr/>
        <w:t>投资收益</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6"/>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14,469.04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495,618.61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14,469.04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495,618.61</w:t>
            </w:r>
          </w:p>
        </w:tc>
      </w:tr>
    </w:tbl>
    <w:p>
      <w:pPr>
        <w:spacing w:line="240" w:lineRule="auto" w:before="13"/>
        <w:rPr>
          <w:rFonts w:ascii="宋体" w:hAnsi="宋体" w:cs="宋体" w:eastAsia="宋体" w:hint="default"/>
          <w:sz w:val="19"/>
          <w:szCs w:val="19"/>
        </w:rPr>
      </w:pPr>
    </w:p>
    <w:p>
      <w:pPr>
        <w:pStyle w:val="Heading3"/>
        <w:spacing w:line="240" w:lineRule="auto" w:before="36"/>
        <w:ind w:right="2465"/>
        <w:jc w:val="left"/>
        <w:rPr>
          <w:b w:val="0"/>
          <w:bCs w:val="0"/>
        </w:rPr>
      </w:pPr>
      <w:r>
        <w:rPr>
          <w:rFonts w:ascii="宋体" w:hAnsi="宋体" w:cs="宋体" w:eastAsia="宋体" w:hint="default"/>
        </w:rPr>
        <w:t>32</w:t>
      </w:r>
      <w:r>
        <w:rPr/>
        <w:t>、</w:t>
      </w:r>
      <w:r>
        <w:rPr>
          <w:spacing w:val="-25"/>
        </w:rPr>
        <w:t> </w:t>
      </w:r>
      <w:r>
        <w:rPr/>
        <w:t>营业外收入</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6,040.80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6,040.80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113,300.00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113,300.00</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23,509.08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50,726.02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23,509.08</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136,809.08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98,766.82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136,809.08</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4" w:lineRule="exact" w:before="36"/>
        <w:ind w:left="218" w:right="0"/>
        <w:jc w:val="left"/>
      </w:pPr>
      <w:r>
        <w:rPr>
          <w:spacing w:val="-2"/>
        </w:rPr>
        <w:t>计入当期损益的政府补助</w:t>
      </w:r>
    </w:p>
    <w:p>
      <w:pPr>
        <w:pStyle w:val="BodyText"/>
        <w:spacing w:line="274"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6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0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0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杭州市西湖区人民政</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8" w:right="0"/>
              <w:jc w:val="left"/>
              <w:rPr>
                <w:rFonts w:ascii="宋体" w:hAnsi="宋体" w:cs="宋体" w:eastAsia="宋体" w:hint="default"/>
                <w:sz w:val="21"/>
                <w:szCs w:val="21"/>
              </w:rPr>
            </w:pPr>
            <w:r>
              <w:rPr>
                <w:rFonts w:ascii="宋体"/>
                <w:sz w:val="21"/>
              </w:rPr>
              <w:t>32,000.00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6" w:right="0"/>
              <w:jc w:val="left"/>
              <w:rPr>
                <w:rFonts w:ascii="宋体" w:hAnsi="宋体" w:cs="宋体" w:eastAsia="宋体" w:hint="default"/>
                <w:sz w:val="21"/>
                <w:szCs w:val="21"/>
              </w:rPr>
            </w:pPr>
            <w:r>
              <w:rPr>
                <w:rFonts w:ascii="宋体"/>
                <w:sz w:val="21"/>
              </w:rPr>
              <w:t>22,000.00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3"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5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府灵隐街道办事处奖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励</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长沙县物业管理办公室居</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里</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年物业服务奖金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建德市财政局物业补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81,300.00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113,300.00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42,000.00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3"/>
        <w:spacing w:line="240" w:lineRule="auto" w:before="36"/>
        <w:ind w:right="2465"/>
        <w:jc w:val="left"/>
        <w:rPr>
          <w:b w:val="0"/>
          <w:bCs w:val="0"/>
        </w:rPr>
      </w:pPr>
      <w:r>
        <w:rPr>
          <w:rFonts w:ascii="宋体" w:hAnsi="宋体" w:cs="宋体" w:eastAsia="宋体" w:hint="default"/>
        </w:rPr>
        <w:t>33</w:t>
      </w:r>
      <w:r>
        <w:rPr/>
        <w:t>、</w:t>
      </w:r>
      <w:r>
        <w:rPr>
          <w:spacing w:val="-25"/>
        </w:rPr>
        <w:t> </w:t>
      </w:r>
      <w:r>
        <w:rPr/>
        <w:t>营业外支出</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53,980.27</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53,980.27</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47,006.31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709,432.23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47,006.31</w:t>
            </w: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100,986.58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709,432.23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100,986.58</w:t>
            </w:r>
          </w:p>
        </w:tc>
      </w:tr>
    </w:tbl>
    <w:p>
      <w:pPr>
        <w:pStyle w:val="BodyText"/>
        <w:spacing w:line="240" w:lineRule="auto" w:before="26"/>
        <w:ind w:left="218" w:right="2465"/>
        <w:jc w:val="left"/>
      </w:pPr>
      <w:r>
        <w:rPr/>
        <w:t>其他说明：</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72"/>
          <w:pgSz w:w="11910" w:h="16840"/>
          <w:pgMar w:footer="1195" w:header="882" w:top="1120" w:bottom="1380" w:left="1580" w:right="1040"/>
        </w:sectPr>
      </w:pPr>
    </w:p>
    <w:p>
      <w:pPr>
        <w:pStyle w:val="Heading3"/>
        <w:spacing w:line="290" w:lineRule="auto" w:before="36"/>
        <w:ind w:right="-20"/>
        <w:jc w:val="left"/>
        <w:rPr>
          <w:b w:val="0"/>
          <w:bCs w:val="0"/>
        </w:rPr>
      </w:pPr>
      <w:r>
        <w:rPr>
          <w:rFonts w:ascii="宋体" w:hAnsi="宋体" w:cs="宋体" w:eastAsia="宋体" w:hint="default"/>
        </w:rPr>
        <w:t>34</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5"/>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9"/>
        <w:gridCol w:w="2876"/>
        <w:gridCol w:w="2861"/>
      </w:tblGrid>
      <w:tr>
        <w:trPr>
          <w:trHeight w:val="293"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1,279,564.26</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1,861,658.39</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-121,835.98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-47,889.10</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
        </w:tc>
        <w:tc>
          <w:tcPr>
            <w:tcW w:w="2876"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59" w:type="dxa"/>
            <w:tcBorders>
              <w:top w:val="single" w:sz="6" w:space="0" w:color="000000"/>
              <w:left w:val="single" w:sz="6" w:space="0" w:color="000000"/>
              <w:bottom w:val="single" w:sz="6" w:space="0" w:color="000000"/>
              <w:right w:val="single" w:sz="6" w:space="0" w:color="000000"/>
            </w:tcBorders>
          </w:tcPr>
          <w:p>
            <w:pPr/>
          </w:p>
        </w:tc>
        <w:tc>
          <w:tcPr>
            <w:tcW w:w="2876"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1,157,728.28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1,813,769.29</w:t>
            </w:r>
          </w:p>
        </w:tc>
      </w:tr>
    </w:tbl>
    <w:p>
      <w:pPr>
        <w:spacing w:line="240" w:lineRule="auto" w:before="2"/>
        <w:rPr>
          <w:rFonts w:ascii="宋体" w:hAnsi="宋体" w:cs="宋体" w:eastAsia="宋体" w:hint="default"/>
          <w:sz w:val="20"/>
          <w:szCs w:val="20"/>
        </w:rPr>
      </w:pPr>
    </w:p>
    <w:p>
      <w:pPr>
        <w:pStyle w:val="Heading3"/>
        <w:spacing w:line="240" w:lineRule="auto" w:before="36"/>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301"/>
        <w:gridCol w:w="4592"/>
      </w:tblGrid>
      <w:tr>
        <w:trPr>
          <w:trHeight w:val="281"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6,284,207.65</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1,571,051.92</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203,523.30</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-1,166,997.57</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301"/>
        <w:gridCol w:w="4592"/>
      </w:tblGrid>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550,150.63</w:t>
            </w:r>
          </w:p>
        </w:tc>
      </w:tr>
      <w:tr>
        <w:trPr>
          <w:trHeight w:val="288" w:hRule="exact"/>
        </w:trPr>
        <w:tc>
          <w:tcPr>
            <w:tcW w:w="4301" w:type="dxa"/>
            <w:tcBorders>
              <w:top w:val="single" w:sz="4" w:space="0" w:color="000000"/>
              <w:left w:val="single" w:sz="6" w:space="0" w:color="000000"/>
              <w:bottom w:val="single" w:sz="6" w:space="0" w:color="000000"/>
              <w:right w:val="single" w:sz="6" w:space="0" w:color="000000"/>
            </w:tcBorders>
          </w:tcPr>
          <w:p>
            <w:pPr/>
          </w:p>
        </w:tc>
        <w:tc>
          <w:tcPr>
            <w:tcW w:w="45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01" w:type="dxa"/>
            <w:tcBorders>
              <w:top w:val="single" w:sz="6" w:space="0" w:color="000000"/>
              <w:left w:val="single" w:sz="6" w:space="0" w:color="000000"/>
              <w:bottom w:val="single" w:sz="6" w:space="0" w:color="000000"/>
              <w:right w:val="single" w:sz="6" w:space="0" w:color="000000"/>
            </w:tcBorders>
          </w:tcPr>
          <w:p>
            <w:pPr/>
          </w:p>
        </w:tc>
        <w:tc>
          <w:tcPr>
            <w:tcW w:w="45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1,157,728.28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290" w:lineRule="auto" w:before="36"/>
        <w:ind w:left="158" w:right="7199" w:firstLine="0"/>
        <w:jc w:val="left"/>
        <w:rPr>
          <w:rFonts w:ascii="宋体" w:hAnsi="宋体" w:cs="宋体" w:eastAsia="宋体" w:hint="default"/>
          <w:sz w:val="21"/>
          <w:szCs w:val="21"/>
        </w:rPr>
      </w:pPr>
      <w:r>
        <w:rPr>
          <w:rFonts w:ascii="宋体" w:hAnsi="宋体" w:cs="宋体" w:eastAsia="宋体" w:hint="default"/>
          <w:b/>
          <w:bCs/>
          <w:sz w:val="21"/>
          <w:szCs w:val="21"/>
        </w:rPr>
        <w:t>35</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详见附注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73"/>
          <w:pgSz w:w="11910" w:h="16840"/>
          <w:pgMar w:footer="1195" w:header="882" w:top="1120" w:bottom="1380" w:left="1640" w:right="1120"/>
          <w:pgNumType w:start="111"/>
        </w:sectPr>
      </w:pPr>
    </w:p>
    <w:p>
      <w:pPr>
        <w:pStyle w:val="Heading3"/>
        <w:spacing w:line="240" w:lineRule="auto" w:before="36"/>
        <w:ind w:left="158" w:right="-2"/>
        <w:jc w:val="left"/>
        <w:rPr>
          <w:b w:val="0"/>
          <w:bCs w:val="0"/>
        </w:rPr>
      </w:pPr>
      <w:r>
        <w:rPr>
          <w:rFonts w:ascii="宋体" w:hAnsi="宋体" w:cs="宋体" w:eastAsia="宋体" w:hint="default"/>
        </w:rPr>
        <w:t>36</w:t>
      </w:r>
      <w:r>
        <w:rPr/>
        <w:t>、</w:t>
      </w:r>
      <w:r>
        <w:rPr>
          <w:spacing w:val="-24"/>
        </w:rPr>
        <w:t> </w:t>
      </w:r>
      <w:r>
        <w:rPr/>
        <w:t>现金流量表项目</w:t>
      </w:r>
      <w:r>
        <w:rPr>
          <w:b w:val="0"/>
          <w:bCs w:val="0"/>
        </w:rPr>
      </w:r>
    </w:p>
    <w:p>
      <w:pPr>
        <w:pStyle w:val="Heading3"/>
        <w:tabs>
          <w:tab w:pos="858" w:val="left" w:leader="none"/>
        </w:tabs>
        <w:spacing w:line="240" w:lineRule="auto" w:before="58"/>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7"/>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80"/>
        <w:gridCol w:w="2768"/>
      </w:tblGrid>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285,903.83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247,364.20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113,300.00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42,000.00</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收顾国平保证金</w:t>
            </w:r>
          </w:p>
        </w:tc>
        <w:tc>
          <w:tcPr>
            <w:tcW w:w="2780" w:type="dxa"/>
            <w:tcBorders>
              <w:top w:val="single" w:sz="6" w:space="0" w:color="000000"/>
              <w:left w:val="single" w:sz="6"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收到上海斐讯数据通信技术有限公司款</w:t>
            </w:r>
          </w:p>
        </w:tc>
        <w:tc>
          <w:tcPr>
            <w:tcW w:w="2780" w:type="dxa"/>
            <w:tcBorders>
              <w:top w:val="single" w:sz="6" w:space="0" w:color="000000"/>
              <w:left w:val="single" w:sz="6"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20,000,000.00</w:t>
            </w:r>
          </w:p>
        </w:tc>
      </w:tr>
      <w:tr>
        <w:trPr>
          <w:trHeight w:val="254"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往来款及其他</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4"/>
              <w:jc w:val="right"/>
              <w:rPr>
                <w:rFonts w:ascii="宋体" w:hAnsi="宋体" w:cs="宋体" w:eastAsia="宋体" w:hint="default"/>
                <w:sz w:val="18"/>
                <w:szCs w:val="18"/>
              </w:rPr>
            </w:pPr>
            <w:r>
              <w:rPr>
                <w:rFonts w:ascii="宋体"/>
                <w:spacing w:val="-1"/>
                <w:sz w:val="18"/>
              </w:rPr>
              <w:t>2,763,404.96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12,363,744.39</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3,162,608.79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37,653,108.59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tabs>
          <w:tab w:pos="858" w:val="left" w:leader="none"/>
        </w:tabs>
        <w:spacing w:line="240" w:lineRule="auto" w:before="36"/>
        <w:ind w:left="15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8,800,730.62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4,912,563.98</w:t>
            </w:r>
          </w:p>
        </w:tc>
      </w:tr>
      <w:tr>
        <w:trPr>
          <w:trHeight w:val="55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还上海斐讯数据通信技术有限公司</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款</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20,000,000.00</w:t>
            </w:r>
          </w:p>
        </w:tc>
        <w:tc>
          <w:tcPr>
            <w:tcW w:w="27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还浙江郡原地产股份有限公司款</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8,372,521.73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30,000,000.00</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往来款及其他</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7,874,047.44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10,330,431.96</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45,047,299.79</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45,242,995.94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3"/>
        <w:tabs>
          <w:tab w:pos="885" w:val="left" w:leader="none"/>
        </w:tabs>
        <w:spacing w:line="240" w:lineRule="auto" w:before="36"/>
        <w:ind w:left="158" w:right="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1" w:val="left" w:leader="none"/>
        </w:tabs>
        <w:spacing w:line="240" w:lineRule="auto" w:before="56"/>
        <w:ind w:left="0" w:right="150"/>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t>收回的银行理财产品本金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79,000,000.00</w:t>
            </w:r>
          </w:p>
        </w:tc>
      </w:tr>
      <w:tr>
        <w:trPr>
          <w:trHeight w:val="25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4" w:right="0"/>
              <w:jc w:val="left"/>
              <w:rPr>
                <w:rFonts w:ascii="宋体" w:hAnsi="宋体" w:cs="宋体" w:eastAsia="宋体" w:hint="default"/>
                <w:sz w:val="18"/>
                <w:szCs w:val="18"/>
              </w:rPr>
            </w:pPr>
            <w:r>
              <w:rPr>
                <w:rFonts w:ascii="宋体" w:hAnsi="宋体" w:cs="宋体" w:eastAsia="宋体" w:hint="default"/>
                <w:sz w:val="18"/>
                <w:szCs w:val="18"/>
              </w:rPr>
              <w:t>收到的银行理财产品收益</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51,780.82</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458,306.83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51,780.82</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79,458,306.83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885" w:val="left" w:leader="none"/>
        </w:tabs>
        <w:spacing w:line="240" w:lineRule="auto" w:before="167"/>
        <w:ind w:left="158" w:right="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购买的银行理财产品本金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76" w:right="0"/>
              <w:jc w:val="left"/>
              <w:rPr>
                <w:rFonts w:ascii="宋体" w:hAnsi="宋体" w:cs="宋体" w:eastAsia="宋体" w:hint="default"/>
                <w:sz w:val="18"/>
                <w:szCs w:val="18"/>
              </w:rPr>
            </w:pPr>
            <w:r>
              <w:rPr>
                <w:rFonts w:ascii="宋体"/>
                <w:sz w:val="18"/>
              </w:rPr>
              <w:t>79,000,000.00</w:t>
            </w:r>
          </w:p>
        </w:tc>
      </w:tr>
    </w:tbl>
    <w:p>
      <w:pPr>
        <w:spacing w:after="0" w:line="205" w:lineRule="exact"/>
        <w:jc w:val="left"/>
        <w:rPr>
          <w:rFonts w:ascii="宋体" w:hAnsi="宋体" w:cs="宋体" w:eastAsia="宋体" w:hint="default"/>
          <w:sz w:val="18"/>
          <w:szCs w:val="18"/>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76" w:right="0"/>
              <w:jc w:val="left"/>
              <w:rPr>
                <w:rFonts w:ascii="宋体" w:hAnsi="宋体" w:cs="宋体" w:eastAsia="宋体" w:hint="default"/>
                <w:sz w:val="18"/>
                <w:szCs w:val="18"/>
              </w:rPr>
            </w:pPr>
            <w:r>
              <w:rPr>
                <w:rFonts w:ascii="宋体"/>
                <w:sz w:val="18"/>
              </w:rPr>
              <w:t>79,000,000.00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1057" w:val="left" w:leader="none"/>
        </w:tabs>
        <w:spacing w:line="240" w:lineRule="auto" w:before="167"/>
        <w:ind w:right="2465"/>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收到股东个人借款（顾国平）</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132,000,000.00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132,000,000.00</w:t>
            </w:r>
          </w:p>
        </w:tc>
        <w:tc>
          <w:tcPr>
            <w:tcW w:w="26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left="218" w:right="2465"/>
        <w:jc w:val="left"/>
      </w:pPr>
      <w:r>
        <w:rPr/>
        <w:t>收到的其他与筹资活动有关的现金说明：</w:t>
      </w:r>
    </w:p>
    <w:p>
      <w:pPr>
        <w:pStyle w:val="BodyText"/>
        <w:spacing w:line="281" w:lineRule="exact" w:before="59"/>
        <w:ind w:left="218" w:right="96"/>
        <w:jc w:val="left"/>
      </w:pPr>
      <w:r>
        <w:rPr>
          <w:rFonts w:ascii="Times New Roman" w:hAnsi="Times New Roman" w:cs="Times New Roman" w:eastAsia="Times New Roman" w:hint="default"/>
          <w:w w:val="100"/>
        </w:rPr>
        <w:t>2014</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rPr>
        <w:t> </w:t>
      </w:r>
      <w:r>
        <w:rPr>
          <w:w w:val="100"/>
        </w:rPr>
        <w:t>日</w:t>
      </w:r>
      <w:r>
        <w:rPr>
          <w:spacing w:val="-85"/>
          <w:w w:val="100"/>
        </w:rPr>
        <w:t>，</w:t>
      </w:r>
      <w:r>
        <w:rPr>
          <w:spacing w:val="-3"/>
          <w:w w:val="100"/>
        </w:rPr>
        <w:t>公</w:t>
      </w:r>
      <w:r>
        <w:rPr>
          <w:w w:val="100"/>
        </w:rPr>
        <w:t>司</w:t>
      </w:r>
      <w:r>
        <w:rPr>
          <w:spacing w:val="-52"/>
        </w:rPr>
        <w:t> </w:t>
      </w:r>
      <w:r>
        <w:rPr>
          <w:rFonts w:ascii="Times New Roman" w:hAnsi="Times New Roman" w:cs="Times New Roman" w:eastAsia="Times New Roman" w:hint="default"/>
          <w:spacing w:val="-3"/>
          <w:w w:val="100"/>
        </w:rPr>
        <w:t>20</w:t>
      </w:r>
      <w:r>
        <w:rPr>
          <w:rFonts w:ascii="Times New Roman" w:hAnsi="Times New Roman" w:cs="Times New Roman" w:eastAsia="Times New Roman" w:hint="default"/>
          <w:w w:val="100"/>
        </w:rPr>
        <w:t>14</w:t>
      </w:r>
      <w:r>
        <w:rPr>
          <w:rFonts w:ascii="Times New Roman" w:hAnsi="Times New Roman" w:cs="Times New Roman" w:eastAsia="Times New Roman" w:hint="default"/>
        </w:rPr>
        <w:t> </w:t>
      </w:r>
      <w:r>
        <w:rPr>
          <w:spacing w:val="-3"/>
          <w:w w:val="100"/>
        </w:rPr>
        <w:t>年</w:t>
      </w:r>
      <w:r>
        <w:rPr>
          <w:w w:val="100"/>
        </w:rPr>
        <w:t>第</w:t>
      </w:r>
      <w:r>
        <w:rPr>
          <w:spacing w:val="-3"/>
          <w:w w:val="100"/>
        </w:rPr>
        <w:t>三</w:t>
      </w:r>
      <w:r>
        <w:rPr>
          <w:w w:val="100"/>
        </w:rPr>
        <w:t>次</w:t>
      </w:r>
      <w:r>
        <w:rPr>
          <w:spacing w:val="-3"/>
          <w:w w:val="100"/>
        </w:rPr>
        <w:t>临</w:t>
      </w:r>
      <w:r>
        <w:rPr>
          <w:w w:val="100"/>
        </w:rPr>
        <w:t>时</w:t>
      </w:r>
      <w:r>
        <w:rPr>
          <w:spacing w:val="-3"/>
          <w:w w:val="100"/>
        </w:rPr>
        <w:t>股</w:t>
      </w:r>
      <w:r>
        <w:rPr>
          <w:w w:val="100"/>
        </w:rPr>
        <w:t>东</w:t>
      </w:r>
      <w:r>
        <w:rPr>
          <w:spacing w:val="-3"/>
          <w:w w:val="100"/>
        </w:rPr>
        <w:t>大会</w:t>
      </w:r>
      <w:r>
        <w:rPr>
          <w:w w:val="100"/>
        </w:rPr>
        <w:t>审议</w:t>
      </w:r>
      <w:r>
        <w:rPr>
          <w:spacing w:val="-3"/>
          <w:w w:val="100"/>
        </w:rPr>
        <w:t>通</w:t>
      </w:r>
      <w:r>
        <w:rPr>
          <w:spacing w:val="-85"/>
          <w:w w:val="100"/>
        </w:rPr>
        <w:t>过</w:t>
      </w:r>
      <w:r>
        <w:rPr>
          <w:spacing w:val="-3"/>
          <w:w w:val="100"/>
        </w:rPr>
        <w:t>《</w:t>
      </w:r>
      <w:r>
        <w:rPr>
          <w:w w:val="100"/>
        </w:rPr>
        <w:t>关</w:t>
      </w:r>
      <w:r>
        <w:rPr>
          <w:spacing w:val="-3"/>
          <w:w w:val="100"/>
        </w:rPr>
        <w:t>于</w:t>
      </w:r>
      <w:r>
        <w:rPr>
          <w:w w:val="100"/>
        </w:rPr>
        <w:t>公</w:t>
      </w:r>
      <w:r>
        <w:rPr>
          <w:spacing w:val="-3"/>
          <w:w w:val="100"/>
        </w:rPr>
        <w:t>司</w:t>
      </w:r>
      <w:r>
        <w:rPr>
          <w:w w:val="100"/>
        </w:rPr>
        <w:t>向</w:t>
      </w:r>
      <w:r>
        <w:rPr>
          <w:spacing w:val="-3"/>
          <w:w w:val="100"/>
        </w:rPr>
        <w:t>关联</w:t>
      </w:r>
      <w:r>
        <w:rPr>
          <w:w w:val="100"/>
        </w:rPr>
        <w:t>方借</w:t>
      </w:r>
      <w:r>
        <w:rPr>
          <w:spacing w:val="-3"/>
          <w:w w:val="100"/>
        </w:rPr>
        <w:t>款</w:t>
      </w:r>
      <w:r>
        <w:rPr>
          <w:w w:val="100"/>
        </w:rPr>
        <w:t>的</w:t>
      </w:r>
      <w:r>
        <w:rPr>
          <w:spacing w:val="-3"/>
          <w:w w:val="100"/>
        </w:rPr>
        <w:t>议</w:t>
      </w:r>
      <w:r>
        <w:rPr>
          <w:w w:val="100"/>
        </w:rPr>
        <w:t>案</w:t>
      </w:r>
      <w:r>
        <w:rPr>
          <w:spacing w:val="-87"/>
          <w:w w:val="100"/>
        </w:rPr>
        <w:t>》</w:t>
      </w:r>
      <w:r>
        <w:rPr>
          <w:w w:val="100"/>
        </w:rPr>
        <w:t>，</w:t>
      </w:r>
    </w:p>
    <w:p>
      <w:pPr>
        <w:pStyle w:val="BodyText"/>
        <w:spacing w:line="272" w:lineRule="exact"/>
        <w:ind w:left="218" w:right="96"/>
        <w:jc w:val="left"/>
      </w:pPr>
      <w:r>
        <w:rPr/>
        <w:t>同意公司向关联方顾国平先生或其指定的第三方申请总金额不超过人民币</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亿元的无息借款，借</w:t>
      </w:r>
    </w:p>
    <w:p>
      <w:pPr>
        <w:pStyle w:val="BodyText"/>
        <w:spacing w:line="272" w:lineRule="exact"/>
        <w:ind w:left="218" w:right="96"/>
        <w:jc w:val="left"/>
      </w:pPr>
      <w:r>
        <w:rPr/>
        <w:t>款期限为</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个月。其中，不超过人民币</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亿元的借款将用于补充公司日常经营所需流动资金，不</w:t>
      </w:r>
    </w:p>
    <w:p>
      <w:pPr>
        <w:pStyle w:val="BodyText"/>
        <w:spacing w:line="272" w:lineRule="exact"/>
        <w:ind w:left="218" w:right="96"/>
        <w:jc w:val="left"/>
      </w:pPr>
      <w:r>
        <w:rPr/>
        <w:t>超过人民币</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亿元的借款将用于对公司全资子公司南宁市智诚合讯信息技术有限公司进行增资。</w:t>
      </w:r>
    </w:p>
    <w:p>
      <w:pPr>
        <w:pStyle w:val="BodyText"/>
        <w:spacing w:line="272" w:lineRule="exact"/>
        <w:ind w:left="218" w:right="96"/>
        <w:jc w:val="left"/>
      </w:pPr>
      <w:r>
        <w:rPr/>
        <w:t>截至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年年底，公司已向顾国平先生借款人民币</w:t>
      </w:r>
      <w:r>
        <w:rPr>
          <w:spacing w:val="-56"/>
        </w:rPr>
        <w:t> </w:t>
      </w:r>
      <w:r>
        <w:rPr>
          <w:rFonts w:ascii="Times New Roman" w:hAnsi="Times New Roman" w:cs="Times New Roman" w:eastAsia="Times New Roman" w:hint="default"/>
        </w:rPr>
        <w:t>13,200</w:t>
      </w:r>
      <w:r>
        <w:rPr>
          <w:rFonts w:ascii="Times New Roman" w:hAnsi="Times New Roman" w:cs="Times New Roman" w:eastAsia="Times New Roman" w:hint="default"/>
          <w:spacing w:val="-4"/>
        </w:rPr>
        <w:t> </w:t>
      </w:r>
      <w:r>
        <w:rPr/>
        <w:t>万元，其中尚未偿还的借款金额为人</w:t>
      </w:r>
    </w:p>
    <w:p>
      <w:pPr>
        <w:pStyle w:val="BodyText"/>
        <w:spacing w:line="272" w:lineRule="exact"/>
        <w:ind w:left="218" w:right="96"/>
        <w:jc w:val="left"/>
      </w:pPr>
      <w:r>
        <w:rPr/>
        <w:t>民币</w:t>
      </w:r>
      <w:r>
        <w:rPr>
          <w:spacing w:val="-54"/>
        </w:rPr>
        <w:t> </w:t>
      </w:r>
      <w:r>
        <w:rPr>
          <w:rFonts w:ascii="Times New Roman" w:hAnsi="Times New Roman" w:cs="Times New Roman" w:eastAsia="Times New Roman" w:hint="default"/>
        </w:rPr>
        <w:t>8,200</w:t>
      </w:r>
      <w:r>
        <w:rPr>
          <w:rFonts w:ascii="Times New Roman" w:hAnsi="Times New Roman" w:cs="Times New Roman" w:eastAsia="Times New Roman" w:hint="default"/>
          <w:spacing w:val="-4"/>
        </w:rPr>
        <w:t> </w:t>
      </w:r>
      <w:r>
        <w:rPr/>
        <w:t>万元。为支持公司发展，改善公司经营状况，顾国平先生决定豁免公司对其负有之部</w:t>
      </w:r>
    </w:p>
    <w:p>
      <w:pPr>
        <w:pStyle w:val="BodyText"/>
        <w:spacing w:line="272" w:lineRule="exact"/>
        <w:ind w:left="218" w:right="96"/>
        <w:jc w:val="left"/>
        <w:rPr>
          <w:rFonts w:ascii="Times New Roman" w:hAnsi="Times New Roman" w:cs="Times New Roman" w:eastAsia="Times New Roman" w:hint="default"/>
        </w:rPr>
      </w:pPr>
      <w:r>
        <w:rPr/>
        <w:t>分债务，豁免债务金额为人民币</w:t>
      </w:r>
      <w:r>
        <w:rPr>
          <w:spacing w:val="-56"/>
        </w:rPr>
        <w:t> </w:t>
      </w:r>
      <w:r>
        <w:rPr>
          <w:rFonts w:ascii="Times New Roman" w:hAnsi="Times New Roman" w:cs="Times New Roman" w:eastAsia="Times New Roman" w:hint="default"/>
        </w:rPr>
        <w:t>2,500</w:t>
      </w:r>
      <w:r>
        <w:rPr>
          <w:rFonts w:ascii="Times New Roman" w:hAnsi="Times New Roman" w:cs="Times New Roman" w:eastAsia="Times New Roman" w:hint="default"/>
          <w:spacing w:val="-3"/>
        </w:rPr>
        <w:t> </w:t>
      </w:r>
      <w:r>
        <w:rPr/>
        <w:t>万元，并与公司签署了《债务豁免协议》。公司已于</w:t>
      </w:r>
      <w:r>
        <w:rPr>
          <w:spacing w:val="-56"/>
        </w:rPr>
        <w:t> </w:t>
      </w:r>
      <w:r>
        <w:rPr>
          <w:rFonts w:ascii="Times New Roman" w:hAnsi="Times New Roman" w:cs="Times New Roman" w:eastAsia="Times New Roman" w:hint="default"/>
        </w:rPr>
        <w:t>2015</w:t>
      </w:r>
    </w:p>
    <w:p>
      <w:pPr>
        <w:pStyle w:val="BodyText"/>
        <w:spacing w:line="271" w:lineRule="exact"/>
        <w:ind w:left="218" w:right="96"/>
        <w:jc w:val="left"/>
      </w:pP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29 </w:t>
      </w:r>
      <w:r>
        <w:rPr>
          <w:spacing w:val="-3"/>
        </w:rPr>
        <w:t>日按相关程序对上述事项进行公告并经董事会审议通过。截止</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17"/>
        </w:rPr>
        <w:t>日，公</w:t>
      </w:r>
    </w:p>
    <w:p>
      <w:pPr>
        <w:pStyle w:val="BodyText"/>
        <w:spacing w:line="281" w:lineRule="exact"/>
        <w:ind w:left="218" w:right="2465"/>
        <w:jc w:val="left"/>
      </w:pPr>
      <w:r>
        <w:rPr/>
        <w:t>司尚未偿还顾国平先生的借款金额为人民币</w:t>
      </w:r>
      <w:r>
        <w:rPr>
          <w:spacing w:val="-52"/>
        </w:rPr>
        <w:t> </w:t>
      </w:r>
      <w:r>
        <w:rPr>
          <w:rFonts w:ascii="Times New Roman" w:hAnsi="Times New Roman" w:cs="Times New Roman" w:eastAsia="Times New Roman" w:hint="default"/>
        </w:rPr>
        <w:t>5,700</w:t>
      </w:r>
      <w:r>
        <w:rPr>
          <w:rFonts w:ascii="Times New Roman" w:hAnsi="Times New Roman" w:cs="Times New Roman" w:eastAsia="Times New Roman" w:hint="default"/>
          <w:spacing w:val="-1"/>
        </w:rPr>
        <w:t> </w:t>
      </w:r>
      <w:r>
        <w:rPr/>
        <w:t>万元。</w:t>
      </w:r>
    </w:p>
    <w:p>
      <w:pPr>
        <w:spacing w:line="240" w:lineRule="auto" w:before="3"/>
        <w:rPr>
          <w:rFonts w:ascii="宋体" w:hAnsi="宋体" w:cs="宋体" w:eastAsia="宋体" w:hint="default"/>
          <w:sz w:val="21"/>
          <w:szCs w:val="21"/>
        </w:rPr>
      </w:pPr>
    </w:p>
    <w:p>
      <w:pPr>
        <w:pStyle w:val="Heading3"/>
        <w:tabs>
          <w:tab w:pos="1057" w:val="left" w:leader="none"/>
        </w:tabs>
        <w:spacing w:line="240" w:lineRule="auto" w:before="36"/>
        <w:ind w:right="2465"/>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51" w:val="left" w:leader="none"/>
        </w:tabs>
        <w:spacing w:line="240" w:lineRule="auto" w:before="59"/>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受限的货币资金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1,322,241.00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归还股东个人借款（顾国平）</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51,322,241.00</w:t>
            </w:r>
          </w:p>
        </w:tc>
        <w:tc>
          <w:tcPr>
            <w:tcW w:w="26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3"/>
        <w:spacing w:line="290" w:lineRule="auto" w:before="36"/>
        <w:ind w:right="-18"/>
        <w:jc w:val="left"/>
        <w:rPr>
          <w:b w:val="0"/>
          <w:bCs w:val="0"/>
        </w:rPr>
      </w:pPr>
      <w:r>
        <w:rPr>
          <w:rFonts w:ascii="宋体" w:hAnsi="宋体" w:cs="宋体" w:eastAsia="宋体" w:hint="default"/>
        </w:rPr>
        <w:t>37</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5,126,479.37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606,772.02</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1,123,882.85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313,959.26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164,726.67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167,036.87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15,000.00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20,000.00</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53,980.27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-6,040.80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839,371.23</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-14,469.04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-495,618.61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-121,835.98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-47,889.10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-29,801.65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-7,784.72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-61,644,590.39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-1,948,485.56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-37,951,465.35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-1,123,815.26</w:t>
            </w: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-92,438,722.02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-2,521,865.90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33,567,346.29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30,730,150.38</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30,730,150.38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25,971,254.45</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15,000,000.00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pacing w:val="-1"/>
                <w:sz w:val="18"/>
              </w:rPr>
              <w:t>15,000,000.00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pacing w:val="-1"/>
                <w:sz w:val="18"/>
              </w:rPr>
              <w:t>22,000,000.00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-12,162,804.09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-2,241,104.07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36"/>
        <w:ind w:right="2465"/>
        <w:jc w:val="left"/>
        <w:rPr>
          <w:b w:val="0"/>
          <w:bCs w:val="0"/>
        </w:rPr>
      </w:pPr>
      <w:r>
        <w:rPr>
          <w:rFonts w:ascii="宋体" w:hAnsi="宋体" w:cs="宋体" w:eastAsia="宋体" w:hint="default"/>
        </w:rPr>
        <w:t>(2)</w:t>
      </w:r>
      <w:r>
        <w:rPr>
          <w:rFonts w:ascii="宋体" w:hAnsi="宋体" w:cs="宋体" w:eastAsia="宋体" w:hint="default"/>
          <w:spacing w:val="2"/>
        </w:rPr>
        <w:t> </w:t>
      </w:r>
      <w:r>
        <w:rPr/>
        <w:t>现金和现金等价物的构成</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33,567,346.29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30,730,150.38</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146,870.13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197,630.15</w:t>
            </w:r>
          </w:p>
        </w:tc>
      </w:tr>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33,420,476.16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30,532,520.23</w:t>
            </w:r>
          </w:p>
        </w:tc>
      </w:tr>
      <w:tr>
        <w:trPr>
          <w:trHeight w:val="557"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15,000,000.00</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33,567,346.29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45,730,150.38</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left="138" w:right="123"/>
        <w:jc w:val="left"/>
        <w:rPr>
          <w:b w:val="0"/>
          <w:bCs w:val="0"/>
        </w:rPr>
      </w:pPr>
      <w:r>
        <w:rPr>
          <w:rFonts w:ascii="宋体" w:hAnsi="宋体" w:cs="宋体" w:eastAsia="宋体" w:hint="default"/>
        </w:rPr>
        <w:t>38</w:t>
      </w:r>
      <w:r>
        <w:rPr/>
        <w:t>、</w:t>
      </w:r>
      <w:r>
        <w:rPr>
          <w:spacing w:val="-24"/>
        </w:rPr>
        <w:t> </w:t>
      </w:r>
      <w:r>
        <w:rPr/>
        <w:t>外币货币性项目</w:t>
      </w:r>
      <w:r>
        <w:rPr>
          <w:b w:val="0"/>
          <w:bCs w:val="0"/>
        </w:rPr>
      </w:r>
    </w:p>
    <w:p>
      <w:pPr>
        <w:pStyle w:val="BodyText"/>
        <w:spacing w:line="240" w:lineRule="auto" w:before="58"/>
        <w:ind w:right="12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left="138" w:right="123"/>
        <w:jc w:val="left"/>
        <w:rPr>
          <w:b w:val="0"/>
          <w:bCs w:val="0"/>
        </w:rPr>
      </w:pPr>
      <w:r>
        <w:rPr>
          <w:rFonts w:ascii="宋体" w:hAnsi="宋体" w:cs="宋体" w:eastAsia="宋体" w:hint="default"/>
        </w:rPr>
        <w:t>39</w:t>
      </w:r>
      <w:r>
        <w:rPr/>
        <w:t>、</w:t>
      </w:r>
      <w:r>
        <w:rPr>
          <w:spacing w:val="-26"/>
        </w:rPr>
        <w:t> </w:t>
      </w:r>
      <w:r>
        <w:rPr/>
        <w:t>套期</w:t>
      </w:r>
      <w:r>
        <w:rPr>
          <w:b w:val="0"/>
          <w:bCs w:val="0"/>
        </w:rPr>
      </w:r>
    </w:p>
    <w:p>
      <w:pPr>
        <w:pStyle w:val="BodyText"/>
        <w:spacing w:line="240" w:lineRule="auto" w:before="58"/>
        <w:ind w:right="12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3"/>
        <w:spacing w:line="240" w:lineRule="auto"/>
        <w:ind w:left="138" w:right="123"/>
        <w:jc w:val="left"/>
        <w:rPr>
          <w:b w:val="0"/>
          <w:bCs w:val="0"/>
        </w:rPr>
      </w:pPr>
      <w:r>
        <w:rPr/>
        <w:t>八、合并范围的变更</w:t>
      </w:r>
      <w:r>
        <w:rPr>
          <w:b w:val="0"/>
          <w:bCs w:val="0"/>
        </w:rPr>
      </w:r>
    </w:p>
    <w:p>
      <w:pPr>
        <w:pStyle w:val="Heading3"/>
        <w:spacing w:line="240" w:lineRule="auto" w:before="56"/>
        <w:ind w:left="138" w:right="123"/>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9"/>
        <w:ind w:right="12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123"/>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right="12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ind w:left="138" w:right="123"/>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right="123"/>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before="20"/>
        <w:ind w:left="0" w:right="957" w:firstLine="0"/>
        <w:jc w:val="righ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290" w:lineRule="auto" w:before="0"/>
        <w:ind w:left="144" w:right="857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144" w:right="8576"/>
        <w:jc w:val="left"/>
      </w:pPr>
      <w:r>
        <w:rPr/>
        <w:t>□适用√不适用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73" w:lineRule="exact"/>
        <w:ind w:left="144" w:right="4191"/>
        <w:jc w:val="left"/>
      </w:pPr>
      <w:r>
        <w:rPr/>
        <w:t>是否存在通过多次交易分步处置对子公司投资且在本期丧失控制权的情形</w:t>
      </w:r>
    </w:p>
    <w:p>
      <w:pPr>
        <w:pStyle w:val="BodyText"/>
        <w:spacing w:line="273" w:lineRule="exact"/>
        <w:ind w:left="144" w:right="8576"/>
        <w:jc w:val="left"/>
      </w:pPr>
      <w:r>
        <w:rPr/>
        <w:t>□适用√不适用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line="290" w:lineRule="auto" w:before="0"/>
        <w:ind w:left="144" w:right="4191" w:firstLine="0"/>
        <w:jc w:val="left"/>
        <w:rPr>
          <w:rFonts w:ascii="宋体" w:hAnsi="宋体" w:cs="宋体" w:eastAsia="宋体" w:hint="default"/>
          <w:sz w:val="21"/>
          <w:szCs w:val="21"/>
        </w:rPr>
      </w:pPr>
      <w:r>
        <w:rPr/>
        <w:pict>
          <v:shape style="position:absolute;margin-left:380.450012pt;margin-top:46.223682pt;width:.48001pt;height:.12pt;mso-position-horizontal-relative:page;mso-position-vertical-relative:paragraph;z-index:-593368" type="#_x0000_t75" stroked="false">
            <v:imagedata r:id="rId58" o:title=""/>
          </v:shape>
        </w:pict>
      </w:r>
      <w:r>
        <w:rPr/>
        <w:pict>
          <v:shape style="position:absolute;margin-left:584.5pt;margin-top:46.223682pt;width:.48004pt;height:.12pt;mso-position-horizontal-relative:page;mso-position-vertical-relative:paragraph;z-index:-593344" type="#_x0000_t75" stroked="false">
            <v:imagedata r:id="rId58" o:title=""/>
          </v:shape>
        </w:pict>
      </w:r>
      <w:r>
        <w:rPr/>
        <w:pict>
          <v:group style="position:absolute;margin-left:76.199997pt;margin-top:63.263702pt;width:734.9pt;height:.5pt;mso-position-horizontal-relative:page;mso-position-vertical-relative:paragraph;z-index:-593320" coordorigin="1524,1265" coordsize="14698,10">
            <v:shape style="position:absolute;left:1524;top:1265;width:6085;height:10" type="#_x0000_t75" stroked="false">
              <v:imagedata r:id="rId76" o:title=""/>
            </v:shape>
            <v:shape style="position:absolute;left:7604;top:1265;width:8617;height:10" type="#_x0000_t75" stroked="false">
              <v:imagedata r:id="rId77" o:title=""/>
            </v:shape>
            <w10:wrap type="none"/>
          </v:group>
        </w:pict>
      </w:r>
      <w:r>
        <w:rPr/>
        <w:pict>
          <v:group style="position:absolute;margin-left:76.199997pt;margin-top:76.223694pt;width:734.9pt;height:5.05pt;mso-position-horizontal-relative:page;mso-position-vertical-relative:paragraph;z-index:-593296" coordorigin="1524,1524" coordsize="14698,101">
            <v:shape style="position:absolute;left:1524;top:1524;width:6104;height:101" type="#_x0000_t75" stroked="false">
              <v:imagedata r:id="rId78" o:title=""/>
            </v:shape>
            <v:shape style="position:absolute;left:7604;top:1616;width:8617;height:10" type="#_x0000_t75" stroked="false">
              <v:imagedata r:id="rId77" o:title=""/>
            </v:shape>
            <w10:wrap type="none"/>
          </v:group>
        </w:pict>
      </w:r>
      <w:r>
        <w:rPr/>
        <w:pict>
          <v:group style="position:absolute;margin-left:76.199997pt;margin-top:98.18367pt;width:734.9pt;height:.5pt;mso-position-horizontal-relative:page;mso-position-vertical-relative:paragraph;z-index:-593272" coordorigin="1524,1964" coordsize="14698,10">
            <v:shape style="position:absolute;left:1524;top:1964;width:6085;height:10" type="#_x0000_t75" stroked="false">
              <v:imagedata r:id="rId76" o:title=""/>
            </v:shape>
            <v:shape style="position:absolute;left:7604;top:1964;width:8617;height:10" type="#_x0000_t75" stroked="false">
              <v:imagedata r:id="rId77" o:title=""/>
            </v:shape>
            <w10:wrap type="none"/>
          </v:group>
        </w:pict>
      </w:r>
      <w:r>
        <w:rPr/>
        <w:pict>
          <v:group style="position:absolute;margin-left:76.199997pt;margin-top:111.163689pt;width:734.9pt;height:5.05pt;mso-position-horizontal-relative:page;mso-position-vertical-relative:paragraph;z-index:-593248" coordorigin="1524,2223" coordsize="14698,101">
            <v:shape style="position:absolute;left:1524;top:2223;width:6104;height:101" type="#_x0000_t75" stroked="false">
              <v:imagedata r:id="rId78" o:title=""/>
            </v:shape>
            <v:shape style="position:absolute;left:7604;top:2314;width:8617;height:10" type="#_x0000_t75" stroked="false">
              <v:imagedata r:id="rId77" o:title=""/>
            </v:shape>
            <w10:wrap type="none"/>
          </v:group>
        </w:pic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spacing w:line="240" w:lineRule="auto" w:before="10"/>
        <w:rPr>
          <w:rFonts w:ascii="宋体" w:hAnsi="宋体" w:cs="宋体" w:eastAsia="宋体" w:hint="default"/>
          <w:sz w:val="18"/>
          <w:szCs w:val="18"/>
        </w:rPr>
      </w:pPr>
    </w:p>
    <w:tbl>
      <w:tblPr>
        <w:tblW w:w="0" w:type="auto"/>
        <w:jc w:val="left"/>
        <w:tblInd w:w="129" w:type="dxa"/>
        <w:tblLayout w:type="fixed"/>
        <w:tblCellMar>
          <w:top w:w="0" w:type="dxa"/>
          <w:left w:w="0" w:type="dxa"/>
          <w:bottom w:w="0" w:type="dxa"/>
          <w:right w:w="0" w:type="dxa"/>
        </w:tblCellMar>
        <w:tblLook w:val="01E0"/>
      </w:tblPr>
      <w:tblGrid>
        <w:gridCol w:w="6104"/>
        <w:gridCol w:w="4081"/>
        <w:gridCol w:w="4527"/>
      </w:tblGrid>
      <w:tr>
        <w:trPr>
          <w:trHeight w:val="358" w:hRule="exact"/>
        </w:trPr>
        <w:tc>
          <w:tcPr>
            <w:tcW w:w="6104"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08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4527"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成立时间</w:t>
            </w:r>
          </w:p>
        </w:tc>
      </w:tr>
      <w:tr>
        <w:trPr>
          <w:trHeight w:val="257" w:hRule="exact"/>
        </w:trPr>
        <w:tc>
          <w:tcPr>
            <w:tcW w:w="610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慧球科技（重庆）有限公司</w:t>
            </w:r>
          </w:p>
        </w:tc>
        <w:tc>
          <w:tcPr>
            <w:tcW w:w="408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0"/>
              <w:jc w:val="right"/>
              <w:rPr>
                <w:rFonts w:ascii="宋体" w:hAnsi="宋体" w:cs="宋体" w:eastAsia="宋体" w:hint="default"/>
                <w:sz w:val="18"/>
                <w:szCs w:val="18"/>
              </w:rPr>
            </w:pPr>
            <w:r>
              <w:rPr>
                <w:rFonts w:ascii="宋体"/>
                <w:spacing w:val="-1"/>
                <w:sz w:val="18"/>
              </w:rPr>
              <w:t>87,500,000.00</w:t>
            </w:r>
          </w:p>
        </w:tc>
        <w:tc>
          <w:tcPr>
            <w:tcW w:w="4527"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56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49" w:hRule="exact"/>
        </w:trPr>
        <w:tc>
          <w:tcPr>
            <w:tcW w:w="6104"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上海慧球通信科技有限公司</w:t>
            </w:r>
          </w:p>
        </w:tc>
        <w:tc>
          <w:tcPr>
            <w:tcW w:w="40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pacing w:val="-1"/>
                <w:sz w:val="18"/>
              </w:rPr>
              <w:t>100,000.00</w:t>
            </w:r>
          </w:p>
        </w:tc>
        <w:tc>
          <w:tcPr>
            <w:tcW w:w="4527"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606"/>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268" w:hRule="exact"/>
        </w:trPr>
        <w:tc>
          <w:tcPr>
            <w:tcW w:w="6104"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淮南市慧球科技有限公司（注）</w:t>
            </w:r>
          </w:p>
        </w:tc>
        <w:tc>
          <w:tcPr>
            <w:tcW w:w="408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20,000,000.00</w:t>
            </w:r>
          </w:p>
        </w:tc>
        <w:tc>
          <w:tcPr>
            <w:tcW w:w="4527"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56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83" w:hRule="exact"/>
        </w:trPr>
        <w:tc>
          <w:tcPr>
            <w:tcW w:w="6104"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single" w:sz="4" w:space="0" w:color="000000"/>
            </w:tcBorders>
          </w:tcPr>
          <w:p>
            <w:pPr/>
          </w:p>
        </w:tc>
        <w:tc>
          <w:tcPr>
            <w:tcW w:w="4527" w:type="dxa"/>
            <w:tcBorders>
              <w:top w:val="nil" w:sz="6" w:space="0" w:color="auto"/>
              <w:left w:val="single" w:sz="4" w:space="0" w:color="000000"/>
              <w:bottom w:val="nil" w:sz="6" w:space="0" w:color="auto"/>
              <w:right w:val="nil" w:sz="6" w:space="0" w:color="auto"/>
            </w:tcBorders>
          </w:tcPr>
          <w:p>
            <w:pPr/>
          </w:p>
        </w:tc>
      </w:tr>
      <w:tr>
        <w:trPr>
          <w:trHeight w:val="268" w:hRule="exact"/>
        </w:trPr>
        <w:tc>
          <w:tcPr>
            <w:tcW w:w="6104"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智诚合讯信息技术（徐州）有限公司（注）</w:t>
            </w:r>
          </w:p>
        </w:tc>
        <w:tc>
          <w:tcPr>
            <w:tcW w:w="408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50,000,000.00</w:t>
            </w:r>
          </w:p>
        </w:tc>
        <w:tc>
          <w:tcPr>
            <w:tcW w:w="4527"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56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83" w:hRule="exact"/>
        </w:trPr>
        <w:tc>
          <w:tcPr>
            <w:tcW w:w="6104"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single" w:sz="4" w:space="0" w:color="000000"/>
            </w:tcBorders>
          </w:tcPr>
          <w:p>
            <w:pPr/>
          </w:p>
        </w:tc>
        <w:tc>
          <w:tcPr>
            <w:tcW w:w="4527" w:type="dxa"/>
            <w:tcBorders>
              <w:top w:val="nil" w:sz="6" w:space="0" w:color="auto"/>
              <w:left w:val="single" w:sz="4" w:space="0" w:color="000000"/>
              <w:bottom w:val="nil" w:sz="6" w:space="0" w:color="auto"/>
              <w:right w:val="nil" w:sz="6" w:space="0" w:color="auto"/>
            </w:tcBorders>
          </w:tcPr>
          <w:p>
            <w:pPr/>
          </w:p>
        </w:tc>
      </w:tr>
      <w:tr>
        <w:trPr>
          <w:trHeight w:val="268" w:hRule="exact"/>
        </w:trPr>
        <w:tc>
          <w:tcPr>
            <w:tcW w:w="6104"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慧球科技（华容）有限公司（注）</w:t>
            </w:r>
          </w:p>
        </w:tc>
        <w:tc>
          <w:tcPr>
            <w:tcW w:w="408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16,000,000.00</w:t>
            </w:r>
          </w:p>
        </w:tc>
        <w:tc>
          <w:tcPr>
            <w:tcW w:w="4527"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51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83" w:hRule="exact"/>
        </w:trPr>
        <w:tc>
          <w:tcPr>
            <w:tcW w:w="6104"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single" w:sz="4" w:space="0" w:color="000000"/>
            </w:tcBorders>
          </w:tcPr>
          <w:p>
            <w:pPr/>
          </w:p>
        </w:tc>
        <w:tc>
          <w:tcPr>
            <w:tcW w:w="4527" w:type="dxa"/>
            <w:tcBorders>
              <w:top w:val="nil" w:sz="6" w:space="0" w:color="auto"/>
              <w:left w:val="single" w:sz="4" w:space="0" w:color="000000"/>
              <w:bottom w:val="nil" w:sz="6" w:space="0" w:color="auto"/>
              <w:right w:val="nil" w:sz="6" w:space="0" w:color="auto"/>
            </w:tcBorders>
          </w:tcPr>
          <w:p>
            <w:pPr/>
          </w:p>
        </w:tc>
      </w:tr>
      <w:tr>
        <w:trPr>
          <w:trHeight w:val="350" w:hRule="exact"/>
        </w:trPr>
        <w:tc>
          <w:tcPr>
            <w:tcW w:w="6104"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慧球智慧科技（宁波）有限公司（注）</w:t>
            </w:r>
          </w:p>
        </w:tc>
        <w:tc>
          <w:tcPr>
            <w:tcW w:w="408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30,000,000.00</w:t>
            </w:r>
          </w:p>
        </w:tc>
        <w:tc>
          <w:tcPr>
            <w:tcW w:w="4527"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51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55" w:hRule="exact"/>
        </w:trPr>
        <w:tc>
          <w:tcPr>
            <w:tcW w:w="6104" w:type="dxa"/>
            <w:tcBorders>
              <w:top w:val="nil" w:sz="6" w:space="0" w:color="auto"/>
              <w:left w:val="nil" w:sz="6" w:space="0" w:color="auto"/>
              <w:bottom w:val="single" w:sz="12"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沈阳慧球科技有限公司（注）</w:t>
            </w:r>
          </w:p>
        </w:tc>
        <w:tc>
          <w:tcPr>
            <w:tcW w:w="40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50,000,000.00</w:t>
            </w:r>
          </w:p>
        </w:tc>
        <w:tc>
          <w:tcPr>
            <w:tcW w:w="4527" w:type="dxa"/>
            <w:tcBorders>
              <w:top w:val="nil" w:sz="6" w:space="0" w:color="auto"/>
              <w:left w:val="single" w:sz="4" w:space="0" w:color="000000"/>
              <w:bottom w:val="single" w:sz="12" w:space="0" w:color="000000"/>
              <w:right w:val="nil" w:sz="6" w:space="0" w:color="auto"/>
            </w:tcBorders>
          </w:tcPr>
          <w:p>
            <w:pPr>
              <w:pStyle w:val="TableParagraph"/>
              <w:spacing w:line="240" w:lineRule="auto" w:before="22"/>
              <w:ind w:right="151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26"/>
          <w:szCs w:val="26"/>
        </w:rPr>
      </w:pPr>
    </w:p>
    <w:p>
      <w:pPr>
        <w:pStyle w:val="BodyText"/>
        <w:spacing w:line="355" w:lineRule="auto"/>
        <w:ind w:left="129" w:right="0" w:firstLine="490"/>
        <w:jc w:val="left"/>
      </w:pPr>
      <w:r>
        <w:rPr/>
        <w:pict>
          <v:group style="position:absolute;margin-left:76.199997pt;margin-top:-75.696312pt;width:734.9pt;height:5.05pt;mso-position-horizontal-relative:page;mso-position-vertical-relative:paragraph;z-index:-593224" coordorigin="1524,-1514" coordsize="14698,101">
            <v:shape style="position:absolute;left:1524;top:-1514;width:6104;height:101" type="#_x0000_t75" stroked="false">
              <v:imagedata r:id="rId79" o:title=""/>
            </v:shape>
            <v:shape style="position:absolute;left:7604;top:-1423;width:8617;height:10" type="#_x0000_t75" stroked="false">
              <v:imagedata r:id="rId77" o:title=""/>
            </v:shape>
            <w10:wrap type="none"/>
          </v:group>
        </w:pict>
      </w:r>
      <w:r>
        <w:rPr/>
        <w:pict>
          <v:group style="position:absolute;margin-left:76.199997pt;margin-top:-58.176311pt;width:734.9pt;height:5.05pt;mso-position-horizontal-relative:page;mso-position-vertical-relative:paragraph;z-index:-593200" coordorigin="1524,-1164" coordsize="14698,101">
            <v:shape style="position:absolute;left:1524;top:-1164;width:6104;height:101" type="#_x0000_t75" stroked="false">
              <v:imagedata r:id="rId79" o:title=""/>
            </v:shape>
            <v:shape style="position:absolute;left:7604;top:-1072;width:8617;height:10" type="#_x0000_t75" stroked="false">
              <v:imagedata r:id="rId80" o:title=""/>
            </v:shape>
            <w10:wrap type="none"/>
          </v:group>
        </w:pict>
      </w:r>
      <w:r>
        <w:rPr/>
        <w:pict>
          <v:group style="position:absolute;margin-left:76.199997pt;margin-top:-40.656315pt;width:734.9pt;height:5.05pt;mso-position-horizontal-relative:page;mso-position-vertical-relative:paragraph;z-index:-593176" coordorigin="1524,-813" coordsize="14698,101">
            <v:shape style="position:absolute;left:1524;top:-813;width:6104;height:101" type="#_x0000_t75" stroked="false">
              <v:imagedata r:id="rId78" o:title=""/>
            </v:shape>
            <v:shape style="position:absolute;left:7604;top:-722;width:8617;height:10" type="#_x0000_t75" stroked="false">
              <v:imagedata r:id="rId77" o:title=""/>
            </v:shape>
            <w10:wrap type="none"/>
          </v:group>
        </w:pict>
      </w:r>
      <w:r>
        <w:rPr/>
        <w:t>注：截止</w:t>
      </w:r>
      <w:r>
        <w:rPr>
          <w:spacing w:val="-45"/>
        </w:rPr>
        <w:t> </w:t>
      </w:r>
      <w:r>
        <w:rPr>
          <w:rFonts w:ascii="宋体" w:hAnsi="宋体" w:cs="宋体" w:eastAsia="宋体" w:hint="default"/>
        </w:rPr>
        <w:t>2015</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日，淮南市慧球科技有限公司、智诚合讯信息技术（徐州）有限公司、慧球科技（华容）有限公司、慧球智慧科技（宁</w:t>
      </w:r>
      <w:r>
        <w:rPr>
          <w:w w:val="100"/>
        </w:rPr>
        <w:t> </w:t>
      </w:r>
      <w:r>
        <w:rPr/>
        <w:t>波）有限公司、沈阳慧球科技有限公司等五家仅办理了工商设立登记手续，注册资金尚未到位，自成立至今尚未展开经营活动，暂无相关财务数据。</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3"/>
        <w:spacing w:line="240" w:lineRule="auto"/>
        <w:ind w:left="144" w:right="8576"/>
        <w:jc w:val="left"/>
        <w:rPr>
          <w:b w:val="0"/>
          <w:bCs w:val="0"/>
        </w:rPr>
      </w:pPr>
      <w:r>
        <w:rPr>
          <w:rFonts w:ascii="宋体" w:hAnsi="宋体" w:cs="宋体" w:eastAsia="宋体" w:hint="default"/>
        </w:rPr>
        <w:t>6</w:t>
      </w:r>
      <w:r>
        <w:rPr/>
        <w:t>、</w:t>
      </w:r>
      <w:r>
        <w:rPr>
          <w:spacing w:val="-3"/>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3"/>
          <w:szCs w:val="23"/>
        </w:rPr>
      </w:pPr>
    </w:p>
    <w:p>
      <w:pPr>
        <w:spacing w:before="63"/>
        <w:ind w:left="6363" w:right="7159" w:firstLine="0"/>
        <w:jc w:val="center"/>
        <w:rPr>
          <w:rFonts w:ascii="Calibri" w:hAnsi="Calibri" w:cs="Calibri" w:eastAsia="Calibri" w:hint="default"/>
          <w:sz w:val="18"/>
          <w:szCs w:val="18"/>
        </w:rPr>
      </w:pPr>
      <w:r>
        <w:rPr>
          <w:rFonts w:ascii="Calibri"/>
          <w:b/>
          <w:sz w:val="18"/>
        </w:rPr>
        <w:t>115 </w:t>
      </w:r>
      <w:r>
        <w:rPr>
          <w:rFonts w:ascii="Calibri"/>
          <w:sz w:val="18"/>
        </w:rPr>
        <w:t>/</w:t>
      </w:r>
      <w:r>
        <w:rPr>
          <w:rFonts w:ascii="Calibri"/>
          <w:spacing w:val="-5"/>
          <w:sz w:val="18"/>
        </w:rPr>
        <w:t> </w:t>
      </w:r>
      <w:r>
        <w:rPr>
          <w:rFonts w:ascii="Calibri"/>
          <w:b/>
          <w:sz w:val="18"/>
        </w:rPr>
        <w:t>130</w:t>
      </w:r>
      <w:r>
        <w:rPr>
          <w:rFonts w:ascii="Calibri"/>
          <w:sz w:val="18"/>
        </w:rPr>
      </w:r>
    </w:p>
    <w:p>
      <w:pPr>
        <w:spacing w:after="0"/>
        <w:jc w:val="center"/>
        <w:rPr>
          <w:rFonts w:ascii="Calibri" w:hAnsi="Calibri" w:cs="Calibri" w:eastAsia="Calibri" w:hint="default"/>
          <w:sz w:val="18"/>
          <w:szCs w:val="18"/>
        </w:rPr>
        <w:sectPr>
          <w:headerReference w:type="default" r:id="rId74"/>
          <w:footerReference w:type="default" r:id="rId75"/>
          <w:pgSz w:w="16840" w:h="11910" w:orient="landscape"/>
          <w:pgMar w:header="0" w:footer="0" w:top="800" w:bottom="280" w:left="1380" w:right="5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3"/>
        <w:spacing w:line="290" w:lineRule="auto"/>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4"/>
        <w:ind w:left="218" w:right="2465"/>
        <w:jc w:val="left"/>
      </w:pPr>
      <w:r>
        <w:rPr/>
        <w:t>√适用</w:t>
      </w:r>
      <w:r>
        <w:rPr>
          <w:spacing w:val="-1"/>
        </w:rPr>
        <w:t> </w:t>
      </w:r>
      <w:r>
        <w:rPr/>
        <w:t>□不适用</w:t>
      </w:r>
    </w:p>
    <w:p>
      <w:pPr>
        <w:pStyle w:val="Heading3"/>
        <w:tabs>
          <w:tab w:pos="861" w:val="left" w:leader="none"/>
        </w:tabs>
        <w:spacing w:line="240" w:lineRule="auto" w:before="56"/>
        <w:ind w:right="2465"/>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83" w:hRule="exact"/>
        </w:trPr>
        <w:tc>
          <w:tcPr>
            <w:tcW w:w="1200" w:type="dxa"/>
            <w:vMerge w:val="restart"/>
            <w:tcBorders>
              <w:top w:val="single" w:sz="4" w:space="0" w:color="000000"/>
              <w:left w:val="single" w:sz="4" w:space="0" w:color="000000"/>
              <w:right w:val="single" w:sz="6" w:space="0" w:color="000000"/>
            </w:tcBorders>
          </w:tcPr>
          <w:p>
            <w:pPr>
              <w:pStyle w:val="TableParagraph"/>
              <w:spacing w:line="274" w:lineRule="exact" w:before="1"/>
              <w:ind w:left="383" w:right="273"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287" w:type="dxa"/>
            <w:vMerge w:val="restart"/>
            <w:tcBorders>
              <w:top w:val="single" w:sz="4" w:space="0" w:color="000000"/>
              <w:left w:val="single" w:sz="6" w:space="0" w:color="000000"/>
              <w:right w:val="single" w:sz="6" w:space="0" w:color="000000"/>
            </w:tcBorders>
          </w:tcPr>
          <w:p>
            <w:pPr>
              <w:pStyle w:val="TableParagraph"/>
              <w:spacing w:line="240" w:lineRule="auto" w:before="112"/>
              <w:ind w:left="107"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2" w:type="dxa"/>
            <w:vMerge w:val="restart"/>
            <w:tcBorders>
              <w:top w:val="single" w:sz="4" w:space="0" w:color="000000"/>
              <w:left w:val="single" w:sz="6" w:space="0" w:color="000000"/>
              <w:right w:val="single" w:sz="6" w:space="0" w:color="000000"/>
            </w:tcBorders>
          </w:tcPr>
          <w:p>
            <w:pPr>
              <w:pStyle w:val="TableParagraph"/>
              <w:spacing w:line="240" w:lineRule="auto" w:before="112"/>
              <w:ind w:left="31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6" w:space="0" w:color="000000"/>
              <w:right w:val="single" w:sz="6" w:space="0" w:color="000000"/>
            </w:tcBorders>
          </w:tcPr>
          <w:p>
            <w:pPr>
              <w:pStyle w:val="TableParagraph"/>
              <w:spacing w:line="240" w:lineRule="auto" w:before="112"/>
              <w:ind w:left="2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6" w:type="dxa"/>
            <w:vMerge w:val="restart"/>
            <w:tcBorders>
              <w:top w:val="single" w:sz="4" w:space="0" w:color="000000"/>
              <w:left w:val="single" w:sz="6" w:space="0" w:color="000000"/>
              <w:right w:val="single" w:sz="4" w:space="0" w:color="000000"/>
            </w:tcBorders>
          </w:tcPr>
          <w:p>
            <w:pPr>
              <w:pStyle w:val="TableParagraph"/>
              <w:spacing w:line="274" w:lineRule="exact" w:before="1"/>
              <w:ind w:left="489" w:right="491"/>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95" w:hRule="exact"/>
        </w:trPr>
        <w:tc>
          <w:tcPr>
            <w:tcW w:w="1200" w:type="dxa"/>
            <w:vMerge/>
            <w:tcBorders>
              <w:left w:val="single" w:sz="4"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c>
          <w:tcPr>
            <w:tcW w:w="1272" w:type="dxa"/>
            <w:vMerge/>
            <w:tcBorders>
              <w:left w:val="single" w:sz="6" w:space="0" w:color="000000"/>
              <w:bottom w:val="single" w:sz="6" w:space="0" w:color="000000"/>
              <w:right w:val="single" w:sz="6" w:space="0" w:color="000000"/>
            </w:tcBorders>
          </w:tcPr>
          <w:p>
            <w:pPr/>
          </w:p>
        </w:tc>
        <w:tc>
          <w:tcPr>
            <w:tcW w:w="1301" w:type="dxa"/>
            <w:vMerge/>
            <w:tcBorders>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422"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6" w:space="0" w:color="000000"/>
              <w:bottom w:val="single" w:sz="6" w:space="0" w:color="000000"/>
              <w:right w:val="single" w:sz="4" w:space="0" w:color="000000"/>
            </w:tcBorders>
          </w:tcPr>
          <w:p>
            <w:pP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南宁市智</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诚合讯信</w:t>
            </w:r>
            <w:r>
              <w:rPr>
                <w:rFonts w:ascii="宋体" w:hAnsi="宋体" w:cs="宋体" w:eastAsia="宋体" w:hint="default"/>
                <w:w w:val="100"/>
                <w:sz w:val="21"/>
                <w:szCs w:val="21"/>
              </w:rPr>
              <w:t> </w:t>
            </w:r>
            <w:r>
              <w:rPr>
                <w:rFonts w:ascii="宋体" w:hAnsi="宋体" w:cs="宋体" w:eastAsia="宋体" w:hint="default"/>
                <w:sz w:val="21"/>
                <w:szCs w:val="21"/>
              </w:rPr>
              <w:t>息技术有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广西南宁</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广西南宁</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1"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15"/>
                <w:sz w:val="21"/>
                <w:szCs w:val="21"/>
              </w:rPr>
              <w:t>（重庆）有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重庆市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重庆市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上海慧球</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通信科技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淮南市慧</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球科技有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安徽淮南</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安徽淮南</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智诚合讯</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15"/>
                <w:sz w:val="21"/>
                <w:szCs w:val="21"/>
              </w:rPr>
              <w:t>（徐州）有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江苏徐州</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江苏徐州</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15"/>
                <w:sz w:val="21"/>
                <w:szCs w:val="21"/>
              </w:rPr>
              <w:t>（华容）有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湖南华容</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湖南华容</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93.75</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慧球智慧</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科技（宁</w:t>
            </w:r>
            <w:r>
              <w:rPr>
                <w:rFonts w:ascii="宋体" w:hAnsi="宋体" w:cs="宋体" w:eastAsia="宋体" w:hint="default"/>
                <w:w w:val="100"/>
                <w:sz w:val="21"/>
                <w:szCs w:val="21"/>
              </w:rPr>
              <w:t> </w:t>
            </w:r>
            <w:r>
              <w:rPr>
                <w:rFonts w:ascii="宋体" w:hAnsi="宋体" w:cs="宋体" w:eastAsia="宋体" w:hint="default"/>
                <w:spacing w:val="-15"/>
                <w:sz w:val="21"/>
                <w:szCs w:val="21"/>
              </w:rPr>
              <w:t>波）有限公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沈阳慧球</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辽宁沈阳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辽宁沈阳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杭州郡原</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物业服务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9"/>
              <w:jc w:val="center"/>
              <w:rPr>
                <w:rFonts w:ascii="宋体" w:hAnsi="宋体" w:cs="宋体" w:eastAsia="宋体" w:hint="default"/>
                <w:sz w:val="21"/>
                <w:szCs w:val="21"/>
              </w:rPr>
            </w:pPr>
            <w:r>
              <w:rPr>
                <w:rFonts w:ascii="宋体" w:hAnsi="宋体" w:cs="宋体" w:eastAsia="宋体" w:hint="default"/>
                <w:sz w:val="21"/>
                <w:szCs w:val="21"/>
              </w:rPr>
              <w:t>物业服务业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100.00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下合并</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湖南郡原</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物业服务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湖南长沙</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湖南长沙</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物业服务业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下合并</w:t>
            </w:r>
          </w:p>
        </w:tc>
      </w:tr>
      <w:tr>
        <w:trPr>
          <w:trHeight w:val="83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沈阳辽原</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物业管理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辽宁沈阳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辽宁沈阳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物业服务业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下合并</w:t>
            </w:r>
          </w:p>
        </w:tc>
      </w:tr>
      <w:tr>
        <w:trPr>
          <w:trHeight w:val="1107"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成都山外</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山物业管</w:t>
            </w:r>
            <w:r>
              <w:rPr>
                <w:rFonts w:ascii="宋体" w:hAnsi="宋体" w:cs="宋体" w:eastAsia="宋体" w:hint="default"/>
                <w:w w:val="100"/>
                <w:sz w:val="21"/>
                <w:szCs w:val="21"/>
              </w:rPr>
              <w:t> </w:t>
            </w:r>
            <w:r>
              <w:rPr>
                <w:rFonts w:ascii="宋体" w:hAnsi="宋体" w:cs="宋体" w:eastAsia="宋体" w:hint="default"/>
                <w:sz w:val="21"/>
                <w:szCs w:val="21"/>
              </w:rPr>
              <w:t>理有限公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四川成都</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四川成都</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9"/>
              <w:jc w:val="center"/>
              <w:rPr>
                <w:rFonts w:ascii="宋体" w:hAnsi="宋体" w:cs="宋体" w:eastAsia="宋体" w:hint="default"/>
                <w:sz w:val="21"/>
                <w:szCs w:val="21"/>
              </w:rPr>
            </w:pPr>
            <w:r>
              <w:rPr>
                <w:rFonts w:ascii="宋体" w:hAnsi="宋体" w:cs="宋体" w:eastAsia="宋体" w:hint="default"/>
                <w:sz w:val="21"/>
                <w:szCs w:val="21"/>
              </w:rPr>
              <w:t>物业服务业</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下合并</w:t>
            </w:r>
          </w:p>
        </w:tc>
      </w:tr>
      <w:tr>
        <w:trPr>
          <w:trHeight w:val="283" w:hRule="exact"/>
        </w:trPr>
        <w:tc>
          <w:tcPr>
            <w:tcW w:w="120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建德郡原</w:t>
            </w:r>
          </w:p>
        </w:tc>
        <w:tc>
          <w:tcPr>
            <w:tcW w:w="128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物业服务业</w:t>
            </w:r>
          </w:p>
        </w:tc>
        <w:tc>
          <w:tcPr>
            <w:tcW w:w="1286" w:type="dxa"/>
            <w:tcBorders>
              <w:top w:val="single" w:sz="6" w:space="0" w:color="000000"/>
              <w:left w:val="single" w:sz="6" w:space="0" w:color="000000"/>
              <w:bottom w:val="single" w:sz="4" w:space="0" w:color="000000"/>
              <w:right w:val="single" w:sz="6" w:space="0" w:color="000000"/>
            </w:tcBorders>
          </w:tcPr>
          <w:p>
            <w:pPr/>
          </w:p>
        </w:tc>
        <w:tc>
          <w:tcPr>
            <w:tcW w:w="128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41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tc>
      </w:tr>
    </w:tbl>
    <w:p>
      <w:pPr>
        <w:spacing w:after="0" w:line="241" w:lineRule="exact"/>
        <w:jc w:val="left"/>
        <w:rPr>
          <w:rFonts w:ascii="宋体" w:hAnsi="宋体" w:cs="宋体" w:eastAsia="宋体" w:hint="default"/>
          <w:sz w:val="21"/>
          <w:szCs w:val="21"/>
        </w:rPr>
        <w:sectPr>
          <w:footerReference w:type="default" r:id="rId81"/>
          <w:pgSz w:w="11910" w:h="16840"/>
          <w:pgMar w:footer="1195" w:header="0" w:top="1120" w:bottom="1380" w:left="1580" w:right="1040"/>
          <w:pgNumType w:start="116"/>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560" w:hRule="exact"/>
        </w:trPr>
        <w:tc>
          <w:tcPr>
            <w:tcW w:w="1200" w:type="dxa"/>
            <w:tcBorders>
              <w:top w:val="single" w:sz="6" w:space="0" w:color="000000"/>
              <w:left w:val="single" w:sz="4" w:space="0" w:color="000000"/>
              <w:bottom w:val="single" w:sz="4"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物业服务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4" w:space="0" w:color="000000"/>
              <w:right w:val="single" w:sz="6" w:space="0" w:color="000000"/>
            </w:tcBorders>
          </w:tcPr>
          <w:p>
            <w:pPr/>
          </w:p>
        </w:tc>
        <w:tc>
          <w:tcPr>
            <w:tcW w:w="1272" w:type="dxa"/>
            <w:tcBorders>
              <w:top w:val="single" w:sz="6" w:space="0" w:color="000000"/>
              <w:left w:val="single" w:sz="6" w:space="0" w:color="000000"/>
              <w:bottom w:val="single" w:sz="4" w:space="0" w:color="000000"/>
              <w:right w:val="single" w:sz="6" w:space="0" w:color="000000"/>
            </w:tcBorders>
          </w:tcPr>
          <w:p>
            <w:pPr/>
          </w:p>
        </w:tc>
        <w:tc>
          <w:tcPr>
            <w:tcW w:w="1301" w:type="dxa"/>
            <w:tcBorders>
              <w:top w:val="single" w:sz="6" w:space="0" w:color="000000"/>
              <w:left w:val="single" w:sz="6" w:space="0" w:color="000000"/>
              <w:bottom w:val="single" w:sz="4" w:space="0" w:color="000000"/>
              <w:right w:val="single" w:sz="6" w:space="0" w:color="000000"/>
            </w:tcBorders>
          </w:tcPr>
          <w:p>
            <w:pPr/>
          </w:p>
        </w:tc>
        <w:tc>
          <w:tcPr>
            <w:tcW w:w="1286" w:type="dxa"/>
            <w:tcBorders>
              <w:top w:val="single" w:sz="6" w:space="0" w:color="000000"/>
              <w:left w:val="single" w:sz="6" w:space="0" w:color="000000"/>
              <w:bottom w:val="single" w:sz="4" w:space="0" w:color="000000"/>
              <w:right w:val="single" w:sz="6" w:space="0" w:color="000000"/>
            </w:tcBorders>
          </w:tcPr>
          <w:p>
            <w:pPr/>
          </w:p>
        </w:tc>
        <w:tc>
          <w:tcPr>
            <w:tcW w:w="1287" w:type="dxa"/>
            <w:tcBorders>
              <w:top w:val="single" w:sz="6" w:space="0" w:color="000000"/>
              <w:left w:val="single" w:sz="6" w:space="0" w:color="000000"/>
              <w:bottom w:val="single" w:sz="4" w:space="0" w:color="000000"/>
              <w:right w:val="single" w:sz="6" w:space="0" w:color="000000"/>
            </w:tcBorders>
          </w:tcPr>
          <w:p>
            <w:pPr/>
          </w:p>
        </w:tc>
        <w:tc>
          <w:tcPr>
            <w:tcW w:w="1416" w:type="dxa"/>
            <w:tcBorders>
              <w:top w:val="single" w:sz="6" w:space="0" w:color="000000"/>
              <w:left w:val="single" w:sz="6"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下合并</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pStyle w:val="Heading3"/>
        <w:spacing w:line="240" w:lineRule="auto" w:before="36"/>
        <w:ind w:right="2465"/>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465"/>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ind w:right="2465"/>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3"/>
        <w:spacing w:line="240" w:lineRule="auto"/>
        <w:ind w:right="2465"/>
        <w:jc w:val="left"/>
        <w:rPr>
          <w:b w:val="0"/>
          <w:bCs w:val="0"/>
        </w:rPr>
      </w:pPr>
      <w:r>
        <w:rPr/>
        <w:t>十、与金融工具相关的风险</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tabs>
          <w:tab w:pos="1057" w:val="left" w:leader="none"/>
        </w:tabs>
        <w:spacing w:line="240" w:lineRule="auto"/>
        <w:ind w:right="2465"/>
        <w:jc w:val="left"/>
        <w:rPr>
          <w:b w:val="0"/>
          <w:bCs w:val="0"/>
        </w:rPr>
      </w:pPr>
      <w:r>
        <w:rPr/>
        <w:t>十一、</w:t>
        <w:tab/>
        <w:t>公允价值的披露</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tabs>
          <w:tab w:pos="1057" w:val="left" w:leader="none"/>
        </w:tabs>
        <w:spacing w:line="290" w:lineRule="auto" w:before="0"/>
        <w:ind w:left="218" w:right="6536" w:firstLine="0"/>
        <w:jc w:val="left"/>
        <w:rPr>
          <w:rFonts w:ascii="宋体" w:hAnsi="宋体" w:cs="宋体" w:eastAsia="宋体" w:hint="default"/>
          <w:sz w:val="21"/>
          <w:szCs w:val="21"/>
        </w:rPr>
      </w:pPr>
      <w:r>
        <w:rPr>
          <w:rFonts w:ascii="宋体" w:hAnsi="宋体" w:cs="宋体" w:eastAsia="宋体" w:hint="default"/>
          <w:b/>
          <w:bCs/>
          <w:sz w:val="21"/>
          <w:szCs w:val="21"/>
        </w:rPr>
        <w:t>十二、</w:t>
        <w:tab/>
        <w:t>关联方及关联交易</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 本企业的母公司情况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本企业的母公司情况的说明</w:t>
      </w:r>
    </w:p>
    <w:p>
      <w:pPr>
        <w:pStyle w:val="BodyText"/>
        <w:spacing w:line="229" w:lineRule="exact"/>
        <w:ind w:left="638" w:right="96"/>
        <w:jc w:val="left"/>
      </w:pPr>
      <w:r>
        <w:rPr>
          <w:w w:val="100"/>
        </w:rPr>
        <w:t>本公</w:t>
      </w:r>
      <w:r>
        <w:rPr>
          <w:spacing w:val="-3"/>
          <w:w w:val="100"/>
        </w:rPr>
        <w:t>司</w:t>
      </w:r>
      <w:r>
        <w:rPr>
          <w:w w:val="100"/>
        </w:rPr>
        <w:t>母</w:t>
      </w:r>
      <w:r>
        <w:rPr>
          <w:spacing w:val="-3"/>
          <w:w w:val="100"/>
        </w:rPr>
        <w:t>公</w:t>
      </w:r>
      <w:r>
        <w:rPr>
          <w:w w:val="100"/>
        </w:rPr>
        <w:t>司</w:t>
      </w:r>
      <w:r>
        <w:rPr>
          <w:spacing w:val="-3"/>
          <w:w w:val="100"/>
        </w:rPr>
        <w:t>原</w:t>
      </w:r>
      <w:r>
        <w:rPr>
          <w:w w:val="100"/>
        </w:rPr>
        <w:t>为</w:t>
      </w:r>
      <w:r>
        <w:rPr>
          <w:spacing w:val="-3"/>
          <w:w w:val="100"/>
        </w:rPr>
        <w:t>广</w:t>
      </w:r>
      <w:r>
        <w:rPr>
          <w:w w:val="100"/>
        </w:rPr>
        <w:t>西</w:t>
      </w:r>
      <w:r>
        <w:rPr>
          <w:spacing w:val="-3"/>
          <w:w w:val="100"/>
        </w:rPr>
        <w:t>北</w:t>
      </w:r>
      <w:r>
        <w:rPr>
          <w:w w:val="100"/>
        </w:rPr>
        <w:t>生集</w:t>
      </w:r>
      <w:r>
        <w:rPr>
          <w:spacing w:val="-3"/>
          <w:w w:val="100"/>
        </w:rPr>
        <w:t>团</w:t>
      </w:r>
      <w:r>
        <w:rPr>
          <w:w w:val="100"/>
        </w:rPr>
        <w:t>有</w:t>
      </w:r>
      <w:r>
        <w:rPr>
          <w:spacing w:val="-3"/>
          <w:w w:val="100"/>
        </w:rPr>
        <w:t>限</w:t>
      </w:r>
      <w:r>
        <w:rPr>
          <w:w w:val="100"/>
        </w:rPr>
        <w:t>责</w:t>
      </w:r>
      <w:r>
        <w:rPr>
          <w:spacing w:val="-3"/>
          <w:w w:val="100"/>
        </w:rPr>
        <w:t>任</w:t>
      </w:r>
      <w:r>
        <w:rPr>
          <w:w w:val="100"/>
        </w:rPr>
        <w:t>公</w:t>
      </w:r>
      <w:r>
        <w:rPr>
          <w:spacing w:val="-87"/>
          <w:w w:val="100"/>
        </w:rPr>
        <w:t>司</w:t>
      </w:r>
      <w:r>
        <w:rPr>
          <w:w w:val="100"/>
        </w:rPr>
        <w:t>（</w:t>
      </w:r>
      <w:r>
        <w:rPr>
          <w:spacing w:val="-3"/>
          <w:w w:val="100"/>
        </w:rPr>
        <w:t>以下</w:t>
      </w:r>
      <w:r>
        <w:rPr>
          <w:w w:val="100"/>
        </w:rPr>
        <w:t>简</w:t>
      </w:r>
      <w:r>
        <w:rPr>
          <w:spacing w:val="-85"/>
          <w:w w:val="100"/>
        </w:rPr>
        <w:t>称</w:t>
      </w:r>
      <w:r>
        <w:rPr>
          <w:spacing w:val="-3"/>
          <w:w w:val="100"/>
        </w:rPr>
        <w:t>“</w:t>
      </w:r>
      <w:r>
        <w:rPr>
          <w:w w:val="100"/>
        </w:rPr>
        <w:t>北</w:t>
      </w:r>
      <w:r>
        <w:rPr>
          <w:spacing w:val="-3"/>
          <w:w w:val="100"/>
        </w:rPr>
        <w:t>生</w:t>
      </w:r>
      <w:r>
        <w:rPr>
          <w:w w:val="100"/>
        </w:rPr>
        <w:t>集团</w:t>
      </w:r>
      <w:r>
        <w:rPr>
          <w:spacing w:val="-108"/>
          <w:w w:val="100"/>
        </w:rPr>
        <w:t>”</w:t>
      </w:r>
      <w:r>
        <w:rPr>
          <w:spacing w:val="-106"/>
          <w:w w:val="100"/>
        </w:rPr>
        <w:t>）</w:t>
      </w:r>
      <w:r>
        <w:rPr>
          <w:spacing w:val="-84"/>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08</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18</w:t>
      </w:r>
      <w:r>
        <w:rPr>
          <w:rFonts w:ascii="宋体" w:hAnsi="宋体" w:cs="宋体" w:eastAsia="宋体" w:hint="default"/>
          <w:spacing w:val="-55"/>
        </w:rPr>
        <w:t> </w:t>
      </w:r>
      <w:r>
        <w:rPr>
          <w:w w:val="100"/>
        </w:rPr>
        <w:t>日，</w:t>
      </w:r>
    </w:p>
    <w:p>
      <w:pPr>
        <w:pStyle w:val="BodyText"/>
        <w:spacing w:line="240" w:lineRule="auto" w:before="133"/>
        <w:ind w:left="218" w:right="96"/>
        <w:jc w:val="left"/>
      </w:pPr>
      <w:r>
        <w:rPr/>
        <w:t>根据广西壮族自治区北海市中级人民法院（</w:t>
      </w:r>
      <w:r>
        <w:rPr>
          <w:rFonts w:ascii="宋体" w:hAnsi="宋体" w:cs="宋体" w:eastAsia="宋体" w:hint="default"/>
        </w:rPr>
        <w:t>2010</w:t>
      </w:r>
      <w:r>
        <w:rPr/>
        <w:t>）北执一查字第</w:t>
      </w:r>
      <w:r>
        <w:rPr>
          <w:spacing w:val="-51"/>
        </w:rPr>
        <w:t> </w:t>
      </w:r>
      <w:r>
        <w:rPr>
          <w:rFonts w:ascii="宋体" w:hAnsi="宋体" w:cs="宋体" w:eastAsia="宋体" w:hint="default"/>
        </w:rPr>
        <w:t>28-21</w:t>
      </w:r>
      <w:r>
        <w:rPr>
          <w:rFonts w:ascii="宋体" w:hAnsi="宋体" w:cs="宋体" w:eastAsia="宋体" w:hint="default"/>
          <w:spacing w:val="-51"/>
        </w:rPr>
        <w:t> </w:t>
      </w:r>
      <w:r>
        <w:rPr/>
        <w:t>号《协助扣划通知书》要</w:t>
      </w:r>
    </w:p>
    <w:p>
      <w:pPr>
        <w:pStyle w:val="BodyText"/>
        <w:spacing w:line="240" w:lineRule="auto" w:before="133"/>
        <w:ind w:left="218" w:right="96"/>
        <w:jc w:val="left"/>
      </w:pPr>
      <w:r>
        <w:rPr>
          <w:w w:val="100"/>
        </w:rPr>
        <w:t>求</w:t>
      </w:r>
      <w:r>
        <w:rPr>
          <w:spacing w:val="-94"/>
          <w:w w:val="100"/>
        </w:rPr>
        <w:t>，</w:t>
      </w:r>
      <w:r>
        <w:rPr>
          <w:w w:val="100"/>
        </w:rPr>
        <w:t>中</w:t>
      </w:r>
      <w:r>
        <w:rPr>
          <w:spacing w:val="-3"/>
          <w:w w:val="100"/>
        </w:rPr>
        <w:t>国</w:t>
      </w:r>
      <w:r>
        <w:rPr>
          <w:w w:val="100"/>
        </w:rPr>
        <w:t>证</w:t>
      </w:r>
      <w:r>
        <w:rPr>
          <w:spacing w:val="-3"/>
          <w:w w:val="100"/>
        </w:rPr>
        <w:t>券</w:t>
      </w:r>
      <w:r>
        <w:rPr>
          <w:w w:val="100"/>
        </w:rPr>
        <w:t>登</w:t>
      </w:r>
      <w:r>
        <w:rPr>
          <w:spacing w:val="-3"/>
          <w:w w:val="100"/>
        </w:rPr>
        <w:t>记</w:t>
      </w:r>
      <w:r>
        <w:rPr>
          <w:w w:val="100"/>
        </w:rPr>
        <w:t>结</w:t>
      </w:r>
      <w:r>
        <w:rPr>
          <w:spacing w:val="-3"/>
          <w:w w:val="100"/>
        </w:rPr>
        <w:t>算</w:t>
      </w:r>
      <w:r>
        <w:rPr>
          <w:w w:val="100"/>
        </w:rPr>
        <w:t>有</w:t>
      </w:r>
      <w:r>
        <w:rPr>
          <w:spacing w:val="-3"/>
          <w:w w:val="100"/>
        </w:rPr>
        <w:t>限</w:t>
      </w:r>
      <w:r>
        <w:rPr>
          <w:w w:val="100"/>
        </w:rPr>
        <w:t>责任</w:t>
      </w:r>
      <w:r>
        <w:rPr>
          <w:spacing w:val="-3"/>
          <w:w w:val="100"/>
        </w:rPr>
        <w:t>公</w:t>
      </w:r>
      <w:r>
        <w:rPr>
          <w:w w:val="100"/>
        </w:rPr>
        <w:t>司</w:t>
      </w:r>
      <w:r>
        <w:rPr>
          <w:spacing w:val="-3"/>
          <w:w w:val="100"/>
        </w:rPr>
        <w:t>上</w:t>
      </w:r>
      <w:r>
        <w:rPr>
          <w:w w:val="100"/>
        </w:rPr>
        <w:t>海</w:t>
      </w:r>
      <w:r>
        <w:rPr>
          <w:spacing w:val="-3"/>
          <w:w w:val="100"/>
        </w:rPr>
        <w:t>分</w:t>
      </w:r>
      <w:r>
        <w:rPr>
          <w:w w:val="100"/>
        </w:rPr>
        <w:t>公</w:t>
      </w:r>
      <w:r>
        <w:rPr>
          <w:spacing w:val="-3"/>
          <w:w w:val="100"/>
        </w:rPr>
        <w:t>司</w:t>
      </w:r>
      <w:r>
        <w:rPr>
          <w:w w:val="100"/>
        </w:rPr>
        <w:t>于</w:t>
      </w:r>
      <w:r>
        <w:rPr>
          <w:spacing w:val="-52"/>
        </w:rPr>
        <w:t> </w:t>
      </w:r>
      <w:r>
        <w:rPr>
          <w:rFonts w:ascii="宋体" w:hAnsi="宋体" w:cs="宋体" w:eastAsia="宋体" w:hint="default"/>
          <w:spacing w:val="-3"/>
          <w:w w:val="100"/>
        </w:rPr>
        <w:t>20</w:t>
      </w:r>
      <w:r>
        <w:rPr>
          <w:rFonts w:ascii="宋体" w:hAnsi="宋体" w:cs="宋体" w:eastAsia="宋体" w:hint="default"/>
          <w:w w:val="100"/>
        </w:rPr>
        <w:t>14</w:t>
      </w:r>
      <w:r>
        <w:rPr>
          <w:rFonts w:ascii="宋体" w:hAnsi="宋体" w:cs="宋体" w:eastAsia="宋体" w:hint="default"/>
          <w:spacing w:val="-53"/>
        </w:rPr>
        <w:t> </w:t>
      </w:r>
      <w:r>
        <w:rPr>
          <w:w w:val="100"/>
        </w:rPr>
        <w:t>年</w:t>
      </w:r>
      <w:r>
        <w:rPr>
          <w:spacing w:val="-53"/>
        </w:rPr>
        <w:t> </w:t>
      </w:r>
      <w:r>
        <w:rPr>
          <w:rFonts w:ascii="宋体" w:hAnsi="宋体" w:cs="宋体" w:eastAsia="宋体" w:hint="default"/>
          <w:spacing w:val="-3"/>
          <w:w w:val="100"/>
        </w:rPr>
        <w:t>0</w:t>
      </w:r>
      <w:r>
        <w:rPr>
          <w:rFonts w:ascii="宋体" w:hAnsi="宋体" w:cs="宋体" w:eastAsia="宋体" w:hint="default"/>
          <w:w w:val="100"/>
        </w:rPr>
        <w:t>8</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18</w:t>
      </w:r>
      <w:r>
        <w:rPr>
          <w:rFonts w:ascii="宋体" w:hAnsi="宋体" w:cs="宋体" w:eastAsia="宋体" w:hint="default"/>
          <w:spacing w:val="-55"/>
        </w:rPr>
        <w:t> </w:t>
      </w:r>
      <w:r>
        <w:rPr>
          <w:w w:val="100"/>
        </w:rPr>
        <w:t>日</w:t>
      </w:r>
      <w:r>
        <w:rPr>
          <w:spacing w:val="-3"/>
          <w:w w:val="100"/>
        </w:rPr>
        <w:t>将</w:t>
      </w:r>
      <w:r>
        <w:rPr>
          <w:w w:val="100"/>
        </w:rPr>
        <w:t>公</w:t>
      </w:r>
      <w:r>
        <w:rPr>
          <w:spacing w:val="-3"/>
          <w:w w:val="100"/>
        </w:rPr>
        <w:t>司股</w:t>
      </w:r>
      <w:r>
        <w:rPr>
          <w:w w:val="100"/>
        </w:rPr>
        <w:t>东北</w:t>
      </w:r>
      <w:r>
        <w:rPr>
          <w:spacing w:val="-3"/>
          <w:w w:val="100"/>
        </w:rPr>
        <w:t>生</w:t>
      </w:r>
      <w:r>
        <w:rPr>
          <w:w w:val="100"/>
        </w:rPr>
        <w:t>集</w:t>
      </w:r>
      <w:r>
        <w:rPr>
          <w:spacing w:val="-3"/>
          <w:w w:val="100"/>
        </w:rPr>
        <w:t>团</w:t>
      </w:r>
      <w:r>
        <w:rPr>
          <w:w w:val="100"/>
        </w:rPr>
        <w:t>所</w:t>
      </w:r>
      <w:r>
        <w:rPr>
          <w:spacing w:val="-3"/>
          <w:w w:val="100"/>
        </w:rPr>
        <w:t>持</w:t>
      </w:r>
      <w:r>
        <w:rPr>
          <w:w w:val="100"/>
        </w:rPr>
        <w:t>有</w:t>
      </w:r>
    </w:p>
    <w:p>
      <w:pPr>
        <w:pStyle w:val="BodyText"/>
        <w:spacing w:line="357" w:lineRule="auto" w:before="133"/>
        <w:ind w:left="218" w:right="227"/>
        <w:jc w:val="both"/>
      </w:pPr>
      <w:r>
        <w:rPr>
          <w:spacing w:val="-1"/>
          <w:w w:val="100"/>
        </w:rPr>
        <w:t>的公司</w:t>
      </w:r>
      <w:r>
        <w:rPr>
          <w:spacing w:val="-39"/>
          <w:w w:val="100"/>
        </w:rPr>
        <w:t> </w:t>
      </w:r>
      <w:r>
        <w:rPr>
          <w:rFonts w:ascii="宋体" w:hAnsi="宋体" w:cs="宋体" w:eastAsia="宋体" w:hint="default"/>
          <w:spacing w:val="-1"/>
          <w:w w:val="100"/>
        </w:rPr>
        <w:t>28,011,200</w:t>
      </w:r>
      <w:r>
        <w:rPr>
          <w:rFonts w:ascii="宋体" w:hAnsi="宋体" w:cs="宋体" w:eastAsia="宋体" w:hint="default"/>
          <w:spacing w:val="-42"/>
          <w:w w:val="100"/>
        </w:rPr>
        <w:t> </w:t>
      </w:r>
      <w:r>
        <w:rPr>
          <w:spacing w:val="-5"/>
          <w:w w:val="100"/>
        </w:rPr>
        <w:t>股无限售流通股划转至北京瑞尔德嘉创业投资管理有限公司。因此北生集团已</w:t>
      </w:r>
      <w:r>
        <w:rPr>
          <w:spacing w:val="-100"/>
          <w:w w:val="100"/>
        </w:rPr>
        <w:t> </w:t>
      </w:r>
      <w:r>
        <w:rPr>
          <w:spacing w:val="-100"/>
          <w:w w:val="100"/>
        </w:rPr>
      </w:r>
      <w:r>
        <w:rPr/>
        <w:t>不再持有公司的股份。</w:t>
      </w:r>
      <w:r>
        <w:rPr>
          <w:spacing w:val="-16"/>
        </w:rPr>
        <w:t> </w:t>
      </w:r>
      <w:r>
        <w:rPr>
          <w:spacing w:val="-3"/>
        </w:rPr>
        <w:t>本公司已公告北生集团不具有实际控制力，同时其他前五大股东持股比例</w:t>
      </w:r>
      <w:r>
        <w:rPr>
          <w:spacing w:val="-94"/>
        </w:rPr>
        <w:t> </w:t>
      </w:r>
      <w:r>
        <w:rPr>
          <w:spacing w:val="-94"/>
        </w:rPr>
      </w:r>
      <w:r>
        <w:rPr>
          <w:spacing w:val="-1"/>
        </w:rPr>
        <w:t>较为接近且均占比较小，均无法依其持有的股份对应之表决权而对北生药业经营决策产生重大影</w:t>
      </w:r>
      <w:r>
        <w:rPr>
          <w:spacing w:val="-55"/>
        </w:rPr>
        <w:t> </w:t>
      </w:r>
      <w:r>
        <w:rPr>
          <w:spacing w:val="-55"/>
        </w:rPr>
      </w:r>
      <w:r>
        <w:rPr/>
        <w:t>响，公司实际控制人自股份扣划之日起由北生集团变更为无实际控制人。</w:t>
      </w:r>
    </w:p>
    <w:p>
      <w:pPr>
        <w:pStyle w:val="BodyText"/>
        <w:spacing w:line="240" w:lineRule="auto" w:before="30"/>
        <w:ind w:left="642" w:right="2465"/>
        <w:jc w:val="left"/>
      </w:pPr>
      <w:r>
        <w:rPr/>
        <w:t>本企业最终控制方是：无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290" w:lineRule="auto" w:before="0"/>
        <w:ind w:left="218" w:right="611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本企业子公司的情况详见附注</w:t>
      </w:r>
    </w:p>
    <w:p>
      <w:pPr>
        <w:spacing w:line="240" w:lineRule="auto" w:before="11"/>
        <w:rPr>
          <w:rFonts w:ascii="宋体" w:hAnsi="宋体" w:cs="宋体" w:eastAsia="宋体" w:hint="default"/>
          <w:sz w:val="21"/>
          <w:szCs w:val="21"/>
        </w:rPr>
      </w:pPr>
    </w:p>
    <w:p>
      <w:pPr>
        <w:spacing w:line="290" w:lineRule="auto" w:before="0"/>
        <w:ind w:left="218" w:right="506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spacing w:after="0" w:line="290" w:lineRule="auto"/>
        <w:jc w:val="left"/>
        <w:rPr>
          <w:rFonts w:ascii="宋体" w:hAnsi="宋体" w:cs="宋体" w:eastAsia="宋体" w:hint="default"/>
          <w:sz w:val="21"/>
          <w:szCs w:val="21"/>
        </w:rPr>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218" w:right="96"/>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1" w:lineRule="exact"/>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46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关联人（与公司同一董事长）</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上海斐讯数据通信技术有限公司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浙江郡原地产股份有限公司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浙江郡原控股有限公司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杭州天名房地产有限公司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青山湖圣园（杭州）置业有限公司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浙江华浙青马房地产有限公司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杭州郡原居里房产开发有限公司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宁波隆越房地产开发有限公司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杭州西溪邻里商业街开发经营有限公司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湖南中锴置业有限公司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沈阳华凌房地产有限公司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成都郡原置业有限公司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湖南宏梦置业有限公司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长沙浏阳河产业带建设有限公司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bl>
    <w:p>
      <w:pPr>
        <w:pStyle w:val="BodyText"/>
        <w:spacing w:line="241" w:lineRule="exact"/>
        <w:ind w:left="218" w:right="2465"/>
        <w:jc w:val="left"/>
      </w:pPr>
      <w:r>
        <w:rPr/>
        <w:t>其他说明</w:t>
      </w:r>
    </w:p>
    <w:p>
      <w:pPr>
        <w:pStyle w:val="BodyText"/>
        <w:spacing w:line="240" w:lineRule="auto" w:before="116"/>
        <w:ind w:left="638" w:right="96"/>
        <w:jc w:val="left"/>
      </w:pPr>
      <w:r>
        <w:rPr>
          <w:w w:val="100"/>
        </w:rPr>
        <w:t>截止</w:t>
      </w:r>
      <w:r>
        <w:rPr>
          <w:spacing w:val="-53"/>
        </w:rPr>
        <w:t> </w:t>
      </w:r>
      <w:r>
        <w:rPr>
          <w:rFonts w:ascii="宋体" w:hAnsi="宋体" w:cs="宋体" w:eastAsia="宋体" w:hint="default"/>
          <w:spacing w:val="-3"/>
          <w:w w:val="100"/>
        </w:rPr>
        <w:t>2</w:t>
      </w:r>
      <w:r>
        <w:rPr>
          <w:rFonts w:ascii="宋体" w:hAnsi="宋体" w:cs="宋体" w:eastAsia="宋体" w:hint="default"/>
          <w:w w:val="100"/>
        </w:rPr>
        <w:t>015</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2"/>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spacing w:val="-94"/>
          <w:w w:val="100"/>
        </w:rPr>
        <w:t>，</w:t>
      </w:r>
      <w:r>
        <w:rPr>
          <w:w w:val="100"/>
        </w:rPr>
        <w:t>顾国</w:t>
      </w:r>
      <w:r>
        <w:rPr>
          <w:spacing w:val="-3"/>
          <w:w w:val="100"/>
        </w:rPr>
        <w:t>平</w:t>
      </w:r>
      <w:r>
        <w:rPr>
          <w:w w:val="100"/>
        </w:rPr>
        <w:t>先</w:t>
      </w:r>
      <w:r>
        <w:rPr>
          <w:spacing w:val="-3"/>
          <w:w w:val="100"/>
        </w:rPr>
        <w:t>生</w:t>
      </w:r>
      <w:r>
        <w:rPr>
          <w:w w:val="100"/>
        </w:rPr>
        <w:t>及</w:t>
      </w:r>
      <w:r>
        <w:rPr>
          <w:spacing w:val="-3"/>
          <w:w w:val="100"/>
        </w:rPr>
        <w:t>其</w:t>
      </w:r>
      <w:r>
        <w:rPr>
          <w:w w:val="100"/>
        </w:rPr>
        <w:t>一</w:t>
      </w:r>
      <w:r>
        <w:rPr>
          <w:spacing w:val="-3"/>
          <w:w w:val="100"/>
        </w:rPr>
        <w:t>致</w:t>
      </w:r>
      <w:r>
        <w:rPr>
          <w:w w:val="100"/>
        </w:rPr>
        <w:t>行</w:t>
      </w:r>
      <w:r>
        <w:rPr>
          <w:spacing w:val="-3"/>
          <w:w w:val="100"/>
        </w:rPr>
        <w:t>动</w:t>
      </w:r>
      <w:r>
        <w:rPr>
          <w:w w:val="100"/>
        </w:rPr>
        <w:t>人上</w:t>
      </w:r>
      <w:r>
        <w:rPr>
          <w:spacing w:val="-3"/>
          <w:w w:val="100"/>
        </w:rPr>
        <w:t>海</w:t>
      </w:r>
      <w:r>
        <w:rPr>
          <w:w w:val="100"/>
        </w:rPr>
        <w:t>和</w:t>
      </w:r>
      <w:r>
        <w:rPr>
          <w:spacing w:val="-3"/>
          <w:w w:val="100"/>
        </w:rPr>
        <w:t>熙</w:t>
      </w:r>
      <w:r>
        <w:rPr>
          <w:w w:val="100"/>
        </w:rPr>
        <w:t>投</w:t>
      </w:r>
      <w:r>
        <w:rPr>
          <w:spacing w:val="-3"/>
          <w:w w:val="100"/>
        </w:rPr>
        <w:t>资</w:t>
      </w:r>
      <w:r>
        <w:rPr>
          <w:w w:val="100"/>
        </w:rPr>
        <w:t>管</w:t>
      </w:r>
      <w:r>
        <w:rPr>
          <w:spacing w:val="-3"/>
          <w:w w:val="100"/>
        </w:rPr>
        <w:t>理</w:t>
      </w:r>
      <w:r>
        <w:rPr>
          <w:w w:val="100"/>
        </w:rPr>
        <w:t>有</w:t>
      </w:r>
      <w:r>
        <w:rPr>
          <w:spacing w:val="-3"/>
          <w:w w:val="100"/>
        </w:rPr>
        <w:t>限</w:t>
      </w:r>
      <w:r>
        <w:rPr>
          <w:w w:val="100"/>
        </w:rPr>
        <w:t>公司</w:t>
      </w:r>
      <w:r>
        <w:rPr>
          <w:spacing w:val="-3"/>
          <w:w w:val="100"/>
        </w:rPr>
        <w:t>－</w:t>
      </w:r>
      <w:r>
        <w:rPr>
          <w:w w:val="100"/>
        </w:rPr>
        <w:t>和</w:t>
      </w:r>
      <w:r>
        <w:rPr>
          <w:spacing w:val="-3"/>
          <w:w w:val="100"/>
        </w:rPr>
        <w:t>熙成</w:t>
      </w:r>
      <w:r>
        <w:rPr>
          <w:w w:val="100"/>
        </w:rPr>
        <w:t>长</w:t>
      </w:r>
    </w:p>
    <w:p>
      <w:pPr>
        <w:pStyle w:val="BodyText"/>
        <w:spacing w:line="240" w:lineRule="auto" w:before="133"/>
        <w:ind w:left="218" w:right="96"/>
        <w:jc w:val="left"/>
      </w:pPr>
      <w:r>
        <w:rPr/>
        <w:t>型</w:t>
      </w:r>
      <w:r>
        <w:rPr>
          <w:spacing w:val="-51"/>
        </w:rPr>
        <w:t> </w:t>
      </w:r>
      <w:r>
        <w:rPr>
          <w:rFonts w:ascii="宋体" w:hAnsi="宋体" w:cs="宋体" w:eastAsia="宋体" w:hint="default"/>
        </w:rPr>
        <w:t>2</w:t>
      </w:r>
      <w:r>
        <w:rPr>
          <w:rFonts w:ascii="宋体" w:hAnsi="宋体" w:cs="宋体" w:eastAsia="宋体" w:hint="default"/>
          <w:spacing w:val="-51"/>
        </w:rPr>
        <w:t> </w:t>
      </w:r>
      <w:r>
        <w:rPr/>
        <w:t>号基金、华安未来资产－工商银行－汇增</w:t>
      </w:r>
      <w:r>
        <w:rPr>
          <w:spacing w:val="-51"/>
        </w:rPr>
        <w:t> </w:t>
      </w:r>
      <w:r>
        <w:rPr>
          <w:rFonts w:ascii="宋体" w:hAnsi="宋体" w:cs="宋体" w:eastAsia="宋体" w:hint="default"/>
        </w:rPr>
        <w:t>1</w:t>
      </w:r>
      <w:r>
        <w:rPr>
          <w:rFonts w:ascii="宋体" w:hAnsi="宋体" w:cs="宋体" w:eastAsia="宋体" w:hint="default"/>
          <w:spacing w:val="-54"/>
        </w:rPr>
        <w:t> </w:t>
      </w:r>
      <w:r>
        <w:rPr/>
        <w:t>号资产管理计划、华安未来资产－工商银行－汇</w:t>
      </w:r>
    </w:p>
    <w:p>
      <w:pPr>
        <w:pStyle w:val="BodyText"/>
        <w:spacing w:line="240" w:lineRule="auto" w:before="135"/>
        <w:ind w:left="218" w:right="96"/>
        <w:jc w:val="left"/>
      </w:pPr>
      <w:r>
        <w:rPr>
          <w:w w:val="100"/>
        </w:rPr>
        <w:t>增</w:t>
      </w:r>
      <w:r>
        <w:rPr>
          <w:spacing w:val="-53"/>
        </w:rPr>
        <w:t> </w:t>
      </w:r>
      <w:r>
        <w:rPr>
          <w:rFonts w:ascii="宋体" w:hAnsi="宋体" w:cs="宋体" w:eastAsia="宋体" w:hint="default"/>
          <w:w w:val="100"/>
        </w:rPr>
        <w:t>2</w:t>
      </w:r>
      <w:r>
        <w:rPr>
          <w:rFonts w:ascii="宋体" w:hAnsi="宋体" w:cs="宋体" w:eastAsia="宋体" w:hint="default"/>
          <w:spacing w:val="-53"/>
        </w:rPr>
        <w:t> </w:t>
      </w:r>
      <w:r>
        <w:rPr>
          <w:spacing w:val="-3"/>
          <w:w w:val="100"/>
        </w:rPr>
        <w:t>号</w:t>
      </w:r>
      <w:r>
        <w:rPr>
          <w:w w:val="100"/>
        </w:rPr>
        <w:t>资</w:t>
      </w:r>
      <w:r>
        <w:rPr>
          <w:spacing w:val="-3"/>
          <w:w w:val="100"/>
        </w:rPr>
        <w:t>产</w:t>
      </w:r>
      <w:r>
        <w:rPr>
          <w:w w:val="100"/>
        </w:rPr>
        <w:t>管</w:t>
      </w:r>
      <w:r>
        <w:rPr>
          <w:spacing w:val="-3"/>
          <w:w w:val="100"/>
        </w:rPr>
        <w:t>理</w:t>
      </w:r>
      <w:r>
        <w:rPr>
          <w:w w:val="100"/>
        </w:rPr>
        <w:t>计</w:t>
      </w:r>
      <w:r>
        <w:rPr>
          <w:spacing w:val="-3"/>
          <w:w w:val="100"/>
        </w:rPr>
        <w:t>划</w:t>
      </w:r>
      <w:r>
        <w:rPr>
          <w:spacing w:val="-94"/>
          <w:w w:val="100"/>
        </w:rPr>
        <w:t>、</w:t>
      </w:r>
      <w:r>
        <w:rPr>
          <w:w w:val="100"/>
        </w:rPr>
        <w:t>华</w:t>
      </w:r>
      <w:r>
        <w:rPr>
          <w:spacing w:val="-3"/>
          <w:w w:val="100"/>
        </w:rPr>
        <w:t>安</w:t>
      </w:r>
      <w:r>
        <w:rPr>
          <w:w w:val="100"/>
        </w:rPr>
        <w:t>未来</w:t>
      </w:r>
      <w:r>
        <w:rPr>
          <w:spacing w:val="-3"/>
          <w:w w:val="100"/>
        </w:rPr>
        <w:t>资</w:t>
      </w:r>
      <w:r>
        <w:rPr>
          <w:w w:val="100"/>
        </w:rPr>
        <w:t>产</w:t>
      </w:r>
      <w:r>
        <w:rPr>
          <w:spacing w:val="-3"/>
          <w:w w:val="100"/>
        </w:rPr>
        <w:t>－</w:t>
      </w:r>
      <w:r>
        <w:rPr>
          <w:w w:val="100"/>
        </w:rPr>
        <w:t>工</w:t>
      </w:r>
      <w:r>
        <w:rPr>
          <w:spacing w:val="-3"/>
          <w:w w:val="100"/>
        </w:rPr>
        <w:t>商</w:t>
      </w:r>
      <w:r>
        <w:rPr>
          <w:w w:val="100"/>
        </w:rPr>
        <w:t>银</w:t>
      </w:r>
      <w:r>
        <w:rPr>
          <w:spacing w:val="-3"/>
          <w:w w:val="100"/>
        </w:rPr>
        <w:t>行</w:t>
      </w:r>
      <w:r>
        <w:rPr>
          <w:w w:val="100"/>
        </w:rPr>
        <w:t>－</w:t>
      </w:r>
      <w:r>
        <w:rPr>
          <w:spacing w:val="-3"/>
          <w:w w:val="100"/>
        </w:rPr>
        <w:t>汇</w:t>
      </w:r>
      <w:r>
        <w:rPr>
          <w:w w:val="100"/>
        </w:rPr>
        <w:t>增</w:t>
      </w:r>
      <w:r>
        <w:rPr>
          <w:spacing w:val="-52"/>
        </w:rPr>
        <w:t> </w:t>
      </w:r>
      <w:r>
        <w:rPr>
          <w:rFonts w:ascii="宋体" w:hAnsi="宋体" w:cs="宋体" w:eastAsia="宋体" w:hint="default"/>
          <w:w w:val="100"/>
        </w:rPr>
        <w:t>3</w:t>
      </w:r>
      <w:r>
        <w:rPr>
          <w:rFonts w:ascii="宋体" w:hAnsi="宋体" w:cs="宋体" w:eastAsia="宋体" w:hint="default"/>
          <w:spacing w:val="-53"/>
        </w:rPr>
        <w:t> </w:t>
      </w:r>
      <w:r>
        <w:rPr>
          <w:spacing w:val="-3"/>
          <w:w w:val="100"/>
        </w:rPr>
        <w:t>号</w:t>
      </w:r>
      <w:r>
        <w:rPr>
          <w:w w:val="100"/>
        </w:rPr>
        <w:t>资</w:t>
      </w:r>
      <w:r>
        <w:rPr>
          <w:spacing w:val="-3"/>
          <w:w w:val="100"/>
        </w:rPr>
        <w:t>产</w:t>
      </w:r>
      <w:r>
        <w:rPr>
          <w:w w:val="100"/>
        </w:rPr>
        <w:t>管</w:t>
      </w:r>
      <w:r>
        <w:rPr>
          <w:spacing w:val="-3"/>
          <w:w w:val="100"/>
        </w:rPr>
        <w:t>理</w:t>
      </w:r>
      <w:r>
        <w:rPr>
          <w:w w:val="100"/>
        </w:rPr>
        <w:t>计</w:t>
      </w:r>
      <w:r>
        <w:rPr>
          <w:spacing w:val="-3"/>
          <w:w w:val="100"/>
        </w:rPr>
        <w:t>划</w:t>
      </w:r>
      <w:r>
        <w:rPr>
          <w:w w:val="100"/>
        </w:rPr>
        <w:t>及</w:t>
      </w:r>
      <w:r>
        <w:rPr>
          <w:spacing w:val="-3"/>
          <w:w w:val="100"/>
        </w:rPr>
        <w:t>德</w:t>
      </w:r>
      <w:r>
        <w:rPr>
          <w:w w:val="100"/>
        </w:rPr>
        <w:t>邦创</w:t>
      </w:r>
      <w:r>
        <w:rPr>
          <w:spacing w:val="-3"/>
          <w:w w:val="100"/>
        </w:rPr>
        <w:t>新</w:t>
      </w:r>
      <w:r>
        <w:rPr>
          <w:w w:val="100"/>
        </w:rPr>
        <w:t>资</w:t>
      </w:r>
      <w:r>
        <w:rPr>
          <w:spacing w:val="-3"/>
          <w:w w:val="100"/>
        </w:rPr>
        <w:t>本</w:t>
      </w:r>
      <w:r>
        <w:rPr>
          <w:rFonts w:ascii="宋体" w:hAnsi="宋体" w:cs="宋体" w:eastAsia="宋体" w:hint="default"/>
          <w:w w:val="100"/>
        </w:rPr>
        <w:t>-</w:t>
      </w:r>
      <w:r>
        <w:rPr>
          <w:spacing w:val="-3"/>
          <w:w w:val="100"/>
        </w:rPr>
        <w:t>浦发银</w:t>
      </w:r>
      <w:r>
        <w:rPr>
          <w:w w:val="100"/>
        </w:rPr>
      </w:r>
    </w:p>
    <w:p>
      <w:pPr>
        <w:pStyle w:val="BodyText"/>
        <w:spacing w:line="240" w:lineRule="auto" w:before="133"/>
        <w:ind w:left="218" w:right="96"/>
        <w:jc w:val="left"/>
      </w:pPr>
      <w:r>
        <w:rPr/>
        <w:t>行</w:t>
      </w:r>
      <w:r>
        <w:rPr>
          <w:rFonts w:ascii="宋体" w:hAnsi="宋体" w:cs="宋体" w:eastAsia="宋体" w:hint="default"/>
        </w:rPr>
        <w:t>-</w:t>
      </w:r>
      <w:r>
        <w:rPr/>
        <w:t>德邦创新资本慧金</w:t>
      </w:r>
      <w:r>
        <w:rPr>
          <w:spacing w:val="-50"/>
        </w:rPr>
        <w:t> </w:t>
      </w:r>
      <w:r>
        <w:rPr>
          <w:rFonts w:ascii="宋体" w:hAnsi="宋体" w:cs="宋体" w:eastAsia="宋体" w:hint="default"/>
        </w:rPr>
        <w:t>1</w:t>
      </w:r>
      <w:r>
        <w:rPr>
          <w:rFonts w:ascii="宋体" w:hAnsi="宋体" w:cs="宋体" w:eastAsia="宋体" w:hint="default"/>
          <w:spacing w:val="-53"/>
        </w:rPr>
        <w:t> </w:t>
      </w:r>
      <w:r>
        <w:rPr/>
        <w:t>号专项资产管理计划合计持有公司股份</w:t>
      </w:r>
      <w:r>
        <w:rPr>
          <w:spacing w:val="-50"/>
        </w:rPr>
        <w:t> </w:t>
      </w:r>
      <w:r>
        <w:rPr>
          <w:rFonts w:ascii="宋体" w:hAnsi="宋体" w:cs="宋体" w:eastAsia="宋体" w:hint="default"/>
        </w:rPr>
        <w:t>34,716,875</w:t>
      </w:r>
      <w:r>
        <w:rPr>
          <w:rFonts w:ascii="宋体" w:hAnsi="宋体" w:cs="宋体" w:eastAsia="宋体" w:hint="default"/>
          <w:spacing w:val="-53"/>
        </w:rPr>
        <w:t> </w:t>
      </w:r>
      <w:r>
        <w:rPr/>
        <w:t>股，占公司总股本的</w:t>
      </w:r>
    </w:p>
    <w:p>
      <w:pPr>
        <w:pStyle w:val="BodyText"/>
        <w:spacing w:line="240" w:lineRule="auto" w:before="133"/>
        <w:ind w:left="218" w:right="96"/>
        <w:jc w:val="left"/>
        <w:rPr>
          <w:rFonts w:ascii="宋体" w:hAnsi="宋体" w:cs="宋体" w:eastAsia="宋体" w:hint="default"/>
        </w:rPr>
      </w:pPr>
      <w:r>
        <w:rPr>
          <w:rFonts w:ascii="宋体" w:hAnsi="宋体" w:cs="宋体" w:eastAsia="宋体" w:hint="default"/>
        </w:rPr>
        <w:t>8.79%</w:t>
      </w:r>
      <w:r>
        <w:rPr/>
        <w:t>，顾国平先生及其一致行动人和熙</w:t>
      </w:r>
      <w:r>
        <w:rPr>
          <w:spacing w:val="-29"/>
        </w:rPr>
        <w:t> </w:t>
      </w:r>
      <w:r>
        <w:rPr>
          <w:rFonts w:ascii="宋体" w:hAnsi="宋体" w:cs="宋体" w:eastAsia="宋体" w:hint="default"/>
        </w:rPr>
        <w:t>2</w:t>
      </w:r>
      <w:r>
        <w:rPr>
          <w:rFonts w:ascii="宋体" w:hAnsi="宋体" w:cs="宋体" w:eastAsia="宋体" w:hint="default"/>
          <w:spacing w:val="-31"/>
        </w:rPr>
        <w:t> </w:t>
      </w:r>
      <w:r>
        <w:rPr/>
        <w:t>号基金、华安汇增</w:t>
      </w:r>
      <w:r>
        <w:rPr>
          <w:spacing w:val="-29"/>
        </w:rPr>
        <w:t> </w:t>
      </w:r>
      <w:r>
        <w:rPr>
          <w:rFonts w:ascii="宋体" w:hAnsi="宋体" w:cs="宋体" w:eastAsia="宋体" w:hint="default"/>
        </w:rPr>
        <w:t>1</w:t>
      </w:r>
      <w:r>
        <w:rPr>
          <w:rFonts w:ascii="宋体" w:hAnsi="宋体" w:cs="宋体" w:eastAsia="宋体" w:hint="default"/>
          <w:spacing w:val="-31"/>
        </w:rPr>
        <w:t> </w:t>
      </w:r>
      <w:r>
        <w:rPr/>
        <w:t>号、华安汇增</w:t>
      </w:r>
      <w:r>
        <w:rPr>
          <w:spacing w:val="-31"/>
        </w:rPr>
        <w:t> </w:t>
      </w:r>
      <w:r>
        <w:rPr>
          <w:rFonts w:ascii="宋体" w:hAnsi="宋体" w:cs="宋体" w:eastAsia="宋体" w:hint="default"/>
        </w:rPr>
        <w:t>2</w:t>
      </w:r>
      <w:r>
        <w:rPr>
          <w:rFonts w:ascii="宋体" w:hAnsi="宋体" w:cs="宋体" w:eastAsia="宋体" w:hint="default"/>
          <w:spacing w:val="-29"/>
        </w:rPr>
        <w:t> </w:t>
      </w:r>
      <w:r>
        <w:rPr/>
        <w:t>号、华安汇增</w:t>
      </w:r>
      <w:r>
        <w:rPr>
          <w:spacing w:val="-29"/>
        </w:rPr>
        <w:t> </w:t>
      </w:r>
      <w:r>
        <w:rPr>
          <w:rFonts w:ascii="宋体" w:hAnsi="宋体" w:cs="宋体" w:eastAsia="宋体" w:hint="default"/>
        </w:rPr>
        <w:t>3</w:t>
      </w:r>
    </w:p>
    <w:p>
      <w:pPr>
        <w:pStyle w:val="BodyText"/>
        <w:spacing w:line="240" w:lineRule="auto" w:before="133"/>
        <w:ind w:left="218" w:right="2465"/>
        <w:jc w:val="left"/>
      </w:pPr>
      <w:r>
        <w:rPr/>
        <w:t>号及德邦慧金</w:t>
      </w:r>
      <w:r>
        <w:rPr>
          <w:spacing w:val="-52"/>
        </w:rPr>
        <w:t> </w:t>
      </w:r>
      <w:r>
        <w:rPr>
          <w:rFonts w:ascii="宋体" w:hAnsi="宋体" w:cs="宋体" w:eastAsia="宋体" w:hint="default"/>
        </w:rPr>
        <w:t>1</w:t>
      </w:r>
      <w:r>
        <w:rPr>
          <w:rFonts w:ascii="宋体" w:hAnsi="宋体" w:cs="宋体" w:eastAsia="宋体" w:hint="default"/>
          <w:spacing w:val="-54"/>
        </w:rPr>
        <w:t> </w:t>
      </w:r>
      <w:r>
        <w:rPr/>
        <w:t>号为公司的第一大股东。</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spacing w:line="240" w:lineRule="auto" w:before="9"/>
        <w:rPr>
          <w:rFonts w:ascii="宋体" w:hAnsi="宋体" w:cs="宋体" w:eastAsia="宋体" w:hint="default"/>
          <w:sz w:val="15"/>
          <w:szCs w:val="15"/>
        </w:rPr>
      </w:pPr>
    </w:p>
    <w:p>
      <w:pPr>
        <w:pStyle w:val="Heading3"/>
        <w:spacing w:line="240" w:lineRule="auto"/>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3"/>
        <w:spacing w:line="240" w:lineRule="auto" w:before="57"/>
        <w:ind w:right="-18"/>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72" w:lineRule="exact" w:before="86"/>
        <w:ind w:left="218" w:right="258"/>
        <w:jc w:val="left"/>
      </w:pPr>
      <w:r>
        <w:rPr/>
        <w:t>√适用</w:t>
      </w:r>
      <w:r>
        <w:rPr>
          <w:spacing w:val="-2"/>
        </w:rPr>
        <w:t> </w:t>
      </w:r>
      <w:r>
        <w:rPr/>
        <w:t>□不适用</w:t>
      </w:r>
      <w:r>
        <w:rPr>
          <w:w w:val="100"/>
        </w:rPr>
        <w:t> </w:t>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
              <w:jc w:val="center"/>
              <w:rPr>
                <w:rFonts w:ascii="宋体" w:hAnsi="宋体" w:cs="宋体" w:eastAsia="宋体" w:hint="default"/>
                <w:sz w:val="21"/>
                <w:szCs w:val="21"/>
              </w:rPr>
            </w:pPr>
            <w:r>
              <w:rPr>
                <w:rFonts w:ascii="宋体" w:hAnsi="宋体" w:cs="宋体" w:eastAsia="宋体" w:hint="default"/>
                <w:sz w:val="21"/>
                <w:szCs w:val="21"/>
              </w:rPr>
              <w:t>杭州天名房地产有限公司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物业案场服务、前期服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43,505.37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172,738.81</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青山湖圣园（杭州）置业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物业案场服务、前期服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20,946.51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900,941.40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浙江华浙青马房地产有限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物业案场服务、前期服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724,071.40</w:t>
            </w: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杭州郡原居里房产开发有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物业前期服务、开荒保</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222,735.00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2" w:type="dxa"/>
        <w:tblLayout w:type="fixed"/>
        <w:tblCellMar>
          <w:top w:w="0" w:type="dxa"/>
          <w:left w:w="0" w:type="dxa"/>
          <w:bottom w:w="0" w:type="dxa"/>
          <w:right w:w="0" w:type="dxa"/>
        </w:tblCellMar>
        <w:tblLook w:val="01E0"/>
      </w:tblPr>
      <w:tblGrid>
        <w:gridCol w:w="2425"/>
        <w:gridCol w:w="2143"/>
        <w:gridCol w:w="2170"/>
        <w:gridCol w:w="2158"/>
      </w:tblGrid>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宁波隆越房地产开发有限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物业咨询顾问服务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500,000.00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杭州西溪邻里商业街开发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经营有限公司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物业案场服务、咨询顾</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问服务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802,001.00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湖南中锴置业有限公司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物业案场服务、前期服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2,686,813.90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沈阳华凌房地产有限公司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物业案场服务、前期服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4,562,434.93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4,934,369.10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成都郡原置业有限公司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物业案场服务、前期服</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1,200,000.00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湖南宏梦置业有限公司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物业管理服务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896,862.22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400,419.84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before="36"/>
        <w:ind w:left="158" w:right="0"/>
        <w:jc w:val="left"/>
        <w:rPr>
          <w:b w:val="0"/>
          <w:bCs w:val="0"/>
        </w:rPr>
      </w:pPr>
      <w:r>
        <w:rPr>
          <w:rFonts w:ascii="宋体" w:hAnsi="宋体" w:cs="宋体" w:eastAsia="宋体" w:hint="default"/>
        </w:rPr>
        <w:t>(2).</w:t>
      </w:r>
      <w:r>
        <w:rPr>
          <w:rFonts w:ascii="宋体" w:hAnsi="宋体" w:cs="宋体" w:eastAsia="宋体" w:hint="default"/>
          <w:spacing w:val="89"/>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BodyText"/>
        <w:spacing w:line="240" w:lineRule="auto" w:before="39"/>
        <w:ind w:left="1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58" w:right="0"/>
        <w:jc w:val="left"/>
        <w:rPr>
          <w:b w:val="0"/>
          <w:bCs w:val="0"/>
        </w:rPr>
      </w:pPr>
      <w:r>
        <w:rPr>
          <w:rFonts w:ascii="宋体" w:hAnsi="宋体" w:cs="宋体" w:eastAsia="宋体" w:hint="default"/>
        </w:rPr>
        <w:t>(3).</w:t>
      </w:r>
      <w:r>
        <w:rPr>
          <w:rFonts w:ascii="宋体" w:hAnsi="宋体" w:cs="宋体" w:eastAsia="宋体" w:hint="default"/>
          <w:spacing w:val="89"/>
        </w:rPr>
        <w:t> </w:t>
      </w:r>
      <w:r>
        <w:rPr/>
        <w:t>关联租赁情况</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58" w:right="0"/>
        <w:jc w:val="left"/>
        <w:rPr>
          <w:b w:val="0"/>
          <w:bCs w:val="0"/>
        </w:rPr>
      </w:pPr>
      <w:r>
        <w:rPr>
          <w:rFonts w:ascii="宋体" w:hAnsi="宋体" w:cs="宋体" w:eastAsia="宋体" w:hint="default"/>
        </w:rPr>
        <w:t>(4).</w:t>
      </w:r>
      <w:r>
        <w:rPr>
          <w:rFonts w:ascii="宋体" w:hAnsi="宋体" w:cs="宋体" w:eastAsia="宋体" w:hint="default"/>
          <w:spacing w:val="89"/>
        </w:rPr>
        <w:t> </w:t>
      </w:r>
      <w:r>
        <w:rPr/>
        <w:t>关联担保情况</w:t>
      </w:r>
      <w:r>
        <w:rPr>
          <w:b w:val="0"/>
          <w:bCs w:val="0"/>
        </w:rPr>
      </w:r>
    </w:p>
    <w:p>
      <w:pPr>
        <w:pStyle w:val="BodyText"/>
        <w:spacing w:line="240" w:lineRule="auto" w:before="56"/>
        <w:ind w:left="1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58" w:right="0"/>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8"/>
        <w:ind w:left="158" w:right="0"/>
        <w:jc w:val="left"/>
      </w:pPr>
      <w:r>
        <w:rPr/>
        <w:t>□适用</w:t>
      </w:r>
      <w:r>
        <w:rPr>
          <w:spacing w:val="-1"/>
        </w:rPr>
        <w:t> </w:t>
      </w:r>
      <w:r>
        <w:rPr/>
        <w:t>√不适用</w:t>
      </w:r>
    </w:p>
    <w:p>
      <w:pPr>
        <w:pStyle w:val="Heading3"/>
        <w:spacing w:line="240" w:lineRule="auto" w:before="56"/>
        <w:ind w:left="158" w:right="0"/>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left="158" w:right="0"/>
        <w:jc w:val="left"/>
      </w:pPr>
      <w:r>
        <w:rPr/>
        <w:t>□适用</w:t>
      </w:r>
      <w:r>
        <w:rPr>
          <w:spacing w:val="-1"/>
        </w:rPr>
        <w:t> </w:t>
      </w:r>
      <w:r>
        <w:rPr/>
        <w:t>√不适用</w:t>
      </w:r>
    </w:p>
    <w:p>
      <w:pPr>
        <w:pStyle w:val="Heading3"/>
        <w:spacing w:line="240" w:lineRule="auto" w:before="58"/>
        <w:ind w:left="158" w:right="0"/>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spacing w:line="290" w:lineRule="auto" w:before="56"/>
        <w:ind w:left="158" w:right="7085" w:firstLine="0"/>
        <w:jc w:val="left"/>
        <w:rPr>
          <w:rFonts w:ascii="宋体" w:hAnsi="宋体" w:cs="宋体" w:eastAsia="宋体" w:hint="default"/>
          <w:sz w:val="21"/>
          <w:szCs w:val="21"/>
        </w:rPr>
      </w:pPr>
      <w:r>
        <w:rPr/>
        <w:pict>
          <v:shape style="position:absolute;margin-left:249.289993pt;margin-top:52.863663pt;width:.48001pt;height:.12pt;mso-position-horizontal-relative:page;mso-position-vertical-relative:paragraph;z-index:-593152" type="#_x0000_t75" stroked="false">
            <v:imagedata r:id="rId82" o:title=""/>
          </v:shape>
        </w:pict>
      </w:r>
      <w:r>
        <w:rPr/>
        <w:pict>
          <v:shape style="position:absolute;margin-left:388.869995pt;margin-top:52.863663pt;width:.47998pt;height:.12pt;mso-position-horizontal-relative:page;mso-position-vertical-relative:paragraph;z-index:-593128" type="#_x0000_t75" stroked="false">
            <v:imagedata r:id="rId82" o:title=""/>
          </v:shape>
        </w:pict>
      </w:r>
      <w:r>
        <w:rPr/>
        <w:pict>
          <v:group style="position:absolute;margin-left:88.463997pt;margin-top:69.903625pt;width:445.3pt;height:.5pt;mso-position-horizontal-relative:page;mso-position-vertical-relative:paragraph;z-index:-593104" coordorigin="1769,1398" coordsize="8906,10">
            <v:shape style="position:absolute;left:1769;top:1398;width:3217;height:10" type="#_x0000_t75" stroked="false">
              <v:imagedata r:id="rId83" o:title=""/>
            </v:shape>
            <v:shape style="position:absolute;left:4981;top:1398;width:5694;height:10" type="#_x0000_t75" stroked="false">
              <v:imagedata r:id="rId84" o:title=""/>
            </v:shape>
            <w10:wrap type="none"/>
          </v:group>
        </w:pict>
      </w:r>
      <w:r>
        <w:rPr/>
        <w:pict>
          <v:group style="position:absolute;margin-left:88.463997pt;margin-top:82.863647pt;width:445.3pt;height:5.05pt;mso-position-horizontal-relative:page;mso-position-vertical-relative:paragraph;z-index:-593080" coordorigin="1769,1657" coordsize="8906,101">
            <v:shape style="position:absolute;left:1769;top:1657;width:3236;height:101" type="#_x0000_t75" stroked="false">
              <v:imagedata r:id="rId85" o:title=""/>
            </v:shape>
            <v:shape style="position:absolute;left:4981;top:1748;width:5694;height:10" type="#_x0000_t75" stroked="false">
              <v:imagedata r:id="rId86" o:title=""/>
            </v:shape>
            <w10:wrap type="none"/>
          </v:group>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pacing w:val="89"/>
          <w:sz w:val="21"/>
          <w:szCs w:val="21"/>
        </w:rPr>
        <w:t> </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tbl>
      <w:tblPr>
        <w:tblW w:w="0" w:type="auto"/>
        <w:jc w:val="left"/>
        <w:tblInd w:w="114" w:type="dxa"/>
        <w:tblLayout w:type="fixed"/>
        <w:tblCellMar>
          <w:top w:w="0" w:type="dxa"/>
          <w:left w:w="0" w:type="dxa"/>
          <w:bottom w:w="0" w:type="dxa"/>
          <w:right w:w="0" w:type="dxa"/>
        </w:tblCellMar>
        <w:tblLook w:val="01E0"/>
      </w:tblPr>
      <w:tblGrid>
        <w:gridCol w:w="3236"/>
        <w:gridCol w:w="2792"/>
        <w:gridCol w:w="2892"/>
      </w:tblGrid>
      <w:tr>
        <w:trPr>
          <w:trHeight w:val="367" w:hRule="exact"/>
        </w:trPr>
        <w:tc>
          <w:tcPr>
            <w:tcW w:w="3236" w:type="dxa"/>
            <w:tcBorders>
              <w:top w:val="single" w:sz="12" w:space="0" w:color="000000"/>
              <w:left w:val="nil" w:sz="6" w:space="0" w:color="auto"/>
              <w:bottom w:val="nil" w:sz="6" w:space="0" w:color="auto"/>
              <w:right w:val="single" w:sz="4" w:space="0" w:color="000000"/>
            </w:tcBorders>
          </w:tcPr>
          <w:p>
            <w:pPr>
              <w:pStyle w:val="TableParagraph"/>
              <w:spacing w:line="240" w:lineRule="auto" w:before="32"/>
              <w:ind w:left="16"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279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交易内容</w:t>
            </w:r>
          </w:p>
        </w:tc>
        <w:tc>
          <w:tcPr>
            <w:tcW w:w="2892" w:type="dxa"/>
            <w:tcBorders>
              <w:top w:val="single" w:sz="12" w:space="0" w:color="000000"/>
              <w:left w:val="single" w:sz="4" w:space="0" w:color="000000"/>
              <w:bottom w:val="nil" w:sz="6" w:space="0" w:color="auto"/>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247" w:hRule="exact"/>
        </w:trPr>
        <w:tc>
          <w:tcPr>
            <w:tcW w:w="3236"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48"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279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97" w:right="0"/>
              <w:jc w:val="center"/>
              <w:rPr>
                <w:rFonts w:ascii="宋体" w:hAnsi="宋体" w:cs="宋体" w:eastAsia="宋体" w:hint="default"/>
                <w:sz w:val="18"/>
                <w:szCs w:val="18"/>
              </w:rPr>
            </w:pPr>
            <w:r>
              <w:rPr>
                <w:rFonts w:ascii="宋体" w:hAnsi="宋体" w:cs="宋体" w:eastAsia="宋体" w:hint="default"/>
                <w:sz w:val="18"/>
                <w:szCs w:val="18"/>
              </w:rPr>
              <w:t>借入资金</w:t>
            </w:r>
          </w:p>
        </w:tc>
        <w:tc>
          <w:tcPr>
            <w:tcW w:w="2892"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26"/>
              <w:jc w:val="right"/>
              <w:rPr>
                <w:rFonts w:ascii="宋体" w:hAnsi="宋体" w:cs="宋体" w:eastAsia="宋体" w:hint="default"/>
                <w:sz w:val="18"/>
                <w:szCs w:val="18"/>
              </w:rPr>
            </w:pPr>
            <w:r>
              <w:rPr>
                <w:rFonts w:ascii="宋体"/>
                <w:spacing w:val="-1"/>
                <w:sz w:val="18"/>
              </w:rPr>
              <w:t>132,000,000.00</w:t>
            </w:r>
          </w:p>
        </w:tc>
      </w:tr>
      <w:tr>
        <w:trPr>
          <w:trHeight w:val="452" w:hRule="exact"/>
        </w:trPr>
        <w:tc>
          <w:tcPr>
            <w:tcW w:w="3236"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48"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2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97" w:right="0"/>
              <w:jc w:val="center"/>
              <w:rPr>
                <w:rFonts w:ascii="宋体" w:hAnsi="宋体" w:cs="宋体" w:eastAsia="宋体" w:hint="default"/>
                <w:sz w:val="18"/>
                <w:szCs w:val="18"/>
              </w:rPr>
            </w:pPr>
            <w:r>
              <w:rPr>
                <w:rFonts w:ascii="宋体" w:hAnsi="宋体" w:cs="宋体" w:eastAsia="宋体" w:hint="default"/>
                <w:sz w:val="18"/>
                <w:szCs w:val="18"/>
              </w:rPr>
              <w:t>归还资金</w:t>
            </w:r>
          </w:p>
        </w:tc>
        <w:tc>
          <w:tcPr>
            <w:tcW w:w="2892"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26"/>
              <w:jc w:val="right"/>
              <w:rPr>
                <w:rFonts w:ascii="宋体" w:hAnsi="宋体" w:cs="宋体" w:eastAsia="宋体" w:hint="default"/>
                <w:sz w:val="18"/>
                <w:szCs w:val="18"/>
              </w:rPr>
            </w:pPr>
            <w:r>
              <w:rPr>
                <w:rFonts w:ascii="宋体"/>
                <w:spacing w:val="-1"/>
                <w:sz w:val="18"/>
              </w:rPr>
              <w:t>50,000,000.00</w:t>
            </w:r>
          </w:p>
        </w:tc>
      </w:tr>
      <w:tr>
        <w:trPr>
          <w:trHeight w:val="355" w:hRule="exact"/>
        </w:trPr>
        <w:tc>
          <w:tcPr>
            <w:tcW w:w="3236" w:type="dxa"/>
            <w:tcBorders>
              <w:top w:val="nil" w:sz="6" w:space="0" w:color="auto"/>
              <w:left w:val="nil" w:sz="6" w:space="0" w:color="auto"/>
              <w:bottom w:val="single" w:sz="12" w:space="0" w:color="000000"/>
              <w:right w:val="single" w:sz="4" w:space="0" w:color="000000"/>
            </w:tcBorders>
          </w:tcPr>
          <w:p>
            <w:pPr>
              <w:pStyle w:val="TableParagraph"/>
              <w:spacing w:line="240" w:lineRule="auto" w:before="32"/>
              <w:ind w:left="148"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27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2"/>
              <w:ind w:left="97" w:right="0"/>
              <w:jc w:val="center"/>
              <w:rPr>
                <w:rFonts w:ascii="宋体" w:hAnsi="宋体" w:cs="宋体" w:eastAsia="宋体" w:hint="default"/>
                <w:sz w:val="18"/>
                <w:szCs w:val="18"/>
              </w:rPr>
            </w:pPr>
            <w:r>
              <w:rPr>
                <w:rFonts w:ascii="宋体" w:hAnsi="宋体" w:cs="宋体" w:eastAsia="宋体" w:hint="default"/>
                <w:sz w:val="18"/>
                <w:szCs w:val="18"/>
              </w:rPr>
              <w:t>债务豁免</w:t>
            </w:r>
          </w:p>
        </w:tc>
        <w:tc>
          <w:tcPr>
            <w:tcW w:w="2892" w:type="dxa"/>
            <w:tcBorders>
              <w:top w:val="nil" w:sz="6" w:space="0" w:color="auto"/>
              <w:left w:val="single" w:sz="4" w:space="0" w:color="000000"/>
              <w:bottom w:val="single" w:sz="12" w:space="0" w:color="000000"/>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25,000,000.00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0" w:footer="1195" w:top="1120" w:bottom="1380" w:left="1640" w:right="1120"/>
        </w:sectPr>
      </w:pPr>
    </w:p>
    <w:p>
      <w:pPr>
        <w:pStyle w:val="Heading3"/>
        <w:spacing w:line="240" w:lineRule="auto" w:before="36"/>
        <w:ind w:left="158" w:right="0"/>
        <w:jc w:val="left"/>
        <w:rPr>
          <w:b w:val="0"/>
          <w:bCs w:val="0"/>
        </w:rPr>
      </w:pPr>
      <w:r>
        <w:rPr/>
        <w:pict>
          <v:group style="position:absolute;margin-left:88.463997pt;margin-top:-50.256355pt;width:445.3pt;height:5.05pt;mso-position-horizontal-relative:page;mso-position-vertical-relative:paragraph;z-index:-593056" coordorigin="1769,-1005" coordsize="8906,101">
            <v:shape style="position:absolute;left:1769;top:-1005;width:3236;height:101" type="#_x0000_t75" stroked="false">
              <v:imagedata r:id="rId85" o:title=""/>
            </v:shape>
            <v:shape style="position:absolute;left:4981;top:-914;width:5694;height:10" type="#_x0000_t75" stroked="false">
              <v:imagedata r:id="rId86" o:title=""/>
            </v:shape>
            <w10:wrap type="none"/>
          </v:group>
        </w:pict>
      </w:r>
      <w:r>
        <w:rPr>
          <w:rFonts w:ascii="宋体" w:hAnsi="宋体" w:cs="宋体" w:eastAsia="宋体" w:hint="default"/>
        </w:rPr>
        <w:t>6</w:t>
      </w:r>
      <w:r>
        <w:rPr/>
        <w:t>、</w:t>
      </w:r>
      <w:r>
        <w:rPr>
          <w:spacing w:val="5"/>
        </w:rPr>
        <w:t> </w:t>
      </w:r>
      <w:r>
        <w:rPr/>
        <w:t>关联方应收应付款项</w:t>
      </w:r>
      <w:r>
        <w:rPr>
          <w:b w:val="0"/>
          <w:bCs w:val="0"/>
        </w:rPr>
      </w:r>
    </w:p>
    <w:p>
      <w:pPr>
        <w:spacing w:line="290" w:lineRule="auto" w:before="56"/>
        <w:ind w:left="158" w:right="160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857" w:val="left" w:leader="none"/>
        </w:tabs>
        <w:spacing w:line="240" w:lineRule="auto"/>
        <w:ind w:left="91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40" w:right="1120"/>
          <w:cols w:num="2" w:equalWidth="0">
            <w:col w:w="3356" w:space="2623"/>
            <w:col w:w="3171"/>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杭州天名房地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产有限公司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172,738.81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5,182.16</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成都郡原置业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203,327.50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6,099.83</w:t>
            </w:r>
          </w:p>
        </w:tc>
      </w:tr>
    </w:tbl>
    <w:p>
      <w:pPr>
        <w:spacing w:after="0" w:line="241" w:lineRule="exact"/>
        <w:jc w:val="right"/>
        <w:rPr>
          <w:rFonts w:ascii="宋体" w:hAnsi="宋体" w:cs="宋体" w:eastAsia="宋体"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湖南中锴置业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829,765.98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24,892.98</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沈阳华凌房地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产有限公司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5,742,005.61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172,260.17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444,182.38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13,325.47</w:t>
            </w: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湖南中锴置业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1,008,797.62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30,263.93</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36"/>
        <w:ind w:left="138" w:right="2754"/>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46" w:val="left" w:leader="none"/>
        </w:tabs>
        <w:spacing w:line="240" w:lineRule="auto" w:before="56"/>
        <w:ind w:left="0" w:right="15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62,000,000.00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上海斐讯数据通信技</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浙江郡原地产股份有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8,372,521.73</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长沙浏阳河产业带建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设有限公司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1,428,886.70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794,901.62</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湖南宏梦置业有限公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3"/>
        <w:tabs>
          <w:tab w:pos="977" w:val="left" w:leader="none"/>
        </w:tabs>
        <w:spacing w:line="240" w:lineRule="auto" w:before="36"/>
        <w:ind w:left="138" w:right="2754"/>
        <w:jc w:val="left"/>
        <w:rPr>
          <w:b w:val="0"/>
          <w:bCs w:val="0"/>
        </w:rPr>
      </w:pPr>
      <w:r>
        <w:rPr/>
        <w:t>十三、</w:t>
        <w:tab/>
        <w:t>股份支付</w:t>
      </w:r>
      <w:r>
        <w:rPr>
          <w:b w:val="0"/>
          <w:bCs w:val="0"/>
        </w:rPr>
      </w:r>
    </w:p>
    <w:p>
      <w:pPr>
        <w:pStyle w:val="Heading3"/>
        <w:spacing w:line="240" w:lineRule="auto" w:before="56"/>
        <w:ind w:left="138" w:right="2754"/>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right="275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2754"/>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right="275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ind w:left="138" w:right="2754"/>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right="275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tabs>
          <w:tab w:pos="977" w:val="left" w:leader="none"/>
        </w:tabs>
        <w:spacing w:line="290" w:lineRule="auto"/>
        <w:ind w:left="138" w:right="666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right="275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2754"/>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6"/>
        <w:ind w:right="2754"/>
        <w:jc w:val="left"/>
      </w:pPr>
      <w:r>
        <w:rPr/>
        <w:t>□适用</w:t>
      </w:r>
      <w:r>
        <w:rPr>
          <w:spacing w:val="-1"/>
        </w:rPr>
        <w:t> </w:t>
      </w:r>
      <w:r>
        <w:rPr/>
        <w:t>√不适用</w:t>
      </w:r>
    </w:p>
    <w:p>
      <w:pPr>
        <w:spacing w:after="0" w:line="240" w:lineRule="auto"/>
        <w:jc w:val="left"/>
        <w:sectPr>
          <w:footerReference w:type="default" r:id="rId87"/>
          <w:pgSz w:w="11910" w:h="16840"/>
          <w:pgMar w:footer="1195" w:header="0" w:top="1120" w:bottom="1380" w:left="1660" w:right="1120"/>
        </w:sectPr>
      </w:pPr>
    </w:p>
    <w:p>
      <w:pPr>
        <w:spacing w:line="240" w:lineRule="auto" w:before="1"/>
        <w:rPr>
          <w:rFonts w:ascii="宋体" w:hAnsi="宋体" w:cs="宋体" w:eastAsia="宋体" w:hint="default"/>
          <w:sz w:val="25"/>
          <w:szCs w:val="25"/>
        </w:rPr>
      </w:pPr>
    </w:p>
    <w:p>
      <w:pPr>
        <w:pStyle w:val="Heading3"/>
        <w:spacing w:line="240" w:lineRule="auto" w:before="36"/>
        <w:ind w:left="138" w:right="0"/>
        <w:jc w:val="both"/>
        <w:rPr>
          <w:b w:val="0"/>
          <w:bCs w:val="0"/>
        </w:rPr>
      </w:pPr>
      <w:r>
        <w:rPr/>
        <w:t>十五、</w:t>
      </w:r>
      <w:r>
        <w:rPr>
          <w:spacing w:val="104"/>
        </w:rPr>
        <w:t> </w:t>
      </w:r>
      <w:r>
        <w:rPr/>
        <w:t>资产负债表日后事项</w:t>
      </w:r>
      <w:r>
        <w:rPr>
          <w:b w:val="0"/>
          <w:bCs w:val="0"/>
        </w:rPr>
      </w:r>
    </w:p>
    <w:p>
      <w:pPr>
        <w:pStyle w:val="Heading3"/>
        <w:spacing w:line="240" w:lineRule="auto" w:before="58"/>
        <w:ind w:left="138" w:right="0"/>
        <w:jc w:val="both"/>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right="0"/>
        <w:jc w:val="both"/>
      </w:pPr>
      <w:r>
        <w:rPr/>
        <w:t>□适用</w:t>
      </w:r>
      <w:r>
        <w:rPr>
          <w:spacing w:val="-1"/>
        </w:rPr>
        <w:t> </w:t>
      </w:r>
      <w:r>
        <w:rPr/>
        <w:t>√不适用</w:t>
      </w:r>
    </w:p>
    <w:p>
      <w:pPr>
        <w:pStyle w:val="Heading3"/>
        <w:spacing w:line="240" w:lineRule="auto" w:before="58"/>
        <w:ind w:left="138" w:right="0"/>
        <w:jc w:val="both"/>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0"/>
        <w:jc w:val="both"/>
      </w:pPr>
      <w:r>
        <w:rPr/>
        <w:t>□适用</w:t>
      </w:r>
      <w:r>
        <w:rPr>
          <w:spacing w:val="-1"/>
        </w:rPr>
        <w:t> </w:t>
      </w:r>
      <w:r>
        <w:rPr/>
        <w:t>√不适用</w:t>
      </w:r>
    </w:p>
    <w:p>
      <w:pPr>
        <w:pStyle w:val="Heading3"/>
        <w:spacing w:line="240" w:lineRule="auto" w:before="58"/>
        <w:ind w:left="138"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tabs>
          <w:tab w:pos="977" w:val="left" w:leader="none"/>
        </w:tabs>
        <w:spacing w:line="290" w:lineRule="auto"/>
        <w:ind w:left="138" w:right="6852"/>
        <w:jc w:val="left"/>
        <w:rPr>
          <w:b w:val="0"/>
          <w:bCs w:val="0"/>
        </w:rPr>
      </w:pPr>
      <w:r>
        <w:rPr/>
        <w:t>十六、</w:t>
        <w:tab/>
        <w:t>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b w:val="0"/>
          <w:bCs w:val="0"/>
        </w:rPr>
      </w:r>
    </w:p>
    <w:p>
      <w:pPr>
        <w:pStyle w:val="BodyText"/>
        <w:spacing w:line="240" w:lineRule="auto" w:before="14"/>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74" w:lineRule="exact" w:before="56"/>
        <w:ind w:right="0"/>
        <w:jc w:val="both"/>
      </w:pPr>
      <w:r>
        <w:rPr/>
        <w:t>√适用</w:t>
      </w:r>
      <w:r>
        <w:rPr>
          <w:spacing w:val="-1"/>
        </w:rPr>
        <w:t> </w:t>
      </w:r>
      <w:r>
        <w:rPr/>
        <w:t>□不适用</w:t>
      </w:r>
    </w:p>
    <w:p>
      <w:pPr>
        <w:pStyle w:val="BodyText"/>
        <w:spacing w:line="355" w:lineRule="auto"/>
        <w:ind w:right="128" w:firstLine="424"/>
        <w:jc w:val="both"/>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10</w:t>
      </w:r>
      <w:r>
        <w:rPr>
          <w:rFonts w:ascii="宋体" w:hAnsi="宋体" w:cs="宋体" w:eastAsia="宋体" w:hint="default"/>
          <w:spacing w:val="-43"/>
        </w:rPr>
        <w:t> </w:t>
      </w:r>
      <w:r>
        <w:rPr/>
        <w:t>月</w:t>
      </w:r>
      <w:r>
        <w:rPr>
          <w:spacing w:val="-42"/>
        </w:rPr>
        <w:t> </w:t>
      </w:r>
      <w:r>
        <w:rPr>
          <w:rFonts w:ascii="宋体" w:hAnsi="宋体" w:cs="宋体" w:eastAsia="宋体" w:hint="default"/>
        </w:rPr>
        <w:t>13</w:t>
      </w:r>
      <w:r>
        <w:rPr>
          <w:rFonts w:ascii="宋体" w:hAnsi="宋体" w:cs="宋体" w:eastAsia="宋体" w:hint="default"/>
          <w:spacing w:val="-43"/>
        </w:rPr>
        <w:t> </w:t>
      </w:r>
      <w:r>
        <w:rPr/>
        <w:t>日，公司收到中国证券监督管理委员会《关于不予核准广西慧球科技股</w:t>
      </w:r>
      <w:r>
        <w:rPr>
          <w:w w:val="100"/>
        </w:rPr>
        <w:t> </w:t>
      </w:r>
      <w:r>
        <w:rPr>
          <w:spacing w:val="-3"/>
        </w:rPr>
        <w:t>份有限公司非公开发行股票申请的决定》（证监许可</w:t>
      </w:r>
      <w:r>
        <w:rPr>
          <w:rFonts w:ascii="宋体" w:hAnsi="宋体" w:cs="宋体" w:eastAsia="宋体" w:hint="default"/>
          <w:spacing w:val="-3"/>
        </w:rPr>
        <w:t>[2015]2240</w:t>
      </w:r>
      <w:r>
        <w:rPr>
          <w:rFonts w:ascii="宋体" w:hAnsi="宋体" w:cs="宋体" w:eastAsia="宋体" w:hint="default"/>
          <w:spacing w:val="-17"/>
        </w:rPr>
        <w:t> </w:t>
      </w:r>
      <w:r>
        <w:rPr>
          <w:spacing w:val="-14"/>
        </w:rPr>
        <w:t>号）文件，根据《证券法》、《上</w:t>
      </w:r>
      <w:r>
        <w:rPr>
          <w:spacing w:val="-91"/>
        </w:rPr>
        <w:t> </w:t>
      </w:r>
      <w:r>
        <w:rPr>
          <w:spacing w:val="-91"/>
        </w:rPr>
      </w:r>
      <w:r>
        <w:rPr>
          <w:spacing w:val="-3"/>
        </w:rPr>
        <w:t>市公司证券发行管理办法》和《中国证券监督管理委员会发行审核委员会办法》（证监会令第 </w:t>
      </w:r>
      <w:r>
        <w:rPr>
          <w:rFonts w:ascii="宋体" w:hAnsi="宋体" w:cs="宋体" w:eastAsia="宋体" w:hint="default"/>
        </w:rPr>
        <w:t>62</w:t>
      </w:r>
      <w:r>
        <w:rPr>
          <w:rFonts w:ascii="宋体" w:hAnsi="宋体" w:cs="宋体" w:eastAsia="宋体" w:hint="default"/>
          <w:spacing w:val="-80"/>
        </w:rPr>
        <w:t> </w:t>
      </w:r>
      <w:r>
        <w:rPr>
          <w:spacing w:val="-1"/>
        </w:rPr>
        <w:t>号）等有关规定，中国证监会主板发行审核委员会依法对公司非公开发行股票的申请作出不予核</w:t>
      </w:r>
      <w:r>
        <w:rPr>
          <w:spacing w:val="-55"/>
        </w:rPr>
        <w:t> </w:t>
      </w:r>
      <w:r>
        <w:rPr>
          <w:spacing w:val="-55"/>
        </w:rPr>
      </w:r>
      <w:r>
        <w:rPr/>
        <w:t>准的决定。</w:t>
      </w:r>
    </w:p>
    <w:p>
      <w:pPr>
        <w:pStyle w:val="BodyText"/>
        <w:spacing w:line="240" w:lineRule="auto" w:before="35"/>
        <w:ind w:left="562" w:right="0"/>
        <w:jc w:val="left"/>
      </w:pPr>
      <w:r>
        <w:rPr>
          <w:rFonts w:ascii="宋体" w:hAnsi="宋体" w:cs="宋体" w:eastAsia="宋体" w:hint="default"/>
          <w:w w:val="100"/>
        </w:rPr>
        <w:t>2</w:t>
      </w:r>
      <w:r>
        <w:rPr>
          <w:spacing w:val="-77"/>
          <w:w w:val="100"/>
        </w:rPr>
        <w:t>、</w:t>
      </w:r>
      <w:r>
        <w:rPr>
          <w:spacing w:val="-3"/>
          <w:w w:val="100"/>
        </w:rPr>
        <w:t>公</w:t>
      </w:r>
      <w:r>
        <w:rPr>
          <w:w w:val="100"/>
        </w:rPr>
        <w:t>司于</w:t>
      </w:r>
      <w:r>
        <w:rPr>
          <w:spacing w:val="-53"/>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1</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6</w:t>
      </w:r>
      <w:r>
        <w:rPr>
          <w:rFonts w:ascii="宋体" w:hAnsi="宋体" w:cs="宋体" w:eastAsia="宋体" w:hint="default"/>
          <w:spacing w:val="-55"/>
        </w:rPr>
        <w:t> </w:t>
      </w:r>
      <w:r>
        <w:rPr>
          <w:w w:val="100"/>
        </w:rPr>
        <w:t>日披</w:t>
      </w:r>
      <w:r>
        <w:rPr>
          <w:spacing w:val="-3"/>
          <w:w w:val="100"/>
        </w:rPr>
        <w:t>露</w:t>
      </w:r>
      <w:r>
        <w:rPr>
          <w:spacing w:val="-77"/>
          <w:w w:val="100"/>
        </w:rPr>
        <w:t>了</w:t>
      </w:r>
      <w:r>
        <w:rPr>
          <w:spacing w:val="-3"/>
          <w:w w:val="100"/>
        </w:rPr>
        <w:t>《</w:t>
      </w:r>
      <w:r>
        <w:rPr>
          <w:w w:val="100"/>
        </w:rPr>
        <w:t>广</w:t>
      </w:r>
      <w:r>
        <w:rPr>
          <w:spacing w:val="-3"/>
          <w:w w:val="100"/>
        </w:rPr>
        <w:t>西</w:t>
      </w:r>
      <w:r>
        <w:rPr>
          <w:w w:val="100"/>
        </w:rPr>
        <w:t>慧</w:t>
      </w:r>
      <w:r>
        <w:rPr>
          <w:spacing w:val="-3"/>
          <w:w w:val="100"/>
        </w:rPr>
        <w:t>球</w:t>
      </w:r>
      <w:r>
        <w:rPr>
          <w:w w:val="100"/>
        </w:rPr>
        <w:t>科</w:t>
      </w:r>
      <w:r>
        <w:rPr>
          <w:spacing w:val="-3"/>
          <w:w w:val="100"/>
        </w:rPr>
        <w:t>技股</w:t>
      </w:r>
      <w:r>
        <w:rPr>
          <w:w w:val="100"/>
        </w:rPr>
        <w:t>份有</w:t>
      </w:r>
      <w:r>
        <w:rPr>
          <w:spacing w:val="-3"/>
          <w:w w:val="100"/>
        </w:rPr>
        <w:t>限</w:t>
      </w:r>
      <w:r>
        <w:rPr>
          <w:w w:val="100"/>
        </w:rPr>
        <w:t>公</w:t>
      </w:r>
      <w:r>
        <w:rPr>
          <w:spacing w:val="-3"/>
          <w:w w:val="100"/>
        </w:rPr>
        <w:t>司</w:t>
      </w:r>
      <w:r>
        <w:rPr>
          <w:w w:val="100"/>
        </w:rPr>
        <w:t>重</w:t>
      </w:r>
      <w:r>
        <w:rPr>
          <w:spacing w:val="-3"/>
          <w:w w:val="100"/>
        </w:rPr>
        <w:t>大</w:t>
      </w:r>
      <w:r>
        <w:rPr>
          <w:w w:val="100"/>
        </w:rPr>
        <w:t>资</w:t>
      </w:r>
      <w:r>
        <w:rPr>
          <w:spacing w:val="-3"/>
          <w:w w:val="100"/>
        </w:rPr>
        <w:t>产</w:t>
      </w:r>
      <w:r>
        <w:rPr>
          <w:w w:val="100"/>
        </w:rPr>
        <w:t>重</w:t>
      </w:r>
      <w:r>
        <w:rPr>
          <w:spacing w:val="-3"/>
          <w:w w:val="100"/>
        </w:rPr>
        <w:t>组</w:t>
      </w:r>
      <w:r>
        <w:rPr>
          <w:w w:val="100"/>
        </w:rPr>
        <w:t>停牌</w:t>
      </w:r>
      <w:r>
        <w:rPr>
          <w:spacing w:val="-3"/>
          <w:w w:val="100"/>
        </w:rPr>
        <w:t>公</w:t>
      </w:r>
      <w:r>
        <w:rPr>
          <w:w w:val="100"/>
        </w:rPr>
        <w:t>告</w:t>
      </w:r>
      <w:r>
        <w:rPr>
          <w:spacing w:val="-157"/>
          <w:w w:val="100"/>
        </w:rPr>
        <w:t>》</w:t>
      </w:r>
      <w:r>
        <w:rPr>
          <w:w w:val="100"/>
        </w:rPr>
        <w:t>（临</w:t>
      </w:r>
    </w:p>
    <w:p>
      <w:pPr>
        <w:pStyle w:val="BodyText"/>
        <w:spacing w:line="357" w:lineRule="auto" w:before="133"/>
        <w:ind w:right="127"/>
        <w:jc w:val="both"/>
      </w:pPr>
      <w:r>
        <w:rPr>
          <w:rFonts w:ascii="宋体" w:hAnsi="宋体" w:cs="宋体" w:eastAsia="宋体" w:hint="default"/>
          <w:spacing w:val="-1"/>
        </w:rPr>
        <w:t>2016-029</w:t>
      </w:r>
      <w:r>
        <w:rPr>
          <w:spacing w:val="-1"/>
        </w:rPr>
        <w:t>）。公司董事长、控股股东、实际控制人顾国平先生拟将其控制的上海斐讯数据通信技</w:t>
      </w:r>
      <w:r>
        <w:rPr>
          <w:spacing w:val="-53"/>
        </w:rPr>
        <w:t> </w:t>
      </w:r>
      <w:r>
        <w:rPr>
          <w:spacing w:val="-53"/>
        </w:rPr>
      </w:r>
      <w:r>
        <w:rPr>
          <w:spacing w:val="-4"/>
          <w:w w:val="100"/>
        </w:rPr>
        <w:t>术有限公司部分资产与公司进行重组</w:t>
      </w:r>
      <w:r>
        <w:rPr>
          <w:rFonts w:ascii="宋体" w:hAnsi="宋体" w:cs="宋体" w:eastAsia="宋体" w:hint="default"/>
          <w:spacing w:val="-4"/>
          <w:w w:val="100"/>
        </w:rPr>
        <w:t>,</w:t>
      </w:r>
      <w:r>
        <w:rPr>
          <w:spacing w:val="-4"/>
          <w:w w:val="100"/>
        </w:rPr>
        <w:t>经与有关各方论证和协商，上述事项对公司构成了重大资产</w:t>
      </w:r>
      <w:r>
        <w:rPr>
          <w:spacing w:val="-85"/>
          <w:w w:val="100"/>
        </w:rPr>
        <w:t> </w:t>
      </w:r>
      <w:r>
        <w:rPr>
          <w:spacing w:val="-85"/>
          <w:w w:val="100"/>
        </w:rPr>
      </w:r>
      <w:r>
        <w:rPr/>
        <w:t>重组。</w:t>
      </w:r>
      <w:r>
        <w:rPr>
          <w:rFonts w:ascii="宋体" w:hAnsi="宋体" w:cs="宋体" w:eastAsia="宋体" w:hint="default"/>
        </w:rPr>
        <w:t>2016</w:t>
      </w:r>
      <w:r>
        <w:rPr>
          <w:rFonts w:ascii="宋体" w:hAnsi="宋体" w:cs="宋体" w:eastAsia="宋体" w:hint="default"/>
          <w:spacing w:val="-21"/>
        </w:rPr>
        <w:t> </w:t>
      </w:r>
      <w:r>
        <w:rPr/>
        <w:t>年</w:t>
      </w:r>
      <w:r>
        <w:rPr>
          <w:spacing w:val="-19"/>
        </w:rPr>
        <w:t> </w:t>
      </w:r>
      <w:r>
        <w:rPr>
          <w:rFonts w:ascii="宋体" w:hAnsi="宋体" w:cs="宋体" w:eastAsia="宋体" w:hint="default"/>
        </w:rPr>
        <w:t>3</w:t>
      </w:r>
      <w:r>
        <w:rPr>
          <w:rFonts w:ascii="宋体" w:hAnsi="宋体" w:cs="宋体" w:eastAsia="宋体" w:hint="default"/>
          <w:spacing w:val="-19"/>
        </w:rPr>
        <w:t> </w:t>
      </w:r>
      <w:r>
        <w:rPr/>
        <w:t>月</w:t>
      </w:r>
      <w:r>
        <w:rPr>
          <w:spacing w:val="-21"/>
        </w:rPr>
        <w:t> </w:t>
      </w:r>
      <w:r>
        <w:rPr>
          <w:rFonts w:ascii="宋体" w:hAnsi="宋体" w:cs="宋体" w:eastAsia="宋体" w:hint="default"/>
        </w:rPr>
        <w:t>9</w:t>
      </w:r>
      <w:r>
        <w:rPr>
          <w:rFonts w:ascii="宋体" w:hAnsi="宋体" w:cs="宋体" w:eastAsia="宋体" w:hint="default"/>
          <w:spacing w:val="-18"/>
        </w:rPr>
        <w:t> </w:t>
      </w:r>
      <w:r>
        <w:rPr/>
        <w:t>日披露了《广西慧球科技股份有限公司重大资产重组进展情况公告》（临</w:t>
      </w:r>
      <w:r>
        <w:rPr>
          <w:w w:val="100"/>
        </w:rPr>
        <w:t> </w:t>
      </w:r>
      <w:r>
        <w:rPr>
          <w:rFonts w:ascii="宋体" w:hAnsi="宋体" w:cs="宋体" w:eastAsia="宋体" w:hint="default"/>
          <w:spacing w:val="-1"/>
        </w:rPr>
        <w:t>2016-039</w:t>
      </w:r>
      <w:r>
        <w:rPr>
          <w:spacing w:val="-1"/>
        </w:rPr>
        <w:t>），公司终止与上海斐讯之间的重大资产重组，目前正在与上海远御电子科技有限公司</w:t>
      </w:r>
      <w:r>
        <w:rPr>
          <w:spacing w:val="-53"/>
        </w:rPr>
        <w:t> </w:t>
      </w:r>
      <w:r>
        <w:rPr>
          <w:spacing w:val="-53"/>
        </w:rPr>
      </w:r>
      <w:r>
        <w:rPr>
          <w:spacing w:val="-6"/>
          <w:w w:val="100"/>
        </w:rPr>
        <w:t>就重大资产重组相关事项进行商洽。截止本报告日，该重大资产重组事项正在按计划推动过程中，</w:t>
      </w:r>
      <w:r>
        <w:rPr>
          <w:w w:val="100"/>
        </w:rPr>
        <w:t> </w:t>
      </w:r>
      <w:r>
        <w:rPr/>
        <w:t>公司正在与相关中介机构就本次重大资产重组事项做更进一步商讨。</w:t>
      </w:r>
    </w:p>
    <w:p>
      <w:pPr>
        <w:spacing w:line="240" w:lineRule="auto" w:before="11"/>
        <w:rPr>
          <w:rFonts w:ascii="宋体" w:hAnsi="宋体" w:cs="宋体" w:eastAsia="宋体" w:hint="default"/>
          <w:sz w:val="27"/>
          <w:szCs w:val="27"/>
        </w:rPr>
      </w:pPr>
    </w:p>
    <w:p>
      <w:pPr>
        <w:pStyle w:val="Heading3"/>
        <w:spacing w:line="240" w:lineRule="auto"/>
        <w:ind w:left="138"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3"/>
        <w:spacing w:line="240" w:lineRule="auto"/>
        <w:ind w:left="138"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ind w:left="138" w:right="0"/>
        <w:jc w:val="both"/>
        <w:rPr>
          <w:b w:val="0"/>
          <w:bCs w:val="0"/>
        </w:rPr>
      </w:pPr>
      <w:r>
        <w:rPr>
          <w:rFonts w:ascii="宋体" w:hAnsi="宋体" w:cs="宋体" w:eastAsia="宋体" w:hint="default"/>
        </w:rPr>
        <w:t>6</w:t>
      </w:r>
      <w:r>
        <w:rPr/>
        <w:t>、</w:t>
      </w:r>
      <w:r>
        <w:rPr>
          <w:spacing w:val="3"/>
        </w:rPr>
        <w:t> </w:t>
      </w:r>
      <w:r>
        <w:rPr/>
        <w:t>分部信息</w:t>
      </w:r>
      <w:r>
        <w:rPr>
          <w:b w:val="0"/>
          <w:bCs w:val="0"/>
        </w:rPr>
      </w:r>
    </w:p>
    <w:p>
      <w:pPr>
        <w:pStyle w:val="BodyText"/>
        <w:spacing w:line="240" w:lineRule="auto" w:before="58"/>
        <w:ind w:right="0"/>
        <w:jc w:val="both"/>
      </w:pPr>
      <w:r>
        <w:rPr/>
        <w:t>√适用</w:t>
      </w:r>
      <w:r>
        <w:rPr>
          <w:spacing w:val="-1"/>
        </w:rPr>
        <w:t> </w:t>
      </w:r>
      <w:r>
        <w:rPr/>
        <w:t>□不适用</w:t>
      </w:r>
    </w:p>
    <w:p>
      <w:pPr>
        <w:spacing w:after="0" w:line="240" w:lineRule="auto"/>
        <w:jc w:val="both"/>
        <w:sectPr>
          <w:footerReference w:type="default" r:id="rId88"/>
          <w:pgSz w:w="11910" w:h="16840"/>
          <w:pgMar w:footer="1195" w:header="0" w:top="1120" w:bottom="1380" w:left="1660" w:right="1140"/>
          <w:pgNumType w:start="121"/>
        </w:sectPr>
      </w:pPr>
    </w:p>
    <w:p>
      <w:pPr>
        <w:spacing w:line="240" w:lineRule="auto" w:before="1"/>
        <w:rPr>
          <w:rFonts w:ascii="宋体" w:hAnsi="宋体" w:cs="宋体" w:eastAsia="宋体" w:hint="default"/>
          <w:sz w:val="25"/>
          <w:szCs w:val="25"/>
        </w:rPr>
      </w:pPr>
    </w:p>
    <w:p>
      <w:pPr>
        <w:pStyle w:val="Heading3"/>
        <w:tabs>
          <w:tab w:pos="861" w:val="left" w:leader="none"/>
        </w:tabs>
        <w:spacing w:line="290" w:lineRule="auto" w:before="36"/>
        <w:ind w:left="642" w:right="5241" w:hanging="425"/>
        <w:jc w:val="left"/>
        <w:rPr>
          <w:b w:val="0"/>
          <w:bCs w:val="0"/>
        </w:rPr>
      </w:pPr>
      <w:r>
        <w:rPr>
          <w:rFonts w:ascii="宋体" w:hAnsi="宋体" w:cs="宋体" w:eastAsia="宋体" w:hint="default"/>
          <w:w w:val="95"/>
        </w:rPr>
        <w:t>(1).</w:t>
        <w:tab/>
        <w:tab/>
      </w:r>
      <w:r>
        <w:rPr/>
        <w:t>报告分部的确定依据与会计政策：</w:t>
      </w:r>
      <w:r>
        <w:rPr>
          <w:w w:val="100"/>
        </w:rPr>
        <w:t> </w:t>
      </w:r>
      <w:r>
        <w:rPr>
          <w:rFonts w:ascii="宋体" w:hAnsi="宋体" w:cs="宋体" w:eastAsia="宋体" w:hint="default"/>
          <w:spacing w:val="-1"/>
        </w:rPr>
        <w:t>1</w:t>
      </w:r>
      <w:r>
        <w:rPr>
          <w:spacing w:val="-1"/>
        </w:rPr>
        <w:t>、报告分部的确定依据与会计政策：</w:t>
      </w:r>
      <w:r>
        <w:rPr>
          <w:b w:val="0"/>
          <w:bCs w:val="0"/>
          <w:spacing w:val="-1"/>
        </w:rPr>
      </w:r>
    </w:p>
    <w:p>
      <w:pPr>
        <w:pStyle w:val="BodyText"/>
        <w:spacing w:line="357" w:lineRule="auto" w:before="89"/>
        <w:ind w:left="218" w:right="308" w:firstLine="424"/>
        <w:jc w:val="both"/>
      </w:pPr>
      <w:r>
        <w:rPr>
          <w:spacing w:val="-2"/>
        </w:rPr>
        <w:t>本公司对经济特征不相似的经营分部，分别确定为不同的经营分部。具有相似经济特征的两</w:t>
      </w:r>
      <w:r>
        <w:rPr>
          <w:w w:val="100"/>
        </w:rPr>
        <w:t> </w:t>
      </w:r>
      <w:r>
        <w:rPr>
          <w:spacing w:val="-1"/>
        </w:rPr>
        <w:t>个或多个经营分部同时满足符合条件的，合并为一个经营分部。目前，公司按物业管理服务和智</w:t>
      </w:r>
      <w:r>
        <w:rPr>
          <w:spacing w:val="-55"/>
        </w:rPr>
        <w:t> </w:t>
      </w:r>
      <w:r>
        <w:rPr>
          <w:spacing w:val="-55"/>
        </w:rPr>
      </w:r>
      <w:r>
        <w:rPr>
          <w:spacing w:val="-2"/>
        </w:rPr>
        <w:t>慧城市业务分两个经营分部，</w:t>
      </w:r>
      <w:r>
        <w:rPr>
          <w:rFonts w:ascii="宋体" w:hAnsi="宋体" w:cs="宋体" w:eastAsia="宋体" w:hint="default"/>
          <w:spacing w:val="-2"/>
        </w:rPr>
        <w:t>2015</w:t>
      </w:r>
      <w:r>
        <w:rPr>
          <w:rFonts w:ascii="宋体" w:hAnsi="宋体" w:cs="宋体" w:eastAsia="宋体" w:hint="default"/>
          <w:spacing w:val="5"/>
        </w:rPr>
        <w:t> </w:t>
      </w:r>
      <w:r>
        <w:rPr>
          <w:spacing w:val="-2"/>
        </w:rPr>
        <w:t>年度公司正式开展智慧城市业务。</w:t>
      </w:r>
    </w:p>
    <w:p>
      <w:pPr>
        <w:pStyle w:val="BodyText"/>
        <w:spacing w:line="357" w:lineRule="auto" w:before="30"/>
        <w:ind w:left="218" w:right="98" w:firstLine="424"/>
        <w:jc w:val="left"/>
      </w:pPr>
      <w:r>
        <w:rPr/>
        <w:t>报告分部是指符合经营分部定义，按规定应予披露的经营分部。经营分部满足下列条件之一</w:t>
      </w:r>
      <w:r>
        <w:rPr>
          <w:w w:val="100"/>
        </w:rPr>
        <w:t> </w:t>
      </w:r>
      <w:r>
        <w:rPr/>
        <w:t>的，将其确定为报告分部：</w:t>
      </w:r>
      <w:r>
        <w:rPr>
          <w:rFonts w:ascii="宋体" w:hAnsi="宋体" w:cs="宋体" w:eastAsia="宋体" w:hint="default"/>
        </w:rPr>
        <w:t>1.</w:t>
      </w:r>
      <w:r>
        <w:rPr/>
        <w:t>该经营分部的分部收入占所有分部收入入合计的 </w:t>
      </w:r>
      <w:r>
        <w:rPr>
          <w:rFonts w:ascii="宋体" w:hAnsi="宋体" w:cs="宋体" w:eastAsia="宋体" w:hint="default"/>
        </w:rPr>
        <w:t>10%</w:t>
      </w:r>
      <w:r>
        <w:rPr/>
        <w:t>或者以上；</w:t>
      </w:r>
      <w:r>
        <w:rPr>
          <w:rFonts w:ascii="宋体" w:hAnsi="宋体" w:cs="宋体" w:eastAsia="宋体" w:hint="default"/>
        </w:rPr>
        <w:t>2.</w:t>
      </w:r>
      <w:r>
        <w:rPr>
          <w:rFonts w:ascii="宋体" w:hAnsi="宋体" w:cs="宋体" w:eastAsia="宋体" w:hint="default"/>
          <w:spacing w:val="-98"/>
        </w:rPr>
        <w:t> </w:t>
      </w:r>
      <w:r>
        <w:rPr/>
        <w:t>该分部的分部利润</w:t>
      </w:r>
      <w:r>
        <w:rPr>
          <w:rFonts w:ascii="宋体" w:hAnsi="宋体" w:cs="宋体" w:eastAsia="宋体" w:hint="default"/>
        </w:rPr>
        <w:t>(</w:t>
      </w:r>
      <w:r>
        <w:rPr/>
        <w:t>亏损</w:t>
      </w:r>
      <w:r>
        <w:rPr>
          <w:rFonts w:ascii="宋体" w:hAnsi="宋体" w:cs="宋体" w:eastAsia="宋体" w:hint="default"/>
        </w:rPr>
        <w:t>)</w:t>
      </w:r>
      <w:r>
        <w:rPr/>
        <w:t>的绝对额，占所有盈利分部利润合计额或者所有亏损分部亏损合计额的</w:t>
      </w:r>
      <w:r>
        <w:rPr>
          <w:spacing w:val="-98"/>
        </w:rPr>
        <w:t> </w:t>
      </w:r>
      <w:r>
        <w:rPr>
          <w:spacing w:val="-98"/>
        </w:rPr>
      </w:r>
      <w:r>
        <w:rPr>
          <w:spacing w:val="-2"/>
          <w:w w:val="100"/>
        </w:rPr>
        <w:t>绝对额两者中较大者的</w:t>
      </w:r>
      <w:r>
        <w:rPr>
          <w:w w:val="100"/>
        </w:rPr>
        <w:t> </w:t>
      </w:r>
      <w:r>
        <w:rPr>
          <w:rFonts w:ascii="宋体" w:hAnsi="宋体" w:cs="宋体" w:eastAsia="宋体" w:hint="default"/>
          <w:spacing w:val="-5"/>
          <w:w w:val="100"/>
        </w:rPr>
        <w:t>10%</w:t>
      </w:r>
      <w:r>
        <w:rPr>
          <w:spacing w:val="-5"/>
          <w:w w:val="100"/>
        </w:rPr>
        <w:t>或者以上；</w:t>
      </w:r>
      <w:r>
        <w:rPr>
          <w:rFonts w:ascii="宋体" w:hAnsi="宋体" w:cs="宋体" w:eastAsia="宋体" w:hint="default"/>
          <w:spacing w:val="-5"/>
          <w:w w:val="100"/>
        </w:rPr>
        <w:t>3.</w:t>
      </w:r>
      <w:r>
        <w:rPr>
          <w:spacing w:val="-5"/>
          <w:w w:val="100"/>
        </w:rPr>
        <w:t>该分部的分部资产占所有分部资产合计额的</w:t>
      </w:r>
      <w:r>
        <w:rPr>
          <w:spacing w:val="-82"/>
          <w:w w:val="100"/>
        </w:rPr>
        <w:t> </w:t>
      </w:r>
      <w:r>
        <w:rPr>
          <w:rFonts w:ascii="宋体" w:hAnsi="宋体" w:cs="宋体" w:eastAsia="宋体" w:hint="default"/>
          <w:spacing w:val="-2"/>
          <w:w w:val="100"/>
        </w:rPr>
        <w:t>10%</w:t>
      </w:r>
      <w:r>
        <w:rPr>
          <w:spacing w:val="-2"/>
          <w:w w:val="100"/>
        </w:rPr>
        <w:t>或者以上。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tabs>
          <w:tab w:pos="861" w:val="left" w:leader="none"/>
        </w:tabs>
        <w:spacing w:line="240" w:lineRule="auto" w:before="36"/>
        <w:ind w:right="0"/>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51" w:val="left" w:leader="none"/>
        </w:tabs>
        <w:spacing w:line="240" w:lineRule="auto" w:before="56"/>
        <w:ind w:left="0" w:right="3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1704"/>
        <w:gridCol w:w="1736"/>
        <w:gridCol w:w="1690"/>
        <w:gridCol w:w="1685"/>
      </w:tblGrid>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智慧城市业务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物业管理服务</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一</w:t>
            </w:r>
            <w:r>
              <w:rPr>
                <w:rFonts w:ascii="宋体" w:hAnsi="宋体" w:cs="宋体" w:eastAsia="宋体" w:hint="default"/>
                <w:spacing w:val="-1"/>
                <w:sz w:val="21"/>
                <w:szCs w:val="21"/>
              </w:rPr>
              <w:t>.</w:t>
              <w:tab/>
            </w:r>
            <w:r>
              <w:rPr>
                <w:rFonts w:ascii="宋体" w:hAnsi="宋体" w:cs="宋体" w:eastAsia="宋体" w:hint="default"/>
                <w:spacing w:val="-1"/>
                <w:sz w:val="21"/>
                <w:szCs w:val="21"/>
              </w:rPr>
              <w:t>营业收入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45,621,001.82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47,288,441.36</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92,909,443.18</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二</w:t>
            </w:r>
            <w:r>
              <w:rPr>
                <w:rFonts w:ascii="宋体" w:hAnsi="宋体" w:cs="宋体" w:eastAsia="宋体" w:hint="default"/>
                <w:spacing w:val="-1"/>
                <w:sz w:val="21"/>
                <w:szCs w:val="21"/>
              </w:rPr>
              <w:t>.</w:t>
              <w:tab/>
            </w:r>
            <w:r>
              <w:rPr>
                <w:rFonts w:ascii="宋体" w:hAnsi="宋体" w:cs="宋体" w:eastAsia="宋体" w:hint="default"/>
                <w:spacing w:val="-1"/>
                <w:sz w:val="21"/>
                <w:szCs w:val="21"/>
              </w:rPr>
              <w:t>营业成本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28,800,103.69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34,496,998.74</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63,297,102.43</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3"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三</w:t>
            </w:r>
            <w:r>
              <w:rPr>
                <w:rFonts w:ascii="宋体" w:hAnsi="宋体" w:cs="宋体" w:eastAsia="宋体" w:hint="default"/>
                <w:spacing w:val="-1"/>
                <w:sz w:val="21"/>
                <w:szCs w:val="21"/>
              </w:rPr>
              <w:t>.</w:t>
              <w:tab/>
            </w:r>
            <w:r>
              <w:rPr>
                <w:rFonts w:ascii="宋体" w:hAnsi="宋体" w:cs="宋体" w:eastAsia="宋体" w:hint="default"/>
                <w:spacing w:val="-1"/>
                <w:sz w:val="21"/>
                <w:szCs w:val="21"/>
              </w:rPr>
              <w:t>管理费用</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11,236,086.59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7,192,168.64</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18,428,255.23</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四</w:t>
            </w:r>
            <w:r>
              <w:rPr>
                <w:rFonts w:ascii="宋体" w:hAnsi="宋体" w:cs="宋体" w:eastAsia="宋体" w:hint="default"/>
                <w:spacing w:val="-1"/>
                <w:sz w:val="21"/>
                <w:szCs w:val="21"/>
              </w:rPr>
              <w:t>.</w:t>
              <w:tab/>
            </w:r>
            <w:r>
              <w:rPr>
                <w:rFonts w:ascii="宋体" w:hAnsi="宋体" w:cs="宋体" w:eastAsia="宋体" w:hint="default"/>
                <w:spacing w:val="-1"/>
                <w:sz w:val="21"/>
                <w:szCs w:val="21"/>
              </w:rPr>
              <w:t>资产减值损失</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690,645.12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433,237.73</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1,123,882.85</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一</w:t>
            </w:r>
            <w:r>
              <w:rPr>
                <w:rFonts w:ascii="宋体" w:hAnsi="宋体" w:cs="宋体" w:eastAsia="宋体" w:hint="default"/>
                <w:spacing w:val="-1"/>
                <w:sz w:val="21"/>
                <w:szCs w:val="21"/>
              </w:rPr>
              <w:t>.</w:t>
              <w:tab/>
            </w:r>
            <w:r>
              <w:rPr>
                <w:rFonts w:ascii="宋体" w:hAnsi="宋体" w:cs="宋体" w:eastAsia="宋体" w:hint="default"/>
                <w:spacing w:val="-1"/>
                <w:sz w:val="21"/>
                <w:szCs w:val="21"/>
              </w:rPr>
              <w:t>利润总额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3,434,918.59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2,849,289.06</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6,284,207.65</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4"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二</w:t>
            </w:r>
            <w:r>
              <w:rPr>
                <w:rFonts w:ascii="宋体" w:hAnsi="宋体" w:cs="宋体" w:eastAsia="宋体" w:hint="default"/>
                <w:spacing w:val="-1"/>
                <w:sz w:val="21"/>
                <w:szCs w:val="21"/>
              </w:rPr>
              <w:t>.</w:t>
              <w:tab/>
            </w:r>
            <w:r>
              <w:rPr>
                <w:rFonts w:ascii="宋体" w:hAnsi="宋体" w:cs="宋体" w:eastAsia="宋体" w:hint="default"/>
                <w:spacing w:val="-2"/>
                <w:sz w:val="21"/>
                <w:szCs w:val="21"/>
              </w:rPr>
              <w:t>所得税费用</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522,012.42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635,715.86</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1,157,728.28</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三</w:t>
            </w:r>
            <w:r>
              <w:rPr>
                <w:rFonts w:ascii="宋体" w:hAnsi="宋体" w:cs="宋体" w:eastAsia="宋体" w:hint="default"/>
                <w:spacing w:val="-1"/>
                <w:sz w:val="21"/>
                <w:szCs w:val="21"/>
              </w:rPr>
              <w:t>.</w:t>
              <w:tab/>
            </w:r>
            <w:r>
              <w:rPr>
                <w:rFonts w:ascii="宋体" w:hAnsi="宋体" w:cs="宋体" w:eastAsia="宋体" w:hint="default"/>
                <w:spacing w:val="-1"/>
                <w:sz w:val="21"/>
                <w:szCs w:val="21"/>
              </w:rPr>
              <w:t>净利润</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2,912,906.17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2,213,573.20</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5,126,479.37</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四</w:t>
            </w:r>
            <w:r>
              <w:rPr>
                <w:rFonts w:ascii="宋体" w:hAnsi="宋体" w:cs="宋体" w:eastAsia="宋体" w:hint="default"/>
                <w:spacing w:val="-1"/>
                <w:sz w:val="21"/>
                <w:szCs w:val="21"/>
              </w:rPr>
              <w:t>.</w:t>
              <w:tab/>
            </w:r>
            <w:r>
              <w:rPr>
                <w:rFonts w:ascii="宋体" w:hAnsi="宋体" w:cs="宋体" w:eastAsia="宋体" w:hint="default"/>
                <w:spacing w:val="-1"/>
                <w:sz w:val="21"/>
                <w:szCs w:val="21"/>
              </w:rPr>
              <w:t>资产总额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88,772,051.36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45,881,374.71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5" w:right="0"/>
              <w:jc w:val="left"/>
              <w:rPr>
                <w:rFonts w:ascii="宋体" w:hAnsi="宋体" w:cs="宋体" w:eastAsia="宋体" w:hint="default"/>
                <w:sz w:val="18"/>
                <w:szCs w:val="18"/>
              </w:rPr>
            </w:pPr>
            <w:r>
              <w:rPr>
                <w:rFonts w:ascii="宋体"/>
                <w:sz w:val="18"/>
              </w:rPr>
              <w:t>10,047,253.24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124,606,172.83</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五</w:t>
            </w:r>
            <w:r>
              <w:rPr>
                <w:rFonts w:ascii="宋体" w:hAnsi="宋体" w:cs="宋体" w:eastAsia="宋体" w:hint="default"/>
                <w:spacing w:val="-1"/>
                <w:sz w:val="21"/>
                <w:szCs w:val="21"/>
              </w:rPr>
              <w:t>.</w:t>
              <w:tab/>
            </w:r>
            <w:r>
              <w:rPr>
                <w:rFonts w:ascii="宋体" w:hAnsi="宋体" w:cs="宋体" w:eastAsia="宋体" w:hint="default"/>
                <w:spacing w:val="-1"/>
                <w:sz w:val="21"/>
                <w:szCs w:val="21"/>
              </w:rPr>
              <w:t>负债总额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67,969,398.62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23,188,959.24</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91,158,357.86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960"/>
        </w:sectPr>
      </w:pPr>
    </w:p>
    <w:p>
      <w:pPr>
        <w:pStyle w:val="Heading3"/>
        <w:tabs>
          <w:tab w:pos="1057" w:val="left" w:leader="none"/>
        </w:tabs>
        <w:spacing w:line="290" w:lineRule="auto" w:before="36"/>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3"/>
        <w:tabs>
          <w:tab w:pos="1057" w:val="left" w:leader="none"/>
        </w:tabs>
        <w:spacing w:line="240" w:lineRule="auto" w:before="12"/>
        <w:ind w:left="35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3799" w:space="2722"/>
            <w:col w:w="284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29"/>
        <w:gridCol w:w="1234"/>
        <w:gridCol w:w="600"/>
        <w:gridCol w:w="962"/>
        <w:gridCol w:w="591"/>
        <w:gridCol w:w="1231"/>
        <w:gridCol w:w="626"/>
        <w:gridCol w:w="605"/>
        <w:gridCol w:w="620"/>
        <w:gridCol w:w="619"/>
        <w:gridCol w:w="578"/>
      </w:tblGrid>
      <w:tr>
        <w:trPr>
          <w:trHeight w:val="283" w:hRule="exact"/>
        </w:trPr>
        <w:tc>
          <w:tcPr>
            <w:tcW w:w="1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229" w:type="dxa"/>
            <w:vMerge/>
            <w:tcBorders>
              <w:left w:val="single" w:sz="4" w:space="0" w:color="000000"/>
              <w:right w:val="single" w:sz="4" w:space="0" w:color="000000"/>
            </w:tcBorders>
          </w:tcPr>
          <w:p>
            <w:pPr/>
          </w:p>
        </w:tc>
        <w:tc>
          <w:tcPr>
            <w:tcW w:w="1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3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00" w:right="39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2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2" w:right="7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8" w:hRule="exact"/>
        </w:trPr>
        <w:tc>
          <w:tcPr>
            <w:tcW w:w="1229"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8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32" w:right="7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31" w:type="dxa"/>
            <w:vMerge/>
            <w:tcBorders>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8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43" w:right="9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578" w:type="dxa"/>
            <w:vMerge/>
            <w:tcBorders>
              <w:left w:val="single" w:sz="4" w:space="0" w:color="000000"/>
              <w:bottom w:val="single" w:sz="4" w:space="0" w:color="000000"/>
              <w:right w:val="single" w:sz="4" w:space="0" w:color="000000"/>
            </w:tcBorders>
          </w:tcPr>
          <w:p>
            <w:pPr/>
          </w:p>
        </w:tc>
      </w:tr>
      <w:tr>
        <w:trPr>
          <w:trHeight w:val="1099"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额</w:t>
            </w:r>
            <w:r>
              <w:rPr>
                <w:rFonts w:ascii="宋体" w:hAnsi="宋体" w:cs="宋体" w:eastAsia="宋体" w:hint="default"/>
                <w:spacing w:val="-78"/>
                <w:sz w:val="21"/>
                <w:szCs w:val="21"/>
              </w:rPr>
              <w:t> </w:t>
            </w:r>
            <w:r>
              <w:rPr>
                <w:rFonts w:ascii="宋体" w:hAnsi="宋体" w:cs="宋体" w:eastAsia="宋体" w:hint="default"/>
                <w:sz w:val="21"/>
                <w:szCs w:val="21"/>
              </w:rPr>
              <w:t>重</w:t>
            </w:r>
          </w:p>
          <w:p>
            <w:pPr>
              <w:pStyle w:val="TableParagraph"/>
              <w:spacing w:line="272" w:lineRule="exact" w:before="27"/>
              <w:ind w:left="26" w:right="24"/>
              <w:jc w:val="both"/>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76"/>
                <w:sz w:val="21"/>
                <w:szCs w:val="21"/>
              </w:rPr>
              <w:t> </w:t>
            </w:r>
            <w:r>
              <w:rPr>
                <w:rFonts w:ascii="宋体" w:hAnsi="宋体" w:cs="宋体" w:eastAsia="宋体" w:hint="default"/>
                <w:sz w:val="21"/>
                <w:szCs w:val="21"/>
              </w:rPr>
              <w:t>并</w:t>
            </w:r>
            <w:r>
              <w:rPr>
                <w:rFonts w:ascii="宋体" w:hAnsi="宋体" w:cs="宋体" w:eastAsia="宋体" w:hint="default"/>
                <w:spacing w:val="-76"/>
                <w:sz w:val="21"/>
                <w:szCs w:val="21"/>
              </w:rPr>
              <w:t> </w:t>
            </w:r>
            <w:r>
              <w:rPr>
                <w:rFonts w:ascii="宋体" w:hAnsi="宋体" w:cs="宋体" w:eastAsia="宋体" w:hint="default"/>
                <w:sz w:val="21"/>
                <w:szCs w:val="21"/>
              </w:rPr>
              <w:t>单</w:t>
            </w:r>
            <w:r>
              <w:rPr>
                <w:rFonts w:ascii="宋体" w:hAnsi="宋体" w:cs="宋体" w:eastAsia="宋体" w:hint="default"/>
                <w:spacing w:val="-76"/>
                <w:sz w:val="21"/>
                <w:szCs w:val="21"/>
              </w:rPr>
              <w:t> </w:t>
            </w:r>
            <w:r>
              <w:rPr>
                <w:rFonts w:ascii="宋体" w:hAnsi="宋体" w:cs="宋体" w:eastAsia="宋体" w:hint="default"/>
                <w:sz w:val="21"/>
                <w:szCs w:val="21"/>
              </w:rPr>
              <w:t>独</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spacing w:val="-76"/>
                <w:sz w:val="21"/>
                <w:szCs w:val="21"/>
              </w:rPr>
              <w:t> </w:t>
            </w:r>
            <w:r>
              <w:rPr>
                <w:rFonts w:ascii="宋体" w:hAnsi="宋体" w:cs="宋体" w:eastAsia="宋体" w:hint="default"/>
                <w:sz w:val="21"/>
                <w:szCs w:val="21"/>
              </w:rPr>
              <w:t>坏</w:t>
            </w:r>
            <w:r>
              <w:rPr>
                <w:rFonts w:ascii="宋体" w:hAnsi="宋体" w:cs="宋体" w:eastAsia="宋体" w:hint="default"/>
                <w:spacing w:val="-76"/>
                <w:sz w:val="21"/>
                <w:szCs w:val="21"/>
              </w:rPr>
              <w:t> </w:t>
            </w:r>
            <w:r>
              <w:rPr>
                <w:rFonts w:ascii="宋体" w:hAnsi="宋体" w:cs="宋体" w:eastAsia="宋体" w:hint="default"/>
                <w:sz w:val="21"/>
                <w:szCs w:val="21"/>
              </w:rPr>
              <w:t>账</w:t>
            </w:r>
            <w:r>
              <w:rPr>
                <w:rFonts w:ascii="宋体" w:hAnsi="宋体" w:cs="宋体" w:eastAsia="宋体" w:hint="default"/>
                <w:spacing w:val="-76"/>
                <w:sz w:val="21"/>
                <w:szCs w:val="21"/>
              </w:rPr>
              <w:t> </w:t>
            </w:r>
            <w:r>
              <w:rPr>
                <w:rFonts w:ascii="宋体" w:hAnsi="宋体" w:cs="宋体" w:eastAsia="宋体" w:hint="default"/>
                <w:sz w:val="21"/>
                <w:szCs w:val="21"/>
              </w:rPr>
              <w:t>准</w:t>
            </w:r>
            <w:r>
              <w:rPr>
                <w:rFonts w:ascii="宋体" w:hAnsi="宋体" w:cs="宋体" w:eastAsia="宋体" w:hint="default"/>
                <w:spacing w:val="-78"/>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的应收账款</w:t>
            </w:r>
          </w:p>
        </w:tc>
        <w:tc>
          <w:tcPr>
            <w:tcW w:w="123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76"/>
                <w:sz w:val="21"/>
                <w:szCs w:val="21"/>
              </w:rPr>
              <w:t> </w:t>
            </w:r>
            <w:r>
              <w:rPr>
                <w:rFonts w:ascii="宋体" w:hAnsi="宋体" w:cs="宋体" w:eastAsia="宋体" w:hint="default"/>
                <w:sz w:val="21"/>
                <w:szCs w:val="21"/>
              </w:rPr>
              <w:t>信</w:t>
            </w:r>
            <w:r>
              <w:rPr>
                <w:rFonts w:ascii="宋体" w:hAnsi="宋体" w:cs="宋体" w:eastAsia="宋体" w:hint="default"/>
                <w:spacing w:val="-76"/>
                <w:sz w:val="21"/>
                <w:szCs w:val="21"/>
              </w:rPr>
              <w:t> </w:t>
            </w:r>
            <w:r>
              <w:rPr>
                <w:rFonts w:ascii="宋体" w:hAnsi="宋体" w:cs="宋体" w:eastAsia="宋体" w:hint="default"/>
                <w:sz w:val="21"/>
                <w:szCs w:val="21"/>
              </w:rPr>
              <w:t>用</w:t>
            </w:r>
            <w:r>
              <w:rPr>
                <w:rFonts w:ascii="宋体" w:hAnsi="宋体" w:cs="宋体" w:eastAsia="宋体" w:hint="default"/>
                <w:spacing w:val="-76"/>
                <w:sz w:val="21"/>
                <w:szCs w:val="21"/>
              </w:rPr>
              <w:t> </w:t>
            </w:r>
            <w:r>
              <w:rPr>
                <w:rFonts w:ascii="宋体" w:hAnsi="宋体" w:cs="宋体" w:eastAsia="宋体" w:hint="default"/>
                <w:sz w:val="21"/>
                <w:szCs w:val="21"/>
              </w:rPr>
              <w:t>风</w:t>
            </w:r>
            <w:r>
              <w:rPr>
                <w:rFonts w:ascii="宋体" w:hAnsi="宋体" w:cs="宋体" w:eastAsia="宋体" w:hint="default"/>
                <w:spacing w:val="-78"/>
                <w:sz w:val="21"/>
                <w:szCs w:val="21"/>
              </w:rPr>
              <w:t> </w:t>
            </w:r>
            <w:r>
              <w:rPr>
                <w:rFonts w:ascii="宋体" w:hAnsi="宋体" w:cs="宋体" w:eastAsia="宋体" w:hint="default"/>
                <w:sz w:val="21"/>
                <w:szCs w:val="21"/>
              </w:rPr>
              <w:t>险</w:t>
            </w:r>
          </w:p>
          <w:p>
            <w:pPr>
              <w:pStyle w:val="TableParagraph"/>
              <w:spacing w:line="237" w:lineRule="auto" w:before="2"/>
              <w:ind w:left="26" w:right="24"/>
              <w:jc w:val="both"/>
              <w:rPr>
                <w:rFonts w:ascii="宋体" w:hAnsi="宋体" w:cs="宋体" w:eastAsia="宋体" w:hint="default"/>
                <w:sz w:val="21"/>
                <w:szCs w:val="21"/>
              </w:rPr>
            </w:pPr>
            <w:r>
              <w:rPr>
                <w:rFonts w:ascii="宋体" w:hAnsi="宋体" w:cs="宋体" w:eastAsia="宋体" w:hint="default"/>
                <w:sz w:val="21"/>
                <w:szCs w:val="21"/>
              </w:rPr>
              <w:t>特</w:t>
            </w:r>
            <w:r>
              <w:rPr>
                <w:rFonts w:ascii="宋体" w:hAnsi="宋体" w:cs="宋体" w:eastAsia="宋体" w:hint="default"/>
                <w:spacing w:val="-76"/>
                <w:sz w:val="21"/>
                <w:szCs w:val="21"/>
              </w:rPr>
              <w:t> </w:t>
            </w:r>
            <w:r>
              <w:rPr>
                <w:rFonts w:ascii="宋体" w:hAnsi="宋体" w:cs="宋体" w:eastAsia="宋体" w:hint="default"/>
                <w:sz w:val="21"/>
                <w:szCs w:val="21"/>
              </w:rPr>
              <w:t>征</w:t>
            </w:r>
            <w:r>
              <w:rPr>
                <w:rFonts w:ascii="宋体" w:hAnsi="宋体" w:cs="宋体" w:eastAsia="宋体" w:hint="default"/>
                <w:spacing w:val="-76"/>
                <w:sz w:val="21"/>
                <w:szCs w:val="21"/>
              </w:rPr>
              <w:t> </w:t>
            </w:r>
            <w:r>
              <w:rPr>
                <w:rFonts w:ascii="宋体" w:hAnsi="宋体" w:cs="宋体" w:eastAsia="宋体" w:hint="default"/>
                <w:sz w:val="21"/>
                <w:szCs w:val="21"/>
              </w:rPr>
              <w:t>组</w:t>
            </w:r>
            <w:r>
              <w:rPr>
                <w:rFonts w:ascii="宋体" w:hAnsi="宋体" w:cs="宋体" w:eastAsia="宋体" w:hint="default"/>
                <w:spacing w:val="-76"/>
                <w:sz w:val="21"/>
                <w:szCs w:val="21"/>
              </w:rPr>
              <w:t> </w:t>
            </w:r>
            <w:r>
              <w:rPr>
                <w:rFonts w:ascii="宋体" w:hAnsi="宋体" w:cs="宋体" w:eastAsia="宋体" w:hint="default"/>
                <w:sz w:val="21"/>
                <w:szCs w:val="21"/>
              </w:rPr>
              <w:t>合</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spacing w:val="-76"/>
                <w:sz w:val="21"/>
                <w:szCs w:val="21"/>
              </w:rPr>
              <w:t> </w:t>
            </w:r>
            <w:r>
              <w:rPr>
                <w:rFonts w:ascii="宋体" w:hAnsi="宋体" w:cs="宋体" w:eastAsia="宋体" w:hint="default"/>
                <w:sz w:val="21"/>
                <w:szCs w:val="21"/>
              </w:rPr>
              <w:t>坏</w:t>
            </w:r>
            <w:r>
              <w:rPr>
                <w:rFonts w:ascii="宋体" w:hAnsi="宋体" w:cs="宋体" w:eastAsia="宋体" w:hint="default"/>
                <w:spacing w:val="-76"/>
                <w:sz w:val="21"/>
                <w:szCs w:val="21"/>
              </w:rPr>
              <w:t> </w:t>
            </w:r>
            <w:r>
              <w:rPr>
                <w:rFonts w:ascii="宋体" w:hAnsi="宋体" w:cs="宋体" w:eastAsia="宋体" w:hint="default"/>
                <w:sz w:val="21"/>
                <w:szCs w:val="21"/>
              </w:rPr>
              <w:t>账</w:t>
            </w:r>
            <w:r>
              <w:rPr>
                <w:rFonts w:ascii="宋体" w:hAnsi="宋体" w:cs="宋体" w:eastAsia="宋体" w:hint="default"/>
                <w:spacing w:val="-76"/>
                <w:sz w:val="21"/>
                <w:szCs w:val="21"/>
              </w:rPr>
              <w:t> </w:t>
            </w:r>
            <w:r>
              <w:rPr>
                <w:rFonts w:ascii="宋体" w:hAnsi="宋体" w:cs="宋体" w:eastAsia="宋体" w:hint="default"/>
                <w:sz w:val="21"/>
                <w:szCs w:val="21"/>
              </w:rPr>
              <w:t>准</w:t>
            </w:r>
            <w:r>
              <w:rPr>
                <w:rFonts w:ascii="宋体" w:hAnsi="宋体" w:cs="宋体" w:eastAsia="宋体" w:hint="default"/>
                <w:spacing w:val="-78"/>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的应收账款</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12,296,667.00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368,900.01</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sz w:val="18"/>
              </w:rPr>
              <w:t>3.00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11,927,766.99</w:t>
            </w:r>
          </w:p>
        </w:tc>
        <w:tc>
          <w:tcPr>
            <w:tcW w:w="62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22" w:type="dxa"/>
        <w:tblLayout w:type="fixed"/>
        <w:tblCellMar>
          <w:top w:w="0" w:type="dxa"/>
          <w:left w:w="0" w:type="dxa"/>
          <w:bottom w:w="0" w:type="dxa"/>
          <w:right w:w="0" w:type="dxa"/>
        </w:tblCellMar>
        <w:tblLook w:val="01E0"/>
      </w:tblPr>
      <w:tblGrid>
        <w:gridCol w:w="1229"/>
        <w:gridCol w:w="1234"/>
        <w:gridCol w:w="600"/>
        <w:gridCol w:w="962"/>
        <w:gridCol w:w="591"/>
        <w:gridCol w:w="1231"/>
        <w:gridCol w:w="626"/>
        <w:gridCol w:w="605"/>
        <w:gridCol w:w="620"/>
        <w:gridCol w:w="619"/>
        <w:gridCol w:w="578"/>
      </w:tblGrid>
      <w:tr>
        <w:trPr>
          <w:trHeight w:val="1373"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额</w:t>
            </w:r>
            <w:r>
              <w:rPr>
                <w:rFonts w:ascii="宋体" w:hAnsi="宋体" w:cs="宋体" w:eastAsia="宋体" w:hint="default"/>
                <w:spacing w:val="-78"/>
                <w:sz w:val="21"/>
                <w:szCs w:val="21"/>
              </w:rPr>
              <w:t> </w:t>
            </w:r>
            <w:r>
              <w:rPr>
                <w:rFonts w:ascii="宋体" w:hAnsi="宋体" w:cs="宋体" w:eastAsia="宋体" w:hint="default"/>
                <w:sz w:val="21"/>
                <w:szCs w:val="21"/>
              </w:rPr>
              <w:t>不</w:t>
            </w:r>
          </w:p>
          <w:p>
            <w:pPr>
              <w:pStyle w:val="TableParagraph"/>
              <w:spacing w:line="237" w:lineRule="auto"/>
              <w:ind w:left="26" w:right="24"/>
              <w:jc w:val="both"/>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76"/>
                <w:sz w:val="21"/>
                <w:szCs w:val="21"/>
              </w:rPr>
              <w:t> </w:t>
            </w:r>
            <w:r>
              <w:rPr>
                <w:rFonts w:ascii="宋体" w:hAnsi="宋体" w:cs="宋体" w:eastAsia="宋体" w:hint="default"/>
                <w:sz w:val="21"/>
                <w:szCs w:val="21"/>
              </w:rPr>
              <w:t>大</w:t>
            </w:r>
            <w:r>
              <w:rPr>
                <w:rFonts w:ascii="宋体" w:hAnsi="宋体" w:cs="宋体" w:eastAsia="宋体" w:hint="default"/>
                <w:spacing w:val="-76"/>
                <w:sz w:val="21"/>
                <w:szCs w:val="21"/>
              </w:rPr>
              <w:t> </w:t>
            </w:r>
            <w:r>
              <w:rPr>
                <w:rFonts w:ascii="宋体" w:hAnsi="宋体" w:cs="宋体" w:eastAsia="宋体" w:hint="default"/>
                <w:sz w:val="21"/>
                <w:szCs w:val="21"/>
              </w:rPr>
              <w:t>但</w:t>
            </w:r>
            <w:r>
              <w:rPr>
                <w:rFonts w:ascii="宋体" w:hAnsi="宋体" w:cs="宋体" w:eastAsia="宋体" w:hint="default"/>
                <w:spacing w:val="-76"/>
                <w:sz w:val="21"/>
                <w:szCs w:val="21"/>
              </w:rPr>
              <w:t> </w:t>
            </w:r>
            <w:r>
              <w:rPr>
                <w:rFonts w:ascii="宋体" w:hAnsi="宋体" w:cs="宋体" w:eastAsia="宋体" w:hint="default"/>
                <w:sz w:val="21"/>
                <w:szCs w:val="21"/>
              </w:rPr>
              <w:t>单</w:t>
            </w:r>
            <w:r>
              <w:rPr>
                <w:rFonts w:ascii="宋体" w:hAnsi="宋体" w:cs="宋体" w:eastAsia="宋体" w:hint="default"/>
                <w:spacing w:val="-78"/>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提</w:t>
            </w:r>
            <w:r>
              <w:rPr>
                <w:rFonts w:ascii="宋体" w:hAnsi="宋体" w:cs="宋体" w:eastAsia="宋体" w:hint="default"/>
                <w:spacing w:val="-76"/>
                <w:sz w:val="21"/>
                <w:szCs w:val="21"/>
              </w:rPr>
              <w:t> </w:t>
            </w:r>
            <w:r>
              <w:rPr>
                <w:rFonts w:ascii="宋体" w:hAnsi="宋体" w:cs="宋体" w:eastAsia="宋体" w:hint="default"/>
                <w:sz w:val="21"/>
                <w:szCs w:val="21"/>
              </w:rPr>
              <w:t>坏</w:t>
            </w:r>
            <w:r>
              <w:rPr>
                <w:rFonts w:ascii="宋体" w:hAnsi="宋体" w:cs="宋体" w:eastAsia="宋体" w:hint="default"/>
                <w:spacing w:val="-76"/>
                <w:sz w:val="21"/>
                <w:szCs w:val="21"/>
              </w:rPr>
              <w:t> </w:t>
            </w:r>
            <w:r>
              <w:rPr>
                <w:rFonts w:ascii="宋体" w:hAnsi="宋体" w:cs="宋体" w:eastAsia="宋体" w:hint="default"/>
                <w:sz w:val="21"/>
                <w:szCs w:val="21"/>
              </w:rPr>
              <w:t>账</w:t>
            </w:r>
            <w:r>
              <w:rPr>
                <w:rFonts w:ascii="宋体" w:hAnsi="宋体" w:cs="宋体" w:eastAsia="宋体" w:hint="default"/>
                <w:spacing w:val="-78"/>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8"/>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3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12,296,667.00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368,900.01</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11,927,766.99</w:t>
            </w:r>
          </w:p>
        </w:tc>
        <w:tc>
          <w:tcPr>
            <w:tcW w:w="62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620"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540" w:right="1040"/>
        </w:sectPr>
      </w:pPr>
    </w:p>
    <w:p>
      <w:pPr>
        <w:pStyle w:val="BodyText"/>
        <w:spacing w:line="240" w:lineRule="auto" w:before="36"/>
        <w:ind w:left="258" w:right="0"/>
        <w:jc w:val="left"/>
      </w:pPr>
      <w:r>
        <w:rPr>
          <w:spacing w:val="-2"/>
        </w:rPr>
        <w:t>期末单项金额重大并单项计提坏账准备的应收账款：</w:t>
      </w:r>
    </w:p>
    <w:p>
      <w:pPr>
        <w:pStyle w:val="BodyText"/>
        <w:spacing w:line="290" w:lineRule="auto" w:before="58"/>
        <w:ind w:left="258" w:right="0"/>
        <w:jc w:val="left"/>
      </w:pPr>
      <w:r>
        <w:rPr/>
        <w:t>□适用√不适用</w:t>
      </w:r>
      <w:r>
        <w:rPr>
          <w:w w:val="100"/>
        </w:rPr>
        <w:t> </w:t>
      </w:r>
      <w:r>
        <w:rPr>
          <w:spacing w:val="-2"/>
        </w:rPr>
        <w:t>组合中，按账龄分析法计提坏账准备的应收账款：</w:t>
      </w:r>
    </w:p>
    <w:p>
      <w:pPr>
        <w:pStyle w:val="BodyText"/>
        <w:spacing w:line="240" w:lineRule="auto" w:before="14"/>
        <w:ind w:left="2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5093" w:space="1429"/>
            <w:col w:w="2808"/>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12,296,667.00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368,900.01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12,296,667.00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368,900.01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12,296,667.00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368,900.01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258" w:right="0"/>
        <w:jc w:val="left"/>
      </w:pPr>
      <w:r>
        <w:rPr/>
        <w:t>组合中，采用余额百分比法计提坏账准备的应收账款：</w:t>
      </w:r>
    </w:p>
    <w:p>
      <w:pPr>
        <w:pStyle w:val="BodyText"/>
        <w:spacing w:line="240" w:lineRule="auto" w:before="58"/>
        <w:ind w:left="2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4" w:lineRule="exact"/>
        <w:ind w:left="258" w:right="0"/>
        <w:jc w:val="left"/>
      </w:pPr>
      <w:r>
        <w:rPr/>
        <w:t>其中本期坏账准备收回或转回金额重要的：</w:t>
      </w:r>
    </w:p>
    <w:p>
      <w:pPr>
        <w:pStyle w:val="BodyText"/>
        <w:spacing w:line="274" w:lineRule="exact"/>
        <w:ind w:left="2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tabs>
          <w:tab w:pos="1097" w:val="left" w:leader="none"/>
        </w:tabs>
        <w:spacing w:line="240" w:lineRule="auto"/>
        <w:ind w:left="399" w:right="0"/>
        <w:jc w:val="left"/>
        <w:rPr>
          <w:b w:val="0"/>
          <w:bCs w:val="0"/>
        </w:rPr>
      </w:pPr>
      <w:r>
        <w:rPr>
          <w:rFonts w:ascii="宋体" w:hAnsi="宋体" w:cs="宋体" w:eastAsia="宋体" w:hint="default"/>
          <w:w w:val="95"/>
        </w:rPr>
        <w:t>(2).</w:t>
        <w:tab/>
      </w:r>
      <w:r>
        <w:rPr/>
        <w:t>本期实际核销的应收账款情况</w:t>
      </w:r>
      <w:r>
        <w:rPr>
          <w:b w:val="0"/>
          <w:bCs w:val="0"/>
        </w:rPr>
      </w:r>
    </w:p>
    <w:p>
      <w:pPr>
        <w:pStyle w:val="BodyText"/>
        <w:spacing w:line="240" w:lineRule="auto" w:before="56"/>
        <w:ind w:left="258" w:right="4811"/>
        <w:jc w:val="left"/>
      </w:pPr>
      <w:r>
        <w:rPr/>
        <w:t>□适用</w:t>
      </w:r>
      <w:r>
        <w:rPr>
          <w:spacing w:val="-2"/>
        </w:rPr>
        <w:t> </w:t>
      </w:r>
      <w:r>
        <w:rPr/>
        <w:t>√不适用</w:t>
      </w:r>
      <w:r>
        <w:rPr>
          <w:w w:val="100"/>
        </w:rPr>
        <w:t> </w:t>
      </w:r>
      <w:r>
        <w:rPr>
          <w:spacing w:val="-2"/>
        </w:rPr>
        <w:t>其中重要的应收账款核销情况</w:t>
      </w:r>
    </w:p>
    <w:p>
      <w:pPr>
        <w:pStyle w:val="BodyText"/>
        <w:spacing w:line="271" w:lineRule="exact"/>
        <w:ind w:left="2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tabs>
          <w:tab w:pos="1097" w:val="left" w:leader="none"/>
        </w:tabs>
        <w:spacing w:line="240" w:lineRule="auto"/>
        <w:ind w:left="399" w:right="0"/>
        <w:jc w:val="left"/>
        <w:rPr>
          <w:b w:val="0"/>
          <w:bCs w:val="0"/>
        </w:rPr>
      </w:pPr>
      <w:r>
        <w:rPr/>
        <w:pict>
          <v:shape style="position:absolute;margin-left:212.929993pt;margin-top:33.383667pt;width:.48001pt;height:.12pt;mso-position-horizontal-relative:page;mso-position-vertical-relative:paragraph;z-index:-593032" type="#_x0000_t75" stroked="false">
            <v:imagedata r:id="rId82" o:title=""/>
          </v:shape>
        </w:pict>
      </w:r>
      <w:r>
        <w:rPr/>
        <w:pict>
          <v:shape style="position:absolute;margin-left:298.25pt;margin-top:33.383667pt;width:.48001pt;height:.12pt;mso-position-horizontal-relative:page;mso-position-vertical-relative:paragraph;z-index:-593008" type="#_x0000_t75" stroked="false">
            <v:imagedata r:id="rId82" o:title=""/>
          </v:shape>
        </w:pict>
      </w:r>
      <w:r>
        <w:rPr/>
        <w:pict>
          <v:shape style="position:absolute;margin-left:440.350006pt;margin-top:33.383667pt;width:.48001pt;height:.12pt;mso-position-horizontal-relative:page;mso-position-vertical-relative:paragraph;z-index:-592984" type="#_x0000_t75" stroked="false">
            <v:imagedata r:id="rId82" o:title=""/>
          </v:shape>
        </w:pict>
      </w:r>
      <w:r>
        <w:rPr/>
        <w:pict>
          <v:group style="position:absolute;margin-left:83.543999pt;margin-top:50.42363pt;width:444.6pt;height:.5pt;mso-position-horizontal-relative:page;mso-position-vertical-relative:paragraph;z-index:-592960" coordorigin="1671,1008" coordsize="8892,10">
            <v:shape style="position:absolute;left:1671;top:1008;width:2588;height:10" type="#_x0000_t75" stroked="false">
              <v:imagedata r:id="rId89" o:title=""/>
            </v:shape>
            <v:shape style="position:absolute;left:4254;top:1008;width:6308;height:10" type="#_x0000_t75" stroked="false">
              <v:imagedata r:id="rId90" o:title=""/>
            </v:shape>
            <w10:wrap type="none"/>
          </v:group>
        </w:pict>
      </w:r>
      <w:r>
        <w:rPr>
          <w:rFonts w:ascii="宋体" w:hAnsi="宋体" w:cs="宋体" w:eastAsia="宋体" w:hint="default"/>
          <w:w w:val="95"/>
        </w:rPr>
        <w:t>(3).</w:t>
        <w:tab/>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16" w:type="dxa"/>
        <w:tblLayout w:type="fixed"/>
        <w:tblCellMar>
          <w:top w:w="0" w:type="dxa"/>
          <w:left w:w="0" w:type="dxa"/>
          <w:bottom w:w="0" w:type="dxa"/>
          <w:right w:w="0" w:type="dxa"/>
        </w:tblCellMar>
        <w:tblLook w:val="01E0"/>
      </w:tblPr>
      <w:tblGrid>
        <w:gridCol w:w="2607"/>
        <w:gridCol w:w="1706"/>
        <w:gridCol w:w="2842"/>
        <w:gridCol w:w="1750"/>
      </w:tblGrid>
      <w:tr>
        <w:trPr>
          <w:trHeight w:val="369" w:hRule="exact"/>
        </w:trPr>
        <w:tc>
          <w:tcPr>
            <w:tcW w:w="2607" w:type="dxa"/>
            <w:tcBorders>
              <w:top w:val="single" w:sz="12" w:space="0" w:color="000000"/>
              <w:left w:val="nil" w:sz="6" w:space="0" w:color="auto"/>
              <w:bottom w:val="nil" w:sz="6" w:space="0" w:color="auto"/>
              <w:right w:val="single" w:sz="4" w:space="0" w:color="000000"/>
            </w:tcBorders>
          </w:tcPr>
          <w:p>
            <w:pPr>
              <w:pStyle w:val="TableParagraph"/>
              <w:spacing w:line="240" w:lineRule="auto" w:before="34"/>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4"/>
              <w:ind w:left="48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4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4"/>
              <w:ind w:left="199" w:right="0"/>
              <w:jc w:val="left"/>
              <w:rPr>
                <w:rFonts w:ascii="宋体" w:hAnsi="宋体" w:cs="宋体" w:eastAsia="宋体" w:hint="default"/>
                <w:sz w:val="18"/>
                <w:szCs w:val="18"/>
              </w:rPr>
            </w:pPr>
            <w:r>
              <w:rPr>
                <w:rFonts w:ascii="宋体" w:hAnsi="宋体" w:cs="宋体" w:eastAsia="宋体" w:hint="default"/>
                <w:sz w:val="18"/>
                <w:szCs w:val="18"/>
              </w:rPr>
              <w:t>占应收账款期末余额的比例</w:t>
            </w:r>
            <w:r>
              <w:rPr>
                <w:rFonts w:ascii="宋体" w:hAnsi="宋体" w:cs="宋体" w:eastAsia="宋体" w:hint="default"/>
                <w:sz w:val="18"/>
                <w:szCs w:val="18"/>
              </w:rPr>
              <w:t>(%)</w:t>
            </w:r>
          </w:p>
        </w:tc>
        <w:tc>
          <w:tcPr>
            <w:tcW w:w="1750" w:type="dxa"/>
            <w:tcBorders>
              <w:top w:val="single" w:sz="12" w:space="0" w:color="000000"/>
              <w:left w:val="single" w:sz="4" w:space="0" w:color="000000"/>
              <w:bottom w:val="nil" w:sz="6" w:space="0" w:color="auto"/>
              <w:right w:val="nil" w:sz="6" w:space="0" w:color="auto"/>
            </w:tcBorders>
          </w:tcPr>
          <w:p>
            <w:pPr>
              <w:pStyle w:val="TableParagraph"/>
              <w:spacing w:line="240" w:lineRule="auto" w:before="34"/>
              <w:ind w:left="240"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4" w:hRule="exact"/>
        </w:trPr>
        <w:tc>
          <w:tcPr>
            <w:tcW w:w="2607" w:type="dxa"/>
            <w:tcBorders>
              <w:top w:val="nil" w:sz="6" w:space="0" w:color="auto"/>
              <w:left w:val="nil" w:sz="6" w:space="0" w:color="auto"/>
              <w:bottom w:val="single" w:sz="12" w:space="0" w:color="000000"/>
              <w:right w:val="single" w:sz="4" w:space="0" w:color="000000"/>
            </w:tcBorders>
          </w:tcPr>
          <w:p>
            <w:pPr>
              <w:pStyle w:val="TableParagraph"/>
              <w:spacing w:line="240" w:lineRule="auto" w:before="28"/>
              <w:ind w:right="15"/>
              <w:jc w:val="center"/>
              <w:rPr>
                <w:rFonts w:ascii="宋体" w:hAnsi="宋体" w:cs="宋体" w:eastAsia="宋体" w:hint="default"/>
                <w:sz w:val="18"/>
                <w:szCs w:val="18"/>
              </w:rPr>
            </w:pPr>
            <w:r>
              <w:rPr>
                <w:rFonts w:ascii="宋体" w:hAnsi="宋体" w:cs="宋体" w:eastAsia="宋体" w:hint="default"/>
                <w:sz w:val="18"/>
                <w:szCs w:val="18"/>
              </w:rPr>
              <w:t>期末余额前二名应收账款汇总</w:t>
            </w:r>
          </w:p>
        </w:tc>
        <w:tc>
          <w:tcPr>
            <w:tcW w:w="170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8"/>
              <w:ind w:left="422" w:right="0"/>
              <w:jc w:val="left"/>
              <w:rPr>
                <w:rFonts w:ascii="宋体" w:hAnsi="宋体" w:cs="宋体" w:eastAsia="宋体" w:hint="default"/>
                <w:sz w:val="18"/>
                <w:szCs w:val="18"/>
              </w:rPr>
            </w:pPr>
            <w:r>
              <w:rPr>
                <w:rFonts w:ascii="宋体"/>
                <w:sz w:val="18"/>
              </w:rPr>
              <w:t>12,296,667.00</w:t>
            </w:r>
          </w:p>
        </w:tc>
        <w:tc>
          <w:tcPr>
            <w:tcW w:w="28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8"/>
              <w:ind w:right="100"/>
              <w:jc w:val="right"/>
              <w:rPr>
                <w:rFonts w:ascii="宋体" w:hAnsi="宋体" w:cs="宋体" w:eastAsia="宋体" w:hint="default"/>
                <w:sz w:val="18"/>
                <w:szCs w:val="18"/>
              </w:rPr>
            </w:pPr>
            <w:r>
              <w:rPr>
                <w:rFonts w:ascii="宋体"/>
                <w:spacing w:val="-1"/>
                <w:sz w:val="18"/>
              </w:rPr>
              <w:t>100.00</w:t>
            </w:r>
          </w:p>
        </w:tc>
        <w:tc>
          <w:tcPr>
            <w:tcW w:w="1750" w:type="dxa"/>
            <w:tcBorders>
              <w:top w:val="nil" w:sz="6" w:space="0" w:color="auto"/>
              <w:left w:val="single" w:sz="4" w:space="0" w:color="000000"/>
              <w:bottom w:val="single" w:sz="12" w:space="0" w:color="000000"/>
              <w:right w:val="nil" w:sz="6" w:space="0" w:color="auto"/>
            </w:tcBorders>
          </w:tcPr>
          <w:p>
            <w:pPr>
              <w:pStyle w:val="TableParagraph"/>
              <w:spacing w:line="240" w:lineRule="auto" w:before="28"/>
              <w:ind w:left="737" w:right="0"/>
              <w:jc w:val="left"/>
              <w:rPr>
                <w:rFonts w:ascii="宋体" w:hAnsi="宋体" w:cs="宋体" w:eastAsia="宋体" w:hint="default"/>
                <w:sz w:val="18"/>
                <w:szCs w:val="18"/>
              </w:rPr>
            </w:pPr>
            <w:r>
              <w:rPr>
                <w:rFonts w:ascii="宋体"/>
                <w:sz w:val="18"/>
              </w:rPr>
              <w:t>368,900.01</w:t>
            </w:r>
          </w:p>
        </w:tc>
      </w:tr>
    </w:tbl>
    <w:p>
      <w:pPr>
        <w:spacing w:after="0" w:line="240" w:lineRule="auto"/>
        <w:jc w:val="left"/>
        <w:rPr>
          <w:rFonts w:ascii="宋体" w:hAnsi="宋体" w:cs="宋体" w:eastAsia="宋体" w:hint="default"/>
          <w:sz w:val="18"/>
          <w:szCs w:val="18"/>
        </w:rPr>
        <w:sectPr>
          <w:type w:val="continuous"/>
          <w:pgSz w:w="11910" w:h="16840"/>
          <w:pgMar w:top="1120" w:bottom="1380" w:left="1540" w:right="1040"/>
        </w:sectPr>
      </w:pPr>
    </w:p>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0" w:footer="1195" w:top="1120" w:bottom="1380" w:left="1660" w:right="1120"/>
        </w:sectPr>
      </w:pPr>
    </w:p>
    <w:p>
      <w:pPr>
        <w:pStyle w:val="Heading3"/>
        <w:spacing w:line="240" w:lineRule="auto" w:before="36"/>
        <w:ind w:left="138"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3"/>
        <w:spacing w:line="240" w:lineRule="auto" w:before="58"/>
        <w:ind w:left="13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777" w:space="3745"/>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26"/>
        <w:gridCol w:w="1140"/>
        <w:gridCol w:w="603"/>
        <w:gridCol w:w="962"/>
        <w:gridCol w:w="422"/>
        <w:gridCol w:w="1143"/>
        <w:gridCol w:w="962"/>
        <w:gridCol w:w="600"/>
        <w:gridCol w:w="963"/>
        <w:gridCol w:w="514"/>
        <w:gridCol w:w="960"/>
      </w:tblGrid>
      <w:tr>
        <w:trPr>
          <w:trHeight w:val="293" w:hRule="exact"/>
        </w:trPr>
        <w:tc>
          <w:tcPr>
            <w:tcW w:w="6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2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9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626" w:type="dxa"/>
            <w:vMerge/>
            <w:tcBorders>
              <w:left w:val="single" w:sz="4" w:space="0" w:color="000000"/>
              <w:right w:val="single" w:sz="4" w:space="0" w:color="000000"/>
            </w:tcBorders>
          </w:tcPr>
          <w:p>
            <w:pPr/>
          </w:p>
        </w:tc>
        <w:tc>
          <w:tcPr>
            <w:tcW w:w="17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5" w:right="35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63" w:right="26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0" w:hRule="exact"/>
        </w:trPr>
        <w:tc>
          <w:tcPr>
            <w:tcW w:w="626" w:type="dxa"/>
            <w:vMerge/>
            <w:tcBorders>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9" w:right="8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47" w:right="47" w:firstLine="5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43" w:type="dxa"/>
            <w:vMerge/>
            <w:tcBorders>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6" w:right="8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40" w:right="3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60" w:type="dxa"/>
            <w:vMerge/>
            <w:tcBorders>
              <w:left w:val="single" w:sz="4" w:space="0" w:color="000000"/>
              <w:bottom w:val="single" w:sz="4" w:space="0" w:color="000000"/>
              <w:right w:val="single" w:sz="4" w:space="0" w:color="000000"/>
            </w:tcBorders>
          </w:tcPr>
          <w:p>
            <w:pPr/>
          </w:p>
        </w:tc>
      </w:tr>
      <w:tr>
        <w:trPr>
          <w:trHeight w:val="3008"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37" w:lineRule="auto" w:before="2"/>
              <w:ind w:left="26" w:right="165"/>
              <w:jc w:val="both"/>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重大</w:t>
            </w:r>
            <w:r>
              <w:rPr>
                <w:rFonts w:ascii="宋体" w:hAnsi="宋体" w:cs="宋体" w:eastAsia="宋体" w:hint="default"/>
                <w:spacing w:val="-103"/>
                <w:sz w:val="21"/>
                <w:szCs w:val="21"/>
              </w:rPr>
              <w:t> </w:t>
            </w:r>
            <w:r>
              <w:rPr>
                <w:rFonts w:ascii="宋体" w:hAnsi="宋体" w:cs="宋体" w:eastAsia="宋体" w:hint="default"/>
                <w:sz w:val="21"/>
                <w:szCs w:val="21"/>
              </w:rPr>
              <w:t>并单</w:t>
            </w:r>
            <w:r>
              <w:rPr>
                <w:rFonts w:ascii="宋体" w:hAnsi="宋体" w:cs="宋体" w:eastAsia="宋体" w:hint="default"/>
                <w:spacing w:val="-103"/>
                <w:sz w:val="21"/>
                <w:szCs w:val="21"/>
              </w:rPr>
              <w:t> </w:t>
            </w:r>
            <w:r>
              <w:rPr>
                <w:rFonts w:ascii="宋体" w:hAnsi="宋体" w:cs="宋体" w:eastAsia="宋体" w:hint="default"/>
                <w:sz w:val="21"/>
                <w:szCs w:val="21"/>
              </w:rPr>
              <w:t>独计</w:t>
            </w:r>
            <w:r>
              <w:rPr>
                <w:rFonts w:ascii="宋体" w:hAnsi="宋体" w:cs="宋体" w:eastAsia="宋体" w:hint="default"/>
                <w:spacing w:val="-103"/>
                <w:sz w:val="21"/>
                <w:szCs w:val="21"/>
              </w:rPr>
              <w:t> </w:t>
            </w:r>
            <w:r>
              <w:rPr>
                <w:rFonts w:ascii="宋体" w:hAnsi="宋体" w:cs="宋体" w:eastAsia="宋体" w:hint="default"/>
                <w:sz w:val="21"/>
                <w:szCs w:val="21"/>
              </w:rPr>
              <w:t>提坏</w:t>
            </w:r>
            <w:r>
              <w:rPr>
                <w:rFonts w:ascii="宋体" w:hAnsi="宋体" w:cs="宋体" w:eastAsia="宋体" w:hint="default"/>
                <w:spacing w:val="-103"/>
                <w:sz w:val="21"/>
                <w:szCs w:val="21"/>
              </w:rPr>
              <w:t> </w:t>
            </w:r>
            <w:r>
              <w:rPr>
                <w:rFonts w:ascii="宋体" w:hAnsi="宋体" w:cs="宋体" w:eastAsia="宋体" w:hint="default"/>
                <w:sz w:val="21"/>
                <w:szCs w:val="21"/>
              </w:rPr>
              <w:t>账准</w:t>
            </w:r>
            <w:r>
              <w:rPr>
                <w:rFonts w:ascii="宋体" w:hAnsi="宋体" w:cs="宋体" w:eastAsia="宋体" w:hint="default"/>
                <w:spacing w:val="-103"/>
                <w:sz w:val="21"/>
                <w:szCs w:val="21"/>
              </w:rPr>
              <w:t> </w:t>
            </w:r>
            <w:r>
              <w:rPr>
                <w:rFonts w:ascii="宋体" w:hAnsi="宋体" w:cs="宋体" w:eastAsia="宋体" w:hint="default"/>
                <w:sz w:val="21"/>
                <w:szCs w:val="21"/>
              </w:rPr>
              <w:t>备的</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应收</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140"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w:t>
            </w:r>
          </w:p>
          <w:p>
            <w:pPr>
              <w:pStyle w:val="TableParagraph"/>
              <w:spacing w:line="237" w:lineRule="auto"/>
              <w:ind w:left="26" w:right="165"/>
              <w:jc w:val="both"/>
              <w:rPr>
                <w:rFonts w:ascii="宋体" w:hAnsi="宋体" w:cs="宋体" w:eastAsia="宋体" w:hint="default"/>
                <w:sz w:val="21"/>
                <w:szCs w:val="21"/>
              </w:rPr>
            </w:pPr>
            <w:r>
              <w:rPr>
                <w:rFonts w:ascii="宋体" w:hAnsi="宋体" w:cs="宋体" w:eastAsia="宋体" w:hint="default"/>
                <w:sz w:val="21"/>
                <w:szCs w:val="21"/>
              </w:rPr>
              <w:t>用风</w:t>
            </w:r>
            <w:r>
              <w:rPr>
                <w:rFonts w:ascii="宋体" w:hAnsi="宋体" w:cs="宋体" w:eastAsia="宋体" w:hint="default"/>
                <w:spacing w:val="-103"/>
                <w:sz w:val="21"/>
                <w:szCs w:val="21"/>
              </w:rPr>
              <w:t> </w:t>
            </w:r>
            <w:r>
              <w:rPr>
                <w:rFonts w:ascii="宋体" w:hAnsi="宋体" w:cs="宋体" w:eastAsia="宋体" w:hint="default"/>
                <w:sz w:val="21"/>
                <w:szCs w:val="21"/>
              </w:rPr>
              <w:t>险特</w:t>
            </w:r>
            <w:r>
              <w:rPr>
                <w:rFonts w:ascii="宋体" w:hAnsi="宋体" w:cs="宋体" w:eastAsia="宋体" w:hint="default"/>
                <w:spacing w:val="-103"/>
                <w:sz w:val="21"/>
                <w:szCs w:val="21"/>
              </w:rPr>
              <w:t> </w:t>
            </w:r>
            <w:r>
              <w:rPr>
                <w:rFonts w:ascii="宋体" w:hAnsi="宋体" w:cs="宋体" w:eastAsia="宋体" w:hint="default"/>
                <w:sz w:val="21"/>
                <w:szCs w:val="21"/>
              </w:rPr>
              <w:t>征组</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pacing w:val="-103"/>
                <w:sz w:val="21"/>
                <w:szCs w:val="21"/>
              </w:rPr>
              <w:t> </w:t>
            </w:r>
            <w:r>
              <w:rPr>
                <w:rFonts w:ascii="宋体" w:hAnsi="宋体" w:cs="宋体" w:eastAsia="宋体" w:hint="default"/>
                <w:sz w:val="21"/>
                <w:szCs w:val="21"/>
              </w:rPr>
              <w:t>提坏</w:t>
            </w:r>
            <w:r>
              <w:rPr>
                <w:rFonts w:ascii="宋体" w:hAnsi="宋体" w:cs="宋体" w:eastAsia="宋体" w:hint="default"/>
                <w:spacing w:val="-103"/>
                <w:sz w:val="21"/>
                <w:szCs w:val="21"/>
              </w:rPr>
              <w:t> </w:t>
            </w:r>
            <w:r>
              <w:rPr>
                <w:rFonts w:ascii="宋体" w:hAnsi="宋体" w:cs="宋体" w:eastAsia="宋体" w:hint="default"/>
                <w:sz w:val="21"/>
                <w:szCs w:val="21"/>
              </w:rPr>
              <w:t>账准</w:t>
            </w:r>
            <w:r>
              <w:rPr>
                <w:rFonts w:ascii="宋体" w:hAnsi="宋体" w:cs="宋体" w:eastAsia="宋体" w:hint="default"/>
                <w:spacing w:val="-103"/>
                <w:sz w:val="21"/>
                <w:szCs w:val="21"/>
              </w:rPr>
              <w:t> </w:t>
            </w:r>
            <w:r>
              <w:rPr>
                <w:rFonts w:ascii="宋体" w:hAnsi="宋体" w:cs="宋体" w:eastAsia="宋体" w:hint="default"/>
                <w:sz w:val="21"/>
                <w:szCs w:val="21"/>
              </w:rPr>
              <w:t>备的</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应收</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4,202,407.78</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238,751.11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5.68</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3,963,656.67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624,365.75</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131,198.97</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21.01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493,166.78</w:t>
            </w:r>
          </w:p>
        </w:tc>
      </w:tr>
      <w:tr>
        <w:trPr>
          <w:trHeight w:val="3005"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37" w:lineRule="auto" w:before="2"/>
              <w:ind w:left="26" w:right="165"/>
              <w:jc w:val="both"/>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不重</w:t>
            </w:r>
            <w:r>
              <w:rPr>
                <w:rFonts w:ascii="宋体" w:hAnsi="宋体" w:cs="宋体" w:eastAsia="宋体" w:hint="default"/>
                <w:spacing w:val="-103"/>
                <w:sz w:val="21"/>
                <w:szCs w:val="21"/>
              </w:rPr>
              <w:t> </w:t>
            </w:r>
            <w:r>
              <w:rPr>
                <w:rFonts w:ascii="宋体" w:hAnsi="宋体" w:cs="宋体" w:eastAsia="宋体" w:hint="default"/>
                <w:sz w:val="21"/>
                <w:szCs w:val="21"/>
              </w:rPr>
              <w:t>大但</w:t>
            </w:r>
            <w:r>
              <w:rPr>
                <w:rFonts w:ascii="宋体" w:hAnsi="宋体" w:cs="宋体" w:eastAsia="宋体" w:hint="default"/>
                <w:spacing w:val="-103"/>
                <w:sz w:val="21"/>
                <w:szCs w:val="21"/>
              </w:rPr>
              <w:t> </w:t>
            </w:r>
            <w:r>
              <w:rPr>
                <w:rFonts w:ascii="宋体" w:hAnsi="宋体" w:cs="宋体" w:eastAsia="宋体" w:hint="default"/>
                <w:sz w:val="21"/>
                <w:szCs w:val="21"/>
              </w:rPr>
              <w:t>单独</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的其</w:t>
            </w:r>
            <w:r>
              <w:rPr>
                <w:rFonts w:ascii="宋体" w:hAnsi="宋体" w:cs="宋体" w:eastAsia="宋体" w:hint="default"/>
                <w:spacing w:val="-103"/>
                <w:sz w:val="21"/>
                <w:szCs w:val="21"/>
              </w:rPr>
              <w:t> </w:t>
            </w:r>
            <w:r>
              <w:rPr>
                <w:rFonts w:ascii="宋体" w:hAnsi="宋体" w:cs="宋体" w:eastAsia="宋体" w:hint="default"/>
                <w:sz w:val="21"/>
                <w:szCs w:val="21"/>
              </w:rPr>
              <w:t>他应</w:t>
            </w:r>
            <w:r>
              <w:rPr>
                <w:rFonts w:ascii="宋体" w:hAnsi="宋体" w:cs="宋体" w:eastAsia="宋体" w:hint="default"/>
                <w:spacing w:val="-103"/>
                <w:sz w:val="21"/>
                <w:szCs w:val="21"/>
              </w:rPr>
              <w:t> </w:t>
            </w:r>
            <w:r>
              <w:rPr>
                <w:rFonts w:ascii="宋体" w:hAnsi="宋体" w:cs="宋体" w:eastAsia="宋体" w:hint="default"/>
                <w:sz w:val="21"/>
                <w:szCs w:val="21"/>
              </w:rPr>
              <w:t>收款</w:t>
            </w:r>
          </w:p>
        </w:tc>
        <w:tc>
          <w:tcPr>
            <w:tcW w:w="1140"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4,202,407.78</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238,751.11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3,963,656.67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624,365.75</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131,198.97</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493,166.78</w:t>
            </w:r>
          </w:p>
        </w:tc>
      </w:tr>
    </w:tbl>
    <w:p>
      <w:pPr>
        <w:spacing w:line="240" w:lineRule="auto" w:before="2"/>
        <w:rPr>
          <w:rFonts w:ascii="宋体" w:hAnsi="宋体" w:cs="宋体" w:eastAsia="宋体" w:hint="default"/>
          <w:sz w:val="20"/>
          <w:szCs w:val="20"/>
        </w:rPr>
      </w:pPr>
    </w:p>
    <w:p>
      <w:pPr>
        <w:pStyle w:val="BodyText"/>
        <w:spacing w:line="240" w:lineRule="auto" w:before="36"/>
        <w:ind w:right="2754"/>
        <w:jc w:val="left"/>
      </w:pPr>
      <w:r>
        <w:rPr/>
        <w:t>期末单项金额重大并单项计提坏账准备的其他应收款：</w:t>
      </w:r>
    </w:p>
    <w:p>
      <w:pPr>
        <w:pStyle w:val="BodyText"/>
        <w:spacing w:line="292" w:lineRule="auto" w:before="56"/>
        <w:ind w:right="2754"/>
        <w:jc w:val="left"/>
      </w:pPr>
      <w:r>
        <w:rPr/>
        <w:t>□适用√不适用</w:t>
      </w:r>
      <w:r>
        <w:rPr>
          <w:w w:val="100"/>
        </w:rPr>
        <w:t> </w:t>
      </w:r>
      <w:r>
        <w:rPr>
          <w:spacing w:val="-2"/>
        </w:rPr>
        <w:t>组合中，按账龄分析法计提坏账准备的其他应收款：</w:t>
      </w:r>
    </w:p>
    <w:p>
      <w:pPr>
        <w:pStyle w:val="BodyText"/>
        <w:spacing w:line="240" w:lineRule="auto" w:before="10"/>
        <w:ind w:right="2754"/>
        <w:jc w:val="left"/>
      </w:pPr>
      <w:r>
        <w:rPr/>
        <w:t>√适用□不适用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5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666,703.78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sz w:val="21"/>
              </w:rPr>
              <w:t>20,001.11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666,703.78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20,001.11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1,246,703.78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238,751.11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19.15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6"/>
        <w:ind w:left="238" w:right="3051"/>
        <w:jc w:val="left"/>
      </w:pPr>
      <w:r>
        <w:rPr/>
        <w:t>组合中，采用余额百分比法计提坏账准备的其他应收款：</w:t>
      </w:r>
    </w:p>
    <w:p>
      <w:pPr>
        <w:pStyle w:val="BodyText"/>
        <w:spacing w:line="528" w:lineRule="auto" w:before="56"/>
        <w:ind w:left="238" w:right="3051"/>
        <w:jc w:val="left"/>
      </w:pPr>
      <w:r>
        <w:rPr/>
        <w:t>□适用</w:t>
      </w:r>
      <w:r>
        <w:rPr>
          <w:spacing w:val="-2"/>
        </w:rPr>
        <w:t> </w:t>
      </w:r>
      <w:r>
        <w:rPr/>
        <w:t>√不适用</w:t>
      </w:r>
      <w:r>
        <w:rPr>
          <w:w w:val="100"/>
        </w:rPr>
        <w:t> </w:t>
      </w:r>
      <w:r>
        <w:rPr>
          <w:spacing w:val="-2"/>
        </w:rPr>
        <w:t>组合中，采用其他方法计提坏账准备的其他应收款：</w:t>
      </w:r>
    </w:p>
    <w:p>
      <w:pPr>
        <w:spacing w:line="240" w:lineRule="auto" w:before="7"/>
        <w:rPr>
          <w:rFonts w:ascii="宋体" w:hAnsi="宋体" w:cs="宋体" w:eastAsia="宋体" w:hint="default"/>
          <w:sz w:val="8"/>
          <w:szCs w:val="8"/>
        </w:rPr>
      </w:pPr>
    </w:p>
    <w:p>
      <w:pPr>
        <w:spacing w:line="1339" w:lineRule="exact"/>
        <w:ind w:left="101"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70.75pt;height:67pt;mso-position-horizontal-relative:char;mso-position-vertical-relative:line" coordorigin="0,0" coordsize="9415,1340">
            <v:group style="position:absolute;left:29;top:14;width:2984;height:2" coordorigin="29,14" coordsize="2984,2">
              <v:shape style="position:absolute;left:29;top:14;width:2984;height:2" coordorigin="29,14" coordsize="2984,0" path="m29,14l3012,14e" filled="false" stroked="true" strokeweight="1.44pt" strokecolor="#000000">
                <v:path arrowok="t"/>
              </v:shape>
              <v:shape style="position:absolute;left:3013;top:29;width:10;height:2" type="#_x0000_t75" stroked="false">
                <v:imagedata r:id="rId82" o:title=""/>
              </v:shape>
            </v:group>
            <v:group style="position:absolute;left:3013;top:14;width:29;height:2" coordorigin="3013,14" coordsize="29,2">
              <v:shape style="position:absolute;left:3013;top:14;width:29;height:2" coordorigin="3013,14" coordsize="29,0" path="m3013,14l3041,14e" filled="false" stroked="true" strokeweight="1.44pt" strokecolor="#000000">
                <v:path arrowok="t"/>
              </v:shape>
            </v:group>
            <v:group style="position:absolute;left:3041;top:14;width:6359;height:2" coordorigin="3041,14" coordsize="6359,2">
              <v:shape style="position:absolute;left:3041;top:14;width:6359;height:2" coordorigin="3041,14" coordsize="6359,0" path="m3041,14l9400,14e" filled="false" stroked="true" strokeweight="1.44pt" strokecolor="#000000">
                <v:path arrowok="t"/>
              </v:shape>
            </v:group>
            <v:group style="position:absolute;left:3013;top:31;width:10;height:20" coordorigin="3013,31" coordsize="10,20">
              <v:shape style="position:absolute;left:3013;top:31;width:10;height:20" coordorigin="3013,31" coordsize="10,20" path="m3013,50l3022,50,3022,31,3013,31,3013,50xe" filled="true" fillcolor="#000000" stroked="false">
                <v:path arrowok="t"/>
                <v:fill type="solid"/>
              </v:shape>
            </v:group>
            <v:group style="position:absolute;left:3013;top:50;width:10;height:20" coordorigin="3013,50" coordsize="10,20">
              <v:shape style="position:absolute;left:3013;top:50;width:10;height:20" coordorigin="3013,50" coordsize="10,20" path="m3013,70l3022,70,3022,50,3013,50,3013,70xe" filled="true" fillcolor="#000000" stroked="false">
                <v:path arrowok="t"/>
                <v:fill type="solid"/>
              </v:shape>
            </v:group>
            <v:group style="position:absolute;left:3013;top:70;width:10;height:20" coordorigin="3013,70" coordsize="10,20">
              <v:shape style="position:absolute;left:3013;top:70;width:10;height:20" coordorigin="3013,70" coordsize="10,20" path="m3013,89l3022,89,3022,70,3013,70,3013,89xe" filled="true" fillcolor="#000000" stroked="false">
                <v:path arrowok="t"/>
                <v:fill type="solid"/>
              </v:shape>
            </v:group>
            <v:group style="position:absolute;left:3013;top:89;width:10;height:20" coordorigin="3013,89" coordsize="10,20">
              <v:shape style="position:absolute;left:3013;top:89;width:10;height:20" coordorigin="3013,89" coordsize="10,20" path="m3013,108l3022,108,3022,89,3013,89,3013,108xe" filled="true" fillcolor="#000000" stroked="false">
                <v:path arrowok="t"/>
                <v:fill type="solid"/>
              </v:shape>
            </v:group>
            <v:group style="position:absolute;left:3013;top:108;width:10;height:20" coordorigin="3013,108" coordsize="10,20">
              <v:shape style="position:absolute;left:3013;top:108;width:10;height:20" coordorigin="3013,108" coordsize="10,20" path="m3013,127l3022,127,3022,108,3013,108,3013,127xe" filled="true" fillcolor="#000000" stroked="false">
                <v:path arrowok="t"/>
                <v:fill type="solid"/>
              </v:shape>
            </v:group>
            <v:group style="position:absolute;left:3013;top:127;width:10;height:20" coordorigin="3013,127" coordsize="10,20">
              <v:shape style="position:absolute;left:3013;top:127;width:10;height:20" coordorigin="3013,127" coordsize="10,20" path="m3013,146l3022,146,3022,127,3013,127,3013,146xe" filled="true" fillcolor="#000000" stroked="false">
                <v:path arrowok="t"/>
                <v:fill type="solid"/>
              </v:shape>
            </v:group>
            <v:group style="position:absolute;left:3013;top:146;width:10;height:20" coordorigin="3013,146" coordsize="10,20">
              <v:shape style="position:absolute;left:3013;top:146;width:10;height:20" coordorigin="3013,146" coordsize="10,20" path="m3013,166l3022,166,3022,146,3013,146,3013,166xe" filled="true" fillcolor="#000000" stroked="false">
                <v:path arrowok="t"/>
                <v:fill type="solid"/>
              </v:shape>
            </v:group>
            <v:group style="position:absolute;left:3013;top:166;width:10;height:20" coordorigin="3013,166" coordsize="10,20">
              <v:shape style="position:absolute;left:3013;top:166;width:10;height:20" coordorigin="3013,166" coordsize="10,20" path="m3013,185l3022,185,3022,166,3013,166,3013,185xe" filled="true" fillcolor="#000000" stroked="false">
                <v:path arrowok="t"/>
                <v:fill type="solid"/>
              </v:shape>
            </v:group>
            <v:group style="position:absolute;left:3013;top:185;width:10;height:20" coordorigin="3013,185" coordsize="10,20">
              <v:shape style="position:absolute;left:3013;top:185;width:10;height:20" coordorigin="3013,185" coordsize="10,20" path="m3013,204l3022,204,3022,185,3013,185,3013,204xe" filled="true" fillcolor="#000000" stroked="false">
                <v:path arrowok="t"/>
                <v:fill type="solid"/>
              </v:shape>
            </v:group>
            <v:group style="position:absolute;left:3013;top:204;width:10;height:20" coordorigin="3013,204" coordsize="10,20">
              <v:shape style="position:absolute;left:3013;top:204;width:10;height:20" coordorigin="3013,204" coordsize="10,20" path="m3013,223l3022,223,3022,204,3013,204,3013,223xe" filled="true" fillcolor="#000000" stroked="false">
                <v:path arrowok="t"/>
                <v:fill type="solid"/>
              </v:shape>
            </v:group>
            <v:group style="position:absolute;left:3013;top:223;width:10;height:20" coordorigin="3013,223" coordsize="10,20">
              <v:shape style="position:absolute;left:3013;top:223;width:10;height:20" coordorigin="3013,223" coordsize="10,20" path="m3013,242l3022,242,3022,223,3013,223,3013,242xe" filled="true" fillcolor="#000000" stroked="false">
                <v:path arrowok="t"/>
                <v:fill type="solid"/>
              </v:shape>
              <v:shape style="position:absolute;left:3003;top:242;width:6397;height:110" type="#_x0000_t75" stroked="false">
                <v:imagedata r:id="rId91" o:title=""/>
              </v:shape>
            </v:group>
            <v:group style="position:absolute;left:3013;top:353;width:10;height:20" coordorigin="3013,353" coordsize="10,20">
              <v:shape style="position:absolute;left:3013;top:353;width:10;height:20" coordorigin="3013,353" coordsize="10,20" path="m3013,372l3022,372,3022,353,3013,353,3013,372xe" filled="true" fillcolor="#000000" stroked="false">
                <v:path arrowok="t"/>
                <v:fill type="solid"/>
              </v:shape>
            </v:group>
            <v:group style="position:absolute;left:3013;top:372;width:10;height:20" coordorigin="3013,372" coordsize="10,20">
              <v:shape style="position:absolute;left:3013;top:372;width:10;height:20" coordorigin="3013,372" coordsize="10,20" path="m3013,391l3022,391,3022,372,3013,372,3013,391xe" filled="true" fillcolor="#000000" stroked="false">
                <v:path arrowok="t"/>
                <v:fill type="solid"/>
              </v:shape>
            </v:group>
            <v:group style="position:absolute;left:3013;top:391;width:10;height:20" coordorigin="3013,391" coordsize="10,20">
              <v:shape style="position:absolute;left:3013;top:391;width:10;height:20" coordorigin="3013,391" coordsize="10,20" path="m3013,410l3022,410,3022,391,3013,391,3013,410xe" filled="true" fillcolor="#000000" stroked="false">
                <v:path arrowok="t"/>
                <v:fill type="solid"/>
              </v:shape>
            </v:group>
            <v:group style="position:absolute;left:3013;top:410;width:10;height:20" coordorigin="3013,410" coordsize="10,20">
              <v:shape style="position:absolute;left:3013;top:410;width:10;height:20" coordorigin="3013,410" coordsize="10,20" path="m3013,430l3022,430,3022,410,3013,410,3013,430xe" filled="true" fillcolor="#000000" stroked="false">
                <v:path arrowok="t"/>
                <v:fill type="solid"/>
              </v:shape>
            </v:group>
            <v:group style="position:absolute;left:3013;top:430;width:10;height:20" coordorigin="3013,430" coordsize="10,20">
              <v:shape style="position:absolute;left:3013;top:430;width:10;height:20" coordorigin="3013,430" coordsize="10,20" path="m3013,449l3022,449,3022,430,3013,430,3013,449xe" filled="true" fillcolor="#000000" stroked="false">
                <v:path arrowok="t"/>
                <v:fill type="solid"/>
              </v:shape>
            </v:group>
            <v:group style="position:absolute;left:3013;top:449;width:10;height:20" coordorigin="3013,449" coordsize="10,20">
              <v:shape style="position:absolute;left:3013;top:449;width:10;height:20" coordorigin="3013,449" coordsize="10,20" path="m3013,468l3022,468,3022,449,3013,449,3013,468xe" filled="true" fillcolor="#000000" stroked="false">
                <v:path arrowok="t"/>
                <v:fill type="solid"/>
              </v:shape>
            </v:group>
            <v:group style="position:absolute;left:3013;top:468;width:10;height:20" coordorigin="3013,468" coordsize="10,20">
              <v:shape style="position:absolute;left:3013;top:468;width:10;height:20" coordorigin="3013,468" coordsize="10,20" path="m3013,487l3022,487,3022,468,3013,468,3013,487xe" filled="true" fillcolor="#000000" stroked="false">
                <v:path arrowok="t"/>
                <v:fill type="solid"/>
              </v:shape>
            </v:group>
            <v:group style="position:absolute;left:3013;top:487;width:10;height:20" coordorigin="3013,487" coordsize="10,20">
              <v:shape style="position:absolute;left:3013;top:487;width:10;height:20" coordorigin="3013,487" coordsize="10,20" path="m3013,506l3022,506,3022,487,3013,487,3013,506xe" filled="true" fillcolor="#000000" stroked="false">
                <v:path arrowok="t"/>
                <v:fill type="solid"/>
              </v:shape>
            </v:group>
            <v:group style="position:absolute;left:3013;top:506;width:10;height:20" coordorigin="3013,506" coordsize="10,20">
              <v:shape style="position:absolute;left:3013;top:506;width:10;height:20" coordorigin="3013,506" coordsize="10,20" path="m3013,526l3022,526,3022,506,3013,506,3013,526xe" filled="true" fillcolor="#000000" stroked="false">
                <v:path arrowok="t"/>
                <v:fill type="solid"/>
              </v:shape>
            </v:group>
            <v:group style="position:absolute;left:3013;top:526;width:10;height:20" coordorigin="3013,526" coordsize="10,20">
              <v:shape style="position:absolute;left:3013;top:526;width:10;height:20" coordorigin="3013,526" coordsize="10,20" path="m3013,545l3022,545,3022,526,3013,526,3013,545xe" filled="true" fillcolor="#000000" stroked="false">
                <v:path arrowok="t"/>
                <v:fill type="solid"/>
              </v:shape>
            </v:group>
            <v:group style="position:absolute;left:3013;top:545;width:10;height:20" coordorigin="3013,545" coordsize="10,20">
              <v:shape style="position:absolute;left:3013;top:545;width:10;height:20" coordorigin="3013,545" coordsize="10,20" path="m3013,564l3022,564,3022,545,3013,545,3013,564xe" filled="true" fillcolor="#000000" stroked="false">
                <v:path arrowok="t"/>
                <v:fill type="solid"/>
              </v:shape>
            </v:group>
            <v:group style="position:absolute;left:3013;top:564;width:10;height:20" coordorigin="3013,564" coordsize="10,20">
              <v:shape style="position:absolute;left:3013;top:564;width:10;height:20" coordorigin="3013,564" coordsize="10,20" path="m3013,583l3022,583,3022,564,3013,564,3013,583xe" filled="true" fillcolor="#000000" stroked="false">
                <v:path arrowok="t"/>
                <v:fill type="solid"/>
              </v:shape>
            </v:group>
            <v:group style="position:absolute;left:3013;top:583;width:10;height:20" coordorigin="3013,583" coordsize="10,20">
              <v:shape style="position:absolute;left:3013;top:583;width:10;height:20" coordorigin="3013,583" coordsize="10,20" path="m3013,602l3022,602,3022,583,3013,583,3013,602xe" filled="true" fillcolor="#000000" stroked="false">
                <v:path arrowok="t"/>
                <v:fill type="solid"/>
              </v:shape>
            </v:group>
            <v:group style="position:absolute;left:3013;top:602;width:10;height:20" coordorigin="3013,602" coordsize="10,20">
              <v:shape style="position:absolute;left:3013;top:602;width:10;height:20" coordorigin="3013,602" coordsize="10,20" path="m3013,622l3022,622,3022,602,3013,602,3013,622xe" filled="true" fillcolor="#000000" stroked="false">
                <v:path arrowok="t"/>
                <v:fill type="solid"/>
              </v:shape>
            </v:group>
            <v:group style="position:absolute;left:3013;top:622;width:10;height:20" coordorigin="3013,622" coordsize="10,20">
              <v:shape style="position:absolute;left:3013;top:622;width:10;height:20" coordorigin="3013,622" coordsize="10,20" path="m3013,641l3022,641,3022,622,3013,622,3013,641xe" filled="true" fillcolor="#000000" stroked="false">
                <v:path arrowok="t"/>
                <v:fill type="solid"/>
              </v:shape>
            </v:group>
            <v:group style="position:absolute;left:3013;top:641;width:10;height:20" coordorigin="3013,641" coordsize="10,20">
              <v:shape style="position:absolute;left:3013;top:641;width:10;height:20" coordorigin="3013,641" coordsize="10,20" path="m3013,660l3022,660,3022,641,3013,641,3013,660xe" filled="true" fillcolor="#000000" stroked="false">
                <v:path arrowok="t"/>
                <v:fill type="solid"/>
              </v:shape>
            </v:group>
            <v:group style="position:absolute;left:3013;top:662;width:10;height:2" coordorigin="3013,662" coordsize="10,2">
              <v:shape style="position:absolute;left:3013;top:662;width:10;height:2" coordorigin="3013,662" coordsize="10,0" path="m3013,662l3022,662e" filled="false" stroked="true" strokeweight=".24002pt" strokecolor="#000000">
                <v:path arrowok="t"/>
              </v:shape>
            </v:group>
            <v:group style="position:absolute;left:5403;top:353;width:10;height:20" coordorigin="5403,353" coordsize="10,20">
              <v:shape style="position:absolute;left:5403;top:353;width:10;height:20" coordorigin="5403,353" coordsize="10,20" path="m5403,372l5413,372,5413,353,5403,353,5403,372xe" filled="true" fillcolor="#000000" stroked="false">
                <v:path arrowok="t"/>
                <v:fill type="solid"/>
              </v:shape>
            </v:group>
            <v:group style="position:absolute;left:5403;top:372;width:10;height:20" coordorigin="5403,372" coordsize="10,20">
              <v:shape style="position:absolute;left:5403;top:372;width:10;height:20" coordorigin="5403,372" coordsize="10,20" path="m5403,391l5413,391,5413,372,5403,372,5403,391xe" filled="true" fillcolor="#000000" stroked="false">
                <v:path arrowok="t"/>
                <v:fill type="solid"/>
              </v:shape>
            </v:group>
            <v:group style="position:absolute;left:5403;top:391;width:10;height:20" coordorigin="5403,391" coordsize="10,20">
              <v:shape style="position:absolute;left:5403;top:391;width:10;height:20" coordorigin="5403,391" coordsize="10,20" path="m5403,410l5413,410,5413,391,5403,391,5403,410xe" filled="true" fillcolor="#000000" stroked="false">
                <v:path arrowok="t"/>
                <v:fill type="solid"/>
              </v:shape>
            </v:group>
            <v:group style="position:absolute;left:5403;top:410;width:10;height:20" coordorigin="5403,410" coordsize="10,20">
              <v:shape style="position:absolute;left:5403;top:410;width:10;height:20" coordorigin="5403,410" coordsize="10,20" path="m5403,430l5413,430,5413,410,5403,410,5403,430xe" filled="true" fillcolor="#000000" stroked="false">
                <v:path arrowok="t"/>
                <v:fill type="solid"/>
              </v:shape>
            </v:group>
            <v:group style="position:absolute;left:5403;top:430;width:10;height:20" coordorigin="5403,430" coordsize="10,20">
              <v:shape style="position:absolute;left:5403;top:430;width:10;height:20" coordorigin="5403,430" coordsize="10,20" path="m5403,449l5413,449,5413,430,5403,430,5403,449xe" filled="true" fillcolor="#000000" stroked="false">
                <v:path arrowok="t"/>
                <v:fill type="solid"/>
              </v:shape>
            </v:group>
            <v:group style="position:absolute;left:5403;top:449;width:10;height:20" coordorigin="5403,449" coordsize="10,20">
              <v:shape style="position:absolute;left:5403;top:449;width:10;height:20" coordorigin="5403,449" coordsize="10,20" path="m5403,468l5413,468,5413,449,5403,449,5403,468xe" filled="true" fillcolor="#000000" stroked="false">
                <v:path arrowok="t"/>
                <v:fill type="solid"/>
              </v:shape>
            </v:group>
            <v:group style="position:absolute;left:5403;top:468;width:10;height:20" coordorigin="5403,468" coordsize="10,20">
              <v:shape style="position:absolute;left:5403;top:468;width:10;height:20" coordorigin="5403,468" coordsize="10,20" path="m5403,487l5413,487,5413,468,5403,468,5403,487xe" filled="true" fillcolor="#000000" stroked="false">
                <v:path arrowok="t"/>
                <v:fill type="solid"/>
              </v:shape>
            </v:group>
            <v:group style="position:absolute;left:5403;top:487;width:10;height:20" coordorigin="5403,487" coordsize="10,20">
              <v:shape style="position:absolute;left:5403;top:487;width:10;height:20" coordorigin="5403,487" coordsize="10,20" path="m5403,506l5413,506,5413,487,5403,487,5403,506xe" filled="true" fillcolor="#000000" stroked="false">
                <v:path arrowok="t"/>
                <v:fill type="solid"/>
              </v:shape>
            </v:group>
            <v:group style="position:absolute;left:5403;top:506;width:10;height:20" coordorigin="5403,506" coordsize="10,20">
              <v:shape style="position:absolute;left:5403;top:506;width:10;height:20" coordorigin="5403,506" coordsize="10,20" path="m5403,526l5413,526,5413,506,5403,506,5403,526xe" filled="true" fillcolor="#000000" stroked="false">
                <v:path arrowok="t"/>
                <v:fill type="solid"/>
              </v:shape>
            </v:group>
            <v:group style="position:absolute;left:5403;top:526;width:10;height:20" coordorigin="5403,526" coordsize="10,20">
              <v:shape style="position:absolute;left:5403;top:526;width:10;height:20" coordorigin="5403,526" coordsize="10,20" path="m5403,545l5413,545,5413,526,5403,526,5403,545xe" filled="true" fillcolor="#000000" stroked="false">
                <v:path arrowok="t"/>
                <v:fill type="solid"/>
              </v:shape>
            </v:group>
            <v:group style="position:absolute;left:5403;top:545;width:10;height:20" coordorigin="5403,545" coordsize="10,20">
              <v:shape style="position:absolute;left:5403;top:545;width:10;height:20" coordorigin="5403,545" coordsize="10,20" path="m5403,564l5413,564,5413,545,5403,545,5403,564xe" filled="true" fillcolor="#000000" stroked="false">
                <v:path arrowok="t"/>
                <v:fill type="solid"/>
              </v:shape>
            </v:group>
            <v:group style="position:absolute;left:5403;top:564;width:10;height:20" coordorigin="5403,564" coordsize="10,20">
              <v:shape style="position:absolute;left:5403;top:564;width:10;height:20" coordorigin="5403,564" coordsize="10,20" path="m5403,583l5413,583,5413,564,5403,564,5403,583xe" filled="true" fillcolor="#000000" stroked="false">
                <v:path arrowok="t"/>
                <v:fill type="solid"/>
              </v:shape>
            </v:group>
            <v:group style="position:absolute;left:5403;top:583;width:10;height:20" coordorigin="5403,583" coordsize="10,20">
              <v:shape style="position:absolute;left:5403;top:583;width:10;height:20" coordorigin="5403,583" coordsize="10,20" path="m5403,602l5413,602,5413,583,5403,583,5403,602xe" filled="true" fillcolor="#000000" stroked="false">
                <v:path arrowok="t"/>
                <v:fill type="solid"/>
              </v:shape>
            </v:group>
            <v:group style="position:absolute;left:5403;top:602;width:10;height:20" coordorigin="5403,602" coordsize="10,20">
              <v:shape style="position:absolute;left:5403;top:602;width:10;height:20" coordorigin="5403,602" coordsize="10,20" path="m5403,622l5413,622,5413,602,5403,602,5403,622xe" filled="true" fillcolor="#000000" stroked="false">
                <v:path arrowok="t"/>
                <v:fill type="solid"/>
              </v:shape>
            </v:group>
            <v:group style="position:absolute;left:5403;top:622;width:10;height:20" coordorigin="5403,622" coordsize="10,20">
              <v:shape style="position:absolute;left:5403;top:622;width:10;height:20" coordorigin="5403,622" coordsize="10,20" path="m5403,641l5413,641,5413,622,5403,622,5403,641xe" filled="true" fillcolor="#000000" stroked="false">
                <v:path arrowok="t"/>
                <v:fill type="solid"/>
              </v:shape>
            </v:group>
            <v:group style="position:absolute;left:5403;top:641;width:10;height:20" coordorigin="5403,641" coordsize="10,20">
              <v:shape style="position:absolute;left:5403;top:641;width:10;height:20" coordorigin="5403,641" coordsize="10,20" path="m5403,660l5413,660,5413,641,5403,641,5403,660xe" filled="true" fillcolor="#000000" stroked="false">
                <v:path arrowok="t"/>
                <v:fill type="solid"/>
              </v:shape>
            </v:group>
            <v:group style="position:absolute;left:5403;top:662;width:10;height:2" coordorigin="5403,662" coordsize="10,2">
              <v:shape style="position:absolute;left:5403;top:662;width:10;height:2" coordorigin="5403,662" coordsize="10,0" path="m5403,662l5413,662e" filled="false" stroked="true" strokeweight=".24002pt" strokecolor="#000000">
                <v:path arrowok="t"/>
              </v:shape>
            </v:group>
            <v:group style="position:absolute;left:7511;top:353;width:10;height:20" coordorigin="7511,353" coordsize="10,20">
              <v:shape style="position:absolute;left:7511;top:353;width:10;height:20" coordorigin="7511,353" coordsize="10,20" path="m7511,372l7521,372,7521,353,7511,353,7511,372xe" filled="true" fillcolor="#000000" stroked="false">
                <v:path arrowok="t"/>
                <v:fill type="solid"/>
              </v:shape>
            </v:group>
            <v:group style="position:absolute;left:7511;top:372;width:10;height:20" coordorigin="7511,372" coordsize="10,20">
              <v:shape style="position:absolute;left:7511;top:372;width:10;height:20" coordorigin="7511,372" coordsize="10,20" path="m7511,391l7521,391,7521,372,7511,372,7511,391xe" filled="true" fillcolor="#000000" stroked="false">
                <v:path arrowok="t"/>
                <v:fill type="solid"/>
              </v:shape>
            </v:group>
            <v:group style="position:absolute;left:7511;top:391;width:10;height:20" coordorigin="7511,391" coordsize="10,20">
              <v:shape style="position:absolute;left:7511;top:391;width:10;height:20" coordorigin="7511,391" coordsize="10,20" path="m7511,410l7521,410,7521,391,7511,391,7511,410xe" filled="true" fillcolor="#000000" stroked="false">
                <v:path arrowok="t"/>
                <v:fill type="solid"/>
              </v:shape>
            </v:group>
            <v:group style="position:absolute;left:7511;top:410;width:10;height:20" coordorigin="7511,410" coordsize="10,20">
              <v:shape style="position:absolute;left:7511;top:410;width:10;height:20" coordorigin="7511,410" coordsize="10,20" path="m7511,430l7521,430,7521,410,7511,410,7511,430xe" filled="true" fillcolor="#000000" stroked="false">
                <v:path arrowok="t"/>
                <v:fill type="solid"/>
              </v:shape>
            </v:group>
            <v:group style="position:absolute;left:7511;top:430;width:10;height:20" coordorigin="7511,430" coordsize="10,20">
              <v:shape style="position:absolute;left:7511;top:430;width:10;height:20" coordorigin="7511,430" coordsize="10,20" path="m7511,449l7521,449,7521,430,7511,430,7511,449xe" filled="true" fillcolor="#000000" stroked="false">
                <v:path arrowok="t"/>
                <v:fill type="solid"/>
              </v:shape>
            </v:group>
            <v:group style="position:absolute;left:7511;top:449;width:10;height:20" coordorigin="7511,449" coordsize="10,20">
              <v:shape style="position:absolute;left:7511;top:449;width:10;height:20" coordorigin="7511,449" coordsize="10,20" path="m7511,468l7521,468,7521,449,7511,449,7511,468xe" filled="true" fillcolor="#000000" stroked="false">
                <v:path arrowok="t"/>
                <v:fill type="solid"/>
              </v:shape>
            </v:group>
            <v:group style="position:absolute;left:7511;top:468;width:10;height:20" coordorigin="7511,468" coordsize="10,20">
              <v:shape style="position:absolute;left:7511;top:468;width:10;height:20" coordorigin="7511,468" coordsize="10,20" path="m7511,487l7521,487,7521,468,7511,468,7511,487xe" filled="true" fillcolor="#000000" stroked="false">
                <v:path arrowok="t"/>
                <v:fill type="solid"/>
              </v:shape>
            </v:group>
            <v:group style="position:absolute;left:7511;top:487;width:10;height:20" coordorigin="7511,487" coordsize="10,20">
              <v:shape style="position:absolute;left:7511;top:487;width:10;height:20" coordorigin="7511,487" coordsize="10,20" path="m7511,506l7521,506,7521,487,7511,487,7511,506xe" filled="true" fillcolor="#000000" stroked="false">
                <v:path arrowok="t"/>
                <v:fill type="solid"/>
              </v:shape>
            </v:group>
            <v:group style="position:absolute;left:7511;top:506;width:10;height:20" coordorigin="7511,506" coordsize="10,20">
              <v:shape style="position:absolute;left:7511;top:506;width:10;height:20" coordorigin="7511,506" coordsize="10,20" path="m7511,526l7521,526,7521,506,7511,506,7511,526xe" filled="true" fillcolor="#000000" stroked="false">
                <v:path arrowok="t"/>
                <v:fill type="solid"/>
              </v:shape>
            </v:group>
            <v:group style="position:absolute;left:7511;top:526;width:10;height:20" coordorigin="7511,526" coordsize="10,20">
              <v:shape style="position:absolute;left:7511;top:526;width:10;height:20" coordorigin="7511,526" coordsize="10,20" path="m7511,545l7521,545,7521,526,7511,526,7511,545xe" filled="true" fillcolor="#000000" stroked="false">
                <v:path arrowok="t"/>
                <v:fill type="solid"/>
              </v:shape>
            </v:group>
            <v:group style="position:absolute;left:7511;top:545;width:10;height:20" coordorigin="7511,545" coordsize="10,20">
              <v:shape style="position:absolute;left:7511;top:545;width:10;height:20" coordorigin="7511,545" coordsize="10,20" path="m7511,564l7521,564,7521,545,7511,545,7511,564xe" filled="true" fillcolor="#000000" stroked="false">
                <v:path arrowok="t"/>
                <v:fill type="solid"/>
              </v:shape>
            </v:group>
            <v:group style="position:absolute;left:7511;top:564;width:10;height:20" coordorigin="7511,564" coordsize="10,20">
              <v:shape style="position:absolute;left:7511;top:564;width:10;height:20" coordorigin="7511,564" coordsize="10,20" path="m7511,583l7521,583,7521,564,7511,564,7511,583xe" filled="true" fillcolor="#000000" stroked="false">
                <v:path arrowok="t"/>
                <v:fill type="solid"/>
              </v:shape>
            </v:group>
            <v:group style="position:absolute;left:7511;top:583;width:10;height:20" coordorigin="7511,583" coordsize="10,20">
              <v:shape style="position:absolute;left:7511;top:583;width:10;height:20" coordorigin="7511,583" coordsize="10,20" path="m7511,602l7521,602,7521,583,7511,583,7511,602xe" filled="true" fillcolor="#000000" stroked="false">
                <v:path arrowok="t"/>
                <v:fill type="solid"/>
              </v:shape>
            </v:group>
            <v:group style="position:absolute;left:7511;top:602;width:10;height:20" coordorigin="7511,602" coordsize="10,20">
              <v:shape style="position:absolute;left:7511;top:602;width:10;height:20" coordorigin="7511,602" coordsize="10,20" path="m7511,622l7521,622,7521,602,7511,602,7511,622xe" filled="true" fillcolor="#000000" stroked="false">
                <v:path arrowok="t"/>
                <v:fill type="solid"/>
              </v:shape>
            </v:group>
            <v:group style="position:absolute;left:7511;top:622;width:10;height:20" coordorigin="7511,622" coordsize="10,20">
              <v:shape style="position:absolute;left:7511;top:622;width:10;height:20" coordorigin="7511,622" coordsize="10,20" path="m7511,641l7521,641,7521,622,7511,622,7511,641xe" filled="true" fillcolor="#000000" stroked="false">
                <v:path arrowok="t"/>
                <v:fill type="solid"/>
              </v:shape>
            </v:group>
            <v:group style="position:absolute;left:7511;top:641;width:10;height:20" coordorigin="7511,641" coordsize="10,20">
              <v:shape style="position:absolute;left:7511;top:641;width:10;height:20" coordorigin="7511,641" coordsize="10,20" path="m7511,660l7521,660,7521,641,7511,641,7511,660xe" filled="true" fillcolor="#000000" stroked="false">
                <v:path arrowok="t"/>
                <v:fill type="solid"/>
              </v:shape>
            </v:group>
            <v:group style="position:absolute;left:7511;top:662;width:10;height:2" coordorigin="7511,662" coordsize="10,2">
              <v:shape style="position:absolute;left:7511;top:662;width:10;height:2" coordorigin="7511,662" coordsize="10,0" path="m7511,662l7521,662e" filled="false" stroked="true" strokeweight=".24002pt" strokecolor="#000000">
                <v:path arrowok="t"/>
              </v:shape>
              <v:shape style="position:absolute;left:29;top:665;width:2984;height:10" type="#_x0000_t75" stroked="false">
                <v:imagedata r:id="rId92" o:title=""/>
              </v:shape>
              <v:shape style="position:absolute;left:3008;top:665;width:6392;height:10" type="#_x0000_t75" stroked="false">
                <v:imagedata r:id="rId93" o:title=""/>
              </v:shape>
            </v:group>
            <v:group style="position:absolute;left:3013;top:674;width:10;height:20" coordorigin="3013,674" coordsize="10,20">
              <v:shape style="position:absolute;left:3013;top:674;width:10;height:20" coordorigin="3013,674" coordsize="10,20" path="m3013,694l3022,694,3022,674,3013,674,3013,694xe" filled="true" fillcolor="#000000" stroked="false">
                <v:path arrowok="t"/>
                <v:fill type="solid"/>
              </v:shape>
            </v:group>
            <v:group style="position:absolute;left:3013;top:694;width:10;height:20" coordorigin="3013,694" coordsize="10,20">
              <v:shape style="position:absolute;left:3013;top:694;width:10;height:20" coordorigin="3013,694" coordsize="10,20" path="m3013,713l3022,713,3022,694,3013,694,3013,713xe" filled="true" fillcolor="#000000" stroked="false">
                <v:path arrowok="t"/>
                <v:fill type="solid"/>
              </v:shape>
            </v:group>
            <v:group style="position:absolute;left:3013;top:713;width:10;height:20" coordorigin="3013,713" coordsize="10,20">
              <v:shape style="position:absolute;left:3013;top:713;width:10;height:20" coordorigin="3013,713" coordsize="10,20" path="m3013,732l3022,732,3022,713,3013,713,3013,732xe" filled="true" fillcolor="#000000" stroked="false">
                <v:path arrowok="t"/>
                <v:fill type="solid"/>
              </v:shape>
            </v:group>
            <v:group style="position:absolute;left:3013;top:732;width:10;height:20" coordorigin="3013,732" coordsize="10,20">
              <v:shape style="position:absolute;left:3013;top:732;width:10;height:20" coordorigin="3013,732" coordsize="10,20" path="m3013,751l3022,751,3022,732,3013,732,3013,751xe" filled="true" fillcolor="#000000" stroked="false">
                <v:path arrowok="t"/>
                <v:fill type="solid"/>
              </v:shape>
            </v:group>
            <v:group style="position:absolute;left:3013;top:751;width:10;height:20" coordorigin="3013,751" coordsize="10,20">
              <v:shape style="position:absolute;left:3013;top:751;width:10;height:20" coordorigin="3013,751" coordsize="10,20" path="m3013,770l3022,770,3022,751,3013,751,3013,770xe" filled="true" fillcolor="#000000" stroked="false">
                <v:path arrowok="t"/>
                <v:fill type="solid"/>
              </v:shape>
            </v:group>
            <v:group style="position:absolute;left:3013;top:770;width:10;height:20" coordorigin="3013,770" coordsize="10,20">
              <v:shape style="position:absolute;left:3013;top:770;width:10;height:20" coordorigin="3013,770" coordsize="10,20" path="m3013,790l3022,790,3022,770,3013,770,3013,790xe" filled="true" fillcolor="#000000" stroked="false">
                <v:path arrowok="t"/>
                <v:fill type="solid"/>
              </v:shape>
            </v:group>
            <v:group style="position:absolute;left:3013;top:790;width:10;height:20" coordorigin="3013,790" coordsize="10,20">
              <v:shape style="position:absolute;left:3013;top:790;width:10;height:20" coordorigin="3013,790" coordsize="10,20" path="m3013,809l3022,809,3022,790,3013,790,3013,809xe" filled="true" fillcolor="#000000" stroked="false">
                <v:path arrowok="t"/>
                <v:fill type="solid"/>
              </v:shape>
            </v:group>
            <v:group style="position:absolute;left:3013;top:809;width:10;height:20" coordorigin="3013,809" coordsize="10,20">
              <v:shape style="position:absolute;left:3013;top:809;width:10;height:20" coordorigin="3013,809" coordsize="10,20" path="m3013,828l3022,828,3022,809,3013,809,3013,828xe" filled="true" fillcolor="#000000" stroked="false">
                <v:path arrowok="t"/>
                <v:fill type="solid"/>
              </v:shape>
            </v:group>
            <v:group style="position:absolute;left:3013;top:828;width:10;height:20" coordorigin="3013,828" coordsize="10,20">
              <v:shape style="position:absolute;left:3013;top:828;width:10;height:20" coordorigin="3013,828" coordsize="10,20" path="m3013,848l3022,848,3022,828,3013,828,3013,848xe" filled="true" fillcolor="#000000" stroked="false">
                <v:path arrowok="t"/>
                <v:fill type="solid"/>
              </v:shape>
            </v:group>
            <v:group style="position:absolute;left:3013;top:848;width:10;height:20" coordorigin="3013,848" coordsize="10,20">
              <v:shape style="position:absolute;left:3013;top:848;width:10;height:20" coordorigin="3013,848" coordsize="10,20" path="m3013,867l3022,867,3022,848,3013,848,3013,867xe" filled="true" fillcolor="#000000" stroked="false">
                <v:path arrowok="t"/>
                <v:fill type="solid"/>
              </v:shape>
            </v:group>
            <v:group style="position:absolute;left:3013;top:867;width:10;height:20" coordorigin="3013,867" coordsize="10,20">
              <v:shape style="position:absolute;left:3013;top:867;width:10;height:20" coordorigin="3013,867" coordsize="10,20" path="m3013,886l3022,886,3022,867,3013,867,3013,886xe" filled="true" fillcolor="#000000" stroked="false">
                <v:path arrowok="t"/>
                <v:fill type="solid"/>
              </v:shape>
            </v:group>
            <v:group style="position:absolute;left:5403;top:674;width:10;height:20" coordorigin="5403,674" coordsize="10,20">
              <v:shape style="position:absolute;left:5403;top:674;width:10;height:20" coordorigin="5403,674" coordsize="10,20" path="m5403,694l5413,694,5413,674,5403,674,5403,694xe" filled="true" fillcolor="#000000" stroked="false">
                <v:path arrowok="t"/>
                <v:fill type="solid"/>
              </v:shape>
            </v:group>
            <v:group style="position:absolute;left:5403;top:694;width:10;height:20" coordorigin="5403,694" coordsize="10,20">
              <v:shape style="position:absolute;left:5403;top:694;width:10;height:20" coordorigin="5403,694" coordsize="10,20" path="m5403,713l5413,713,5413,694,5403,694,5403,713xe" filled="true" fillcolor="#000000" stroked="false">
                <v:path arrowok="t"/>
                <v:fill type="solid"/>
              </v:shape>
            </v:group>
            <v:group style="position:absolute;left:5403;top:713;width:10;height:20" coordorigin="5403,713" coordsize="10,20">
              <v:shape style="position:absolute;left:5403;top:713;width:10;height:20" coordorigin="5403,713" coordsize="10,20" path="m5403,732l5413,732,5413,713,5403,713,5403,732xe" filled="true" fillcolor="#000000" stroked="false">
                <v:path arrowok="t"/>
                <v:fill type="solid"/>
              </v:shape>
            </v:group>
            <v:group style="position:absolute;left:5403;top:732;width:10;height:20" coordorigin="5403,732" coordsize="10,20">
              <v:shape style="position:absolute;left:5403;top:732;width:10;height:20" coordorigin="5403,732" coordsize="10,20" path="m5403,751l5413,751,5413,732,5403,732,5403,751xe" filled="true" fillcolor="#000000" stroked="false">
                <v:path arrowok="t"/>
                <v:fill type="solid"/>
              </v:shape>
            </v:group>
            <v:group style="position:absolute;left:5403;top:751;width:10;height:20" coordorigin="5403,751" coordsize="10,20">
              <v:shape style="position:absolute;left:5403;top:751;width:10;height:20" coordorigin="5403,751" coordsize="10,20" path="m5403,770l5413,770,5413,751,5403,751,5403,770xe" filled="true" fillcolor="#000000" stroked="false">
                <v:path arrowok="t"/>
                <v:fill type="solid"/>
              </v:shape>
            </v:group>
            <v:group style="position:absolute;left:5403;top:770;width:10;height:20" coordorigin="5403,770" coordsize="10,20">
              <v:shape style="position:absolute;left:5403;top:770;width:10;height:20" coordorigin="5403,770" coordsize="10,20" path="m5403,790l5413,790,5413,770,5403,770,5403,790xe" filled="true" fillcolor="#000000" stroked="false">
                <v:path arrowok="t"/>
                <v:fill type="solid"/>
              </v:shape>
            </v:group>
            <v:group style="position:absolute;left:5403;top:790;width:10;height:20" coordorigin="5403,790" coordsize="10,20">
              <v:shape style="position:absolute;left:5403;top:790;width:10;height:20" coordorigin="5403,790" coordsize="10,20" path="m5403,809l5413,809,5413,790,5403,790,5403,809xe" filled="true" fillcolor="#000000" stroked="false">
                <v:path arrowok="t"/>
                <v:fill type="solid"/>
              </v:shape>
            </v:group>
            <v:group style="position:absolute;left:5403;top:809;width:10;height:20" coordorigin="5403,809" coordsize="10,20">
              <v:shape style="position:absolute;left:5403;top:809;width:10;height:20" coordorigin="5403,809" coordsize="10,20" path="m5403,828l5413,828,5413,809,5403,809,5403,828xe" filled="true" fillcolor="#000000" stroked="false">
                <v:path arrowok="t"/>
                <v:fill type="solid"/>
              </v:shape>
            </v:group>
            <v:group style="position:absolute;left:5403;top:828;width:10;height:20" coordorigin="5403,828" coordsize="10,20">
              <v:shape style="position:absolute;left:5403;top:828;width:10;height:20" coordorigin="5403,828" coordsize="10,20" path="m5403,848l5413,848,5413,828,5403,828,5403,848xe" filled="true" fillcolor="#000000" stroked="false">
                <v:path arrowok="t"/>
                <v:fill type="solid"/>
              </v:shape>
            </v:group>
            <v:group style="position:absolute;left:5403;top:848;width:10;height:20" coordorigin="5403,848" coordsize="10,20">
              <v:shape style="position:absolute;left:5403;top:848;width:10;height:20" coordorigin="5403,848" coordsize="10,20" path="m5403,867l5413,867,5413,848,5403,848,5403,867xe" filled="true" fillcolor="#000000" stroked="false">
                <v:path arrowok="t"/>
                <v:fill type="solid"/>
              </v:shape>
            </v:group>
            <v:group style="position:absolute;left:5403;top:867;width:10;height:20" coordorigin="5403,867" coordsize="10,20">
              <v:shape style="position:absolute;left:5403;top:867;width:10;height:20" coordorigin="5403,867" coordsize="10,20" path="m5403,886l5413,886,5413,867,5403,867,5403,886xe" filled="true" fillcolor="#000000" stroked="false">
                <v:path arrowok="t"/>
                <v:fill type="solid"/>
              </v:shape>
            </v:group>
            <v:group style="position:absolute;left:5403;top:886;width:10;height:20" coordorigin="5403,886" coordsize="10,20">
              <v:shape style="position:absolute;left:5403;top:886;width:10;height:20" coordorigin="5403,886" coordsize="10,20" path="m5403,905l5413,905,5413,886,5403,886,5403,905xe" filled="true" fillcolor="#000000" stroked="false">
                <v:path arrowok="t"/>
                <v:fill type="solid"/>
              </v:shape>
            </v:group>
            <v:group style="position:absolute;left:5403;top:905;width:10;height:20" coordorigin="5403,905" coordsize="10,20">
              <v:shape style="position:absolute;left:5403;top:905;width:10;height:20" coordorigin="5403,905" coordsize="10,20" path="m5403,924l5413,924,5413,905,5403,905,5403,924xe" filled="true" fillcolor="#000000" stroked="false">
                <v:path arrowok="t"/>
                <v:fill type="solid"/>
              </v:shape>
            </v:group>
            <v:group style="position:absolute;left:5403;top:924;width:10;height:20" coordorigin="5403,924" coordsize="10,20">
              <v:shape style="position:absolute;left:5403;top:924;width:10;height:20" coordorigin="5403,924" coordsize="10,20" path="m5403,944l5413,944,5413,924,5403,924,5403,944xe" filled="true" fillcolor="#000000" stroked="false">
                <v:path arrowok="t"/>
                <v:fill type="solid"/>
              </v:shape>
            </v:group>
            <v:group style="position:absolute;left:5403;top:944;width:10;height:20" coordorigin="5403,944" coordsize="10,20">
              <v:shape style="position:absolute;left:5403;top:944;width:10;height:20" coordorigin="5403,944" coordsize="10,20" path="m5403,963l5413,963,5413,944,5403,944,5403,963xe" filled="true" fillcolor="#000000" stroked="false">
                <v:path arrowok="t"/>
                <v:fill type="solid"/>
              </v:shape>
            </v:group>
            <v:group style="position:absolute;left:5403;top:963;width:10;height:20" coordorigin="5403,963" coordsize="10,20">
              <v:shape style="position:absolute;left:5403;top:963;width:10;height:20" coordorigin="5403,963" coordsize="10,20" path="m5403,982l5413,982,5413,963,5403,963,5403,982xe" filled="true" fillcolor="#000000" stroked="false">
                <v:path arrowok="t"/>
                <v:fill type="solid"/>
              </v:shape>
            </v:group>
            <v:group style="position:absolute;left:7511;top:674;width:10;height:20" coordorigin="7511,674" coordsize="10,20">
              <v:shape style="position:absolute;left:7511;top:674;width:10;height:20" coordorigin="7511,674" coordsize="10,20" path="m7511,694l7521,694,7521,674,7511,674,7511,694xe" filled="true" fillcolor="#000000" stroked="false">
                <v:path arrowok="t"/>
                <v:fill type="solid"/>
              </v:shape>
            </v:group>
            <v:group style="position:absolute;left:7511;top:694;width:10;height:20" coordorigin="7511,694" coordsize="10,20">
              <v:shape style="position:absolute;left:7511;top:694;width:10;height:20" coordorigin="7511,694" coordsize="10,20" path="m7511,713l7521,713,7521,694,7511,694,7511,713xe" filled="true" fillcolor="#000000" stroked="false">
                <v:path arrowok="t"/>
                <v:fill type="solid"/>
              </v:shape>
            </v:group>
            <v:group style="position:absolute;left:7511;top:713;width:10;height:20" coordorigin="7511,713" coordsize="10,20">
              <v:shape style="position:absolute;left:7511;top:713;width:10;height:20" coordorigin="7511,713" coordsize="10,20" path="m7511,732l7521,732,7521,713,7511,713,7511,732xe" filled="true" fillcolor="#000000" stroked="false">
                <v:path arrowok="t"/>
                <v:fill type="solid"/>
              </v:shape>
            </v:group>
            <v:group style="position:absolute;left:7511;top:732;width:10;height:20" coordorigin="7511,732" coordsize="10,20">
              <v:shape style="position:absolute;left:7511;top:732;width:10;height:20" coordorigin="7511,732" coordsize="10,20" path="m7511,751l7521,751,7521,732,7511,732,7511,751xe" filled="true" fillcolor="#000000" stroked="false">
                <v:path arrowok="t"/>
                <v:fill type="solid"/>
              </v:shape>
            </v:group>
            <v:group style="position:absolute;left:7511;top:751;width:10;height:20" coordorigin="7511,751" coordsize="10,20">
              <v:shape style="position:absolute;left:7511;top:751;width:10;height:20" coordorigin="7511,751" coordsize="10,20" path="m7511,770l7521,770,7521,751,7511,751,7511,770xe" filled="true" fillcolor="#000000" stroked="false">
                <v:path arrowok="t"/>
                <v:fill type="solid"/>
              </v:shape>
            </v:group>
            <v:group style="position:absolute;left:7511;top:770;width:10;height:20" coordorigin="7511,770" coordsize="10,20">
              <v:shape style="position:absolute;left:7511;top:770;width:10;height:20" coordorigin="7511,770" coordsize="10,20" path="m7511,790l7521,790,7521,770,7511,770,7511,790xe" filled="true" fillcolor="#000000" stroked="false">
                <v:path arrowok="t"/>
                <v:fill type="solid"/>
              </v:shape>
            </v:group>
            <v:group style="position:absolute;left:7511;top:790;width:10;height:20" coordorigin="7511,790" coordsize="10,20">
              <v:shape style="position:absolute;left:7511;top:790;width:10;height:20" coordorigin="7511,790" coordsize="10,20" path="m7511,809l7521,809,7521,790,7511,790,7511,809xe" filled="true" fillcolor="#000000" stroked="false">
                <v:path arrowok="t"/>
                <v:fill type="solid"/>
              </v:shape>
            </v:group>
            <v:group style="position:absolute;left:7511;top:809;width:10;height:20" coordorigin="7511,809" coordsize="10,20">
              <v:shape style="position:absolute;left:7511;top:809;width:10;height:20" coordorigin="7511,809" coordsize="10,20" path="m7511,828l7521,828,7521,809,7511,809,7511,828xe" filled="true" fillcolor="#000000" stroked="false">
                <v:path arrowok="t"/>
                <v:fill type="solid"/>
              </v:shape>
            </v:group>
            <v:group style="position:absolute;left:7511;top:828;width:10;height:20" coordorigin="7511,828" coordsize="10,20">
              <v:shape style="position:absolute;left:7511;top:828;width:10;height:20" coordorigin="7511,828" coordsize="10,20" path="m7511,848l7521,848,7521,828,7511,828,7511,848xe" filled="true" fillcolor="#000000" stroked="false">
                <v:path arrowok="t"/>
                <v:fill type="solid"/>
              </v:shape>
            </v:group>
            <v:group style="position:absolute;left:7511;top:848;width:10;height:20" coordorigin="7511,848" coordsize="10,20">
              <v:shape style="position:absolute;left:7511;top:848;width:10;height:20" coordorigin="7511,848" coordsize="10,20" path="m7511,867l7521,867,7521,848,7511,848,7511,867xe" filled="true" fillcolor="#000000" stroked="false">
                <v:path arrowok="t"/>
                <v:fill type="solid"/>
              </v:shape>
            </v:group>
            <v:group style="position:absolute;left:7511;top:867;width:10;height:20" coordorigin="7511,867" coordsize="10,20">
              <v:shape style="position:absolute;left:7511;top:867;width:10;height:20" coordorigin="7511,867" coordsize="10,20" path="m7511,886l7521,886,7521,867,7511,867,7511,886xe" filled="true" fillcolor="#000000" stroked="false">
                <v:path arrowok="t"/>
                <v:fill type="solid"/>
              </v:shape>
            </v:group>
            <v:group style="position:absolute;left:7511;top:886;width:10;height:20" coordorigin="7511,886" coordsize="10,20">
              <v:shape style="position:absolute;left:7511;top:886;width:10;height:20" coordorigin="7511,886" coordsize="10,20" path="m7511,905l7521,905,7521,886,7511,886,7511,905xe" filled="true" fillcolor="#000000" stroked="false">
                <v:path arrowok="t"/>
                <v:fill type="solid"/>
              </v:shape>
            </v:group>
            <v:group style="position:absolute;left:7511;top:905;width:10;height:20" coordorigin="7511,905" coordsize="10,20">
              <v:shape style="position:absolute;left:7511;top:905;width:10;height:20" coordorigin="7511,905" coordsize="10,20" path="m7511,924l7521,924,7521,905,7511,905,7511,924xe" filled="true" fillcolor="#000000" stroked="false">
                <v:path arrowok="t"/>
                <v:fill type="solid"/>
              </v:shape>
            </v:group>
            <v:group style="position:absolute;left:7511;top:924;width:10;height:20" coordorigin="7511,924" coordsize="10,20">
              <v:shape style="position:absolute;left:7511;top:924;width:10;height:20" coordorigin="7511,924" coordsize="10,20" path="m7511,944l7521,944,7521,924,7511,924,7511,944xe" filled="true" fillcolor="#000000" stroked="false">
                <v:path arrowok="t"/>
                <v:fill type="solid"/>
              </v:shape>
            </v:group>
            <v:group style="position:absolute;left:7511;top:944;width:10;height:20" coordorigin="7511,944" coordsize="10,20">
              <v:shape style="position:absolute;left:7511;top:944;width:10;height:20" coordorigin="7511,944" coordsize="10,20" path="m7511,963l7521,963,7521,944,7511,944,7511,963xe" filled="true" fillcolor="#000000" stroked="false">
                <v:path arrowok="t"/>
                <v:fill type="solid"/>
              </v:shape>
            </v:group>
            <v:group style="position:absolute;left:7511;top:963;width:10;height:20" coordorigin="7511,963" coordsize="10,20">
              <v:shape style="position:absolute;left:7511;top:963;width:10;height:20" coordorigin="7511,963" coordsize="10,20" path="m7511,982l7521,982,7521,963,7511,963,7511,982xe" filled="true" fillcolor="#000000" stroked="false">
                <v:path arrowok="t"/>
                <v:fill type="solid"/>
              </v:shape>
              <v:shape style="position:absolute;left:29;top:886;width:3003;height:110" type="#_x0000_t75" stroked="false">
                <v:imagedata r:id="rId94" o:title=""/>
              </v:shape>
              <v:shape style="position:absolute;left:3008;top:982;width:2405;height:14" type="#_x0000_t75" stroked="false">
                <v:imagedata r:id="rId95" o:title=""/>
              </v:shape>
              <v:shape style="position:absolute;left:5399;top:982;width:2122;height:14" type="#_x0000_t75" stroked="false">
                <v:imagedata r:id="rId96" o:title=""/>
              </v:shape>
              <v:shape style="position:absolute;left:7506;top:987;width:1894;height:10" type="#_x0000_t75" stroked="false">
                <v:imagedata r:id="rId97" o:title=""/>
              </v:shape>
            </v:group>
            <v:group style="position:absolute;left:3013;top:996;width:10;height:20" coordorigin="3013,996" coordsize="10,20">
              <v:shape style="position:absolute;left:3013;top:996;width:10;height:20" coordorigin="3013,996" coordsize="10,20" path="m3013,1016l3022,1016,3022,996,3013,996,3013,1016xe" filled="true" fillcolor="#000000" stroked="false">
                <v:path arrowok="t"/>
                <v:fill type="solid"/>
              </v:shape>
            </v:group>
            <v:group style="position:absolute;left:3013;top:1016;width:10;height:20" coordorigin="3013,1016" coordsize="10,20">
              <v:shape style="position:absolute;left:3013;top:1016;width:10;height:20" coordorigin="3013,1016" coordsize="10,20" path="m3013,1035l3022,1035,3022,1016,3013,1016,3013,1035xe" filled="true" fillcolor="#000000" stroked="false">
                <v:path arrowok="t"/>
                <v:fill type="solid"/>
              </v:shape>
            </v:group>
            <v:group style="position:absolute;left:3013;top:1035;width:10;height:20" coordorigin="3013,1035" coordsize="10,20">
              <v:shape style="position:absolute;left:3013;top:1035;width:10;height:20" coordorigin="3013,1035" coordsize="10,20" path="m3013,1054l3022,1054,3022,1035,3013,1035,3013,1054xe" filled="true" fillcolor="#000000" stroked="false">
                <v:path arrowok="t"/>
                <v:fill type="solid"/>
              </v:shape>
            </v:group>
            <v:group style="position:absolute;left:3013;top:1054;width:10;height:20" coordorigin="3013,1054" coordsize="10,20">
              <v:shape style="position:absolute;left:3013;top:1054;width:10;height:20" coordorigin="3013,1054" coordsize="10,20" path="m3013,1073l3022,1073,3022,1054,3013,1054,3013,1073xe" filled="true" fillcolor="#000000" stroked="false">
                <v:path arrowok="t"/>
                <v:fill type="solid"/>
              </v:shape>
            </v:group>
            <v:group style="position:absolute;left:3013;top:1073;width:10;height:20" coordorigin="3013,1073" coordsize="10,20">
              <v:shape style="position:absolute;left:3013;top:1073;width:10;height:20" coordorigin="3013,1073" coordsize="10,20" path="m3013,1092l3022,1092,3022,1073,3013,1073,3013,1092xe" filled="true" fillcolor="#000000" stroked="false">
                <v:path arrowok="t"/>
                <v:fill type="solid"/>
              </v:shape>
            </v:group>
            <v:group style="position:absolute;left:3013;top:1092;width:10;height:20" coordorigin="3013,1092" coordsize="10,20">
              <v:shape style="position:absolute;left:3013;top:1092;width:10;height:20" coordorigin="3013,1092" coordsize="10,20" path="m3013,1112l3022,1112,3022,1092,3013,1092,3013,1112xe" filled="true" fillcolor="#000000" stroked="false">
                <v:path arrowok="t"/>
                <v:fill type="solid"/>
              </v:shape>
            </v:group>
            <v:group style="position:absolute;left:3013;top:1112;width:10;height:20" coordorigin="3013,1112" coordsize="10,20">
              <v:shape style="position:absolute;left:3013;top:1112;width:10;height:20" coordorigin="3013,1112" coordsize="10,20" path="m3013,1131l3022,1131,3022,1112,3013,1112,3013,1131xe" filled="true" fillcolor="#000000" stroked="false">
                <v:path arrowok="t"/>
                <v:fill type="solid"/>
              </v:shape>
            </v:group>
            <v:group style="position:absolute;left:3013;top:1131;width:10;height:20" coordorigin="3013,1131" coordsize="10,20">
              <v:shape style="position:absolute;left:3013;top:1131;width:10;height:20" coordorigin="3013,1131" coordsize="10,20" path="m3013,1150l3022,1150,3022,1131,3013,1131,3013,1150xe" filled="true" fillcolor="#000000" stroked="false">
                <v:path arrowok="t"/>
                <v:fill type="solid"/>
              </v:shape>
            </v:group>
            <v:group style="position:absolute;left:3013;top:1150;width:10;height:20" coordorigin="3013,1150" coordsize="10,20">
              <v:shape style="position:absolute;left:3013;top:1150;width:10;height:20" coordorigin="3013,1150" coordsize="10,20" path="m3013,1169l3022,1169,3022,1150,3013,1150,3013,1169xe" filled="true" fillcolor="#000000" stroked="false">
                <v:path arrowok="t"/>
                <v:fill type="solid"/>
              </v:shape>
            </v:group>
            <v:group style="position:absolute;left:3013;top:1169;width:10;height:20" coordorigin="3013,1169" coordsize="10,20">
              <v:shape style="position:absolute;left:3013;top:1169;width:10;height:20" coordorigin="3013,1169" coordsize="10,20" path="m3013,1188l3022,1188,3022,1169,3013,1169,3013,1188xe" filled="true" fillcolor="#000000" stroked="false">
                <v:path arrowok="t"/>
                <v:fill type="solid"/>
              </v:shape>
            </v:group>
            <v:group style="position:absolute;left:3013;top:1188;width:10;height:20" coordorigin="3013,1188" coordsize="10,20">
              <v:shape style="position:absolute;left:3013;top:1188;width:10;height:20" coordorigin="3013,1188" coordsize="10,20" path="m3013,1208l3022,1208,3022,1188,3013,1188,3013,1208xe" filled="true" fillcolor="#000000" stroked="false">
                <v:path arrowok="t"/>
                <v:fill type="solid"/>
              </v:shape>
            </v:group>
            <v:group style="position:absolute;left:3013;top:1208;width:10;height:20" coordorigin="3013,1208" coordsize="10,20">
              <v:shape style="position:absolute;left:3013;top:1208;width:10;height:20" coordorigin="3013,1208" coordsize="10,20" path="m3013,1227l3022,1227,3022,1208,3013,1208,3013,1227xe" filled="true" fillcolor="#000000" stroked="false">
                <v:path arrowok="t"/>
                <v:fill type="solid"/>
              </v:shape>
            </v:group>
            <v:group style="position:absolute;left:14;top:1325;width:2998;height:2" coordorigin="14,1325" coordsize="2998,2">
              <v:shape style="position:absolute;left:14;top:1325;width:2998;height:2" coordorigin="14,1325" coordsize="2998,0" path="m14,1325l3012,1325e" filled="false" stroked="true" strokeweight="1.44pt" strokecolor="#000000">
                <v:path arrowok="t"/>
              </v:shape>
            </v:group>
            <v:group style="position:absolute;left:3013;top:1227;width:10;height:20" coordorigin="3013,1227" coordsize="10,20">
              <v:shape style="position:absolute;left:3013;top:1227;width:10;height:20" coordorigin="3013,1227" coordsize="10,20" path="m3013,1246l3022,1246,3022,1227,3013,1227,3013,1246xe" filled="true" fillcolor="#000000" stroked="false">
                <v:path arrowok="t"/>
                <v:fill type="solid"/>
              </v:shape>
            </v:group>
            <v:group style="position:absolute;left:3013;top:1246;width:10;height:20" coordorigin="3013,1246" coordsize="10,20">
              <v:shape style="position:absolute;left:3013;top:1246;width:10;height:20" coordorigin="3013,1246" coordsize="10,20" path="m3013,1265l3022,1265,3022,1246,3013,1246,3013,1265xe" filled="true" fillcolor="#000000" stroked="false">
                <v:path arrowok="t"/>
                <v:fill type="solid"/>
              </v:shape>
            </v:group>
            <v:group style="position:absolute;left:3013;top:1265;width:10;height:20" coordorigin="3013,1265" coordsize="10,20">
              <v:shape style="position:absolute;left:3013;top:1265;width:10;height:20" coordorigin="3013,1265" coordsize="10,20" path="m3013,1284l3022,1284,3022,1265,3013,1265,3013,1284xe" filled="true" fillcolor="#000000" stroked="false">
                <v:path arrowok="t"/>
                <v:fill type="solid"/>
              </v:shape>
            </v:group>
            <v:group style="position:absolute;left:3013;top:1284;width:10;height:20" coordorigin="3013,1284" coordsize="10,20">
              <v:shape style="position:absolute;left:3013;top:1284;width:10;height:20" coordorigin="3013,1284" coordsize="10,20" path="m3013,1304l3022,1304,3022,1284,3013,1284,3013,1304xe" filled="true" fillcolor="#000000" stroked="false">
                <v:path arrowok="t"/>
                <v:fill type="solid"/>
              </v:shape>
            </v:group>
            <v:group style="position:absolute;left:3013;top:1307;width:10;height:2" coordorigin="3013,1307" coordsize="10,2">
              <v:shape style="position:absolute;left:3013;top:1307;width:10;height:2" coordorigin="3013,1307" coordsize="10,0" path="m3013,1307l3022,1307e" filled="false" stroked="true" strokeweight=".35999pt" strokecolor="#000000">
                <v:path arrowok="t"/>
              </v:shape>
            </v:group>
            <v:group style="position:absolute;left:3013;top:1325;width:29;height:2" coordorigin="3013,1325" coordsize="29,2">
              <v:shape style="position:absolute;left:3013;top:1325;width:29;height:2" coordorigin="3013,1325" coordsize="29,0" path="m3013,1325l3041,1325e" filled="false" stroked="true" strokeweight="1.44pt" strokecolor="#000000">
                <v:path arrowok="t"/>
              </v:shape>
            </v:group>
            <v:group style="position:absolute;left:3041;top:1325;width:2362;height:2" coordorigin="3041,1325" coordsize="2362,2">
              <v:shape style="position:absolute;left:3041;top:1325;width:2362;height:2" coordorigin="3041,1325" coordsize="2362,0" path="m3041,1325l5403,1325e" filled="false" stroked="true" strokeweight="1.44pt" strokecolor="#000000">
                <v:path arrowok="t"/>
              </v:shape>
            </v:group>
            <v:group style="position:absolute;left:5403;top:996;width:10;height:20" coordorigin="5403,996" coordsize="10,20">
              <v:shape style="position:absolute;left:5403;top:996;width:10;height:20" coordorigin="5403,996" coordsize="10,20" path="m5403,1016l5413,1016,5413,996,5403,996,5403,1016xe" filled="true" fillcolor="#000000" stroked="false">
                <v:path arrowok="t"/>
                <v:fill type="solid"/>
              </v:shape>
            </v:group>
            <v:group style="position:absolute;left:5403;top:1016;width:10;height:20" coordorigin="5403,1016" coordsize="10,20">
              <v:shape style="position:absolute;left:5403;top:1016;width:10;height:20" coordorigin="5403,1016" coordsize="10,20" path="m5403,1035l5413,1035,5413,1016,5403,1016,5403,1035xe" filled="true" fillcolor="#000000" stroked="false">
                <v:path arrowok="t"/>
                <v:fill type="solid"/>
              </v:shape>
            </v:group>
            <v:group style="position:absolute;left:5403;top:1035;width:10;height:20" coordorigin="5403,1035" coordsize="10,20">
              <v:shape style="position:absolute;left:5403;top:1035;width:10;height:20" coordorigin="5403,1035" coordsize="10,20" path="m5403,1054l5413,1054,5413,1035,5403,1035,5403,1054xe" filled="true" fillcolor="#000000" stroked="false">
                <v:path arrowok="t"/>
                <v:fill type="solid"/>
              </v:shape>
            </v:group>
            <v:group style="position:absolute;left:5403;top:1054;width:10;height:20" coordorigin="5403,1054" coordsize="10,20">
              <v:shape style="position:absolute;left:5403;top:1054;width:10;height:20" coordorigin="5403,1054" coordsize="10,20" path="m5403,1073l5413,1073,5413,1054,5403,1054,5403,1073xe" filled="true" fillcolor="#000000" stroked="false">
                <v:path arrowok="t"/>
                <v:fill type="solid"/>
              </v:shape>
            </v:group>
            <v:group style="position:absolute;left:5403;top:1073;width:10;height:20" coordorigin="5403,1073" coordsize="10,20">
              <v:shape style="position:absolute;left:5403;top:1073;width:10;height:20" coordorigin="5403,1073" coordsize="10,20" path="m5403,1092l5413,1092,5413,1073,5403,1073,5403,1092xe" filled="true" fillcolor="#000000" stroked="false">
                <v:path arrowok="t"/>
                <v:fill type="solid"/>
              </v:shape>
            </v:group>
            <v:group style="position:absolute;left:5403;top:1092;width:10;height:20" coordorigin="5403,1092" coordsize="10,20">
              <v:shape style="position:absolute;left:5403;top:1092;width:10;height:20" coordorigin="5403,1092" coordsize="10,20" path="m5403,1112l5413,1112,5413,1092,5403,1092,5403,1112xe" filled="true" fillcolor="#000000" stroked="false">
                <v:path arrowok="t"/>
                <v:fill type="solid"/>
              </v:shape>
            </v:group>
            <v:group style="position:absolute;left:5403;top:1112;width:10;height:20" coordorigin="5403,1112" coordsize="10,20">
              <v:shape style="position:absolute;left:5403;top:1112;width:10;height:20" coordorigin="5403,1112" coordsize="10,20" path="m5403,1131l5413,1131,5413,1112,5403,1112,5403,1131xe" filled="true" fillcolor="#000000" stroked="false">
                <v:path arrowok="t"/>
                <v:fill type="solid"/>
              </v:shape>
            </v:group>
            <v:group style="position:absolute;left:5403;top:1131;width:10;height:20" coordorigin="5403,1131" coordsize="10,20">
              <v:shape style="position:absolute;left:5403;top:1131;width:10;height:20" coordorigin="5403,1131" coordsize="10,20" path="m5403,1150l5413,1150,5413,1131,5403,1131,5403,1150xe" filled="true" fillcolor="#000000" stroked="false">
                <v:path arrowok="t"/>
                <v:fill type="solid"/>
              </v:shape>
            </v:group>
            <v:group style="position:absolute;left:5403;top:1150;width:10;height:20" coordorigin="5403,1150" coordsize="10,20">
              <v:shape style="position:absolute;left:5403;top:1150;width:10;height:20" coordorigin="5403,1150" coordsize="10,20" path="m5403,1169l5413,1169,5413,1150,5403,1150,5403,1169xe" filled="true" fillcolor="#000000" stroked="false">
                <v:path arrowok="t"/>
                <v:fill type="solid"/>
              </v:shape>
            </v:group>
            <v:group style="position:absolute;left:5403;top:1169;width:10;height:20" coordorigin="5403,1169" coordsize="10,20">
              <v:shape style="position:absolute;left:5403;top:1169;width:10;height:20" coordorigin="5403,1169" coordsize="10,20" path="m5403,1188l5413,1188,5413,1169,5403,1169,5403,1188xe" filled="true" fillcolor="#000000" stroked="false">
                <v:path arrowok="t"/>
                <v:fill type="solid"/>
              </v:shape>
            </v:group>
            <v:group style="position:absolute;left:5403;top:1188;width:10;height:20" coordorigin="5403,1188" coordsize="10,20">
              <v:shape style="position:absolute;left:5403;top:1188;width:10;height:20" coordorigin="5403,1188" coordsize="10,20" path="m5403,1208l5413,1208,5413,1188,5403,1188,5403,1208xe" filled="true" fillcolor="#000000" stroked="false">
                <v:path arrowok="t"/>
                <v:fill type="solid"/>
              </v:shape>
            </v:group>
            <v:group style="position:absolute;left:5403;top:1208;width:10;height:20" coordorigin="5403,1208" coordsize="10,20">
              <v:shape style="position:absolute;left:5403;top:1208;width:10;height:20" coordorigin="5403,1208" coordsize="10,20" path="m5403,1227l5413,1227,5413,1208,5403,1208,5403,1227xe" filled="true" fillcolor="#000000" stroked="false">
                <v:path arrowok="t"/>
                <v:fill type="solid"/>
              </v:shape>
            </v:group>
            <v:group style="position:absolute;left:5403;top:1227;width:10;height:20" coordorigin="5403,1227" coordsize="10,20">
              <v:shape style="position:absolute;left:5403;top:1227;width:10;height:20" coordorigin="5403,1227" coordsize="10,20" path="m5403,1246l5413,1246,5413,1227,5403,1227,5403,1246xe" filled="true" fillcolor="#000000" stroked="false">
                <v:path arrowok="t"/>
                <v:fill type="solid"/>
              </v:shape>
            </v:group>
            <v:group style="position:absolute;left:5403;top:1246;width:10;height:20" coordorigin="5403,1246" coordsize="10,20">
              <v:shape style="position:absolute;left:5403;top:1246;width:10;height:20" coordorigin="5403,1246" coordsize="10,20" path="m5403,1265l5413,1265,5413,1246,5403,1246,5403,1265xe" filled="true" fillcolor="#000000" stroked="false">
                <v:path arrowok="t"/>
                <v:fill type="solid"/>
              </v:shape>
            </v:group>
            <v:group style="position:absolute;left:5403;top:1265;width:10;height:20" coordorigin="5403,1265" coordsize="10,20">
              <v:shape style="position:absolute;left:5403;top:1265;width:10;height:20" coordorigin="5403,1265" coordsize="10,20" path="m5403,1284l5413,1284,5413,1265,5403,1265,5403,1284xe" filled="true" fillcolor="#000000" stroked="false">
                <v:path arrowok="t"/>
                <v:fill type="solid"/>
              </v:shape>
            </v:group>
            <v:group style="position:absolute;left:5403;top:1284;width:10;height:20" coordorigin="5403,1284" coordsize="10,20">
              <v:shape style="position:absolute;left:5403;top:1284;width:10;height:20" coordorigin="5403,1284" coordsize="10,20" path="m5403,1304l5413,1304,5413,1284,5403,1284,5403,1304xe" filled="true" fillcolor="#000000" stroked="false">
                <v:path arrowok="t"/>
                <v:fill type="solid"/>
              </v:shape>
            </v:group>
            <v:group style="position:absolute;left:5403;top:1307;width:10;height:2" coordorigin="5403,1307" coordsize="10,2">
              <v:shape style="position:absolute;left:5403;top:1307;width:10;height:2" coordorigin="5403,1307" coordsize="10,0" path="m5403,1307l5413,1307e" filled="false" stroked="true" strokeweight=".35999pt" strokecolor="#000000">
                <v:path arrowok="t"/>
              </v:shape>
            </v:group>
            <v:group style="position:absolute;left:5403;top:1325;width:29;height:2" coordorigin="5403,1325" coordsize="29,2">
              <v:shape style="position:absolute;left:5403;top:1325;width:29;height:2" coordorigin="5403,1325" coordsize="29,0" path="m5403,1325l5432,1325e" filled="false" stroked="true" strokeweight="1.44pt" strokecolor="#000000">
                <v:path arrowok="t"/>
              </v:shape>
            </v:group>
            <v:group style="position:absolute;left:5432;top:1325;width:2079;height:2" coordorigin="5432,1325" coordsize="2079,2">
              <v:shape style="position:absolute;left:5432;top:1325;width:2079;height:2" coordorigin="5432,1325" coordsize="2079,0" path="m5432,1325l7511,1325e" filled="false" stroked="true" strokeweight="1.44pt" strokecolor="#000000">
                <v:path arrowok="t"/>
              </v:shape>
            </v:group>
            <v:group style="position:absolute;left:7511;top:996;width:10;height:20" coordorigin="7511,996" coordsize="10,20">
              <v:shape style="position:absolute;left:7511;top:996;width:10;height:20" coordorigin="7511,996" coordsize="10,20" path="m7511,1016l7521,1016,7521,996,7511,996,7511,1016xe" filled="true" fillcolor="#000000" stroked="false">
                <v:path arrowok="t"/>
                <v:fill type="solid"/>
              </v:shape>
            </v:group>
            <v:group style="position:absolute;left:7511;top:1016;width:10;height:20" coordorigin="7511,1016" coordsize="10,20">
              <v:shape style="position:absolute;left:7511;top:1016;width:10;height:20" coordorigin="7511,1016" coordsize="10,20" path="m7511,1035l7521,1035,7521,1016,7511,1016,7511,1035xe" filled="true" fillcolor="#000000" stroked="false">
                <v:path arrowok="t"/>
                <v:fill type="solid"/>
              </v:shape>
            </v:group>
            <v:group style="position:absolute;left:7511;top:1035;width:10;height:20" coordorigin="7511,1035" coordsize="10,20">
              <v:shape style="position:absolute;left:7511;top:1035;width:10;height:20" coordorigin="7511,1035" coordsize="10,20" path="m7511,1054l7521,1054,7521,1035,7511,1035,7511,1054xe" filled="true" fillcolor="#000000" stroked="false">
                <v:path arrowok="t"/>
                <v:fill type="solid"/>
              </v:shape>
            </v:group>
            <v:group style="position:absolute;left:7511;top:1054;width:10;height:20" coordorigin="7511,1054" coordsize="10,20">
              <v:shape style="position:absolute;left:7511;top:1054;width:10;height:20" coordorigin="7511,1054" coordsize="10,20" path="m7511,1073l7521,1073,7521,1054,7511,1054,7511,1073xe" filled="true" fillcolor="#000000" stroked="false">
                <v:path arrowok="t"/>
                <v:fill type="solid"/>
              </v:shape>
            </v:group>
            <v:group style="position:absolute;left:7511;top:1073;width:10;height:20" coordorigin="7511,1073" coordsize="10,20">
              <v:shape style="position:absolute;left:7511;top:1073;width:10;height:20" coordorigin="7511,1073" coordsize="10,20" path="m7511,1092l7521,1092,7521,1073,7511,1073,7511,1092xe" filled="true" fillcolor="#000000" stroked="false">
                <v:path arrowok="t"/>
                <v:fill type="solid"/>
              </v:shape>
            </v:group>
            <v:group style="position:absolute;left:7511;top:1092;width:10;height:20" coordorigin="7511,1092" coordsize="10,20">
              <v:shape style="position:absolute;left:7511;top:1092;width:10;height:20" coordorigin="7511,1092" coordsize="10,20" path="m7511,1112l7521,1112,7521,1092,7511,1092,7511,1112xe" filled="true" fillcolor="#000000" stroked="false">
                <v:path arrowok="t"/>
                <v:fill type="solid"/>
              </v:shape>
            </v:group>
            <v:group style="position:absolute;left:7511;top:1112;width:10;height:20" coordorigin="7511,1112" coordsize="10,20">
              <v:shape style="position:absolute;left:7511;top:1112;width:10;height:20" coordorigin="7511,1112" coordsize="10,20" path="m7511,1131l7521,1131,7521,1112,7511,1112,7511,1131xe" filled="true" fillcolor="#000000" stroked="false">
                <v:path arrowok="t"/>
                <v:fill type="solid"/>
              </v:shape>
            </v:group>
            <v:group style="position:absolute;left:7511;top:1131;width:10;height:20" coordorigin="7511,1131" coordsize="10,20">
              <v:shape style="position:absolute;left:7511;top:1131;width:10;height:20" coordorigin="7511,1131" coordsize="10,20" path="m7511,1150l7521,1150,7521,1131,7511,1131,7511,1150xe" filled="true" fillcolor="#000000" stroked="false">
                <v:path arrowok="t"/>
                <v:fill type="solid"/>
              </v:shape>
            </v:group>
            <v:group style="position:absolute;left:7511;top:1150;width:10;height:20" coordorigin="7511,1150" coordsize="10,20">
              <v:shape style="position:absolute;left:7511;top:1150;width:10;height:20" coordorigin="7511,1150" coordsize="10,20" path="m7511,1169l7521,1169,7521,1150,7511,1150,7511,1169xe" filled="true" fillcolor="#000000" stroked="false">
                <v:path arrowok="t"/>
                <v:fill type="solid"/>
              </v:shape>
            </v:group>
            <v:group style="position:absolute;left:7511;top:1169;width:10;height:20" coordorigin="7511,1169" coordsize="10,20">
              <v:shape style="position:absolute;left:7511;top:1169;width:10;height:20" coordorigin="7511,1169" coordsize="10,20" path="m7511,1188l7521,1188,7521,1169,7511,1169,7511,1188xe" filled="true" fillcolor="#000000" stroked="false">
                <v:path arrowok="t"/>
                <v:fill type="solid"/>
              </v:shape>
            </v:group>
            <v:group style="position:absolute;left:7511;top:1188;width:10;height:20" coordorigin="7511,1188" coordsize="10,20">
              <v:shape style="position:absolute;left:7511;top:1188;width:10;height:20" coordorigin="7511,1188" coordsize="10,20" path="m7511,1208l7521,1208,7521,1188,7511,1188,7511,1208xe" filled="true" fillcolor="#000000" stroked="false">
                <v:path arrowok="t"/>
                <v:fill type="solid"/>
              </v:shape>
            </v:group>
            <v:group style="position:absolute;left:7511;top:1208;width:10;height:20" coordorigin="7511,1208" coordsize="10,20">
              <v:shape style="position:absolute;left:7511;top:1208;width:10;height:20" coordorigin="7511,1208" coordsize="10,20" path="m7511,1227l7521,1227,7521,1208,7511,1208,7511,1227xe" filled="true" fillcolor="#000000" stroked="false">
                <v:path arrowok="t"/>
                <v:fill type="solid"/>
              </v:shape>
            </v:group>
            <v:group style="position:absolute;left:7511;top:1227;width:10;height:20" coordorigin="7511,1227" coordsize="10,20">
              <v:shape style="position:absolute;left:7511;top:1227;width:10;height:20" coordorigin="7511,1227" coordsize="10,20" path="m7511,1246l7521,1246,7521,1227,7511,1227,7511,1246xe" filled="true" fillcolor="#000000" stroked="false">
                <v:path arrowok="t"/>
                <v:fill type="solid"/>
              </v:shape>
            </v:group>
            <v:group style="position:absolute;left:7511;top:1246;width:10;height:20" coordorigin="7511,1246" coordsize="10,20">
              <v:shape style="position:absolute;left:7511;top:1246;width:10;height:20" coordorigin="7511,1246" coordsize="10,20" path="m7511,1265l7521,1265,7521,1246,7511,1246,7511,1265xe" filled="true" fillcolor="#000000" stroked="false">
                <v:path arrowok="t"/>
                <v:fill type="solid"/>
              </v:shape>
            </v:group>
            <v:group style="position:absolute;left:7511;top:1265;width:10;height:20" coordorigin="7511,1265" coordsize="10,20">
              <v:shape style="position:absolute;left:7511;top:1265;width:10;height:20" coordorigin="7511,1265" coordsize="10,20" path="m7511,1284l7521,1284,7521,1265,7511,1265,7511,1284xe" filled="true" fillcolor="#000000" stroked="false">
                <v:path arrowok="t"/>
                <v:fill type="solid"/>
              </v:shape>
            </v:group>
            <v:group style="position:absolute;left:7511;top:1284;width:10;height:20" coordorigin="7511,1284" coordsize="10,20">
              <v:shape style="position:absolute;left:7511;top:1284;width:10;height:20" coordorigin="7511,1284" coordsize="10,20" path="m7511,1304l7521,1304,7521,1284,7511,1284,7511,1304xe" filled="true" fillcolor="#000000" stroked="false">
                <v:path arrowok="t"/>
                <v:fill type="solid"/>
              </v:shape>
            </v:group>
            <v:group style="position:absolute;left:7511;top:1307;width:10;height:2" coordorigin="7511,1307" coordsize="10,2">
              <v:shape style="position:absolute;left:7511;top:1307;width:10;height:2" coordorigin="7511,1307" coordsize="10,0" path="m7511,1307l7521,1307e" filled="false" stroked="true" strokeweight=".35999pt" strokecolor="#000000">
                <v:path arrowok="t"/>
              </v:shape>
            </v:group>
            <v:group style="position:absolute;left:7511;top:1325;width:29;height:2" coordorigin="7511,1325" coordsize="29,2">
              <v:shape style="position:absolute;left:7511;top:1325;width:29;height:2" coordorigin="7511,1325" coordsize="29,0" path="m7511,1325l7540,1325e" filled="false" stroked="true" strokeweight="1.44pt" strokecolor="#000000">
                <v:path arrowok="t"/>
              </v:shape>
            </v:group>
            <v:group style="position:absolute;left:7540;top:1325;width:1860;height:2" coordorigin="7540,1325" coordsize="1860,2">
              <v:shape style="position:absolute;left:7540;top:1325;width:1860;height:2" coordorigin="7540,1325" coordsize="1860,0" path="m7540,1325l9400,1325e" filled="false" stroked="true" strokeweight="1.44pt" strokecolor="#000000">
                <v:path arrowok="t"/>
              </v:shape>
              <v:shape style="position:absolute;left:137;top:256;width:1800;height:987" type="#_x0000_t202" filled="false" stroked="false">
                <v:textbox inset="0,0,0,0">
                  <w:txbxContent>
                    <w:p>
                      <w:pPr>
                        <w:spacing w:line="180" w:lineRule="exact" w:before="0"/>
                        <w:ind w:left="0" w:right="0" w:firstLine="1024"/>
                        <w:jc w:val="left"/>
                        <w:rPr>
                          <w:rFonts w:ascii="宋体" w:hAnsi="宋体" w:cs="宋体" w:eastAsia="宋体" w:hint="default"/>
                          <w:sz w:val="18"/>
                          <w:szCs w:val="18"/>
                        </w:rPr>
                      </w:pPr>
                      <w:r>
                        <w:rPr>
                          <w:rFonts w:ascii="宋体" w:hAnsi="宋体" w:cs="宋体" w:eastAsia="宋体" w:hint="default"/>
                          <w:sz w:val="18"/>
                          <w:szCs w:val="18"/>
                        </w:rPr>
                        <w:t>组合名称</w:t>
                      </w:r>
                    </w:p>
                    <w:p>
                      <w:pPr>
                        <w:spacing w:line="240" w:lineRule="auto" w:before="1"/>
                        <w:rPr>
                          <w:rFonts w:ascii="宋体" w:hAnsi="宋体" w:cs="宋体" w:eastAsia="宋体"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合并范围内关联方组合</w:t>
                      </w:r>
                    </w:p>
                    <w:p>
                      <w:pPr>
                        <w:spacing w:before="86"/>
                        <w:ind w:left="0" w:right="233" w:firstLine="0"/>
                        <w:jc w:val="righ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3761;top:417;width:1539;height:82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其他应收款</w:t>
                      </w:r>
                    </w:p>
                    <w:p>
                      <w:pPr>
                        <w:spacing w:before="89"/>
                        <w:ind w:left="458" w:right="0" w:firstLine="0"/>
                        <w:jc w:val="left"/>
                        <w:rPr>
                          <w:rFonts w:ascii="宋体" w:hAnsi="宋体" w:cs="宋体" w:eastAsia="宋体" w:hint="default"/>
                          <w:sz w:val="18"/>
                          <w:szCs w:val="18"/>
                        </w:rPr>
                      </w:pPr>
                      <w:r>
                        <w:rPr>
                          <w:rFonts w:ascii="宋体"/>
                          <w:spacing w:val="-1"/>
                          <w:sz w:val="18"/>
                        </w:rPr>
                        <w:t>2,955,704.00</w:t>
                      </w:r>
                    </w:p>
                    <w:p>
                      <w:pPr>
                        <w:spacing w:before="86"/>
                        <w:ind w:left="458" w:right="0" w:firstLine="0"/>
                        <w:jc w:val="left"/>
                        <w:rPr>
                          <w:rFonts w:ascii="宋体" w:hAnsi="宋体" w:cs="宋体" w:eastAsia="宋体" w:hint="default"/>
                          <w:sz w:val="18"/>
                          <w:szCs w:val="18"/>
                        </w:rPr>
                      </w:pPr>
                      <w:r>
                        <w:rPr>
                          <w:rFonts w:ascii="宋体"/>
                          <w:spacing w:val="-1"/>
                          <w:sz w:val="18"/>
                        </w:rPr>
                        <w:t>2,955,704.00</w:t>
                      </w:r>
                    </w:p>
                  </w:txbxContent>
                </v:textbox>
                <w10:wrap type="none"/>
              </v:shape>
              <v:shape style="position:absolute;left:5847;top:95;width:975;height:50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before="86"/>
                        <w:ind w:left="254"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7136;top:741;width:274;height:50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p>
                      <w:pPr>
                        <w:spacing w:before="86"/>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7871;top:417;width:1424;height:82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p>
                      <w:pPr>
                        <w:spacing w:before="89"/>
                        <w:ind w:left="0" w:right="0" w:firstLine="0"/>
                        <w:jc w:val="right"/>
                        <w:rPr>
                          <w:rFonts w:ascii="宋体" w:hAnsi="宋体" w:cs="宋体" w:eastAsia="宋体" w:hint="default"/>
                          <w:sz w:val="18"/>
                          <w:szCs w:val="18"/>
                        </w:rPr>
                      </w:pPr>
                      <w:r>
                        <w:rPr>
                          <w:rFonts w:ascii="宋体"/>
                          <w:sz w:val="18"/>
                        </w:rPr>
                        <w:t>---</w:t>
                      </w:r>
                    </w:p>
                    <w:p>
                      <w:pPr>
                        <w:spacing w:before="86"/>
                        <w:ind w:left="0" w:right="0" w:firstLine="0"/>
                        <w:jc w:val="right"/>
                        <w:rPr>
                          <w:rFonts w:ascii="宋体" w:hAnsi="宋体" w:cs="宋体" w:eastAsia="宋体" w:hint="default"/>
                          <w:sz w:val="18"/>
                          <w:szCs w:val="18"/>
                        </w:rPr>
                      </w:pPr>
                      <w:r>
                        <w:rPr>
                          <w:rFonts w:ascii="宋体"/>
                          <w:sz w:val="18"/>
                        </w:rPr>
                        <w:t>---</w:t>
                      </w:r>
                    </w:p>
                  </w:txbxContent>
                </v:textbox>
                <w10:wrap type="none"/>
              </v:shape>
            </v:group>
          </v:group>
        </w:pict>
      </w:r>
      <w:r>
        <w:rPr>
          <w:rFonts w:ascii="宋体" w:hAnsi="宋体" w:cs="宋体" w:eastAsia="宋体" w:hint="default"/>
          <w:position w:val="-26"/>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before="36"/>
        <w:ind w:left="238" w:right="3051"/>
        <w:jc w:val="left"/>
        <w:rPr>
          <w:b w:val="0"/>
          <w:bCs w:val="0"/>
        </w:rPr>
      </w:pPr>
      <w:r>
        <w:rPr>
          <w:rFonts w:ascii="宋体" w:hAnsi="宋体" w:cs="宋体" w:eastAsia="宋体" w:hint="default"/>
        </w:rPr>
        <w:t>(2).</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238" w:right="305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60" w:right="720"/>
        </w:sectPr>
      </w:pPr>
    </w:p>
    <w:p>
      <w:pPr>
        <w:pStyle w:val="Heading3"/>
        <w:spacing w:line="240" w:lineRule="auto" w:before="36"/>
        <w:ind w:left="238" w:right="-18"/>
        <w:jc w:val="left"/>
        <w:rPr>
          <w:b w:val="0"/>
          <w:bCs w:val="0"/>
        </w:rPr>
      </w:pPr>
      <w:r>
        <w:rPr>
          <w:rFonts w:ascii="宋体" w:hAnsi="宋体" w:cs="宋体" w:eastAsia="宋体" w:hint="default"/>
        </w:rPr>
        <w:t>(3).</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720"/>
          <w:cols w:num="2" w:equalWidth="0">
            <w:col w:w="3719" w:space="2803"/>
            <w:col w:w="310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投标保证金、押金及备用金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695,589.00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85,900.00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往来款项及其他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3,006,818.78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38,465.75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4,202,407.78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624,365.75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720"/>
        </w:sectPr>
      </w:pPr>
    </w:p>
    <w:p>
      <w:pPr>
        <w:pStyle w:val="Heading3"/>
        <w:spacing w:line="240" w:lineRule="auto" w:before="36"/>
        <w:ind w:left="238" w:right="-16"/>
        <w:jc w:val="left"/>
        <w:rPr>
          <w:b w:val="0"/>
          <w:bCs w:val="0"/>
        </w:rPr>
      </w:pPr>
      <w:r>
        <w:rPr>
          <w:rFonts w:ascii="宋体" w:hAnsi="宋体" w:cs="宋体" w:eastAsia="宋体" w:hint="default"/>
        </w:rPr>
        <w:t>(4).</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720"/>
          <w:cols w:num="2" w:equalWidth="0">
            <w:col w:w="5615" w:space="907"/>
            <w:col w:w="3108"/>
          </w:cols>
        </w:sectPr>
      </w:pPr>
    </w:p>
    <w:p>
      <w:pPr>
        <w:spacing w:line="240" w:lineRule="auto" w:before="4"/>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1505"/>
        <w:gridCol w:w="1323"/>
        <w:gridCol w:w="1394"/>
        <w:gridCol w:w="1299"/>
        <w:gridCol w:w="1731"/>
        <w:gridCol w:w="1644"/>
      </w:tblGrid>
      <w:tr>
        <w:trPr>
          <w:trHeight w:val="833"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87" w:right="120"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96" w:right="38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type w:val="continuous"/>
          <w:pgSz w:w="11910" w:h="16840"/>
          <w:pgMar w:top="1120" w:bottom="1380" w:left="156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505"/>
        <w:gridCol w:w="1323"/>
        <w:gridCol w:w="1394"/>
        <w:gridCol w:w="1299"/>
        <w:gridCol w:w="1731"/>
        <w:gridCol w:w="1644"/>
      </w:tblGrid>
      <w:tr>
        <w:trPr>
          <w:trHeight w:val="562"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上海慧球通信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1"/>
              <w:jc w:val="right"/>
              <w:rPr>
                <w:rFonts w:ascii="宋体" w:hAnsi="宋体" w:cs="宋体" w:eastAsia="宋体" w:hint="default"/>
                <w:sz w:val="21"/>
                <w:szCs w:val="21"/>
              </w:rPr>
            </w:pPr>
            <w:r>
              <w:rPr>
                <w:rFonts w:ascii="宋体"/>
                <w:spacing w:val="-1"/>
                <w:sz w:val="21"/>
              </w:rPr>
              <w:t>2,940,704.00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2"/>
              <w:jc w:val="right"/>
              <w:rPr>
                <w:rFonts w:ascii="宋体" w:hAnsi="宋体" w:cs="宋体" w:eastAsia="宋体" w:hint="default"/>
                <w:sz w:val="21"/>
                <w:szCs w:val="21"/>
              </w:rPr>
            </w:pPr>
            <w:r>
              <w:rPr>
                <w:rFonts w:ascii="宋体"/>
                <w:sz w:val="21"/>
              </w:rPr>
              <w:t>69.98</w:t>
            </w: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北京生物医药</w:t>
            </w:r>
          </w:p>
          <w:p>
            <w:pPr>
              <w:pStyle w:val="TableParagraph"/>
              <w:spacing w:line="240" w:lineRule="auto"/>
              <w:ind w:left="24" w:right="201"/>
              <w:jc w:val="left"/>
              <w:rPr>
                <w:rFonts w:ascii="宋体" w:hAnsi="宋体" w:cs="宋体" w:eastAsia="宋体" w:hint="default"/>
                <w:sz w:val="21"/>
                <w:szCs w:val="21"/>
              </w:rPr>
            </w:pPr>
            <w:r>
              <w:rPr>
                <w:rFonts w:ascii="宋体" w:hAnsi="宋体" w:cs="宋体" w:eastAsia="宋体" w:hint="default"/>
                <w:sz w:val="21"/>
                <w:szCs w:val="21"/>
              </w:rPr>
              <w:t>产业基地发展</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资产转让尾</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500,000.00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11.90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150,000.00</w:t>
            </w:r>
          </w:p>
        </w:tc>
      </w:tr>
      <w:tr>
        <w:trPr>
          <w:trHeight w:val="562"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广西恒大企业</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484,515.00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11.53</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14,535.45</w:t>
            </w:r>
          </w:p>
        </w:tc>
      </w:tr>
      <w:tr>
        <w:trPr>
          <w:trHeight w:val="830"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广西春风物业</w:t>
            </w:r>
          </w:p>
          <w:p>
            <w:pPr>
              <w:pStyle w:val="TableParagraph"/>
              <w:spacing w:line="240" w:lineRule="auto"/>
              <w:ind w:left="24" w:right="201"/>
              <w:jc w:val="left"/>
              <w:rPr>
                <w:rFonts w:ascii="宋体" w:hAnsi="宋体" w:cs="宋体" w:eastAsia="宋体" w:hint="default"/>
                <w:sz w:val="21"/>
                <w:szCs w:val="21"/>
              </w:rPr>
            </w:pPr>
            <w:r>
              <w:rPr>
                <w:rFonts w:ascii="宋体" w:hAnsi="宋体" w:cs="宋体" w:eastAsia="宋体" w:hint="default"/>
                <w:sz w:val="21"/>
                <w:szCs w:val="21"/>
              </w:rPr>
              <w:t>服务有限责任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115,074.00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2.74</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3,452.22</w:t>
            </w:r>
          </w:p>
        </w:tc>
      </w:tr>
      <w:tr>
        <w:trPr>
          <w:trHeight w:val="559"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靖江市公共资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源交易中心</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60,000.00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1.43</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1,800.00</w:t>
            </w:r>
          </w:p>
        </w:tc>
      </w:tr>
      <w:tr>
        <w:trPr>
          <w:trHeight w:val="289"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8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71"/>
              <w:jc w:val="center"/>
              <w:rPr>
                <w:rFonts w:ascii="宋体" w:hAnsi="宋体" w:cs="宋体" w:eastAsia="宋体" w:hint="default"/>
                <w:sz w:val="21"/>
                <w:szCs w:val="21"/>
              </w:rPr>
            </w:pPr>
            <w:r>
              <w:rPr>
                <w:rFonts w:ascii="宋体"/>
                <w:w w:val="100"/>
                <w:sz w:val="21"/>
              </w:rPr>
              <w:t>/</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1"/>
              <w:jc w:val="right"/>
              <w:rPr>
                <w:rFonts w:ascii="宋体" w:hAnsi="宋体" w:cs="宋体" w:eastAsia="宋体" w:hint="default"/>
                <w:sz w:val="21"/>
                <w:szCs w:val="21"/>
              </w:rPr>
            </w:pPr>
            <w:r>
              <w:rPr>
                <w:rFonts w:ascii="宋体"/>
                <w:spacing w:val="-1"/>
                <w:sz w:val="21"/>
              </w:rPr>
              <w:t>4,100,293.00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73"/>
              <w:jc w:val="center"/>
              <w:rPr>
                <w:rFonts w:ascii="宋体" w:hAnsi="宋体" w:cs="宋体" w:eastAsia="宋体" w:hint="default"/>
                <w:sz w:val="21"/>
                <w:szCs w:val="21"/>
              </w:rPr>
            </w:pPr>
            <w:r>
              <w:rPr>
                <w:rFonts w:ascii="宋体"/>
                <w:w w:val="100"/>
                <w:sz w:val="21"/>
              </w:rPr>
              <w:t>/</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2"/>
              <w:jc w:val="right"/>
              <w:rPr>
                <w:rFonts w:ascii="宋体" w:hAnsi="宋体" w:cs="宋体" w:eastAsia="宋体" w:hint="default"/>
                <w:sz w:val="21"/>
                <w:szCs w:val="21"/>
              </w:rPr>
            </w:pPr>
            <w:r>
              <w:rPr>
                <w:rFonts w:ascii="宋体"/>
                <w:sz w:val="21"/>
              </w:rPr>
              <w:t>97.58</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169,787.67</w:t>
            </w:r>
          </w:p>
        </w:tc>
      </w:tr>
    </w:tbl>
    <w:p>
      <w:pPr>
        <w:spacing w:line="240" w:lineRule="auto" w:before="2"/>
        <w:rPr>
          <w:rFonts w:ascii="宋体" w:hAnsi="宋体" w:cs="宋体" w:eastAsia="宋体" w:hint="default"/>
          <w:sz w:val="20"/>
          <w:szCs w:val="20"/>
        </w:rPr>
      </w:pPr>
    </w:p>
    <w:p>
      <w:pPr>
        <w:pStyle w:val="Heading3"/>
        <w:spacing w:line="240" w:lineRule="auto" w:before="36"/>
        <w:ind w:right="2465"/>
        <w:jc w:val="left"/>
        <w:rPr>
          <w:b w:val="0"/>
          <w:bCs w:val="0"/>
        </w:rPr>
      </w:pPr>
      <w:r>
        <w:rPr>
          <w:rFonts w:ascii="宋体" w:hAnsi="宋体" w:cs="宋体" w:eastAsia="宋体" w:hint="default"/>
        </w:rPr>
        <w:t>(5).</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5" w:top="1120" w:bottom="1380" w:left="1580" w:right="1040"/>
        </w:sectPr>
      </w:pPr>
    </w:p>
    <w:p>
      <w:pPr>
        <w:pStyle w:val="Heading3"/>
        <w:spacing w:line="240" w:lineRule="auto" w:before="36"/>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276"/>
        <w:gridCol w:w="1118"/>
        <w:gridCol w:w="1092"/>
        <w:gridCol w:w="1092"/>
        <w:gridCol w:w="1118"/>
        <w:gridCol w:w="1107"/>
        <w:gridCol w:w="1092"/>
      </w:tblGrid>
      <w:tr>
        <w:trPr>
          <w:trHeight w:val="286" w:hRule="exact"/>
        </w:trPr>
        <w:tc>
          <w:tcPr>
            <w:tcW w:w="2276"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76" w:type="dxa"/>
            <w:vMerge/>
            <w:tcBorders>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1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1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95,147,253.24</w:t>
            </w:r>
          </w:p>
        </w:tc>
        <w:tc>
          <w:tcPr>
            <w:tcW w:w="109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55" w:right="0"/>
              <w:jc w:val="center"/>
              <w:rPr>
                <w:rFonts w:ascii="宋体" w:hAnsi="宋体" w:cs="宋体" w:eastAsia="宋体" w:hint="default"/>
                <w:sz w:val="15"/>
                <w:szCs w:val="15"/>
              </w:rPr>
            </w:pPr>
            <w:r>
              <w:rPr>
                <w:rFonts w:ascii="宋体"/>
                <w:sz w:val="15"/>
              </w:rPr>
              <w:t>95,147,253.24</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20,047,253.24</w:t>
            </w:r>
          </w:p>
        </w:tc>
        <w:tc>
          <w:tcPr>
            <w:tcW w:w="1107"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9" w:right="0"/>
              <w:jc w:val="left"/>
              <w:rPr>
                <w:rFonts w:ascii="宋体" w:hAnsi="宋体" w:cs="宋体" w:eastAsia="宋体" w:hint="default"/>
                <w:sz w:val="15"/>
                <w:szCs w:val="15"/>
              </w:rPr>
            </w:pPr>
            <w:r>
              <w:rPr>
                <w:rFonts w:ascii="宋体"/>
                <w:sz w:val="15"/>
              </w:rPr>
              <w:t>20,047,253.24</w:t>
            </w:r>
          </w:p>
        </w:tc>
      </w:tr>
      <w:tr>
        <w:trPr>
          <w:trHeight w:val="288"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1118"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107"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95,147,253.24</w:t>
            </w:r>
          </w:p>
        </w:tc>
        <w:tc>
          <w:tcPr>
            <w:tcW w:w="1092"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55" w:right="0"/>
              <w:jc w:val="center"/>
              <w:rPr>
                <w:rFonts w:ascii="宋体" w:hAnsi="宋体" w:cs="宋体" w:eastAsia="宋体" w:hint="default"/>
                <w:sz w:val="15"/>
                <w:szCs w:val="15"/>
              </w:rPr>
            </w:pPr>
            <w:r>
              <w:rPr>
                <w:rFonts w:ascii="宋体"/>
                <w:sz w:val="15"/>
              </w:rPr>
              <w:t>95,147,253.24</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20,047,253.24</w:t>
            </w:r>
          </w:p>
        </w:tc>
        <w:tc>
          <w:tcPr>
            <w:tcW w:w="1107"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9" w:right="0"/>
              <w:jc w:val="left"/>
              <w:rPr>
                <w:rFonts w:ascii="宋体" w:hAnsi="宋体" w:cs="宋体" w:eastAsia="宋体" w:hint="default"/>
                <w:sz w:val="15"/>
                <w:szCs w:val="15"/>
              </w:rPr>
            </w:pPr>
            <w:r>
              <w:rPr>
                <w:rFonts w:ascii="宋体"/>
                <w:sz w:val="15"/>
              </w:rPr>
              <w:t>20,047,253.24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before="36"/>
        <w:ind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6"/>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9"/>
        <w:gridCol w:w="1582"/>
        <w:gridCol w:w="1582"/>
        <w:gridCol w:w="924"/>
        <w:gridCol w:w="1585"/>
        <w:gridCol w:w="924"/>
        <w:gridCol w:w="924"/>
      </w:tblGrid>
      <w:tr>
        <w:trPr>
          <w:trHeight w:val="82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137" w:hanging="209"/>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40" w:lineRule="auto"/>
              <w:ind w:left="244" w:right="139" w:hanging="106"/>
              <w:jc w:val="left"/>
              <w:rPr>
                <w:rFonts w:ascii="宋体" w:hAnsi="宋体" w:cs="宋体" w:eastAsia="宋体" w:hint="default"/>
                <w:sz w:val="21"/>
                <w:szCs w:val="21"/>
              </w:rPr>
            </w:pP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40" w:lineRule="auto"/>
              <w:ind w:left="247" w:right="137"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829"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南宁市智诚合</w:t>
            </w:r>
          </w:p>
          <w:p>
            <w:pPr>
              <w:pStyle w:val="TableParagraph"/>
              <w:spacing w:line="272" w:lineRule="exact" w:before="27"/>
              <w:ind w:left="103" w:right="151"/>
              <w:jc w:val="left"/>
              <w:rPr>
                <w:rFonts w:ascii="宋体" w:hAnsi="宋体" w:cs="宋体" w:eastAsia="宋体" w:hint="default"/>
                <w:sz w:val="21"/>
                <w:szCs w:val="21"/>
              </w:rPr>
            </w:pPr>
            <w:r>
              <w:rPr>
                <w:rFonts w:ascii="宋体" w:hAnsi="宋体" w:cs="宋体" w:eastAsia="宋体" w:hint="default"/>
                <w:sz w:val="21"/>
                <w:szCs w:val="21"/>
              </w:rPr>
              <w:t>讯信息技术有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72,000,000.00</w:t>
            </w:r>
          </w:p>
        </w:tc>
        <w:tc>
          <w:tcPr>
            <w:tcW w:w="9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82,000,000.00</w:t>
            </w:r>
          </w:p>
        </w:tc>
        <w:tc>
          <w:tcPr>
            <w:tcW w:w="92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庆）有限公司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c>
          <w:tcPr>
            <w:tcW w:w="9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3,000,000.00</w:t>
            </w:r>
          </w:p>
        </w:tc>
        <w:tc>
          <w:tcPr>
            <w:tcW w:w="92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上海慧球通信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w:t>
            </w:r>
          </w:p>
        </w:tc>
        <w:tc>
          <w:tcPr>
            <w:tcW w:w="9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w:t>
            </w:r>
          </w:p>
        </w:tc>
        <w:tc>
          <w:tcPr>
            <w:tcW w:w="92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杭州郡原物业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10,047,253.24</w:t>
            </w:r>
          </w:p>
        </w:tc>
        <w:tc>
          <w:tcPr>
            <w:tcW w:w="158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10,047,253.24</w:t>
            </w:r>
          </w:p>
        </w:tc>
        <w:tc>
          <w:tcPr>
            <w:tcW w:w="92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20,047,253.24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75,100,000.00</w:t>
            </w:r>
          </w:p>
        </w:tc>
        <w:tc>
          <w:tcPr>
            <w:tcW w:w="9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95,147,253.24</w:t>
            </w:r>
          </w:p>
        </w:tc>
        <w:tc>
          <w:tcPr>
            <w:tcW w:w="92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36"/>
        <w:ind w:right="2465"/>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left="218"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3"/>
        <w:spacing w:line="240" w:lineRule="auto"/>
        <w:ind w:right="2465"/>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1666"/>
        <w:gridCol w:w="1664"/>
        <w:gridCol w:w="1517"/>
        <w:gridCol w:w="1361"/>
      </w:tblGrid>
      <w:tr>
        <w:trPr>
          <w:trHeight w:val="283" w:hRule="exact"/>
        </w:trPr>
        <w:tc>
          <w:tcPr>
            <w:tcW w:w="284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842"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8,301,886.56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1,010,076.00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4,141,667.00</w:t>
            </w:r>
          </w:p>
        </w:tc>
        <w:tc>
          <w:tcPr>
            <w:tcW w:w="16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12,443,553.56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1,010,076.00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218" w:right="2465"/>
        <w:jc w:val="left"/>
      </w:pPr>
      <w:r>
        <w:rPr/>
        <w:t>其他说明：</w:t>
      </w:r>
    </w:p>
    <w:p>
      <w:pPr>
        <w:pStyle w:val="Heading3"/>
        <w:spacing w:line="275" w:lineRule="exact" w:before="56"/>
        <w:ind w:right="96"/>
        <w:jc w:val="left"/>
        <w:rPr>
          <w:b w:val="0"/>
          <w:bCs w:val="0"/>
        </w:rPr>
      </w:pPr>
      <w:r>
        <w:rPr/>
        <w:t>营业收入本期发生额比上期发生额增加</w:t>
      </w:r>
      <w:r>
        <w:rPr>
          <w:spacing w:val="-66"/>
        </w:rPr>
        <w:t> </w:t>
      </w:r>
      <w:r>
        <w:rPr>
          <w:rFonts w:ascii="宋体" w:hAnsi="宋体" w:cs="宋体" w:eastAsia="宋体" w:hint="default"/>
        </w:rPr>
        <w:t>12,443,553.56</w:t>
      </w:r>
      <w:r>
        <w:rPr>
          <w:rFonts w:ascii="宋体" w:hAnsi="宋体" w:cs="宋体" w:eastAsia="宋体" w:hint="default"/>
          <w:spacing w:val="-66"/>
        </w:rPr>
        <w:t> </w:t>
      </w:r>
      <w:r>
        <w:rPr/>
        <w:t>元，营业成本本期发生额比上期发生额增</w:t>
      </w:r>
      <w:r>
        <w:rPr>
          <w:b w:val="0"/>
          <w:bCs w:val="0"/>
        </w:rPr>
      </w:r>
    </w:p>
    <w:p>
      <w:pPr>
        <w:pStyle w:val="Heading3"/>
        <w:spacing w:line="275" w:lineRule="exact"/>
        <w:ind w:right="2465"/>
        <w:jc w:val="left"/>
        <w:rPr>
          <w:b w:val="0"/>
          <w:bCs w:val="0"/>
        </w:rPr>
      </w:pPr>
      <w:r>
        <w:rPr/>
        <w:t>加</w:t>
      </w:r>
      <w:r>
        <w:rPr>
          <w:spacing w:val="-55"/>
        </w:rPr>
        <w:t> </w:t>
      </w:r>
      <w:r>
        <w:rPr>
          <w:rFonts w:ascii="宋体" w:hAnsi="宋体" w:cs="宋体" w:eastAsia="宋体" w:hint="default"/>
        </w:rPr>
        <w:t>1,010,076.00</w:t>
      </w:r>
      <w:r>
        <w:rPr>
          <w:rFonts w:ascii="宋体" w:hAnsi="宋体" w:cs="宋体" w:eastAsia="宋体" w:hint="default"/>
          <w:spacing w:val="-54"/>
        </w:rPr>
        <w:t> </w:t>
      </w:r>
      <w:r>
        <w:rPr/>
        <w:t>元，其增加的原因是本期新增智慧城市收入所致。</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3"/>
        <w:spacing w:line="240" w:lineRule="auto" w:before="36"/>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14,469.04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467,509.03</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14,469.04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467,509.03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tabs>
          <w:tab w:pos="1057" w:val="left" w:leader="none"/>
        </w:tabs>
        <w:spacing w:line="240" w:lineRule="auto" w:before="36"/>
        <w:ind w:right="-19"/>
        <w:jc w:val="left"/>
        <w:rPr>
          <w:b w:val="0"/>
          <w:bCs w:val="0"/>
        </w:rPr>
      </w:pPr>
      <w:r>
        <w:rPr/>
        <w:t>十八、</w:t>
        <w:tab/>
        <w:t>补充资料</w:t>
      </w:r>
      <w:r>
        <w:rPr>
          <w:b w:val="0"/>
          <w:bCs w:val="0"/>
        </w:rPr>
      </w:r>
    </w:p>
    <w:p>
      <w:pPr>
        <w:pStyle w:val="Heading3"/>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-53,980.27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113,300.00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4,141,667.00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14,469.04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-23,497.23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-1,047,989.64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3,143,968.90</w:t>
            </w:r>
          </w:p>
        </w:tc>
        <w:tc>
          <w:tcPr>
            <w:tcW w:w="25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7" w:lineRule="exact"/>
        <w:ind w:left="218" w:right="96"/>
        <w:jc w:val="left"/>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5 </w:t>
      </w:r>
      <w:r>
        <w:rPr/>
        <w:t>月公司与贵州中科建建设有限公司签署了西安市机关干部住宅智慧社区项目共建合同，</w:t>
      </w:r>
    </w:p>
    <w:p>
      <w:pPr>
        <w:pStyle w:val="BodyText"/>
        <w:spacing w:line="274" w:lineRule="exact" w:before="16"/>
        <w:ind w:left="218" w:right="225"/>
        <w:jc w:val="left"/>
      </w:pPr>
      <w:r>
        <w:rPr>
          <w:spacing w:val="-2"/>
        </w:rPr>
        <w:t>根据合同约定，为支持中科建尽快开展项目建设，公司将提供部分资金作为其项目建设资金的投</w:t>
      </w:r>
      <w:r>
        <w:rPr>
          <w:spacing w:val="-25"/>
        </w:rPr>
        <w:t> </w:t>
      </w:r>
      <w:r>
        <w:rPr>
          <w:spacing w:val="-25"/>
        </w:rPr>
      </w:r>
      <w:r>
        <w:rPr/>
        <w:t>入，合同约定贵州中科建按年化</w:t>
      </w:r>
      <w:r>
        <w:rPr>
          <w:spacing w:val="-55"/>
        </w:rPr>
        <w:t> </w:t>
      </w:r>
      <w:r>
        <w:rPr>
          <w:rFonts w:ascii="Times New Roman" w:hAnsi="Times New Roman" w:cs="Times New Roman" w:eastAsia="Times New Roman" w:hint="default"/>
        </w:rPr>
        <w:t>14%</w:t>
      </w:r>
      <w:r>
        <w:rPr/>
        <w:t>利率支付资金占用费用。截止</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月底，资金占用费</w:t>
      </w:r>
    </w:p>
    <w:p>
      <w:pPr>
        <w:pStyle w:val="BodyText"/>
        <w:spacing w:line="253" w:lineRule="exact"/>
        <w:ind w:left="218" w:right="96"/>
        <w:jc w:val="left"/>
      </w:pPr>
      <w:r>
        <w:rPr/>
        <w:t>合计为</w:t>
      </w:r>
      <w:r>
        <w:rPr>
          <w:spacing w:val="-36"/>
        </w:rPr>
        <w:t> </w:t>
      </w:r>
      <w:r>
        <w:rPr>
          <w:rFonts w:ascii="Times New Roman" w:hAnsi="Times New Roman" w:cs="Times New Roman" w:eastAsia="Times New Roman" w:hint="default"/>
        </w:rPr>
        <w:t>414.17</w:t>
      </w:r>
      <w:r>
        <w:rPr>
          <w:rFonts w:ascii="Times New Roman" w:hAnsi="Times New Roman" w:cs="Times New Roman" w:eastAsia="Times New Roman" w:hint="default"/>
          <w:spacing w:val="13"/>
        </w:rPr>
        <w:t> </w:t>
      </w:r>
      <w:r>
        <w:rPr>
          <w:spacing w:val="-8"/>
        </w:rPr>
        <w:t>万元，其中已收到</w:t>
      </w:r>
      <w:r>
        <w:rPr>
          <w:spacing w:val="-35"/>
        </w:rPr>
        <w:t> </w:t>
      </w:r>
      <w:r>
        <w:rPr>
          <w:rFonts w:ascii="Times New Roman" w:hAnsi="Times New Roman" w:cs="Times New Roman" w:eastAsia="Times New Roman" w:hint="default"/>
        </w:rPr>
        <w:t>64.5</w:t>
      </w:r>
      <w:r>
        <w:rPr>
          <w:rFonts w:ascii="Times New Roman" w:hAnsi="Times New Roman" w:cs="Times New Roman" w:eastAsia="Times New Roman" w:hint="default"/>
          <w:spacing w:val="17"/>
        </w:rPr>
        <w:t> </w:t>
      </w:r>
      <w:r>
        <w:rPr>
          <w:spacing w:val="-4"/>
        </w:rPr>
        <w:t>万元。由于该部分资金占用费为该合作模式下业务构成的一</w:t>
      </w:r>
    </w:p>
    <w:p>
      <w:pPr>
        <w:pStyle w:val="BodyText"/>
        <w:spacing w:line="272" w:lineRule="exact" w:before="19"/>
        <w:ind w:left="218" w:right="96"/>
        <w:jc w:val="left"/>
      </w:pPr>
      <w:r>
        <w:rPr>
          <w:spacing w:val="-2"/>
        </w:rPr>
        <w:t>部分，根据相关会计制度，收取的资金占用费在</w:t>
      </w:r>
      <w:r>
        <w:rPr>
          <w:rFonts w:ascii="Times New Roman" w:hAnsi="Times New Roman" w:cs="Times New Roman" w:eastAsia="Times New Roman" w:hint="default"/>
          <w:spacing w:val="-2"/>
        </w:rPr>
        <w:t>”</w:t>
      </w:r>
      <w:r>
        <w:rPr>
          <w:spacing w:val="-2"/>
        </w:rPr>
        <w:t>其他业务收入</w:t>
      </w:r>
      <w:r>
        <w:rPr>
          <w:rFonts w:ascii="Times New Roman" w:hAnsi="Times New Roman" w:cs="Times New Roman" w:eastAsia="Times New Roman" w:hint="default"/>
          <w:spacing w:val="-2"/>
        </w:rPr>
        <w:t>”</w:t>
      </w:r>
      <w:r>
        <w:rPr>
          <w:spacing w:val="-2"/>
        </w:rPr>
        <w:t>会计科目中核算，同时由于其不</w:t>
      </w:r>
      <w:r>
        <w:rPr>
          <w:spacing w:val="-31"/>
        </w:rPr>
        <w:t> </w:t>
      </w:r>
      <w:r>
        <w:rPr>
          <w:spacing w:val="-31"/>
        </w:rPr>
      </w:r>
      <w:r>
        <w:rPr/>
        <w:t>属于经常性业务，因此披露在非经常性损益项目中。</w:t>
      </w:r>
    </w:p>
    <w:p>
      <w:pPr>
        <w:spacing w:line="240" w:lineRule="auto" w:before="4"/>
        <w:rPr>
          <w:rFonts w:ascii="宋体" w:hAnsi="宋体" w:cs="宋体" w:eastAsia="宋体" w:hint="default"/>
          <w:sz w:val="23"/>
          <w:szCs w:val="23"/>
        </w:rPr>
      </w:pPr>
    </w:p>
    <w:p>
      <w:pPr>
        <w:pStyle w:val="Heading3"/>
        <w:spacing w:line="240" w:lineRule="auto"/>
        <w:ind w:right="2465"/>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112.84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0.013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0.013</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43.71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0.005</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0.005</w:t>
            </w:r>
          </w:p>
        </w:tc>
      </w:tr>
    </w:tbl>
    <w:p>
      <w:pPr>
        <w:spacing w:after="0" w:line="208" w:lineRule="exact"/>
        <w:jc w:val="right"/>
        <w:rPr>
          <w:rFonts w:ascii="宋体" w:hAnsi="宋体" w:cs="宋体" w:eastAsia="宋体" w:hint="default"/>
          <w:sz w:val="18"/>
          <w:szCs w:val="18"/>
        </w:rPr>
        <w:sectPr>
          <w:pgSz w:w="11910" w:h="16840"/>
          <w:pgMar w:header="0" w:footer="1195" w:top="1120" w:bottom="1380" w:left="1580" w:right="1040"/>
        </w:sectPr>
      </w:pPr>
    </w:p>
    <w:p>
      <w:pPr>
        <w:spacing w:line="240" w:lineRule="auto" w:before="1"/>
        <w:rPr>
          <w:rFonts w:ascii="宋体" w:hAnsi="宋体" w:cs="宋体" w:eastAsia="宋体" w:hint="default"/>
          <w:b/>
          <w:bCs/>
          <w:sz w:val="25"/>
          <w:szCs w:val="25"/>
        </w:rPr>
      </w:pPr>
    </w:p>
    <w:p>
      <w:pPr>
        <w:pStyle w:val="Heading3"/>
        <w:spacing w:line="240" w:lineRule="auto" w:before="36"/>
        <w:ind w:left="138" w:right="123"/>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123"/>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48"/>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报告期内在中国证监会指定报纸上公开披露过的所有公司文件正本及公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告的原件</w:t>
            </w:r>
          </w:p>
        </w:tc>
      </w:tr>
    </w:tbl>
    <w:p>
      <w:pPr>
        <w:pStyle w:val="BodyText"/>
        <w:spacing w:line="314" w:lineRule="auto" w:before="42"/>
        <w:ind w:left="5239" w:right="148" w:firstLine="2256"/>
        <w:jc w:val="left"/>
      </w:pPr>
      <w:r>
        <w:rPr>
          <w:spacing w:val="-1"/>
        </w:rPr>
        <w:t>董事长：顾国平</w:t>
      </w:r>
      <w:r>
        <w:rPr>
          <w:w w:val="100"/>
        </w:rPr>
        <w:t> </w:t>
      </w:r>
      <w:r>
        <w:rPr/>
        <w:t>董事会批准报送日期：</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w:t>
      </w:r>
    </w:p>
    <w:sectPr>
      <w:footerReference w:type="default" r:id="rId98"/>
      <w:pgSz w:w="11910" w:h="16840"/>
      <w:pgMar w:footer="1195" w:header="0"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594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594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130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594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594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594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9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594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594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130</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594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594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65</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594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130</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594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594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130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594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130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594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594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87</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594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593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130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593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91 </w:t>
                </w:r>
                <w:r>
                  <w:rPr>
                    <w:rFonts w:ascii="Calibri"/>
                    <w:sz w:val="18"/>
                  </w:rPr>
                  <w:t>/</w:t>
                </w:r>
                <w:r>
                  <w:rPr>
                    <w:rFonts w:ascii="Calibri"/>
                    <w:spacing w:val="-4"/>
                    <w:sz w:val="18"/>
                  </w:rPr>
                  <w:t> </w:t>
                </w:r>
                <w:r>
                  <w:rPr>
                    <w:rFonts w:ascii="Calibri"/>
                    <w:b/>
                    <w:sz w:val="18"/>
                  </w:rPr>
                  <w:t>130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593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593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130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593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593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130</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594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593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593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116</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593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130</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593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593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130</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594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594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594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594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130</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594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130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59485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3.790009pt;margin-top:42.985607pt;width:177.85pt;height:12pt;mso-position-horizontal-relative:page;mso-position-vertical-relative:page;z-index:-5948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594736"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587.940002pt;margin-top:42.985634pt;width:177.8pt;height:12pt;mso-position-horizontal-relative:page;mso-position-vertical-relative:page;z-index:-594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59466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353.790009pt;margin-top:42.985607pt;width:177.85pt;height:12pt;mso-position-horizontal-relative:page;mso-position-vertical-relative:page;z-index:-594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594472"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592.140015pt;margin-top:42.985634pt;width:177.8pt;height:12pt;mso-position-horizontal-relative:page;mso-position-vertical-relative:page;z-index:-5944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59440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353.790009pt;margin-top:43.105606pt;width:177.85pt;height:12pt;mso-position-horizontal-relative:page;mso-position-vertical-relative:page;z-index:-5943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59425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592.140015pt;margin-top:43.105633pt;width:177.8pt;height:12pt;mso-position-horizontal-relative:page;mso-position-vertical-relative:page;z-index:-5942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59416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353.790009pt;margin-top:43.105606pt;width:177.85pt;height:12pt;mso-position-horizontal-relative:page;mso-position-vertical-relative:page;z-index:-594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38"/>
    </w:pPr>
    <w:rPr>
      <w:rFonts w:ascii="宋体" w:hAnsi="宋体" w:eastAsia="宋体"/>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140"/>
      <w:outlineLvl w:val="2"/>
    </w:pPr>
    <w:rPr>
      <w:rFonts w:ascii="宋体" w:hAnsi="宋体" w:eastAsia="宋体"/>
      <w:i/>
      <w:sz w:val="22"/>
      <w:szCs w:val="22"/>
    </w:rPr>
  </w:style>
  <w:style w:styleId="Heading3" w:type="paragraph">
    <w:name w:val="Heading 3"/>
    <w:basedOn w:val="Normal"/>
    <w:uiPriority w:val="1"/>
    <w:qFormat/>
    <w:pPr>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bsyy_bh@163.net" TargetMode="External"/><Relationship Id="rId8" Type="http://schemas.openxmlformats.org/officeDocument/2006/relationships/hyperlink" Target="mailto:_bh@163.net" TargetMode="External"/><Relationship Id="rId9" Type="http://schemas.openxmlformats.org/officeDocument/2006/relationships/hyperlink" Target="http://www.bsyy.com.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header" Target="header4.xml"/><Relationship Id="rId29" Type="http://schemas.openxmlformats.org/officeDocument/2006/relationships/footer" Target="footer6.xml"/><Relationship Id="rId30" Type="http://schemas.openxmlformats.org/officeDocument/2006/relationships/footer" Target="footer7.xml"/><Relationship Id="rId31" Type="http://schemas.openxmlformats.org/officeDocument/2006/relationships/image" Target="media/image12.png"/><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header" Target="header5.xml"/><Relationship Id="rId39" Type="http://schemas.openxmlformats.org/officeDocument/2006/relationships/footer" Target="footer12.xml"/><Relationship Id="rId40" Type="http://schemas.openxmlformats.org/officeDocument/2006/relationships/header" Target="header6.xml"/><Relationship Id="rId41" Type="http://schemas.openxmlformats.org/officeDocument/2006/relationships/footer" Target="footer13.xml"/><Relationship Id="rId42" Type="http://schemas.openxmlformats.org/officeDocument/2006/relationships/footer" Target="footer14.xml"/><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header" Target="header7.xml"/><Relationship Id="rId46" Type="http://schemas.openxmlformats.org/officeDocument/2006/relationships/footer" Target="footer17.xml"/><Relationship Id="rId47" Type="http://schemas.openxmlformats.org/officeDocument/2006/relationships/footer" Target="footer18.xml"/><Relationship Id="rId48" Type="http://schemas.openxmlformats.org/officeDocument/2006/relationships/header" Target="header8.xml"/><Relationship Id="rId49" Type="http://schemas.openxmlformats.org/officeDocument/2006/relationships/footer" Target="footer19.xml"/><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image" Target="media/image23.png"/><Relationship Id="rId59" Type="http://schemas.openxmlformats.org/officeDocument/2006/relationships/footer" Target="footer20.xml"/><Relationship Id="rId60" Type="http://schemas.openxmlformats.org/officeDocument/2006/relationships/footer" Target="footer21.xml"/><Relationship Id="rId61" Type="http://schemas.openxmlformats.org/officeDocument/2006/relationships/footer" Target="footer22.xml"/><Relationship Id="rId62" Type="http://schemas.openxmlformats.org/officeDocument/2006/relationships/footer" Target="footer23.xml"/><Relationship Id="rId63" Type="http://schemas.openxmlformats.org/officeDocument/2006/relationships/footer" Target="footer24.xml"/><Relationship Id="rId64" Type="http://schemas.openxmlformats.org/officeDocument/2006/relationships/footer" Target="footer25.xml"/><Relationship Id="rId65" Type="http://schemas.openxmlformats.org/officeDocument/2006/relationships/footer" Target="footer26.xml"/><Relationship Id="rId66" Type="http://schemas.openxmlformats.org/officeDocument/2006/relationships/image" Target="media/image24.png"/><Relationship Id="rId67" Type="http://schemas.openxmlformats.org/officeDocument/2006/relationships/image" Target="media/image25.png"/><Relationship Id="rId68" Type="http://schemas.openxmlformats.org/officeDocument/2006/relationships/image" Target="media/image26.png"/><Relationship Id="rId69" Type="http://schemas.openxmlformats.org/officeDocument/2006/relationships/image" Target="media/image27.png"/><Relationship Id="rId70" Type="http://schemas.openxmlformats.org/officeDocument/2006/relationships/footer" Target="footer27.xml"/><Relationship Id="rId71" Type="http://schemas.openxmlformats.org/officeDocument/2006/relationships/footer" Target="footer28.xml"/><Relationship Id="rId72" Type="http://schemas.openxmlformats.org/officeDocument/2006/relationships/footer" Target="footer29.xml"/><Relationship Id="rId73" Type="http://schemas.openxmlformats.org/officeDocument/2006/relationships/footer" Target="footer30.xml"/><Relationship Id="rId74" Type="http://schemas.openxmlformats.org/officeDocument/2006/relationships/header" Target="header9.xml"/><Relationship Id="rId75" Type="http://schemas.openxmlformats.org/officeDocument/2006/relationships/footer" Target="footer31.xml"/><Relationship Id="rId76" Type="http://schemas.openxmlformats.org/officeDocument/2006/relationships/image" Target="media/image28.png"/><Relationship Id="rId77" Type="http://schemas.openxmlformats.org/officeDocument/2006/relationships/image" Target="media/image29.png"/><Relationship Id="rId78" Type="http://schemas.openxmlformats.org/officeDocument/2006/relationships/image" Target="media/image30.png"/><Relationship Id="rId79" Type="http://schemas.openxmlformats.org/officeDocument/2006/relationships/image" Target="media/image31.png"/><Relationship Id="rId80" Type="http://schemas.openxmlformats.org/officeDocument/2006/relationships/image" Target="media/image32.png"/><Relationship Id="rId81" Type="http://schemas.openxmlformats.org/officeDocument/2006/relationships/footer" Target="footer32.xml"/><Relationship Id="rId82" Type="http://schemas.openxmlformats.org/officeDocument/2006/relationships/image" Target="media/image33.png"/><Relationship Id="rId83" Type="http://schemas.openxmlformats.org/officeDocument/2006/relationships/image" Target="media/image34.png"/><Relationship Id="rId84" Type="http://schemas.openxmlformats.org/officeDocument/2006/relationships/image" Target="media/image35.png"/><Relationship Id="rId85" Type="http://schemas.openxmlformats.org/officeDocument/2006/relationships/image" Target="media/image36.png"/><Relationship Id="rId86" Type="http://schemas.openxmlformats.org/officeDocument/2006/relationships/image" Target="media/image37.png"/><Relationship Id="rId87" Type="http://schemas.openxmlformats.org/officeDocument/2006/relationships/footer" Target="footer33.xml"/><Relationship Id="rId88" Type="http://schemas.openxmlformats.org/officeDocument/2006/relationships/footer" Target="footer34.xml"/><Relationship Id="rId89" Type="http://schemas.openxmlformats.org/officeDocument/2006/relationships/image" Target="media/image38.png"/><Relationship Id="rId90" Type="http://schemas.openxmlformats.org/officeDocument/2006/relationships/image" Target="media/image39.png"/><Relationship Id="rId91" Type="http://schemas.openxmlformats.org/officeDocument/2006/relationships/image" Target="media/image40.png"/><Relationship Id="rId92" Type="http://schemas.openxmlformats.org/officeDocument/2006/relationships/image" Target="media/image41.png"/><Relationship Id="rId93" Type="http://schemas.openxmlformats.org/officeDocument/2006/relationships/image" Target="media/image42.png"/><Relationship Id="rId94" Type="http://schemas.openxmlformats.org/officeDocument/2006/relationships/image" Target="media/image43.png"/><Relationship Id="rId95" Type="http://schemas.openxmlformats.org/officeDocument/2006/relationships/image" Target="media/image44.png"/><Relationship Id="rId96" Type="http://schemas.openxmlformats.org/officeDocument/2006/relationships/image" Target="media/image45.png"/><Relationship Id="rId97" Type="http://schemas.openxmlformats.org/officeDocument/2006/relationships/image" Target="media/image46.png"/><Relationship Id="rId98" Type="http://schemas.openxmlformats.org/officeDocument/2006/relationships/footer" Target="foot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2020-05-04T19:13:22Z</dcterms:created>
  <dcterms:modified xsi:type="dcterms:W3CDTF">2020-05-04T19:13:22Z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2016-06-03T00:00:00Z</vt:filetime>
  </property>
  <property fmtid="{D5CDD505-2E9C-101B-9397-08002B2CF9AE}" pid="3" name="Creator">
    <vt:lpwstr>Microsoft® Office Word 2007</vt:lpwstr>
  </property>
  <property fmtid="{D5CDD505-2E9C-101B-9397-08002B2CF9AE}" pid="4" name="LastSaved">
    <vt:filetime>2020-05-04T00:00:00Z</vt:filetime>
  </property>
</Properties>
</file>