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600556</w:t>
        <w:tab/>
      </w:r>
      <w:r>
        <w:rPr>
          <w:spacing w:val="-2"/>
        </w:rPr>
        <w:t>公司简称：</w:t>
      </w:r>
      <w:r>
        <w:rPr>
          <w:rFonts w:ascii="宋体" w:hAnsi="宋体" w:cs="宋体" w:eastAsia="宋体" w:hint="default"/>
          <w:spacing w:val="-2"/>
        </w:rPr>
        <w:t>ST</w:t>
      </w:r>
      <w:r>
        <w:rPr>
          <w:rFonts w:ascii="宋体" w:hAnsi="宋体" w:cs="宋体" w:eastAsia="宋体" w:hint="default"/>
          <w:spacing w:val="-38"/>
        </w:rPr>
        <w:t> </w:t>
      </w:r>
      <w:r>
        <w:rPr>
          <w:spacing w:val="-3"/>
        </w:rPr>
        <w:t>慧球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275"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广西慧金科技股份有限公司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341" w:right="3438"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5"/>
        <w:ind w:left="138" w:right="0"/>
        <w:jc w:val="left"/>
        <w:rPr>
          <w:b w:val="0"/>
          <w:bCs w:val="0"/>
        </w:rPr>
      </w:pPr>
      <w:r>
        <w:rPr/>
        <w:t>三、</w:t>
      </w:r>
      <w:r>
        <w:rPr>
          <w:spacing w:val="-14"/>
        </w:rPr>
        <w:t> </w:t>
      </w:r>
      <w:r>
        <w:rPr/>
        <w:t>大华会计师事务所（特殊普通合伙）为本公司出具了标准无保留意见的审计报告。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5" w:lineRule="auto" w:before="145"/>
        <w:ind w:left="505" w:right="0" w:hanging="368"/>
        <w:jc w:val="left"/>
        <w:rPr>
          <w:b w:val="0"/>
          <w:bCs w:val="0"/>
        </w:rPr>
      </w:pPr>
      <w:r>
        <w:rPr/>
        <w:t>四、公司负责人张琲、主管会计工作负责人李洁及会计机构负责人（会计主管人员）徐波声明：</w:t>
      </w:r>
      <w:r>
        <w:rPr>
          <w:spacing w:val="-19"/>
        </w:rPr>
        <w:t> </w:t>
      </w:r>
      <w:r>
        <w:rPr>
          <w:spacing w:val="-19"/>
        </w:rPr>
      </w:r>
      <w:r>
        <w:rPr/>
        <w:t>保证年度报告中财务报告的真实、准确、完整。</w:t>
      </w:r>
      <w:r>
        <w:rPr>
          <w:b w:val="0"/>
          <w:bCs w:val="0"/>
        </w:rPr>
      </w:r>
    </w:p>
    <w:p>
      <w:pPr>
        <w:spacing w:line="480" w:lineRule="atLeast" w:before="10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2017</w:t>
      </w:r>
      <w:r>
        <w:rPr>
          <w:rFonts w:ascii="宋体" w:hAnsi="宋体" w:cs="宋体" w:eastAsia="宋体" w:hint="default"/>
          <w:spacing w:val="-2"/>
          <w:sz w:val="21"/>
          <w:szCs w:val="21"/>
        </w:rPr>
        <w:t>年度，公司拟定不进行利润分配，也不进行资本公积金转增股本，此预案尚需提交公司</w:t>
      </w:r>
    </w:p>
    <w:p>
      <w:pPr>
        <w:pStyle w:val="BodyText"/>
        <w:spacing w:line="240" w:lineRule="auto" w:before="85"/>
        <w:ind w:left="138" w:right="0"/>
        <w:jc w:val="left"/>
      </w:pPr>
      <w:r>
        <w:rPr>
          <w:rFonts w:ascii="宋体" w:hAnsi="宋体" w:cs="宋体" w:eastAsia="宋体" w:hint="default"/>
        </w:rPr>
        <w:t>2017</w:t>
      </w:r>
      <w:r>
        <w:rPr/>
        <w:t>年年度股东大会审议。</w:t>
      </w:r>
    </w:p>
    <w:p>
      <w:pPr>
        <w:spacing w:line="240" w:lineRule="auto" w:before="2"/>
        <w:rPr>
          <w:rFonts w:ascii="宋体" w:hAnsi="宋体" w:cs="宋体" w:eastAsia="宋体" w:hint="default"/>
          <w:sz w:val="28"/>
          <w:szCs w:val="28"/>
        </w:rPr>
      </w:pPr>
    </w:p>
    <w:p>
      <w:pPr>
        <w:pStyle w:val="Heading4"/>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138" w:right="0"/>
        <w:jc w:val="left"/>
      </w:pPr>
      <w:r>
        <w:rPr/>
        <w:t>□适用</w:t>
      </w:r>
      <w:r>
        <w:rPr>
          <w:spacing w:val="-1"/>
        </w:rPr>
        <w:t> </w:t>
      </w:r>
      <w:r>
        <w:rPr/>
        <w:t>√不适用</w:t>
      </w:r>
    </w:p>
    <w:p>
      <w:pPr>
        <w:spacing w:line="240" w:lineRule="auto" w:before="5"/>
        <w:rPr>
          <w:rFonts w:ascii="宋体" w:hAnsi="宋体" w:cs="宋体" w:eastAsia="宋体" w:hint="default"/>
          <w:sz w:val="27"/>
          <w:szCs w:val="27"/>
        </w:rPr>
      </w:pPr>
    </w:p>
    <w:p>
      <w:pPr>
        <w:pStyle w:val="Heading4"/>
        <w:spacing w:line="422" w:lineRule="auto"/>
        <w:ind w:left="138" w:right="35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是</w:t>
      </w:r>
    </w:p>
    <w:p>
      <w:pPr>
        <w:spacing w:line="240" w:lineRule="auto" w:before="13"/>
        <w:rPr>
          <w:rFonts w:ascii="宋体" w:hAnsi="宋体" w:cs="宋体" w:eastAsia="宋体" w:hint="default"/>
          <w:sz w:val="15"/>
          <w:szCs w:val="15"/>
        </w:rPr>
      </w:pPr>
    </w:p>
    <w:p>
      <w:pPr>
        <w:pStyle w:val="Heading4"/>
        <w:tabs>
          <w:tab w:pos="781" w:val="left" w:leader="none"/>
        </w:tabs>
        <w:spacing w:line="355" w:lineRule="auto"/>
        <w:ind w:left="138" w:right="37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是</w:t>
      </w:r>
    </w:p>
    <w:p>
      <w:pPr>
        <w:tabs>
          <w:tab w:pos="781" w:val="left" w:leader="none"/>
        </w:tabs>
        <w:spacing w:line="357" w:lineRule="auto" w:before="169"/>
        <w:ind w:left="138" w:right="2760" w:firstLine="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报告期内，不存在对公司生产经营产生实质性影响的特别重大风险。</w:t>
      </w:r>
    </w:p>
    <w:p>
      <w:pPr>
        <w:spacing w:before="161"/>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157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r>
              <w:rPr>
                <w:rFonts w:ascii="Calibri" w:hAnsi="Calibri" w:cs="Calibri" w:eastAsia="Calibri" w:hint="default"/>
                <w:sz w:val="21"/>
                <w:szCs w:val="21"/>
              </w:rPr>
              <w:t>ST</w:t>
            </w:r>
            <w:r>
              <w:rPr>
                <w:rFonts w:ascii="Calibri" w:hAnsi="Calibri" w:cs="Calibri" w:eastAsia="Calibri" w:hint="default"/>
                <w:spacing w:val="32"/>
                <w:sz w:val="21"/>
                <w:szCs w:val="21"/>
              </w:rPr>
              <w:t> </w:t>
            </w:r>
            <w:r>
              <w:rPr>
                <w:rFonts w:ascii="宋体" w:hAnsi="宋体" w:cs="宋体" w:eastAsia="宋体" w:hint="default"/>
                <w:sz w:val="21"/>
                <w:szCs w:val="21"/>
              </w:rPr>
              <w:t>慧球、公司、本</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广西慧球科技股份有限公司、</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广西慧金科技股份有限公司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智诚合讯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南宁市智诚合讯信息技术有限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瑞莱嘉誉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深圳市瑞莱嘉誉投资企业</w:t>
            </w:r>
            <w:r>
              <w:rPr>
                <w:rFonts w:ascii="宋体" w:hAnsi="宋体" w:cs="宋体" w:eastAsia="宋体" w:hint="default"/>
                <w:spacing w:val="11"/>
                <w:sz w:val="21"/>
                <w:szCs w:val="21"/>
              </w:rPr>
              <w:t>(</w:t>
            </w:r>
            <w:r>
              <w:rPr>
                <w:rFonts w:ascii="宋体" w:hAnsi="宋体" w:cs="宋体" w:eastAsia="宋体" w:hint="default"/>
                <w:spacing w:val="11"/>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湖北科赛威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湖北科赛威供应链管理有限公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上交所、交易所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164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借助新一代信息化技术，将人、</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商业、运输、通信、水和能源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等城市运行的各个核心系统整</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合起来，从而更好地理解和控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制城市运营，并优化有限资源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使用情况的城市</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人民币元、人民币万元、人民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币亿元</w:t>
            </w:r>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7"/>
          <w:szCs w:val="27"/>
        </w:rPr>
      </w:pPr>
    </w:p>
    <w:p>
      <w:pPr>
        <w:pStyle w:val="Heading1"/>
        <w:tabs>
          <w:tab w:pos="3717" w:val="left" w:leader="none"/>
        </w:tabs>
        <w:spacing w:line="240" w:lineRule="auto"/>
        <w:ind w:left="2457" w:right="9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8"/>
        <w:rPr>
          <w:rFonts w:ascii="黑体" w:hAnsi="黑体" w:cs="黑体" w:eastAsia="黑体" w:hint="default"/>
          <w:b/>
          <w:bCs/>
          <w:sz w:val="16"/>
          <w:szCs w:val="16"/>
        </w:rPr>
      </w:pPr>
    </w:p>
    <w:p>
      <w:pPr>
        <w:pStyle w:val="Heading4"/>
        <w:spacing w:line="240" w:lineRule="auto" w:before="36"/>
        <w:ind w:right="24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广西慧金科技股份有限公司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慧金科技</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GUANGXI FORTUNE TECHNOLOGY CO.,</w:t>
            </w:r>
            <w:r>
              <w:rPr>
                <w:rFonts w:ascii="宋体"/>
                <w:spacing w:val="-4"/>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FORTUNE</w:t>
            </w:r>
            <w:r>
              <w:rPr>
                <w:rFonts w:ascii="宋体"/>
                <w:spacing w:val="1"/>
                <w:sz w:val="21"/>
              </w:rPr>
              <w:t> </w:t>
            </w:r>
            <w:r>
              <w:rPr>
                <w:rFonts w:ascii="宋体"/>
                <w:sz w:val="21"/>
              </w:rPr>
              <w:t>TECHNOLOGY</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张琲</w:t>
            </w:r>
          </w:p>
        </w:tc>
      </w:tr>
    </w:tbl>
    <w:p>
      <w:pPr>
        <w:spacing w:line="240" w:lineRule="auto" w:before="12"/>
        <w:rPr>
          <w:rFonts w:ascii="宋体" w:hAnsi="宋体" w:cs="宋体" w:eastAsia="宋体" w:hint="default"/>
          <w:b/>
          <w:bCs/>
          <w:sz w:val="19"/>
          <w:szCs w:val="19"/>
        </w:rPr>
      </w:pPr>
    </w:p>
    <w:p>
      <w:pPr>
        <w:pStyle w:val="Heading4"/>
        <w:spacing w:line="240" w:lineRule="auto" w:before="36"/>
        <w:ind w:right="246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韦承武</w:t>
            </w:r>
          </w:p>
        </w:tc>
      </w:tr>
      <w:tr>
        <w:trPr>
          <w:trHeight w:val="55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0779-2228937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0779-2228937</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0779-2228936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0779-2228936</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7">
              <w:r>
                <w:rPr>
                  <w:rFonts w:ascii="宋体" w:hAnsi="宋体" w:cs="宋体" w:eastAsia="宋体" w:hint="default"/>
                  <w:sz w:val="21"/>
                  <w:szCs w:val="21"/>
                </w:rPr>
                <w:t>huiqiukeji@huiqiutec.com</w:t>
              </w:r>
            </w:hyperlink>
            <w:r>
              <w:rPr>
                <w:rFonts w:ascii="宋体" w:hAnsi="宋体" w:cs="宋体" w:eastAsia="宋体" w:hint="default"/>
                <w:sz w:val="21"/>
                <w:szCs w:val="21"/>
              </w:rPr>
              <w:t>、</w:t>
            </w:r>
          </w:p>
          <w:p>
            <w:pPr>
              <w:pStyle w:val="TableParagraph"/>
              <w:spacing w:line="274" w:lineRule="exact"/>
              <w:ind w:left="23" w:right="0"/>
              <w:jc w:val="left"/>
              <w:rPr>
                <w:rFonts w:ascii="宋体" w:hAnsi="宋体" w:cs="宋体" w:eastAsia="宋体" w:hint="default"/>
                <w:sz w:val="21"/>
                <w:szCs w:val="21"/>
              </w:rPr>
            </w:pPr>
            <w:hyperlink r:id="rId8">
              <w:r>
                <w:rPr>
                  <w:rFonts w:ascii="宋体"/>
                  <w:sz w:val="21"/>
                </w:rPr>
                <w:t>huijinkeji@fortunetec.net</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7">
              <w:r>
                <w:rPr>
                  <w:rFonts w:ascii="宋体" w:hAnsi="宋体" w:cs="宋体" w:eastAsia="宋体" w:hint="default"/>
                  <w:sz w:val="21"/>
                  <w:szCs w:val="21"/>
                </w:rPr>
                <w:t>huiqiukeji@huiqiutec.com</w:t>
              </w:r>
            </w:hyperlink>
            <w:r>
              <w:rPr>
                <w:rFonts w:ascii="宋体" w:hAnsi="宋体" w:cs="宋体" w:eastAsia="宋体" w:hint="default"/>
                <w:sz w:val="21"/>
                <w:szCs w:val="21"/>
              </w:rPr>
              <w:t>、</w:t>
            </w:r>
          </w:p>
          <w:p>
            <w:pPr>
              <w:pStyle w:val="TableParagraph"/>
              <w:spacing w:line="274" w:lineRule="exact"/>
              <w:ind w:left="23" w:right="0"/>
              <w:jc w:val="left"/>
              <w:rPr>
                <w:rFonts w:ascii="宋体" w:hAnsi="宋体" w:cs="宋体" w:eastAsia="宋体" w:hint="default"/>
                <w:sz w:val="21"/>
                <w:szCs w:val="21"/>
              </w:rPr>
            </w:pPr>
            <w:hyperlink r:id="rId8">
              <w:r>
                <w:rPr>
                  <w:rFonts w:ascii="宋体"/>
                  <w:sz w:val="21"/>
                </w:rPr>
                <w:t>huijinkeji@fortunetec.net</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z w:val="21"/>
                <w:szCs w:val="21"/>
              </w:rPr>
              <w:t>168</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536000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536000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http://www.fortunetec.net</w:t>
              </w:r>
            </w:hyperlink>
          </w:p>
        </w:tc>
      </w:tr>
      <w:tr>
        <w:trPr>
          <w:trHeight w:val="55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hAnsi="宋体" w:cs="宋体" w:eastAsia="宋体" w:hint="default"/>
                  <w:sz w:val="21"/>
                  <w:szCs w:val="21"/>
                </w:rPr>
                <w:t>huiqiukeji@huiqiutec.com</w:t>
              </w:r>
            </w:hyperlink>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hyperlink r:id="rId8">
              <w:r>
                <w:rPr>
                  <w:rFonts w:ascii="宋体"/>
                  <w:sz w:val="21"/>
                </w:rPr>
                <w:t>huijinkeji@fortunetec.net</w:t>
              </w:r>
            </w:hyperlink>
          </w:p>
        </w:tc>
      </w:tr>
    </w:tbl>
    <w:p>
      <w:pPr>
        <w:spacing w:line="240" w:lineRule="auto" w:before="2"/>
        <w:rPr>
          <w:rFonts w:ascii="宋体" w:hAnsi="宋体" w:cs="宋体" w:eastAsia="宋体" w:hint="default"/>
          <w:b/>
          <w:bCs/>
          <w:sz w:val="20"/>
          <w:szCs w:val="20"/>
        </w:rPr>
      </w:pPr>
    </w:p>
    <w:p>
      <w:pPr>
        <w:pStyle w:val="Heading4"/>
        <w:spacing w:line="240" w:lineRule="auto" w:before="36"/>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465"/>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慧球</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600556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慧球科技</w:t>
            </w:r>
          </w:p>
        </w:tc>
      </w:tr>
    </w:tbl>
    <w:p>
      <w:pPr>
        <w:spacing w:line="240" w:lineRule="auto" w:before="2"/>
        <w:rPr>
          <w:rFonts w:ascii="宋体" w:hAnsi="宋体" w:cs="宋体" w:eastAsia="宋体" w:hint="default"/>
          <w:b/>
          <w:bCs/>
          <w:sz w:val="20"/>
          <w:szCs w:val="20"/>
        </w:rPr>
      </w:pPr>
    </w:p>
    <w:p>
      <w:pPr>
        <w:pStyle w:val="Heading4"/>
        <w:spacing w:line="240" w:lineRule="auto" w:before="36"/>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深圳市福田区滨河大道联合广场</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张晓义、秦睿</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12"/>
        <w:gridCol w:w="1685"/>
        <w:gridCol w:w="1688"/>
        <w:gridCol w:w="1081"/>
        <w:gridCol w:w="1685"/>
      </w:tblGrid>
      <w:tr>
        <w:trPr>
          <w:trHeight w:val="826"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2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71" w:right="111" w:hanging="156"/>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65,825,072.43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46,882,092.53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40.41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92,909,443.18</w:t>
            </w:r>
          </w:p>
        </w:tc>
      </w:tr>
      <w:tr>
        <w:trPr>
          <w:trHeight w:val="55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3,169,006.41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-26,358,870.64</w:t>
            </w: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5,131,893.00</w:t>
            </w:r>
          </w:p>
        </w:tc>
      </w:tr>
      <w:tr>
        <w:trPr>
          <w:trHeight w:val="557"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归属于上市公司股东的扣除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-4,291,420.51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-25,351,624.77</w:t>
            </w: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1,987,924.10</w:t>
            </w:r>
          </w:p>
        </w:tc>
      </w:tr>
      <w:tr>
        <w:trPr>
          <w:trHeight w:val="555"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45,538,549.98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7,906,690.40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475.95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-92,438,722.02</w:t>
            </w:r>
          </w:p>
        </w:tc>
      </w:tr>
      <w:tr>
        <w:trPr>
          <w:trHeight w:val="295" w:hRule="exact"/>
        </w:trPr>
        <w:tc>
          <w:tcPr>
            <w:tcW w:w="291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2"/>
        <w:gridCol w:w="1685"/>
        <w:gridCol w:w="1688"/>
        <w:gridCol w:w="1081"/>
        <w:gridCol w:w="1685"/>
      </w:tblGrid>
      <w:tr>
        <w:trPr>
          <w:trHeight w:val="296" w:hRule="exact"/>
        </w:trPr>
        <w:tc>
          <w:tcPr>
            <w:tcW w:w="291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91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6"/>
              <w:ind w:left="103" w:right="99"/>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17"/>
                <w:w w:val="100"/>
                <w:sz w:val="21"/>
                <w:szCs w:val="21"/>
              </w:rPr>
              <w:t>末增减（</w:t>
            </w:r>
            <w:r>
              <w:rPr>
                <w:rFonts w:ascii="宋体" w:hAnsi="宋体" w:cs="宋体" w:eastAsia="宋体" w:hint="default"/>
                <w:spacing w:val="-17"/>
                <w:w w:val="100"/>
                <w:sz w:val="21"/>
                <w:szCs w:val="21"/>
              </w:rPr>
              <w:t>%</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7"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77,626,273.27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74,457,266.86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32,953,228.60</w:t>
            </w:r>
          </w:p>
        </w:tc>
      </w:tr>
      <w:tr>
        <w:trPr>
          <w:trHeight w:val="29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125,768,677.48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288,189,640.84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124,606,172.83</w:t>
            </w:r>
          </w:p>
        </w:tc>
      </w:tr>
      <w:tr>
        <w:trPr>
          <w:trHeight w:val="295" w:hRule="exact"/>
        </w:trPr>
        <w:tc>
          <w:tcPr>
            <w:tcW w:w="291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1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tabs>
          <w:tab w:pos="1057" w:val="left" w:leader="none"/>
        </w:tabs>
        <w:spacing w:line="240" w:lineRule="auto" w:before="36"/>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0.013</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-40.32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112.84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-38.78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43.71</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pStyle w:val="BodyText"/>
        <w:spacing w:line="273" w:lineRule="exact" w:before="36"/>
        <w:ind w:right="2465"/>
        <w:jc w:val="left"/>
      </w:pPr>
      <w:r>
        <w:rPr/>
        <w:t>报告期末公司前三年主要会计数据和财务指标的说明</w:t>
      </w:r>
    </w:p>
    <w:p>
      <w:pPr>
        <w:pStyle w:val="BodyText"/>
        <w:spacing w:line="240" w:lineRule="auto"/>
        <w:ind w:right="97"/>
        <w:jc w:val="left"/>
      </w:pPr>
      <w:r>
        <w:rPr/>
        <w:t>√适用</w:t>
      </w:r>
      <w:r>
        <w:rPr>
          <w:spacing w:val="-2"/>
        </w:rPr>
        <w:t> </w:t>
      </w:r>
      <w:r>
        <w:rPr/>
        <w:t>□不适用</w:t>
      </w:r>
      <w:r>
        <w:rPr>
          <w:w w:val="100"/>
        </w:rPr>
        <w:t> </w:t>
      </w:r>
      <w:r>
        <w:rPr>
          <w:rFonts w:ascii="宋体" w:hAnsi="宋体" w:cs="宋体" w:eastAsia="宋体" w:hint="default"/>
          <w:spacing w:val="-2"/>
        </w:rPr>
        <w:t>1</w:t>
      </w:r>
      <w:r>
        <w:rPr>
          <w:spacing w:val="-2"/>
        </w:rPr>
        <w:t>、营业收入较上年同期增加</w:t>
      </w:r>
      <w:r>
        <w:rPr>
          <w:rFonts w:ascii="宋体" w:hAnsi="宋体" w:cs="宋体" w:eastAsia="宋体" w:hint="default"/>
          <w:spacing w:val="-2"/>
        </w:rPr>
        <w:t>40.41%</w:t>
      </w:r>
      <w:r>
        <w:rPr>
          <w:spacing w:val="-2"/>
        </w:rPr>
        <w:t>，主要原因是本期智慧城市项目收入增加</w:t>
      </w:r>
      <w:r>
        <w:rPr>
          <w:rFonts w:ascii="宋体" w:hAnsi="宋体" w:cs="宋体" w:eastAsia="宋体" w:hint="default"/>
          <w:spacing w:val="-2"/>
        </w:rPr>
        <w:t>2,389.41</w:t>
      </w:r>
      <w:r>
        <w:rPr>
          <w:spacing w:val="-2"/>
        </w:rPr>
        <w:t>万元。</w:t>
      </w:r>
    </w:p>
    <w:p>
      <w:pPr>
        <w:pStyle w:val="BodyText"/>
        <w:spacing w:line="355" w:lineRule="auto" w:before="133"/>
        <w:ind w:right="97"/>
        <w:jc w:val="left"/>
      </w:pPr>
      <w:r>
        <w:rPr>
          <w:rFonts w:ascii="宋体" w:hAnsi="宋体" w:cs="宋体" w:eastAsia="宋体" w:hint="default"/>
          <w:spacing w:val="-4"/>
        </w:rPr>
        <w:t>2</w:t>
      </w:r>
      <w:r>
        <w:rPr>
          <w:spacing w:val="-4"/>
        </w:rPr>
        <w:t>、归属于上市公司股东的净利润较上年同期增加</w:t>
      </w:r>
      <w:r>
        <w:rPr>
          <w:rFonts w:ascii="宋体" w:hAnsi="宋体" w:cs="宋体" w:eastAsia="宋体" w:hint="default"/>
          <w:spacing w:val="-4"/>
        </w:rPr>
        <w:t>2,952.79</w:t>
      </w:r>
      <w:r>
        <w:rPr>
          <w:spacing w:val="-4"/>
        </w:rPr>
        <w:t>万元，主要原因一是本期智慧城市业务</w:t>
      </w:r>
      <w:r>
        <w:rPr>
          <w:spacing w:val="-22"/>
        </w:rPr>
        <w:t> </w:t>
      </w:r>
      <w:r>
        <w:rPr>
          <w:spacing w:val="-22"/>
        </w:rPr>
      </w:r>
      <w:r>
        <w:rPr/>
        <w:t>减亏</w:t>
      </w:r>
      <w:r>
        <w:rPr>
          <w:rFonts w:ascii="宋体" w:hAnsi="宋体" w:cs="宋体" w:eastAsia="宋体" w:hint="default"/>
        </w:rPr>
        <w:t>1,845.21</w:t>
      </w:r>
      <w:r>
        <w:rPr/>
        <w:t>万元，二是转让沈阳辽原物业管理有限公司股权产生收益</w:t>
      </w:r>
      <w:r>
        <w:rPr>
          <w:rFonts w:ascii="宋体" w:hAnsi="宋体" w:cs="宋体" w:eastAsia="宋体" w:hint="default"/>
        </w:rPr>
        <w:t>933.23</w:t>
      </w:r>
      <w:r>
        <w:rPr/>
        <w:t>万元。</w:t>
      </w:r>
      <w:r>
        <w:rPr>
          <w:w w:val="100"/>
        </w:rPr>
        <w:t> </w:t>
      </w:r>
      <w:r>
        <w:rPr>
          <w:rFonts w:ascii="宋体" w:hAnsi="宋体" w:cs="宋体" w:eastAsia="宋体" w:hint="default"/>
        </w:rPr>
        <w:t>3</w:t>
      </w:r>
      <w:r>
        <w:rPr/>
        <w:t>、总资产较上年末减少</w:t>
      </w:r>
      <w:r>
        <w:rPr>
          <w:rFonts w:ascii="宋体" w:hAnsi="宋体" w:cs="宋体" w:eastAsia="宋体" w:hint="default"/>
        </w:rPr>
        <w:t>56.36%</w:t>
      </w:r>
      <w:r>
        <w:rPr/>
        <w:t>，主要原因是本期对关联方往来进行清理，大额挂账往来减少。</w:t>
      </w:r>
    </w:p>
    <w:p>
      <w:pPr>
        <w:pStyle w:val="BodyText"/>
        <w:spacing w:line="357" w:lineRule="auto" w:before="32"/>
        <w:ind w:right="97"/>
        <w:jc w:val="left"/>
      </w:pPr>
      <w:r>
        <w:rPr>
          <w:rFonts w:ascii="宋体" w:hAnsi="宋体" w:cs="宋体" w:eastAsia="宋体" w:hint="default"/>
          <w:spacing w:val="-2"/>
        </w:rPr>
        <w:t>4</w:t>
      </w:r>
      <w:r>
        <w:rPr>
          <w:spacing w:val="-2"/>
        </w:rPr>
        <w:t>、经营活动产生的现金流量净额较上年同期增加</w:t>
      </w:r>
      <w:r>
        <w:rPr>
          <w:rFonts w:ascii="宋体" w:hAnsi="宋体" w:cs="宋体" w:eastAsia="宋体" w:hint="default"/>
          <w:spacing w:val="-2"/>
        </w:rPr>
        <w:t>475.95%</w:t>
      </w:r>
      <w:r>
        <w:rPr>
          <w:spacing w:val="-2"/>
        </w:rPr>
        <w:t>，主要原因是本期收回为贵州中科建设</w:t>
      </w:r>
      <w:r>
        <w:rPr>
          <w:spacing w:val="-24"/>
        </w:rPr>
        <w:t> </w:t>
      </w:r>
      <w:r>
        <w:rPr>
          <w:spacing w:val="-24"/>
        </w:rPr>
      </w:r>
      <w:r>
        <w:rPr/>
        <w:t>有限公司垫付资金</w:t>
      </w:r>
      <w:r>
        <w:rPr>
          <w:rFonts w:ascii="宋体" w:hAnsi="宋体" w:cs="宋体" w:eastAsia="宋体" w:hint="default"/>
        </w:rPr>
        <w:t>5,000</w:t>
      </w:r>
      <w:r>
        <w:rPr/>
        <w:t>万元。</w:t>
      </w:r>
    </w:p>
    <w:p>
      <w:pPr>
        <w:spacing w:line="240" w:lineRule="auto" w:before="12"/>
        <w:rPr>
          <w:rFonts w:ascii="宋体" w:hAnsi="宋体" w:cs="宋体" w:eastAsia="宋体" w:hint="default"/>
          <w:sz w:val="24"/>
          <w:szCs w:val="24"/>
        </w:rPr>
      </w:pPr>
    </w:p>
    <w:p>
      <w:pPr>
        <w:pStyle w:val="Heading4"/>
        <w:spacing w:line="240" w:lineRule="auto" w:before="36"/>
        <w:ind w:right="2465"/>
        <w:jc w:val="left"/>
        <w:rPr>
          <w:b w:val="0"/>
          <w:bCs w:val="0"/>
        </w:rPr>
      </w:pPr>
      <w:r>
        <w:rPr/>
        <w:t>八、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1582"/>
        <w:gridCol w:w="1582"/>
        <w:gridCol w:w="1582"/>
        <w:gridCol w:w="1579"/>
      </w:tblGrid>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5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8,728,535.56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7,007,660.72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19,867,826.22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30,221,049.93</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-1,908,930.24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-9,601,209.86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1,809,852.97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12,869,293.54</w:t>
            </w:r>
          </w:p>
        </w:tc>
      </w:tr>
      <w:tr>
        <w:trPr>
          <w:trHeight w:val="828"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pacing w:val="-2"/>
                <w:sz w:val="21"/>
                <w:szCs w:val="21"/>
              </w:rPr>
              <w:t>除非经常性损益后的净利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-1,853,348.81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-6,436,688.04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1,734,981.01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2,263,635.33</w:t>
            </w:r>
          </w:p>
        </w:tc>
      </w:tr>
      <w:tr>
        <w:trPr>
          <w:trHeight w:val="55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1,283,229.66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-9,611,849.00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17,115,215.81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36,751,953.51</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right="2465"/>
        <w:jc w:val="left"/>
      </w:pPr>
      <w:r>
        <w:rPr/>
        <w:t>季度数据与已披露定期报告数据差异说明</w:t>
      </w:r>
    </w:p>
    <w:p>
      <w:pPr>
        <w:pStyle w:val="BodyText"/>
        <w:tabs>
          <w:tab w:pos="1060" w:val="left" w:leader="none"/>
        </w:tabs>
        <w:spacing w:line="274" w:lineRule="exact"/>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spacing w:line="240" w:lineRule="auto" w:before="36"/>
        <w:ind w:right="-18"/>
        <w:jc w:val="left"/>
        <w:rPr>
          <w:b w:val="0"/>
          <w:bCs w:val="0"/>
        </w:rPr>
      </w:pPr>
      <w:r>
        <w:rPr/>
        <w:t>九、</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5"/>
        <w:gridCol w:w="1580"/>
        <w:gridCol w:w="1104"/>
        <w:gridCol w:w="1582"/>
        <w:gridCol w:w="1579"/>
      </w:tblGrid>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9,279,115.48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-53,980.27</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before="2"/>
              <w:ind w:left="103" w:right="144"/>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100,846.00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113,300.00</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-862,908.90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4,141,667.00</w:t>
            </w:r>
          </w:p>
        </w:tc>
      </w:tr>
      <w:tr>
        <w:trPr>
          <w:trHeight w:val="1099"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39,536.00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-245,182.97</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14,469.04</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5"/>
        <w:gridCol w:w="1580"/>
        <w:gridCol w:w="1104"/>
        <w:gridCol w:w="1582"/>
        <w:gridCol w:w="1579"/>
      </w:tblGrid>
      <w:tr>
        <w:trPr>
          <w:trHeight w:val="557"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对当期损益的影响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-1,878,224.56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-23,497.23</w:t>
            </w:r>
          </w:p>
        </w:tc>
      </w:tr>
      <w:tr>
        <w:trPr>
          <w:trHeight w:val="55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-1,047,989.64</w:t>
            </w:r>
          </w:p>
        </w:tc>
      </w:tr>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7,460,426.92</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-1,007,245.87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3,143,968.90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before="36"/>
        <w:ind w:right="-18"/>
        <w:jc w:val="left"/>
        <w:rPr>
          <w:b w:val="0"/>
          <w:bCs w:val="0"/>
        </w:rPr>
      </w:pPr>
      <w:r>
        <w:rPr/>
        <w:t>十、</w:t>
      </w:r>
      <w:r>
        <w:rPr>
          <w:spacing w:val="-31"/>
        </w:rPr>
        <w:t> </w:t>
      </w:r>
      <w:r>
        <w:rPr/>
        <w:t>采用公允价值计量的项目</w:t>
      </w:r>
      <w:r>
        <w:rPr>
          <w:b w:val="0"/>
          <w:bCs w:val="0"/>
        </w:rPr>
      </w:r>
    </w:p>
    <w:p>
      <w:pPr>
        <w:tabs>
          <w:tab w:pos="1057" w:val="left" w:leader="none"/>
        </w:tabs>
        <w:spacing w:line="290" w:lineRule="auto" w:before="56"/>
        <w:ind w:left="218" w:right="12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十一、</w:t>
        <w:tab/>
        <w:t>其他</w:t>
      </w:r>
      <w:r>
        <w:rPr>
          <w:rFonts w:ascii="宋体" w:hAnsi="宋体" w:cs="宋体" w:eastAsia="宋体" w:hint="default"/>
          <w:sz w:val="21"/>
          <w:szCs w:val="21"/>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19"/>
          <w:szCs w:val="19"/>
        </w:rPr>
      </w:pPr>
    </w:p>
    <w:p>
      <w:pPr>
        <w:pStyle w:val="Heading1"/>
        <w:tabs>
          <w:tab w:pos="1345" w:val="left" w:leader="none"/>
        </w:tabs>
        <w:spacing w:line="240" w:lineRule="auto"/>
        <w:ind w:left="85"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580" w:right="1040"/>
          <w:cols w:num="2" w:equalWidth="0">
            <w:col w:w="3036" w:space="40"/>
            <w:col w:w="6214"/>
          </w:cols>
        </w:sectPr>
      </w:pPr>
    </w:p>
    <w:p>
      <w:pPr>
        <w:spacing w:line="240" w:lineRule="auto" w:before="7"/>
        <w:rPr>
          <w:rFonts w:ascii="黑体" w:hAnsi="黑体" w:cs="黑体" w:eastAsia="黑体" w:hint="default"/>
          <w:b/>
          <w:bCs/>
          <w:sz w:val="16"/>
          <w:szCs w:val="16"/>
        </w:rPr>
      </w:pPr>
    </w:p>
    <w:p>
      <w:pPr>
        <w:spacing w:line="290" w:lineRule="auto" w:before="36"/>
        <w:ind w:left="638" w:right="97"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公司的主要业务为智慧城市业务和物业管理业务。智慧城市业务包括智慧城市顶层设计、咨</w:t>
      </w:r>
    </w:p>
    <w:p>
      <w:pPr>
        <w:pStyle w:val="BodyText"/>
        <w:spacing w:line="357" w:lineRule="auto" w:before="89"/>
        <w:ind w:right="97"/>
        <w:jc w:val="left"/>
      </w:pPr>
      <w:r>
        <w:rPr>
          <w:spacing w:val="-2"/>
        </w:rPr>
        <w:t>询及智慧城市项目建设，智慧工厂的升级改造及智慧城市业务设备的集成采购；物业管理业务主</w:t>
      </w:r>
      <w:r>
        <w:rPr>
          <w:spacing w:val="-25"/>
        </w:rPr>
        <w:t> </w:t>
      </w:r>
      <w:r>
        <w:rPr>
          <w:spacing w:val="-25"/>
        </w:rPr>
      </w:r>
      <w:r>
        <w:rPr/>
        <w:t>要是为业务提供物业管理服务。</w:t>
      </w:r>
    </w:p>
    <w:p>
      <w:pPr>
        <w:pStyle w:val="BodyText"/>
        <w:spacing w:line="240" w:lineRule="auto" w:before="30"/>
        <w:ind w:left="638" w:right="2465"/>
        <w:jc w:val="left"/>
      </w:pPr>
      <w:r>
        <w:rPr>
          <w:rFonts w:ascii="宋体" w:hAnsi="宋体" w:cs="宋体" w:eastAsia="宋体" w:hint="default"/>
        </w:rPr>
        <w:t>1</w:t>
      </w:r>
      <w:r>
        <w:rPr/>
        <w:t>、智慧城市业务</w:t>
      </w:r>
    </w:p>
    <w:p>
      <w:pPr>
        <w:pStyle w:val="BodyText"/>
        <w:spacing w:line="355" w:lineRule="auto" w:before="133"/>
        <w:ind w:right="237" w:firstLine="419"/>
        <w:jc w:val="both"/>
        <w:rPr>
          <w:rFonts w:ascii="宋体" w:hAnsi="宋体" w:cs="宋体" w:eastAsia="宋体" w:hint="default"/>
        </w:rPr>
      </w:pPr>
      <w:r>
        <w:rPr/>
        <w:t>智慧城市面向的对象主要为各级政府，即</w:t>
      </w:r>
      <w:r>
        <w:rPr>
          <w:spacing w:val="-54"/>
        </w:rPr>
        <w:t> </w:t>
      </w:r>
      <w:r>
        <w:rPr>
          <w:rFonts w:ascii="宋体" w:hAnsi="宋体" w:cs="宋体" w:eastAsia="宋体" w:hint="default"/>
        </w:rPr>
        <w:t>B2G</w:t>
      </w:r>
      <w:r>
        <w:rPr/>
        <w:t>（企业对政府）模式，即使在试点阶段的中小</w:t>
      </w:r>
      <w:r>
        <w:rPr>
          <w:w w:val="100"/>
        </w:rPr>
        <w:t> </w:t>
      </w:r>
      <w:r>
        <w:rPr>
          <w:spacing w:val="-2"/>
        </w:rPr>
        <w:t>城市或片区，其项目规模均达亿元级别。而在整个实施过程中，由于涉及基础设施集成建设等工</w:t>
      </w:r>
      <w:r>
        <w:rPr>
          <w:spacing w:val="-25"/>
        </w:rPr>
        <w:t> </w:t>
      </w:r>
      <w:r>
        <w:rPr>
          <w:spacing w:val="-25"/>
        </w:rPr>
      </w:r>
      <w:r>
        <w:rPr/>
        <w:t>程项目，目前主流的无论</w:t>
      </w:r>
      <w:r>
        <w:rPr>
          <w:spacing w:val="-60"/>
        </w:rPr>
        <w:t> </w:t>
      </w:r>
      <w:r>
        <w:rPr>
          <w:rFonts w:ascii="宋体" w:hAnsi="宋体" w:cs="宋体" w:eastAsia="宋体" w:hint="default"/>
        </w:rPr>
        <w:t>BT</w:t>
      </w:r>
      <w:r>
        <w:rPr/>
        <w:t>（建设</w:t>
      </w:r>
      <w:r>
        <w:rPr>
          <w:rFonts w:ascii="宋体" w:hAnsi="宋体" w:cs="宋体" w:eastAsia="宋体" w:hint="default"/>
        </w:rPr>
        <w:t>-</w:t>
      </w:r>
      <w:r>
        <w:rPr/>
        <w:t>移交）模式、</w:t>
      </w:r>
      <w:r>
        <w:rPr>
          <w:rFonts w:ascii="宋体" w:hAnsi="宋体" w:cs="宋体" w:eastAsia="宋体" w:hint="default"/>
        </w:rPr>
        <w:t>EPC</w:t>
      </w:r>
      <w:r>
        <w:rPr/>
        <w:t>（设计</w:t>
      </w:r>
      <w:r>
        <w:rPr>
          <w:rFonts w:ascii="宋体" w:hAnsi="宋体" w:cs="宋体" w:eastAsia="宋体" w:hint="default"/>
        </w:rPr>
        <w:t>-</w:t>
      </w:r>
      <w:r>
        <w:rPr/>
        <w:t>采购－建造）模式或衍生出的</w:t>
      </w:r>
      <w:r>
        <w:rPr>
          <w:spacing w:val="-58"/>
        </w:rPr>
        <w:t> </w:t>
      </w:r>
      <w:r>
        <w:rPr>
          <w:rFonts w:ascii="宋体" w:hAnsi="宋体" w:cs="宋体" w:eastAsia="宋体" w:hint="default"/>
        </w:rPr>
        <w:t>BOT</w:t>
      </w:r>
    </w:p>
    <w:p>
      <w:pPr>
        <w:pStyle w:val="BodyText"/>
        <w:spacing w:line="355" w:lineRule="auto" w:before="34"/>
        <w:ind w:right="97"/>
        <w:jc w:val="left"/>
      </w:pPr>
      <w:r>
        <w:rPr>
          <w:spacing w:val="-2"/>
        </w:rPr>
        <w:t>（建设</w:t>
      </w:r>
      <w:r>
        <w:rPr>
          <w:rFonts w:ascii="宋体" w:hAnsi="宋体" w:cs="宋体" w:eastAsia="宋体" w:hint="default"/>
          <w:spacing w:val="-2"/>
        </w:rPr>
        <w:t>-</w:t>
      </w:r>
      <w:r>
        <w:rPr>
          <w:spacing w:val="-2"/>
        </w:rPr>
        <w:t>运营</w:t>
      </w:r>
      <w:r>
        <w:rPr>
          <w:rFonts w:ascii="宋体" w:hAnsi="宋体" w:cs="宋体" w:eastAsia="宋体" w:hint="default"/>
          <w:spacing w:val="-2"/>
        </w:rPr>
        <w:t>-</w:t>
      </w:r>
      <w:r>
        <w:rPr>
          <w:spacing w:val="-2"/>
        </w:rPr>
        <w:t>移交）、</w:t>
      </w:r>
      <w:r>
        <w:rPr>
          <w:rFonts w:ascii="宋体" w:hAnsi="宋体" w:cs="宋体" w:eastAsia="宋体" w:hint="default"/>
          <w:spacing w:val="-2"/>
        </w:rPr>
        <w:t>BLT</w:t>
      </w:r>
      <w:r>
        <w:rPr>
          <w:spacing w:val="-2"/>
        </w:rPr>
        <w:t>（建设</w:t>
      </w:r>
      <w:r>
        <w:rPr>
          <w:rFonts w:ascii="宋体" w:hAnsi="宋体" w:cs="宋体" w:eastAsia="宋体" w:hint="default"/>
          <w:spacing w:val="-2"/>
        </w:rPr>
        <w:t>-</w:t>
      </w:r>
      <w:r>
        <w:rPr>
          <w:spacing w:val="-2"/>
        </w:rPr>
        <w:t>租赁</w:t>
      </w:r>
      <w:r>
        <w:rPr>
          <w:rFonts w:ascii="宋体" w:hAnsi="宋体" w:cs="宋体" w:eastAsia="宋体" w:hint="default"/>
          <w:spacing w:val="-2"/>
        </w:rPr>
        <w:t>-</w:t>
      </w:r>
      <w:r>
        <w:rPr>
          <w:spacing w:val="-2"/>
        </w:rPr>
        <w:t>转让）、</w:t>
      </w:r>
      <w:r>
        <w:rPr>
          <w:rFonts w:ascii="宋体" w:hAnsi="宋体" w:cs="宋体" w:eastAsia="宋体" w:hint="default"/>
          <w:spacing w:val="-2"/>
        </w:rPr>
        <w:t>PPP</w:t>
      </w:r>
      <w:r>
        <w:rPr>
          <w:spacing w:val="-2"/>
        </w:rPr>
        <w:t>（公私合作）等模式，对业务承接方的资金</w:t>
      </w:r>
      <w:r>
        <w:rPr>
          <w:spacing w:val="-22"/>
        </w:rPr>
        <w:t> </w:t>
      </w:r>
      <w:r>
        <w:rPr>
          <w:spacing w:val="-22"/>
        </w:rPr>
      </w:r>
      <w:r>
        <w:rPr/>
        <w:t>储备和运转能力均存在较大考验。</w:t>
      </w:r>
    </w:p>
    <w:p>
      <w:pPr>
        <w:pStyle w:val="BodyText"/>
        <w:spacing w:line="357" w:lineRule="auto" w:before="33"/>
        <w:ind w:right="237" w:firstLine="419"/>
        <w:jc w:val="both"/>
      </w:pPr>
      <w:r>
        <w:rPr>
          <w:spacing w:val="-2"/>
        </w:rPr>
        <w:t>智慧城市建设涉及领域众多、产业环节众多，且由于各地特色与经济发展水平各不相同，国</w:t>
      </w:r>
      <w:r>
        <w:rPr>
          <w:w w:val="100"/>
        </w:rPr>
        <w:t> </w:t>
      </w:r>
      <w:r>
        <w:rPr>
          <w:spacing w:val="-2"/>
        </w:rPr>
        <w:t>家标准体系虽初步形成，但因城市发展需求、业态不断革新，标准还未完全统一，参与竞争的企</w:t>
      </w:r>
      <w:r>
        <w:rPr>
          <w:spacing w:val="-25"/>
        </w:rPr>
        <w:t> </w:t>
      </w:r>
      <w:r>
        <w:rPr>
          <w:spacing w:val="-25"/>
        </w:rPr>
      </w:r>
      <w:r>
        <w:rPr>
          <w:spacing w:val="-2"/>
        </w:rPr>
        <w:t>业较多，具备丰厚的资金实力，并能够借助上市公司平台的多种融资渠道为资金运转提供保证的</w:t>
      </w:r>
      <w:r>
        <w:rPr>
          <w:spacing w:val="-25"/>
        </w:rPr>
        <w:t> </w:t>
      </w:r>
      <w:r>
        <w:rPr>
          <w:spacing w:val="-25"/>
        </w:rPr>
      </w:r>
      <w:r>
        <w:rPr/>
        <w:t>公司，将在后续智慧城市建设推进中获得更多业务机会。</w:t>
      </w:r>
    </w:p>
    <w:p>
      <w:pPr>
        <w:pStyle w:val="BodyText"/>
        <w:spacing w:line="357" w:lineRule="auto" w:before="30"/>
        <w:ind w:right="228" w:firstLine="419"/>
        <w:jc w:val="both"/>
      </w:pPr>
      <w:r>
        <w:rPr>
          <w:spacing w:val="-2"/>
        </w:rPr>
        <w:t>智慧城市建设是一项非常庞大的系统工程，涉及众多信息化领域、技术环节，需要具备专业</w:t>
      </w:r>
      <w:r>
        <w:rPr>
          <w:w w:val="100"/>
        </w:rPr>
        <w:t> </w:t>
      </w:r>
      <w:r>
        <w:rPr>
          <w:spacing w:val="-6"/>
        </w:rPr>
        <w:t>经验的团队进行规划设计、项目管理。在技术储备阶段，随着国家标准的政策、标准的不断出台，</w:t>
      </w:r>
      <w:r>
        <w:rPr>
          <w:spacing w:val="-53"/>
        </w:rPr>
        <w:t> </w:t>
      </w:r>
      <w:r>
        <w:rPr>
          <w:spacing w:val="-53"/>
        </w:rPr>
      </w:r>
      <w:r>
        <w:rPr>
          <w:spacing w:val="-2"/>
        </w:rPr>
        <w:t>具备能够解读政府发展政策、应用需求并实现规划、应用的技术团队，并具有一定的专利储备，</w:t>
      </w:r>
      <w:r>
        <w:rPr>
          <w:spacing w:val="-25"/>
        </w:rPr>
        <w:t> </w:t>
      </w:r>
      <w:r>
        <w:rPr>
          <w:spacing w:val="-25"/>
        </w:rPr>
      </w:r>
      <w:r>
        <w:rPr>
          <w:spacing w:val="-3"/>
        </w:rPr>
        <w:t>将在业务开拓中形成核心竞争力；在项目落地实施时，涉及软件开发、系统集成、</w:t>
      </w:r>
      <w:r>
        <w:rPr>
          <w:rFonts w:ascii="宋体" w:hAnsi="宋体" w:cs="宋体" w:eastAsia="宋体" w:hint="default"/>
          <w:spacing w:val="-3"/>
        </w:rPr>
        <w:t>IT </w:t>
      </w:r>
      <w:r>
        <w:rPr/>
        <w:t>运维服务等</w:t>
      </w:r>
      <w:r>
        <w:rPr>
          <w:spacing w:val="-93"/>
        </w:rPr>
        <w:t> </w:t>
      </w:r>
      <w:r>
        <w:rPr>
          <w:spacing w:val="-93"/>
        </w:rPr>
      </w:r>
      <w:r>
        <w:rPr>
          <w:spacing w:val="-2"/>
        </w:rPr>
        <w:t>多方面的技术环节，因此实施团队的行业经验、技术水平以及持续的技术研发能力是保障项目实</w:t>
      </w:r>
    </w:p>
    <w:p>
      <w:pPr>
        <w:pStyle w:val="BodyText"/>
        <w:spacing w:line="240" w:lineRule="auto" w:before="30"/>
        <w:ind w:right="2465"/>
        <w:jc w:val="left"/>
      </w:pPr>
      <w:r>
        <w:rPr/>
        <w:t>施效果的关键。</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随着各地智慧城市进程的加快，智慧城市技术、经验、商业模式的不断成熟，各类智慧城市</w:t>
      </w:r>
      <w:r>
        <w:rPr>
          <w:w w:val="100"/>
        </w:rPr>
        <w:t> </w:t>
      </w:r>
      <w:r>
        <w:rPr>
          <w:spacing w:val="-2"/>
        </w:rPr>
        <w:t>参与者积极涌入，业内竞争加大，但具有上述技术核心竞争力、资金实力、区域资源的公司尤其</w:t>
      </w:r>
      <w:r>
        <w:rPr>
          <w:spacing w:val="-25"/>
        </w:rPr>
        <w:t> </w:t>
      </w:r>
      <w:r>
        <w:rPr>
          <w:spacing w:val="-25"/>
        </w:rPr>
      </w:r>
      <w:r>
        <w:rPr/>
        <w:t>是上市公司将具备显著竞争优势。</w:t>
      </w:r>
    </w:p>
    <w:p>
      <w:pPr>
        <w:pStyle w:val="BodyText"/>
        <w:spacing w:line="355" w:lineRule="auto" w:before="30"/>
        <w:ind w:left="138" w:right="137" w:firstLine="419"/>
        <w:jc w:val="both"/>
      </w:pPr>
      <w:r>
        <w:rPr>
          <w:spacing w:val="-2"/>
        </w:rPr>
        <w:t>公司目前根据自身特点，积极推进智慧城市业务，报告期内主要从细分领域智慧工厂及细分</w:t>
      </w:r>
      <w:r>
        <w:rPr>
          <w:w w:val="100"/>
        </w:rPr>
        <w:t> </w:t>
      </w:r>
      <w:r>
        <w:rPr/>
        <w:t>业务智慧城市设备集中采购来推动公司业务发展。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58" w:right="0"/>
        <w:jc w:val="left"/>
      </w:pPr>
      <w:r>
        <w:rPr>
          <w:rFonts w:ascii="宋体" w:hAnsi="宋体" w:cs="宋体" w:eastAsia="宋体" w:hint="default"/>
        </w:rPr>
        <w:t>2</w:t>
      </w:r>
      <w:r>
        <w:rPr/>
        <w:t>、物业管理服务业务</w:t>
      </w:r>
      <w:r>
        <w:rPr>
          <w:w w:val="100"/>
        </w:rPr>
        <w:t> </w:t>
      </w:r>
      <w:r>
        <w:rPr>
          <w:spacing w:val="-2"/>
        </w:rPr>
        <w:t>物业管理服务业务是比较成熟的业务，公司主要经营模式以住宅物业管理为主，以案场服务</w:t>
      </w:r>
    </w:p>
    <w:p>
      <w:pPr>
        <w:pStyle w:val="BodyText"/>
        <w:spacing w:line="355" w:lineRule="auto" w:before="33"/>
        <w:ind w:left="138" w:right="0"/>
        <w:jc w:val="left"/>
      </w:pPr>
      <w:r>
        <w:rPr>
          <w:spacing w:val="-2"/>
        </w:rPr>
        <w:t>及商业物业管理为辅。具体盈利模式主要包含了物业费收入、车位费收入、案场收入以及其他收</w:t>
      </w:r>
      <w:r>
        <w:rPr>
          <w:spacing w:val="-25"/>
        </w:rPr>
        <w:t> </w:t>
      </w:r>
      <w:r>
        <w:rPr>
          <w:spacing w:val="-25"/>
        </w:rPr>
      </w:r>
      <w:r>
        <w:rPr/>
        <w:t>入。</w:t>
      </w:r>
    </w:p>
    <w:p>
      <w:pPr>
        <w:pStyle w:val="BodyText"/>
        <w:spacing w:line="355" w:lineRule="auto" w:before="34"/>
        <w:ind w:left="138" w:right="137" w:firstLine="419"/>
        <w:jc w:val="both"/>
      </w:pPr>
      <w:r>
        <w:rPr>
          <w:spacing w:val="-2"/>
        </w:rPr>
        <w:t>物业管理是现代化城市管理和房地产经营管理的重要组成部分，我国物业管理行业在过去十</w:t>
      </w:r>
      <w:r>
        <w:rPr>
          <w:w w:val="100"/>
        </w:rPr>
        <w:t> </w:t>
      </w:r>
      <w:r>
        <w:rPr/>
        <w:t>几年保持稳步增长态势，预计未来</w:t>
      </w:r>
      <w:r>
        <w:rPr>
          <w:spacing w:val="-54"/>
        </w:rPr>
        <w:t> </w:t>
      </w:r>
      <w:r>
        <w:rPr>
          <w:rFonts w:ascii="宋体" w:hAnsi="宋体" w:cs="宋体" w:eastAsia="宋体" w:hint="default"/>
        </w:rPr>
        <w:t>5</w:t>
      </w:r>
      <w:r>
        <w:rPr>
          <w:rFonts w:ascii="宋体" w:hAnsi="宋体" w:cs="宋体" w:eastAsia="宋体" w:hint="default"/>
          <w:spacing w:val="-56"/>
        </w:rPr>
        <w:t> </w:t>
      </w:r>
      <w:r>
        <w:rPr/>
        <w:t>年行业仍将保持较快增长，到</w:t>
      </w:r>
      <w:r>
        <w:rPr>
          <w:spacing w:val="-54"/>
        </w:rPr>
        <w:t> </w:t>
      </w:r>
      <w:r>
        <w:rPr>
          <w:rFonts w:ascii="宋体" w:hAnsi="宋体" w:cs="宋体" w:eastAsia="宋体" w:hint="default"/>
        </w:rPr>
        <w:t>2021</w:t>
      </w:r>
      <w:r>
        <w:rPr>
          <w:rFonts w:ascii="宋体" w:hAnsi="宋体" w:cs="宋体" w:eastAsia="宋体" w:hint="default"/>
          <w:spacing w:val="-54"/>
        </w:rPr>
        <w:t> </w:t>
      </w:r>
      <w:r>
        <w:rPr/>
        <w:t>年市场规模突破</w:t>
      </w:r>
      <w:r>
        <w:rPr>
          <w:spacing w:val="-53"/>
        </w:rPr>
        <w:t> </w:t>
      </w:r>
      <w:r>
        <w:rPr>
          <w:rFonts w:ascii="宋体" w:hAnsi="宋体" w:cs="宋体" w:eastAsia="宋体" w:hint="default"/>
        </w:rPr>
        <w:t>8000</w:t>
      </w:r>
      <w:r>
        <w:rPr>
          <w:rFonts w:ascii="宋体" w:hAnsi="宋体" w:cs="宋体" w:eastAsia="宋体" w:hint="default"/>
          <w:spacing w:val="-54"/>
        </w:rPr>
        <w:t> </w:t>
      </w:r>
      <w:r>
        <w:rPr/>
        <w:t>亿</w:t>
      </w:r>
      <w:r>
        <w:rPr>
          <w:w w:val="100"/>
        </w:rPr>
        <w:t> </w:t>
      </w:r>
      <w:r>
        <w:rPr/>
        <w:t>元。</w:t>
      </w:r>
    </w:p>
    <w:p>
      <w:pPr>
        <w:pStyle w:val="BodyText"/>
        <w:spacing w:line="240" w:lineRule="auto" w:before="32"/>
        <w:ind w:left="558" w:right="0"/>
        <w:jc w:val="left"/>
      </w:pPr>
      <w:r>
        <w:rPr>
          <w:spacing w:val="-4"/>
        </w:rPr>
        <w:t>从竞争态势来看，物业管理市场整体呈现碎片化，但是整合在加剧。当前中国有超过 </w:t>
      </w:r>
      <w:r>
        <w:rPr>
          <w:rFonts w:ascii="宋体" w:hAnsi="宋体" w:cs="宋体" w:eastAsia="宋体" w:hint="default"/>
        </w:rPr>
        <w:t>10</w:t>
      </w:r>
      <w:r>
        <w:rPr>
          <w:rFonts w:ascii="宋体" w:hAnsi="宋体" w:cs="宋体" w:eastAsia="宋体" w:hint="default"/>
          <w:spacing w:val="-51"/>
        </w:rPr>
        <w:t> </w:t>
      </w:r>
      <w:r>
        <w:rPr>
          <w:spacing w:val="-3"/>
        </w:rPr>
        <w:t>万家</w:t>
      </w:r>
      <w:r>
        <w:rPr/>
      </w:r>
    </w:p>
    <w:p>
      <w:pPr>
        <w:pStyle w:val="BodyText"/>
        <w:spacing w:line="357" w:lineRule="auto" w:before="133"/>
        <w:ind w:left="138" w:right="133"/>
        <w:jc w:val="both"/>
      </w:pPr>
      <w:r>
        <w:rPr/>
        <w:t>物业管理企业，其中营收规模在</w:t>
      </w:r>
      <w:r>
        <w:rPr>
          <w:spacing w:val="-54"/>
        </w:rPr>
        <w:t> </w:t>
      </w:r>
      <w:r>
        <w:rPr>
          <w:rFonts w:ascii="宋体" w:hAnsi="宋体" w:cs="宋体" w:eastAsia="宋体" w:hint="default"/>
        </w:rPr>
        <w:t>1</w:t>
      </w:r>
      <w:r>
        <w:rPr>
          <w:rFonts w:ascii="宋体" w:hAnsi="宋体" w:cs="宋体" w:eastAsia="宋体" w:hint="default"/>
          <w:spacing w:val="-54"/>
        </w:rPr>
        <w:t> </w:t>
      </w:r>
      <w:r>
        <w:rPr/>
        <w:t>亿元以上的仅有大约</w:t>
      </w:r>
      <w:r>
        <w:rPr>
          <w:spacing w:val="-54"/>
        </w:rPr>
        <w:t> </w:t>
      </w:r>
      <w:r>
        <w:rPr>
          <w:rFonts w:ascii="宋体" w:hAnsi="宋体" w:cs="宋体" w:eastAsia="宋体" w:hint="default"/>
        </w:rPr>
        <w:t>200</w:t>
      </w:r>
      <w:r>
        <w:rPr>
          <w:rFonts w:ascii="宋体" w:hAnsi="宋体" w:cs="宋体" w:eastAsia="宋体" w:hint="default"/>
          <w:spacing w:val="-54"/>
        </w:rPr>
        <w:t> </w:t>
      </w:r>
      <w:r>
        <w:rPr/>
        <w:t>家，长尾效应显著，而且超过</w:t>
      </w:r>
      <w:r>
        <w:rPr>
          <w:spacing w:val="-54"/>
        </w:rPr>
        <w:t> </w:t>
      </w:r>
      <w:r>
        <w:rPr>
          <w:rFonts w:ascii="宋体" w:hAnsi="宋体" w:cs="宋体" w:eastAsia="宋体" w:hint="default"/>
        </w:rPr>
        <w:t>95%</w:t>
      </w:r>
      <w:r>
        <w:rPr/>
        <w:t>的</w:t>
      </w:r>
      <w:r>
        <w:rPr>
          <w:w w:val="100"/>
        </w:rPr>
        <w:t> </w:t>
      </w:r>
      <w:r>
        <w:rPr>
          <w:spacing w:val="-2"/>
        </w:rPr>
        <w:t>企业面临亏损。领先企业纷纷通过内生增长、外部并购、合作共赢等方式做大规模，集中度不断</w:t>
      </w:r>
      <w:r>
        <w:rPr>
          <w:spacing w:val="-25"/>
        </w:rPr>
        <w:t> </w:t>
      </w:r>
      <w:r>
        <w:rPr>
          <w:spacing w:val="-25"/>
        </w:rPr>
      </w:r>
      <w:r>
        <w:rPr>
          <w:spacing w:val="-5"/>
        </w:rPr>
        <w:t>提升，前百强企业的市场份额占比从</w:t>
      </w:r>
      <w:r>
        <w:rPr>
          <w:spacing w:val="-46"/>
        </w:rPr>
        <w:t> </w:t>
      </w:r>
      <w:r>
        <w:rPr>
          <w:rFonts w:ascii="宋体" w:hAnsi="宋体" w:cs="宋体" w:eastAsia="宋体" w:hint="default"/>
        </w:rPr>
        <w:t>2013</w:t>
      </w:r>
      <w:r>
        <w:rPr>
          <w:rFonts w:ascii="宋体" w:hAnsi="宋体" w:cs="宋体" w:eastAsia="宋体" w:hint="default"/>
          <w:spacing w:val="-47"/>
        </w:rPr>
        <w:t> </w:t>
      </w:r>
      <w:r>
        <w:rPr/>
        <w:t>年的</w:t>
      </w:r>
      <w:r>
        <w:rPr>
          <w:spacing w:val="-47"/>
        </w:rPr>
        <w:t> </w:t>
      </w:r>
      <w:r>
        <w:rPr>
          <w:rFonts w:ascii="宋体" w:hAnsi="宋体" w:cs="宋体" w:eastAsia="宋体" w:hint="default"/>
        </w:rPr>
        <w:t>16%</w:t>
      </w:r>
      <w:r>
        <w:rPr/>
        <w:t>迅速提升至</w:t>
      </w:r>
      <w:r>
        <w:rPr>
          <w:spacing w:val="-47"/>
        </w:rPr>
        <w:t> </w:t>
      </w:r>
      <w:r>
        <w:rPr>
          <w:rFonts w:ascii="宋体" w:hAnsi="宋体" w:cs="宋体" w:eastAsia="宋体" w:hint="default"/>
        </w:rPr>
        <w:t>2016</w:t>
      </w:r>
      <w:r>
        <w:rPr>
          <w:rFonts w:ascii="宋体" w:hAnsi="宋体" w:cs="宋体" w:eastAsia="宋体" w:hint="default"/>
          <w:spacing w:val="-47"/>
        </w:rPr>
        <w:t> </w:t>
      </w:r>
      <w:r>
        <w:rPr/>
        <w:t>年的</w:t>
      </w:r>
      <w:r>
        <w:rPr>
          <w:spacing w:val="-47"/>
        </w:rPr>
        <w:t> </w:t>
      </w:r>
      <w:r>
        <w:rPr>
          <w:rFonts w:ascii="宋体" w:hAnsi="宋体" w:cs="宋体" w:eastAsia="宋体" w:hint="default"/>
          <w:spacing w:val="-6"/>
        </w:rPr>
        <w:t>29%</w:t>
      </w:r>
      <w:r>
        <w:rPr>
          <w:spacing w:val="-6"/>
        </w:rPr>
        <w:t>。为了在激烈的市场</w:t>
      </w:r>
      <w:r>
        <w:rPr>
          <w:spacing w:val="-102"/>
        </w:rPr>
        <w:t> </w:t>
      </w:r>
      <w:r>
        <w:rPr>
          <w:spacing w:val="-102"/>
        </w:rPr>
      </w:r>
      <w:r>
        <w:rPr>
          <w:spacing w:val="-2"/>
        </w:rPr>
        <w:t>竞争之中找准自身定位和未来发展的突破点，物业管理企业亟需对目前行业的发展现状、宏观机</w:t>
      </w:r>
      <w:r>
        <w:rPr>
          <w:spacing w:val="-25"/>
        </w:rPr>
        <w:t> </w:t>
      </w:r>
      <w:r>
        <w:rPr>
          <w:spacing w:val="-25"/>
        </w:rPr>
      </w:r>
      <w:r>
        <w:rPr/>
        <w:t>遇及未来趋势有深入理解，进而在此基础之上找到企业的应对之策。</w:t>
      </w:r>
    </w:p>
    <w:p>
      <w:pPr>
        <w:pStyle w:val="BodyText"/>
        <w:spacing w:line="357" w:lineRule="auto" w:before="30"/>
        <w:ind w:left="138" w:right="128" w:firstLine="419"/>
        <w:jc w:val="both"/>
      </w:pPr>
      <w:r>
        <w:rPr>
          <w:spacing w:val="-2"/>
        </w:rPr>
        <w:t>近年来，随着有关物业管理的多部法规相继出台，我国的物业管理行业得到进一步规范，并</w:t>
      </w:r>
      <w:r>
        <w:rPr>
          <w:w w:val="100"/>
        </w:rPr>
        <w:t> </w:t>
      </w:r>
      <w:r>
        <w:rPr>
          <w:spacing w:val="-7"/>
        </w:rPr>
        <w:t>且随着物业业主消费升级、形态增多、技术崛起，物业管理业务将朝着专业化、多元化、定制化、</w:t>
      </w:r>
      <w:r>
        <w:rPr>
          <w:spacing w:val="-13"/>
        </w:rPr>
        <w:t> </w:t>
      </w:r>
      <w:r>
        <w:rPr>
          <w:spacing w:val="-13"/>
        </w:rPr>
      </w:r>
      <w:r>
        <w:rPr/>
        <w:t>智能化发展。</w:t>
      </w:r>
    </w:p>
    <w:p>
      <w:pPr>
        <w:spacing w:line="240" w:lineRule="auto" w:before="11"/>
        <w:rPr>
          <w:rFonts w:ascii="宋体" w:hAnsi="宋体" w:cs="宋体" w:eastAsia="宋体" w:hint="default"/>
          <w:sz w:val="27"/>
          <w:szCs w:val="27"/>
        </w:rPr>
      </w:pPr>
    </w:p>
    <w:p>
      <w:pPr>
        <w:pStyle w:val="Heading4"/>
        <w:spacing w:line="240" w:lineRule="auto"/>
        <w:ind w:left="138" w:right="0"/>
        <w:jc w:val="both"/>
        <w:rPr>
          <w:b w:val="0"/>
          <w:bCs w:val="0"/>
        </w:rPr>
      </w:pPr>
      <w:r>
        <w:rPr/>
        <w:t>二、报告期内公司主要资产发生重大变化情况的说明</w:t>
      </w:r>
      <w:r>
        <w:rPr>
          <w:b w:val="0"/>
          <w:bCs w:val="0"/>
        </w:rPr>
      </w:r>
    </w:p>
    <w:p>
      <w:pPr>
        <w:pStyle w:val="BodyText"/>
        <w:spacing w:line="275" w:lineRule="exact" w:before="56"/>
        <w:ind w:left="138" w:right="0"/>
        <w:jc w:val="both"/>
      </w:pPr>
      <w:r>
        <w:rPr/>
        <w:t>√适用</w:t>
      </w:r>
      <w:r>
        <w:rPr>
          <w:spacing w:val="-1"/>
        </w:rPr>
        <w:t> </w:t>
      </w:r>
      <w:r>
        <w:rPr/>
        <w:t>□不适用</w:t>
      </w:r>
    </w:p>
    <w:p>
      <w:pPr>
        <w:pStyle w:val="BodyText"/>
        <w:spacing w:line="355" w:lineRule="auto"/>
        <w:ind w:left="138" w:right="0" w:firstLine="419"/>
        <w:jc w:val="left"/>
      </w:pPr>
      <w:r>
        <w:rPr/>
        <w:t>本年度公司资产总额较上年度减少</w:t>
      </w:r>
      <w:r>
        <w:rPr>
          <w:spacing w:val="-42"/>
        </w:rPr>
        <w:t> </w:t>
      </w:r>
      <w:r>
        <w:rPr>
          <w:rFonts w:ascii="宋体" w:hAnsi="宋体" w:cs="宋体" w:eastAsia="宋体" w:hint="default"/>
        </w:rPr>
        <w:t>16,242.10</w:t>
      </w:r>
      <w:r>
        <w:rPr>
          <w:rFonts w:ascii="宋体" w:hAnsi="宋体" w:cs="宋体" w:eastAsia="宋体" w:hint="default"/>
          <w:spacing w:val="-45"/>
        </w:rPr>
        <w:t> </w:t>
      </w:r>
      <w:r>
        <w:rPr>
          <w:spacing w:val="-5"/>
        </w:rPr>
        <w:t>万元，减少了</w:t>
      </w:r>
      <w:r>
        <w:rPr>
          <w:spacing w:val="-45"/>
        </w:rPr>
        <w:t> </w:t>
      </w:r>
      <w:r>
        <w:rPr>
          <w:rFonts w:ascii="宋体" w:hAnsi="宋体" w:cs="宋体" w:eastAsia="宋体" w:hint="default"/>
          <w:spacing w:val="-3"/>
        </w:rPr>
        <w:t>56.36%</w:t>
      </w:r>
      <w:r>
        <w:rPr>
          <w:spacing w:val="-3"/>
        </w:rPr>
        <w:t>，主要是本期对关联方往</w:t>
      </w:r>
      <w:r>
        <w:rPr>
          <w:w w:val="100"/>
        </w:rPr>
        <w:t> </w:t>
      </w:r>
      <w:r>
        <w:rPr/>
        <w:t>来进行了清理。其中货币资金增加了</w:t>
      </w:r>
      <w:r>
        <w:rPr>
          <w:spacing w:val="-55"/>
        </w:rPr>
        <w:t> </w:t>
      </w:r>
      <w:r>
        <w:rPr>
          <w:rFonts w:ascii="宋体" w:hAnsi="宋体" w:cs="宋体" w:eastAsia="宋体" w:hint="default"/>
        </w:rPr>
        <w:t>5,495.01</w:t>
      </w:r>
      <w:r>
        <w:rPr>
          <w:rFonts w:ascii="宋体" w:hAnsi="宋体" w:cs="宋体" w:eastAsia="宋体" w:hint="default"/>
          <w:spacing w:val="-55"/>
        </w:rPr>
        <w:t> </w:t>
      </w:r>
      <w:r>
        <w:rPr/>
        <w:t>万元，增加</w:t>
      </w:r>
      <w:r>
        <w:rPr>
          <w:spacing w:val="-55"/>
        </w:rPr>
        <w:t> </w:t>
      </w:r>
      <w:r>
        <w:rPr>
          <w:rFonts w:ascii="宋体" w:hAnsi="宋体" w:cs="宋体" w:eastAsia="宋体" w:hint="default"/>
        </w:rPr>
        <w:t>179.32%</w:t>
      </w:r>
      <w:r>
        <w:rPr/>
        <w:t>；其他应收款减少</w:t>
      </w:r>
      <w:r>
        <w:rPr>
          <w:spacing w:val="-54"/>
        </w:rPr>
        <w:t> </w:t>
      </w:r>
      <w:r>
        <w:rPr>
          <w:rFonts w:ascii="宋体" w:hAnsi="宋体" w:cs="宋体" w:eastAsia="宋体" w:hint="default"/>
        </w:rPr>
        <w:t>21,588.51</w:t>
      </w:r>
      <w:r>
        <w:rPr>
          <w:rFonts w:ascii="宋体" w:hAnsi="宋体" w:cs="宋体" w:eastAsia="宋体" w:hint="default"/>
          <w:w w:val="100"/>
        </w:rPr>
        <w:t> </w:t>
      </w:r>
      <w:r>
        <w:rPr/>
        <w:t>万元，减少</w:t>
      </w:r>
      <w:r>
        <w:rPr>
          <w:spacing w:val="-56"/>
        </w:rPr>
        <w:t> </w:t>
      </w:r>
      <w:r>
        <w:rPr>
          <w:rFonts w:ascii="宋体" w:hAnsi="宋体" w:cs="宋体" w:eastAsia="宋体" w:hint="default"/>
        </w:rPr>
        <w:t>94.48%</w:t>
      </w:r>
      <w:r>
        <w:rPr/>
        <w:t>；可供出售金融资产增加</w:t>
      </w:r>
      <w:r>
        <w:rPr>
          <w:spacing w:val="-55"/>
        </w:rPr>
        <w:t> </w:t>
      </w:r>
      <w:r>
        <w:rPr>
          <w:rFonts w:ascii="宋体" w:hAnsi="宋体" w:cs="宋体" w:eastAsia="宋体" w:hint="default"/>
        </w:rPr>
        <w:t>1,445.47</w:t>
      </w:r>
      <w:r>
        <w:rPr>
          <w:rFonts w:ascii="宋体" w:hAnsi="宋体" w:cs="宋体" w:eastAsia="宋体" w:hint="default"/>
          <w:spacing w:val="-56"/>
        </w:rPr>
        <w:t> </w:t>
      </w:r>
      <w:r>
        <w:rPr/>
        <w:t>万元，为公司对上海慧球的股权转入可供</w:t>
      </w:r>
      <w:r>
        <w:rPr>
          <w:w w:val="100"/>
        </w:rPr>
        <w:t> </w:t>
      </w:r>
      <w:r>
        <w:rPr/>
        <w:t>出售金融资产核算；固定资产减少</w:t>
      </w:r>
      <w:r>
        <w:rPr>
          <w:spacing w:val="-56"/>
        </w:rPr>
        <w:t> </w:t>
      </w:r>
      <w:r>
        <w:rPr>
          <w:rFonts w:ascii="宋体" w:hAnsi="宋体" w:cs="宋体" w:eastAsia="宋体" w:hint="default"/>
        </w:rPr>
        <w:t>304.26</w:t>
      </w:r>
      <w:r>
        <w:rPr>
          <w:rFonts w:ascii="宋体" w:hAnsi="宋体" w:cs="宋体" w:eastAsia="宋体" w:hint="default"/>
          <w:spacing w:val="-56"/>
        </w:rPr>
        <w:t> </w:t>
      </w:r>
      <w:r>
        <w:rPr/>
        <w:t>万元，减少</w:t>
      </w:r>
      <w:r>
        <w:rPr>
          <w:spacing w:val="-56"/>
        </w:rPr>
        <w:t> </w:t>
      </w:r>
      <w:r>
        <w:rPr>
          <w:rFonts w:ascii="宋体" w:hAnsi="宋体" w:cs="宋体" w:eastAsia="宋体" w:hint="default"/>
        </w:rPr>
        <w:t>86.13%</w:t>
      </w:r>
      <w:r>
        <w:rPr/>
        <w:t>，为公司对前实际控制人控制期间</w:t>
      </w:r>
      <w:r>
        <w:rPr>
          <w:w w:val="100"/>
        </w:rPr>
        <w:t> </w:t>
      </w:r>
      <w:r>
        <w:rPr/>
        <w:t>购买的电子设备进行了清理；其他非流动资产减少</w:t>
      </w:r>
      <w:r>
        <w:rPr>
          <w:spacing w:val="-57"/>
        </w:rPr>
        <w:t> </w:t>
      </w:r>
      <w:r>
        <w:rPr>
          <w:rFonts w:ascii="宋体" w:hAnsi="宋体" w:cs="宋体" w:eastAsia="宋体" w:hint="default"/>
        </w:rPr>
        <w:t>900</w:t>
      </w:r>
      <w:r>
        <w:rPr>
          <w:rFonts w:ascii="宋体" w:hAnsi="宋体" w:cs="宋体" w:eastAsia="宋体" w:hint="default"/>
          <w:spacing w:val="-55"/>
        </w:rPr>
        <w:t> </w:t>
      </w:r>
      <w:r>
        <w:rPr/>
        <w:t>万元，为公司收回原支付的投资款。</w:t>
      </w:r>
    </w:p>
    <w:p>
      <w:pPr>
        <w:tabs>
          <w:tab w:pos="3239" w:val="left" w:leader="none"/>
        </w:tabs>
        <w:spacing w:line="604" w:lineRule="exact" w:before="68"/>
        <w:ind w:left="138" w:right="2031" w:firstLine="0"/>
        <w:jc w:val="left"/>
        <w:rPr>
          <w:rFonts w:ascii="宋体" w:hAnsi="宋体" w:cs="宋体" w:eastAsia="宋体" w:hint="default"/>
          <w:sz w:val="21"/>
          <w:szCs w:val="21"/>
        </w:rPr>
      </w:pPr>
      <w:r>
        <w:rPr>
          <w:rFonts w:ascii="宋体" w:hAnsi="宋体" w:cs="宋体" w:eastAsia="宋体" w:hint="default"/>
          <w:sz w:val="21"/>
          <w:szCs w:val="21"/>
        </w:rPr>
        <w:t>其中：境外资产</w:t>
      </w:r>
      <w:r>
        <w:rPr>
          <w:rFonts w:ascii="宋体" w:hAnsi="宋体" w:cs="宋体" w:eastAsia="宋体" w:hint="default"/>
          <w:spacing w:val="-52"/>
          <w:sz w:val="21"/>
          <w:szCs w:val="21"/>
        </w:rPr>
        <w:t> </w:t>
      </w:r>
      <w:r>
        <w:rPr>
          <w:rFonts w:ascii="宋体" w:hAnsi="宋体" w:cs="宋体" w:eastAsia="宋体" w:hint="default"/>
          <w:sz w:val="21"/>
          <w:szCs w:val="21"/>
        </w:rPr>
        <w:t>0</w:t>
      </w:r>
      <w:r>
        <w:rPr>
          <w:rFonts w:ascii="宋体" w:hAnsi="宋体" w:cs="宋体" w:eastAsia="宋体" w:hint="default"/>
          <w:sz w:val="21"/>
          <w:szCs w:val="21"/>
        </w:rPr>
        <w:t>（单位：万元</w:t>
        <w:tab/>
        <w:t>币种：人民币），占总资产的比例为</w:t>
      </w:r>
      <w:r>
        <w:rPr>
          <w:rFonts w:ascii="宋体" w:hAnsi="宋体" w:cs="宋体" w:eastAsia="宋体" w:hint="default"/>
          <w:spacing w:val="-60"/>
          <w:sz w:val="21"/>
          <w:szCs w:val="21"/>
        </w:rPr>
        <w:t> </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3" w:lineRule="exact"/>
        <w:ind w:left="138" w:right="0"/>
        <w:jc w:val="both"/>
      </w:pPr>
      <w:r>
        <w:rPr/>
        <w:t>□适用</w:t>
      </w:r>
      <w:r>
        <w:rPr>
          <w:spacing w:val="-1"/>
        </w:rPr>
        <w:t> </w:t>
      </w:r>
      <w:r>
        <w:rPr/>
        <w:t>√不适用</w:t>
      </w:r>
    </w:p>
    <w:p>
      <w:pPr>
        <w:spacing w:after="0" w:line="243" w:lineRule="exact"/>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1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ind w:right="2465"/>
        <w:jc w:val="left"/>
        <w:rPr>
          <w:b w:val="0"/>
          <w:bCs w:val="0"/>
        </w:rPr>
      </w:pPr>
      <w:r>
        <w:rPr/>
        <w:t>一、经营情况讨论与分析</w:t>
      </w:r>
      <w:r>
        <w:rPr>
          <w:b w:val="0"/>
          <w:bCs w:val="0"/>
        </w:rPr>
      </w:r>
    </w:p>
    <w:p>
      <w:pPr>
        <w:pStyle w:val="BodyText"/>
        <w:spacing w:line="357" w:lineRule="auto" w:before="56"/>
        <w:ind w:left="638" w:right="97"/>
        <w:jc w:val="left"/>
      </w:pPr>
      <w:r>
        <w:rPr/>
        <w:t>（一）智慧城市业务</w:t>
      </w:r>
      <w:r>
        <w:rPr>
          <w:w w:val="100"/>
        </w:rPr>
        <w:t> </w:t>
      </w:r>
      <w:r>
        <w:rPr>
          <w:spacing w:val="-2"/>
        </w:rPr>
        <w:t>现管理层就位后，充分利用和发掘公司资源，积极与业内优势企业进行接洽，探讨采取共享</w:t>
      </w:r>
    </w:p>
    <w:p>
      <w:pPr>
        <w:pStyle w:val="BodyText"/>
        <w:spacing w:line="355" w:lineRule="auto" w:before="30"/>
        <w:ind w:right="97"/>
        <w:jc w:val="left"/>
      </w:pPr>
      <w:r>
        <w:rPr>
          <w:spacing w:val="-3"/>
        </w:rPr>
        <w:t>团队、技术、资源的战略合作模式以继续开拓智慧城市业务，</w:t>
      </w:r>
      <w:r>
        <w:rPr>
          <w:rFonts w:ascii="宋体" w:hAnsi="宋体" w:cs="宋体" w:eastAsia="宋体" w:hint="default"/>
          <w:spacing w:val="-3"/>
        </w:rPr>
        <w:t>2017</w:t>
      </w:r>
      <w:r>
        <w:rPr>
          <w:rFonts w:ascii="宋体" w:hAnsi="宋体" w:cs="宋体" w:eastAsia="宋体" w:hint="default"/>
          <w:spacing w:val="-23"/>
        </w:rPr>
        <w:t> </w:t>
      </w:r>
      <w:r>
        <w:rPr/>
        <w:t>年公司智慧城市业务得到了新</w:t>
      </w:r>
      <w:r>
        <w:rPr>
          <w:spacing w:val="-92"/>
        </w:rPr>
        <w:t> </w:t>
      </w:r>
      <w:r>
        <w:rPr>
          <w:spacing w:val="-92"/>
        </w:rPr>
      </w:r>
      <w:r>
        <w:rPr/>
        <w:t>的发展，公司成功落地了智慧工厂项目并通过参与设备集成采购切入智慧城市业务。</w:t>
      </w:r>
    </w:p>
    <w:p>
      <w:pPr>
        <w:pStyle w:val="BodyText"/>
        <w:spacing w:line="240" w:lineRule="auto" w:before="32"/>
        <w:ind w:left="638" w:right="97"/>
        <w:jc w:val="left"/>
      </w:pPr>
      <w:r>
        <w:rPr>
          <w:rFonts w:ascii="宋体" w:hAnsi="宋体" w:cs="宋体" w:eastAsia="宋体" w:hint="default"/>
          <w:w w:val="100"/>
        </w:rPr>
        <w:t>2017</w:t>
      </w:r>
      <w:r>
        <w:rPr>
          <w:rFonts w:ascii="宋体" w:hAnsi="宋体" w:cs="宋体" w:eastAsia="宋体" w:hint="default"/>
          <w:spacing w:val="-77"/>
        </w:rPr>
        <w:t> </w:t>
      </w:r>
      <w:r>
        <w:rPr>
          <w:spacing w:val="-3"/>
          <w:w w:val="100"/>
        </w:rPr>
        <w:t>年</w:t>
      </w:r>
      <w:r>
        <w:rPr>
          <w:w w:val="100"/>
        </w:rPr>
        <w:t>公</w:t>
      </w:r>
      <w:r>
        <w:rPr>
          <w:spacing w:val="-3"/>
          <w:w w:val="100"/>
        </w:rPr>
        <w:t>司</w:t>
      </w:r>
      <w:r>
        <w:rPr>
          <w:w w:val="100"/>
        </w:rPr>
        <w:t>智</w:t>
      </w:r>
      <w:r>
        <w:rPr>
          <w:spacing w:val="-3"/>
          <w:w w:val="100"/>
        </w:rPr>
        <w:t>慧</w:t>
      </w:r>
      <w:r>
        <w:rPr>
          <w:w w:val="100"/>
        </w:rPr>
        <w:t>城</w:t>
      </w:r>
      <w:r>
        <w:rPr>
          <w:spacing w:val="-3"/>
          <w:w w:val="100"/>
        </w:rPr>
        <w:t>市</w:t>
      </w:r>
      <w:r>
        <w:rPr>
          <w:w w:val="100"/>
        </w:rPr>
        <w:t>业</w:t>
      </w:r>
      <w:r>
        <w:rPr>
          <w:spacing w:val="-3"/>
          <w:w w:val="100"/>
        </w:rPr>
        <w:t>务</w:t>
      </w:r>
      <w:r>
        <w:rPr>
          <w:w w:val="100"/>
        </w:rPr>
        <w:t>实现</w:t>
      </w:r>
      <w:r>
        <w:rPr>
          <w:spacing w:val="-3"/>
          <w:w w:val="100"/>
        </w:rPr>
        <w:t>收</w:t>
      </w:r>
      <w:r>
        <w:rPr>
          <w:w w:val="100"/>
        </w:rPr>
        <w:t>入</w:t>
      </w:r>
      <w:r>
        <w:rPr>
          <w:spacing w:val="-77"/>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06.11</w:t>
      </w:r>
      <w:r>
        <w:rPr>
          <w:rFonts w:ascii="宋体" w:hAnsi="宋体" w:cs="宋体" w:eastAsia="宋体" w:hint="default"/>
          <w:spacing w:val="-79"/>
        </w:rPr>
        <w:t> </w:t>
      </w:r>
      <w:r>
        <w:rPr>
          <w:w w:val="100"/>
        </w:rPr>
        <w:t>万</w:t>
      </w:r>
      <w:r>
        <w:rPr>
          <w:spacing w:val="-3"/>
          <w:w w:val="100"/>
        </w:rPr>
        <w:t>元</w:t>
      </w:r>
      <w:r>
        <w:rPr>
          <w:spacing w:val="-108"/>
          <w:w w:val="100"/>
        </w:rPr>
        <w:t>，</w:t>
      </w:r>
      <w:r>
        <w:rPr>
          <w:w w:val="100"/>
        </w:rPr>
        <w:t>实现</w:t>
      </w:r>
      <w:r>
        <w:rPr>
          <w:spacing w:val="-3"/>
          <w:w w:val="100"/>
        </w:rPr>
        <w:t>归</w:t>
      </w:r>
      <w:r>
        <w:rPr>
          <w:w w:val="100"/>
        </w:rPr>
        <w:t>属</w:t>
      </w:r>
      <w:r>
        <w:rPr>
          <w:spacing w:val="-3"/>
          <w:w w:val="100"/>
        </w:rPr>
        <w:t>于</w:t>
      </w:r>
      <w:r>
        <w:rPr>
          <w:w w:val="100"/>
        </w:rPr>
        <w:t>母</w:t>
      </w:r>
      <w:r>
        <w:rPr>
          <w:spacing w:val="-3"/>
          <w:w w:val="100"/>
        </w:rPr>
        <w:t>公</w:t>
      </w:r>
      <w:r>
        <w:rPr>
          <w:w w:val="100"/>
        </w:rPr>
        <w:t>司</w:t>
      </w:r>
      <w:r>
        <w:rPr>
          <w:spacing w:val="-3"/>
          <w:w w:val="100"/>
        </w:rPr>
        <w:t>的</w:t>
      </w:r>
      <w:r>
        <w:rPr>
          <w:w w:val="100"/>
        </w:rPr>
        <w:t>净</w:t>
      </w:r>
      <w:r>
        <w:rPr>
          <w:spacing w:val="-3"/>
          <w:w w:val="100"/>
        </w:rPr>
        <w:t>利</w:t>
      </w:r>
      <w:r>
        <w:rPr>
          <w:w w:val="100"/>
        </w:rPr>
        <w:t>润</w:t>
      </w:r>
      <w:r>
        <w:rPr>
          <w:rFonts w:ascii="宋体" w:hAnsi="宋体" w:cs="宋体" w:eastAsia="宋体" w:hint="default"/>
          <w:w w:val="100"/>
        </w:rPr>
        <w:t>-45</w:t>
      </w:r>
      <w:r>
        <w:rPr>
          <w:rFonts w:ascii="宋体" w:hAnsi="宋体" w:cs="宋体" w:eastAsia="宋体" w:hint="default"/>
          <w:spacing w:val="-3"/>
          <w:w w:val="100"/>
        </w:rPr>
        <w:t>9</w:t>
      </w:r>
      <w:r>
        <w:rPr>
          <w:rFonts w:ascii="宋体" w:hAnsi="宋体" w:cs="宋体" w:eastAsia="宋体" w:hint="default"/>
          <w:w w:val="100"/>
        </w:rPr>
        <w:t>.60</w:t>
      </w:r>
      <w:r>
        <w:rPr>
          <w:rFonts w:ascii="宋体" w:hAnsi="宋体" w:cs="宋体" w:eastAsia="宋体" w:hint="default"/>
          <w:spacing w:val="-77"/>
        </w:rPr>
        <w:t> </w:t>
      </w:r>
      <w:r>
        <w:rPr>
          <w:spacing w:val="-3"/>
          <w:w w:val="100"/>
        </w:rPr>
        <w:t>万</w:t>
      </w:r>
      <w:r>
        <w:rPr>
          <w:w w:val="100"/>
        </w:rPr>
        <w:t>元，</w:t>
      </w:r>
    </w:p>
    <w:p>
      <w:pPr>
        <w:pStyle w:val="BodyText"/>
        <w:spacing w:line="357" w:lineRule="auto" w:before="133"/>
        <w:ind w:left="638" w:right="97" w:hanging="420"/>
        <w:jc w:val="left"/>
      </w:pPr>
      <w:r>
        <w:rPr/>
        <w:t>较上年同期减亏</w:t>
      </w:r>
      <w:r>
        <w:rPr>
          <w:spacing w:val="-53"/>
        </w:rPr>
        <w:t> </w:t>
      </w:r>
      <w:r>
        <w:rPr>
          <w:rFonts w:ascii="宋体" w:hAnsi="宋体" w:cs="宋体" w:eastAsia="宋体" w:hint="default"/>
        </w:rPr>
        <w:t>1,845.21</w:t>
      </w:r>
      <w:r>
        <w:rPr>
          <w:rFonts w:ascii="宋体" w:hAnsi="宋体" w:cs="宋体" w:eastAsia="宋体" w:hint="default"/>
          <w:spacing w:val="-55"/>
        </w:rPr>
        <w:t> </w:t>
      </w:r>
      <w:r>
        <w:rPr/>
        <w:t>万元。</w:t>
      </w:r>
      <w:r>
        <w:rPr>
          <w:w w:val="100"/>
        </w:rPr>
        <w:t> </w:t>
      </w:r>
      <w:r>
        <w:rPr>
          <w:spacing w:val="-2"/>
        </w:rPr>
        <w:t>智慧城市业务属于技术、资金密集型业务，尽管公司已经重新开始发展智慧城市业务，但目</w:t>
      </w:r>
    </w:p>
    <w:p>
      <w:pPr>
        <w:pStyle w:val="BodyText"/>
        <w:spacing w:line="355" w:lineRule="auto" w:before="30"/>
        <w:ind w:right="97"/>
        <w:jc w:val="left"/>
      </w:pPr>
      <w:r>
        <w:rPr>
          <w:spacing w:val="-2"/>
        </w:rPr>
        <w:t>前公司智慧城市业务缺乏核心技术、人员储备、资金支持，公司业务规模、行业地位等与主要竞</w:t>
      </w:r>
      <w:r>
        <w:rPr>
          <w:spacing w:val="-25"/>
        </w:rPr>
        <w:t> </w:t>
      </w:r>
      <w:r>
        <w:rPr>
          <w:spacing w:val="-25"/>
        </w:rPr>
      </w:r>
      <w:r>
        <w:rPr/>
        <w:t>争对手相比存在较大的差距，公司智慧城市业务尚未形成竞争优势。</w:t>
      </w:r>
    </w:p>
    <w:p>
      <w:pPr>
        <w:pStyle w:val="BodyText"/>
        <w:spacing w:line="355" w:lineRule="auto" w:before="32"/>
        <w:ind w:right="97" w:firstLine="419"/>
        <w:jc w:val="left"/>
      </w:pPr>
      <w:r>
        <w:rPr>
          <w:spacing w:val="-2"/>
        </w:rPr>
        <w:t>公司后续智慧城市业务开展存在众多不确定性，请广大投资者注意公司智慧城市业务后续开</w:t>
      </w:r>
      <w:r>
        <w:rPr>
          <w:w w:val="100"/>
        </w:rPr>
        <w:t> </w:t>
      </w:r>
      <w:r>
        <w:rPr/>
        <w:t>展的相关风险。</w:t>
      </w:r>
    </w:p>
    <w:p>
      <w:pPr>
        <w:pStyle w:val="BodyText"/>
        <w:spacing w:line="355" w:lineRule="auto" w:before="34"/>
        <w:ind w:left="638" w:right="97"/>
        <w:jc w:val="left"/>
      </w:pPr>
      <w:r>
        <w:rPr/>
        <w:t>（二）物业业务</w:t>
      </w:r>
      <w:r>
        <w:rPr>
          <w:spacing w:val="-103"/>
        </w:rPr>
        <w:t> </w:t>
      </w:r>
      <w:r>
        <w:rPr>
          <w:spacing w:val="-103"/>
        </w:rPr>
      </w:r>
      <w:r>
        <w:rPr>
          <w:spacing w:val="-2"/>
        </w:rPr>
        <w:t>物业业务是公司比较稳定的业务，报告期内，公司通过提高管理效率、节约成本等多种方式</w:t>
      </w:r>
    </w:p>
    <w:p>
      <w:pPr>
        <w:pStyle w:val="BodyText"/>
        <w:spacing w:line="240" w:lineRule="auto" w:before="32"/>
        <w:ind w:right="97"/>
        <w:jc w:val="left"/>
      </w:pPr>
      <w:r>
        <w:rPr/>
        <w:t>降本增效，全年物业管理业务实现收入</w:t>
      </w:r>
      <w:r>
        <w:rPr>
          <w:spacing w:val="-55"/>
        </w:rPr>
        <w:t> </w:t>
      </w:r>
      <w:r>
        <w:rPr>
          <w:rFonts w:ascii="宋体" w:hAnsi="宋体" w:cs="宋体" w:eastAsia="宋体" w:hint="default"/>
        </w:rPr>
        <w:t>4,076.40</w:t>
      </w:r>
      <w:r>
        <w:rPr>
          <w:rFonts w:ascii="宋体" w:hAnsi="宋体" w:cs="宋体" w:eastAsia="宋体" w:hint="default"/>
          <w:spacing w:val="-57"/>
        </w:rPr>
        <w:t> </w:t>
      </w:r>
      <w:r>
        <w:rPr/>
        <w:t>万元，较上年同期减少</w:t>
      </w:r>
      <w:r>
        <w:rPr>
          <w:spacing w:val="-55"/>
        </w:rPr>
        <w:t> </w:t>
      </w:r>
      <w:r>
        <w:rPr>
          <w:rFonts w:ascii="宋体" w:hAnsi="宋体" w:cs="宋体" w:eastAsia="宋体" w:hint="default"/>
        </w:rPr>
        <w:t>495.11</w:t>
      </w:r>
      <w:r>
        <w:rPr>
          <w:rFonts w:ascii="宋体" w:hAnsi="宋体" w:cs="宋体" w:eastAsia="宋体" w:hint="default"/>
          <w:spacing w:val="-54"/>
        </w:rPr>
        <w:t> </w:t>
      </w:r>
      <w:r>
        <w:rPr/>
        <w:t>万元，实现归属</w:t>
      </w:r>
    </w:p>
    <w:p>
      <w:pPr>
        <w:pStyle w:val="BodyText"/>
        <w:spacing w:line="357" w:lineRule="auto" w:before="133"/>
        <w:ind w:right="239"/>
        <w:jc w:val="left"/>
      </w:pPr>
      <w:r>
        <w:rPr/>
        <w:t>于母公司的净利润</w:t>
      </w:r>
      <w:r>
        <w:rPr>
          <w:spacing w:val="-55"/>
        </w:rPr>
        <w:t> </w:t>
      </w:r>
      <w:r>
        <w:rPr>
          <w:rFonts w:ascii="宋体" w:hAnsi="宋体" w:cs="宋体" w:eastAsia="宋体" w:hint="default"/>
        </w:rPr>
        <w:t>776.50</w:t>
      </w:r>
      <w:r>
        <w:rPr>
          <w:rFonts w:ascii="宋体" w:hAnsi="宋体" w:cs="宋体" w:eastAsia="宋体" w:hint="default"/>
          <w:spacing w:val="-57"/>
        </w:rPr>
        <w:t> </w:t>
      </w:r>
      <w:r>
        <w:rPr/>
        <w:t>万元，其中转让孙公司沈阳辽原物业服务有限公司实现收益</w:t>
      </w:r>
      <w:r>
        <w:rPr>
          <w:spacing w:val="-54"/>
        </w:rPr>
        <w:t> </w:t>
      </w:r>
      <w:r>
        <w:rPr>
          <w:rFonts w:ascii="宋体" w:hAnsi="宋体" w:cs="宋体" w:eastAsia="宋体" w:hint="default"/>
        </w:rPr>
        <w:t>933.23</w:t>
      </w:r>
      <w:r>
        <w:rPr>
          <w:rFonts w:ascii="宋体" w:hAnsi="宋体" w:cs="宋体" w:eastAsia="宋体" w:hint="default"/>
          <w:spacing w:val="-55"/>
        </w:rPr>
        <w:t> </w:t>
      </w:r>
      <w:r>
        <w:rPr/>
        <w:t>万</w:t>
      </w:r>
      <w:r>
        <w:rPr>
          <w:w w:val="100"/>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2465"/>
        <w:jc w:val="left"/>
        <w:rPr>
          <w:b w:val="0"/>
          <w:bCs w:val="0"/>
        </w:rPr>
      </w:pPr>
      <w:r>
        <w:rPr/>
        <w:t>二、报告期内主要经营情况</w:t>
      </w:r>
      <w:r>
        <w:rPr>
          <w:b w:val="0"/>
          <w:bCs w:val="0"/>
        </w:rPr>
      </w:r>
    </w:p>
    <w:p>
      <w:pPr>
        <w:pStyle w:val="BodyText"/>
        <w:spacing w:line="240" w:lineRule="auto" w:before="56"/>
        <w:ind w:left="638" w:right="97"/>
        <w:jc w:val="left"/>
      </w:pPr>
      <w:r>
        <w:rPr/>
        <w:t>报告期内公司实现营业收入</w:t>
      </w:r>
      <w:r>
        <w:rPr>
          <w:spacing w:val="-43"/>
        </w:rPr>
        <w:t> </w:t>
      </w:r>
      <w:r>
        <w:rPr>
          <w:rFonts w:ascii="宋体" w:hAnsi="宋体" w:cs="宋体" w:eastAsia="宋体" w:hint="default"/>
        </w:rPr>
        <w:t>6,582.51</w:t>
      </w:r>
      <w:r>
        <w:rPr>
          <w:rFonts w:ascii="宋体" w:hAnsi="宋体" w:cs="宋体" w:eastAsia="宋体" w:hint="default"/>
          <w:spacing w:val="-44"/>
        </w:rPr>
        <w:t> </w:t>
      </w:r>
      <w:r>
        <w:rPr/>
        <w:t>万元，比上年增加</w:t>
      </w:r>
      <w:r>
        <w:rPr>
          <w:spacing w:val="-39"/>
        </w:rPr>
        <w:t> </w:t>
      </w:r>
      <w:r>
        <w:rPr>
          <w:rFonts w:ascii="宋体" w:hAnsi="宋体" w:cs="宋体" w:eastAsia="宋体" w:hint="default"/>
        </w:rPr>
        <w:t>1,894.30</w:t>
      </w:r>
      <w:r>
        <w:rPr>
          <w:rFonts w:ascii="宋体" w:hAnsi="宋体" w:cs="宋体" w:eastAsia="宋体" w:hint="default"/>
          <w:spacing w:val="-42"/>
        </w:rPr>
        <w:t> </w:t>
      </w:r>
      <w:r>
        <w:rPr/>
        <w:t>万元，同比增加</w:t>
      </w:r>
      <w:r>
        <w:rPr>
          <w:spacing w:val="-39"/>
        </w:rPr>
        <w:t> </w:t>
      </w:r>
      <w:r>
        <w:rPr>
          <w:rFonts w:ascii="宋体" w:hAnsi="宋体" w:cs="宋体" w:eastAsia="宋体" w:hint="default"/>
        </w:rPr>
        <w:t>40.41%</w:t>
      </w:r>
      <w:r>
        <w:rPr/>
        <w:t>；</w:t>
      </w:r>
    </w:p>
    <w:p>
      <w:pPr>
        <w:pStyle w:val="BodyText"/>
        <w:spacing w:line="240" w:lineRule="auto" w:before="133"/>
        <w:ind w:right="97"/>
        <w:jc w:val="left"/>
      </w:pPr>
      <w:r>
        <w:rPr/>
        <w:t>实现归属于上市公司股东的净利润</w:t>
      </w:r>
      <w:r>
        <w:rPr>
          <w:spacing w:val="-55"/>
        </w:rPr>
        <w:t> </w:t>
      </w:r>
      <w:r>
        <w:rPr>
          <w:rFonts w:ascii="宋体" w:hAnsi="宋体" w:cs="宋体" w:eastAsia="宋体" w:hint="default"/>
        </w:rPr>
        <w:t>316.90</w:t>
      </w:r>
      <w:r>
        <w:rPr>
          <w:rFonts w:ascii="宋体" w:hAnsi="宋体" w:cs="宋体" w:eastAsia="宋体" w:hint="default"/>
          <w:spacing w:val="-55"/>
        </w:rPr>
        <w:t> </w:t>
      </w:r>
      <w:r>
        <w:rPr/>
        <w:t>万元，比上年增加</w:t>
      </w:r>
      <w:r>
        <w:rPr>
          <w:spacing w:val="-55"/>
        </w:rPr>
        <w:t> </w:t>
      </w:r>
      <w:r>
        <w:rPr>
          <w:rFonts w:ascii="宋体" w:hAnsi="宋体" w:cs="宋体" w:eastAsia="宋体" w:hint="default"/>
        </w:rPr>
        <w:t>2,952.79</w:t>
      </w:r>
      <w:r>
        <w:rPr>
          <w:rFonts w:ascii="宋体" w:hAnsi="宋体" w:cs="宋体" w:eastAsia="宋体" w:hint="default"/>
          <w:spacing w:val="-57"/>
        </w:rPr>
        <w:t> </w:t>
      </w:r>
      <w:r>
        <w:rPr/>
        <w:t>万元。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
          <w:pgSz w:w="11910" w:h="16840"/>
          <w:pgMar w:footer="1195" w:header="880" w:top="1120" w:bottom="1380" w:left="1580" w:right="1040"/>
        </w:sectPr>
      </w:pPr>
    </w:p>
    <w:p>
      <w:pPr>
        <w:spacing w:line="240" w:lineRule="auto" w:before="9"/>
        <w:rPr>
          <w:rFonts w:ascii="宋体" w:hAnsi="宋体" w:cs="宋体" w:eastAsia="宋体" w:hint="default"/>
          <w:sz w:val="15"/>
          <w:szCs w:val="15"/>
        </w:rPr>
      </w:pPr>
    </w:p>
    <w:p>
      <w:pPr>
        <w:pStyle w:val="Heading4"/>
        <w:tabs>
          <w:tab w:pos="1057" w:val="left" w:leader="none"/>
        </w:tabs>
        <w:spacing w:line="240" w:lineRule="auto"/>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1"/>
          <w:szCs w:val="21"/>
        </w:rPr>
      </w:pPr>
    </w:p>
    <w:p>
      <w:pPr>
        <w:pStyle w:val="Heading4"/>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65,825,072.43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46,882,092.53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40.41</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50,475,696.6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40,202,881.18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25.55</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1,010,607.21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16,797,979.86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20,602,286.24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-18.47</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-25,202.83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788,120.08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45,538,549.98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7,906,690.40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475.95</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9,411,586.57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-12,152,704.51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177.44</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1,322,241.00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营业收入变动原因说明：智慧城市业务增加收入</w:t>
      </w:r>
      <w:r>
        <w:rPr>
          <w:spacing w:val="-56"/>
        </w:rPr>
        <w:t> </w:t>
      </w:r>
      <w:r>
        <w:rPr>
          <w:rFonts w:ascii="宋体" w:hAnsi="宋体" w:cs="宋体" w:eastAsia="宋体" w:hint="default"/>
        </w:rPr>
        <w:t>2,389.41</w:t>
      </w:r>
      <w:r>
        <w:rPr>
          <w:rFonts w:ascii="宋体" w:hAnsi="宋体" w:cs="宋体" w:eastAsia="宋体" w:hint="default"/>
          <w:spacing w:val="-56"/>
        </w:rPr>
        <w:t> </w:t>
      </w:r>
      <w:r>
        <w:rPr/>
        <w:t>万元。</w:t>
      </w:r>
    </w:p>
    <w:p>
      <w:pPr>
        <w:pStyle w:val="BodyText"/>
        <w:spacing w:line="355" w:lineRule="auto" w:before="133"/>
        <w:ind w:right="97"/>
        <w:jc w:val="left"/>
      </w:pPr>
      <w:r>
        <w:rPr/>
        <w:t>营业成本变动原因说明：智慧城市业务增加成本</w:t>
      </w:r>
      <w:r>
        <w:rPr>
          <w:spacing w:val="-54"/>
        </w:rPr>
        <w:t> </w:t>
      </w:r>
      <w:r>
        <w:rPr>
          <w:rFonts w:ascii="宋体" w:hAnsi="宋体" w:cs="宋体" w:eastAsia="宋体" w:hint="default"/>
        </w:rPr>
        <w:t>1,544.04</w:t>
      </w:r>
      <w:r>
        <w:rPr>
          <w:rFonts w:ascii="宋体" w:hAnsi="宋体" w:cs="宋体" w:eastAsia="宋体" w:hint="default"/>
          <w:spacing w:val="-54"/>
        </w:rPr>
        <w:t> </w:t>
      </w:r>
      <w:r>
        <w:rPr/>
        <w:t>万元。</w:t>
      </w:r>
      <w:r>
        <w:rPr>
          <w:w w:val="100"/>
        </w:rPr>
        <w:t> </w:t>
      </w:r>
      <w:r>
        <w:rPr>
          <w:spacing w:val="-2"/>
        </w:rPr>
        <w:t>管理费用变动原因说明：报告期内公司实施降本增效，有效控制了管理费用的发生。</w:t>
      </w:r>
    </w:p>
    <w:p>
      <w:pPr>
        <w:pStyle w:val="BodyText"/>
        <w:spacing w:line="240" w:lineRule="auto" w:before="32"/>
        <w:ind w:right="97"/>
        <w:jc w:val="left"/>
        <w:rPr>
          <w:rFonts w:ascii="宋体" w:hAnsi="宋体" w:cs="宋体" w:eastAsia="宋体" w:hint="default"/>
        </w:rPr>
      </w:pPr>
      <w:r>
        <w:rPr/>
        <w:t>经营活动产生的现金流量净额变动原因说明：本期销售商品提供劳务收到的现金增加 </w:t>
      </w:r>
      <w:r>
        <w:rPr>
          <w:spacing w:val="1"/>
        </w:rPr>
        <w:t> </w:t>
      </w:r>
      <w:r>
        <w:rPr>
          <w:rFonts w:ascii="宋体" w:hAnsi="宋体" w:cs="宋体" w:eastAsia="宋体" w:hint="default"/>
        </w:rPr>
        <w:t>1,867.05</w:t>
      </w:r>
    </w:p>
    <w:p>
      <w:pPr>
        <w:pStyle w:val="BodyText"/>
        <w:spacing w:line="355" w:lineRule="auto" w:before="135"/>
        <w:ind w:right="97"/>
        <w:jc w:val="left"/>
      </w:pPr>
      <w:r>
        <w:rPr/>
        <w:t>万元，支付其他与经营活动有关的现金较上年同期减少</w:t>
      </w:r>
      <w:r>
        <w:rPr>
          <w:spacing w:val="-54"/>
        </w:rPr>
        <w:t> </w:t>
      </w:r>
      <w:r>
        <w:rPr>
          <w:rFonts w:ascii="宋体" w:hAnsi="宋体" w:cs="宋体" w:eastAsia="宋体" w:hint="default"/>
        </w:rPr>
        <w:t>2,752.25</w:t>
      </w:r>
      <w:r>
        <w:rPr>
          <w:rFonts w:ascii="宋体" w:hAnsi="宋体" w:cs="宋体" w:eastAsia="宋体" w:hint="default"/>
          <w:spacing w:val="-56"/>
        </w:rPr>
        <w:t> </w:t>
      </w:r>
      <w:r>
        <w:rPr/>
        <w:t>万元。</w:t>
      </w:r>
      <w:r>
        <w:rPr>
          <w:w w:val="100"/>
        </w:rPr>
        <w:t> </w:t>
      </w:r>
      <w:r>
        <w:rPr>
          <w:spacing w:val="-2"/>
        </w:rPr>
        <w:t>投资活动产生的现金流量净额变动原因说明：本期收回上期的购房款及处置了部分固定资产。</w:t>
      </w:r>
      <w:r>
        <w:rPr>
          <w:spacing w:val="-28"/>
        </w:rPr>
        <w:t> </w:t>
      </w:r>
      <w:r>
        <w:rPr>
          <w:spacing w:val="-28"/>
        </w:rPr>
      </w:r>
      <w:r>
        <w:rPr/>
        <w:t>筹资活动产生的现金流量净额变动原因说明：本期借款已经于本期归还，净额为</w:t>
      </w:r>
      <w:r>
        <w:rPr>
          <w:spacing w:val="-52"/>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1.</w:t>
        <w:tab/>
      </w:r>
      <w:r>
        <w:rPr/>
        <w:t>收入和成本分析</w:t>
      </w:r>
      <w:r>
        <w:rPr>
          <w:b w:val="0"/>
          <w:bCs w:val="0"/>
        </w:rPr>
      </w:r>
    </w:p>
    <w:p>
      <w:pPr>
        <w:pStyle w:val="BodyText"/>
        <w:tabs>
          <w:tab w:pos="1060" w:val="left" w:leader="none"/>
        </w:tabs>
        <w:spacing w:line="272" w:lineRule="exact" w:before="86"/>
        <w:ind w:left="638" w:right="239" w:hanging="420"/>
        <w:jc w:val="left"/>
      </w:pPr>
      <w:r>
        <w:rPr/>
        <w:t>√适用</w:t>
        <w:tab/>
        <w:t>□不适用</w:t>
      </w:r>
      <w:r>
        <w:rPr>
          <w:w w:val="100"/>
        </w:rPr>
        <w:t> </w:t>
      </w:r>
      <w:r>
        <w:rPr>
          <w:spacing w:val="-2"/>
        </w:rPr>
        <w:t>公司营业收入较去年有一定增长，主要是本年公司管理层积极拓展智慧城市业务，带来增量</w:t>
      </w:r>
    </w:p>
    <w:p>
      <w:pPr>
        <w:pStyle w:val="BodyText"/>
        <w:spacing w:line="240" w:lineRule="auto" w:before="110"/>
        <w:ind w:right="2465"/>
        <w:jc w:val="left"/>
      </w:pPr>
      <w:r>
        <w:rPr/>
        <w:t>智慧城市业务收入，同时增加了智慧城市业务成本。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81"/>
        <w:gridCol w:w="1582"/>
        <w:gridCol w:w="1582"/>
        <w:gridCol w:w="1179"/>
        <w:gridCol w:w="1178"/>
        <w:gridCol w:w="1179"/>
        <w:gridCol w:w="1169"/>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91"/>
                <w:w w:val="100"/>
                <w:sz w:val="21"/>
                <w:szCs w:val="21"/>
              </w:rPr>
              <w:t>率</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15" w:right="16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13" w:right="164"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40,764,014.35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32,096,135.87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-13.87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2.77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25,061,058.08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18,379,560.73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26.66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2,047.56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525.34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100" w:right="161"/>
              <w:jc w:val="left"/>
              <w:rPr>
                <w:rFonts w:ascii="宋体" w:hAnsi="宋体" w:cs="宋体" w:eastAsia="宋体" w:hint="default"/>
                <w:sz w:val="21"/>
                <w:szCs w:val="21"/>
              </w:rPr>
            </w:pPr>
            <w:r>
              <w:rPr>
                <w:rFonts w:ascii="宋体" w:hAnsi="宋体" w:cs="宋体" w:eastAsia="宋体" w:hint="default"/>
                <w:sz w:val="21"/>
                <w:szCs w:val="21"/>
              </w:rPr>
              <w:t>178.52</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5"/>
        <w:rPr>
          <w:rFonts w:ascii="宋体" w:hAnsi="宋体" w:cs="宋体" w:eastAsia="宋体" w:hint="default"/>
          <w:sz w:val="15"/>
          <w:szCs w:val="15"/>
        </w:rPr>
      </w:pPr>
    </w:p>
    <w:p>
      <w:pPr>
        <w:pStyle w:val="BodyText"/>
        <w:spacing w:line="275" w:lineRule="exact" w:before="36"/>
        <w:ind w:right="2465"/>
        <w:jc w:val="left"/>
      </w:pPr>
      <w:r>
        <w:rPr/>
        <w:t>主营业务分行业、分产品、分地区情况的说明</w:t>
      </w:r>
    </w:p>
    <w:p>
      <w:pPr>
        <w:pStyle w:val="BodyText"/>
        <w:spacing w:line="272" w:lineRule="exact" w:before="27"/>
        <w:ind w:left="638" w:right="97" w:hanging="420"/>
        <w:jc w:val="left"/>
      </w:pPr>
      <w:r>
        <w:rPr/>
        <w:t>√适用</w:t>
      </w:r>
      <w:r>
        <w:rPr>
          <w:spacing w:val="-2"/>
        </w:rPr>
        <w:t> </w:t>
      </w:r>
      <w:r>
        <w:rPr/>
        <w:t>□不适用</w:t>
      </w:r>
      <w:r>
        <w:rPr>
          <w:w w:val="100"/>
        </w:rPr>
        <w:t> </w:t>
      </w:r>
      <w:r>
        <w:rPr>
          <w:spacing w:val="-2"/>
        </w:rPr>
        <w:t>公司主要业务为智慧城市业务及物业管理业务，物业业务主要集中在公司子公司杭州郡原物</w:t>
      </w:r>
    </w:p>
    <w:p>
      <w:pPr>
        <w:pStyle w:val="BodyText"/>
        <w:spacing w:line="240" w:lineRule="auto" w:before="110"/>
        <w:ind w:right="2465"/>
        <w:jc w:val="left"/>
      </w:pPr>
      <w:r>
        <w:rPr/>
        <w:t>业服务有限公司，除物业业务外其他的业务划入智慧城市业务。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before="36"/>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6"/>
        <w:gridCol w:w="919"/>
        <w:gridCol w:w="840"/>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8"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6" w:right="20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72" w:lineRule="exact" w:before="27"/>
              <w:ind w:left="134" w:right="132"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72" w:lineRule="exact" w:before="27"/>
              <w:ind w:left="151" w:right="149"/>
              <w:jc w:val="left"/>
              <w:rPr>
                <w:rFonts w:ascii="宋体" w:hAnsi="宋体" w:cs="宋体" w:eastAsia="宋体"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72" w:lineRule="exact" w:before="27"/>
              <w:ind w:left="136" w:right="137"/>
              <w:jc w:val="left"/>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3" w:right="20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bl>
    <w:p>
      <w:pPr>
        <w:spacing w:after="0" w:line="240" w:lineRule="auto"/>
        <w:jc w:val="left"/>
        <w:rPr>
          <w:rFonts w:ascii="宋体" w:hAnsi="宋体" w:cs="宋体" w:eastAsia="宋体" w:hint="default"/>
          <w:sz w:val="21"/>
          <w:szCs w:val="21"/>
        </w:rPr>
        <w:sectPr>
          <w:footerReference w:type="default" r:id="rId12"/>
          <w:pgSz w:w="11910" w:h="16840"/>
          <w:pgMar w:footer="1195" w:header="880" w:top="1120" w:bottom="1380" w:left="1580" w:right="10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6"/>
        <w:gridCol w:w="919"/>
        <w:gridCol w:w="840"/>
      </w:tblGrid>
      <w:tr>
        <w:trPr>
          <w:trHeight w:val="557" w:hRule="exact"/>
        </w:trPr>
        <w:tc>
          <w:tcPr>
            <w:tcW w:w="112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9" w:right="0" w:hanging="53"/>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人工、费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32,096,135.87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37,263,741.76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92.69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-13.87</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材料、人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18,379,560.73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2,939,139.42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525.34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00" w:right="305"/>
              <w:jc w:val="both"/>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r>
              <w:rPr>
                <w:rFonts w:ascii="宋体" w:hAnsi="宋体" w:cs="宋体" w:eastAsia="宋体" w:hint="default"/>
                <w:spacing w:val="-103"/>
                <w:sz w:val="21"/>
                <w:szCs w:val="21"/>
              </w:rPr>
              <w:t> </w:t>
            </w:r>
            <w:r>
              <w:rPr>
                <w:rFonts w:ascii="宋体" w:hAnsi="宋体" w:cs="宋体" w:eastAsia="宋体" w:hint="default"/>
                <w:sz w:val="21"/>
                <w:szCs w:val="21"/>
              </w:rPr>
              <w:t>业务</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成本分析其他情况说明</w:t>
      </w:r>
    </w:p>
    <w:p>
      <w:pPr>
        <w:pStyle w:val="BodyText"/>
        <w:spacing w:line="273" w:lineRule="exact"/>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right="2465"/>
        <w:jc w:val="left"/>
      </w:pPr>
      <w:r>
        <w:rPr/>
        <w:t>√适用</w:t>
      </w:r>
      <w:r>
        <w:rPr>
          <w:spacing w:val="-1"/>
        </w:rPr>
        <w:t> </w:t>
      </w:r>
      <w:r>
        <w:rPr/>
        <w:t>□不适用</w:t>
      </w:r>
    </w:p>
    <w:p>
      <w:pPr>
        <w:pStyle w:val="BodyText"/>
        <w:spacing w:line="355" w:lineRule="auto"/>
        <w:ind w:right="293" w:firstLine="419"/>
        <w:jc w:val="left"/>
      </w:pPr>
      <w:r>
        <w:rPr/>
        <w:t>前五名客户销售额</w:t>
      </w:r>
      <w:r>
        <w:rPr>
          <w:spacing w:val="-55"/>
        </w:rPr>
        <w:t> </w:t>
      </w:r>
      <w:r>
        <w:rPr>
          <w:rFonts w:ascii="宋体" w:hAnsi="宋体" w:cs="宋体" w:eastAsia="宋体" w:hint="default"/>
        </w:rPr>
        <w:t>2,506.11</w:t>
      </w:r>
      <w:r>
        <w:rPr>
          <w:rFonts w:ascii="宋体" w:hAnsi="宋体" w:cs="宋体" w:eastAsia="宋体" w:hint="default"/>
          <w:spacing w:val="-56"/>
        </w:rPr>
        <w:t> </w:t>
      </w:r>
      <w:r>
        <w:rPr/>
        <w:t>万元，占年度销售总额</w:t>
      </w:r>
      <w:r>
        <w:rPr>
          <w:spacing w:val="-58"/>
        </w:rPr>
        <w:t> </w:t>
      </w:r>
      <w:r>
        <w:rPr>
          <w:rFonts w:ascii="宋体" w:hAnsi="宋体" w:cs="宋体" w:eastAsia="宋体" w:hint="default"/>
        </w:rPr>
        <w:t>38.07%</w:t>
      </w:r>
      <w:r>
        <w:rPr/>
        <w:t>；其中前五名客户销售额中关联</w:t>
      </w:r>
      <w:r>
        <w:rPr>
          <w:w w:val="100"/>
        </w:rPr>
        <w:t> </w:t>
      </w:r>
      <w:r>
        <w:rPr/>
        <w:t>方销售额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1"/>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pStyle w:val="BodyText"/>
        <w:spacing w:line="355" w:lineRule="auto" w:before="32"/>
        <w:ind w:right="293" w:firstLine="419"/>
        <w:jc w:val="left"/>
      </w:pPr>
      <w:r>
        <w:rPr/>
        <w:t>前五名供应商采购额</w:t>
      </w:r>
      <w:r>
        <w:rPr>
          <w:spacing w:val="-55"/>
        </w:rPr>
        <w:t> </w:t>
      </w:r>
      <w:r>
        <w:rPr>
          <w:rFonts w:ascii="宋体" w:hAnsi="宋体" w:cs="宋体" w:eastAsia="宋体" w:hint="default"/>
        </w:rPr>
        <w:t>1,587.87</w:t>
      </w:r>
      <w:r>
        <w:rPr>
          <w:rFonts w:ascii="宋体" w:hAnsi="宋体" w:cs="宋体" w:eastAsia="宋体" w:hint="default"/>
          <w:spacing w:val="-58"/>
        </w:rPr>
        <w:t> </w:t>
      </w:r>
      <w:r>
        <w:rPr/>
        <w:t>万元，占年度采购总额</w:t>
      </w:r>
      <w:r>
        <w:rPr>
          <w:spacing w:val="-56"/>
        </w:rPr>
        <w:t> </w:t>
      </w:r>
      <w:r>
        <w:rPr>
          <w:rFonts w:ascii="宋体" w:hAnsi="宋体" w:cs="宋体" w:eastAsia="宋体" w:hint="default"/>
        </w:rPr>
        <w:t>31.46%</w:t>
      </w:r>
      <w:r>
        <w:rPr/>
        <w:t>；其中前五名供应商采购额中</w:t>
      </w:r>
      <w:r>
        <w:rPr>
          <w:w w:val="100"/>
        </w:rPr>
        <w:t> </w:t>
      </w:r>
      <w:r>
        <w:rPr/>
        <w:t>关联方采购额</w:t>
      </w:r>
      <w:r>
        <w:rPr>
          <w:spacing w:val="-53"/>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2"/>
        </w:rPr>
        <w:t> </w:t>
      </w:r>
      <w:r>
        <w:rPr>
          <w:rFonts w:ascii="宋体" w:hAnsi="宋体" w:cs="宋体" w:eastAsia="宋体" w:hint="default"/>
        </w:rPr>
        <w:t>0%</w:t>
      </w:r>
      <w:r>
        <w:rPr/>
        <w:t>。</w:t>
      </w:r>
    </w:p>
    <w:p>
      <w:pPr>
        <w:spacing w:line="240" w:lineRule="auto" w:before="5"/>
        <w:rPr>
          <w:rFonts w:ascii="宋体" w:hAnsi="宋体" w:cs="宋体" w:eastAsia="宋体" w:hint="default"/>
          <w:sz w:val="23"/>
          <w:szCs w:val="23"/>
        </w:rPr>
      </w:pPr>
    </w:p>
    <w:p>
      <w:pPr>
        <w:pStyle w:val="BodyText"/>
        <w:spacing w:line="240" w:lineRule="auto"/>
        <w:ind w:right="8208"/>
        <w:jc w:val="left"/>
      </w:pPr>
      <w:r>
        <w:rPr/>
        <w:t>其他说明</w:t>
      </w:r>
      <w:r>
        <w:rPr>
          <w:w w:val="100"/>
        </w:rPr>
        <w:t> </w:t>
      </w:r>
      <w:r>
        <w:rPr/>
        <w:t>无</w:t>
      </w:r>
    </w:p>
    <w:p>
      <w:pPr>
        <w:spacing w:line="240" w:lineRule="auto" w:before="0"/>
        <w:rPr>
          <w:rFonts w:ascii="宋体" w:hAnsi="宋体" w:cs="宋体" w:eastAsia="宋体" w:hint="default"/>
          <w:sz w:val="25"/>
          <w:szCs w:val="25"/>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637" w:val="left" w:leader="none"/>
        </w:tabs>
        <w:spacing w:line="290" w:lineRule="auto"/>
        <w:ind w:right="7588"/>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tabs>
          <w:tab w:pos="1060" w:val="left" w:leader="none"/>
        </w:tabs>
        <w:spacing w:line="290" w:lineRule="auto" w:before="14"/>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情况说明</w:t>
      </w:r>
      <w:r>
        <w:rPr>
          <w:rFonts w:ascii="宋体" w:hAnsi="宋体" w:cs="宋体" w:eastAsia="宋体" w:hint="default"/>
          <w:sz w:val="21"/>
          <w:szCs w:val="21"/>
        </w:rPr>
      </w:r>
    </w:p>
    <w:p>
      <w:pPr>
        <w:pStyle w:val="BodyText"/>
        <w:spacing w:line="240" w:lineRule="auto" w:before="14"/>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4.</w:t>
        <w:tab/>
      </w:r>
      <w:r>
        <w:rPr/>
        <w:t>现金流</w:t>
      </w:r>
      <w:r>
        <w:rPr>
          <w:b w:val="0"/>
          <w:bCs w:val="0"/>
        </w:rPr>
      </w:r>
    </w:p>
    <w:p>
      <w:pPr>
        <w:pStyle w:val="BodyText"/>
        <w:spacing w:line="274" w:lineRule="exact" w:before="56"/>
        <w:ind w:right="2465"/>
        <w:jc w:val="left"/>
      </w:pPr>
      <w:r>
        <w:rPr/>
        <w:t>√适用</w:t>
      </w:r>
      <w:r>
        <w:rPr>
          <w:spacing w:val="-1"/>
        </w:rPr>
        <w:t> </w:t>
      </w:r>
      <w:r>
        <w:rPr/>
        <w:t>□不适用</w:t>
      </w:r>
    </w:p>
    <w:p>
      <w:pPr>
        <w:pStyle w:val="BodyText"/>
        <w:spacing w:line="274" w:lineRule="exact"/>
        <w:ind w:right="97"/>
        <w:jc w:val="left"/>
      </w:pPr>
      <w:r>
        <w:rPr/>
        <w:t>本期经营活动现金流量增加</w:t>
      </w:r>
      <w:r>
        <w:rPr>
          <w:spacing w:val="-57"/>
        </w:rPr>
        <w:t> </w:t>
      </w:r>
      <w:r>
        <w:rPr>
          <w:rFonts w:ascii="宋体" w:hAnsi="宋体" w:cs="宋体" w:eastAsia="宋体" w:hint="default"/>
        </w:rPr>
        <w:t>3,763.19</w:t>
      </w:r>
      <w:r>
        <w:rPr>
          <w:rFonts w:ascii="宋体" w:hAnsi="宋体" w:cs="宋体" w:eastAsia="宋体" w:hint="default"/>
          <w:spacing w:val="-57"/>
        </w:rPr>
        <w:t> </w:t>
      </w:r>
      <w:r>
        <w:rPr/>
        <w:t>万元，主要是收回贵州中科建设有限公司垫付款项。</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638" w:right="97" w:hanging="420"/>
        <w:jc w:val="left"/>
      </w:pPr>
      <w:r>
        <w:rPr/>
        <w:t>√适用</w:t>
      </w:r>
      <w:r>
        <w:rPr>
          <w:spacing w:val="-2"/>
        </w:rPr>
        <w:t> </w:t>
      </w:r>
      <w:r>
        <w:rPr/>
        <w:t>□不适用</w:t>
      </w:r>
      <w:r>
        <w:rPr>
          <w:w w:val="100"/>
        </w:rPr>
        <w:t> </w:t>
      </w:r>
      <w:r>
        <w:rPr>
          <w:spacing w:val="-2"/>
        </w:rPr>
        <w:t>公司全资子公司杭州郡原与沈阳华凌房地产有限公司签署了《股权转让协议》，杭州郡原向</w:t>
      </w:r>
    </w:p>
    <w:p>
      <w:pPr>
        <w:pStyle w:val="BodyText"/>
        <w:spacing w:line="355" w:lineRule="auto" w:before="133"/>
        <w:ind w:right="227"/>
        <w:jc w:val="left"/>
      </w:pPr>
      <w:r>
        <w:rPr>
          <w:w w:val="100"/>
        </w:rPr>
        <w:t>沈阳</w:t>
      </w:r>
      <w:r>
        <w:rPr>
          <w:spacing w:val="-3"/>
          <w:w w:val="100"/>
        </w:rPr>
        <w:t>华</w:t>
      </w:r>
      <w:r>
        <w:rPr>
          <w:w w:val="100"/>
        </w:rPr>
        <w:t>凌</w:t>
      </w:r>
      <w:r>
        <w:rPr>
          <w:spacing w:val="-3"/>
          <w:w w:val="100"/>
        </w:rPr>
        <w:t>房</w:t>
      </w:r>
      <w:r>
        <w:rPr>
          <w:w w:val="100"/>
        </w:rPr>
        <w:t>地</w:t>
      </w:r>
      <w:r>
        <w:rPr>
          <w:spacing w:val="-3"/>
          <w:w w:val="100"/>
        </w:rPr>
        <w:t>产</w:t>
      </w:r>
      <w:r>
        <w:rPr>
          <w:w w:val="100"/>
        </w:rPr>
        <w:t>有</w:t>
      </w:r>
      <w:r>
        <w:rPr>
          <w:spacing w:val="-3"/>
          <w:w w:val="100"/>
        </w:rPr>
        <w:t>限</w:t>
      </w:r>
      <w:r>
        <w:rPr>
          <w:w w:val="100"/>
        </w:rPr>
        <w:t>公</w:t>
      </w:r>
      <w:r>
        <w:rPr>
          <w:spacing w:val="-3"/>
          <w:w w:val="100"/>
        </w:rPr>
        <w:t>司</w:t>
      </w:r>
      <w:r>
        <w:rPr>
          <w:w w:val="100"/>
        </w:rPr>
        <w:t>转让</w:t>
      </w:r>
      <w:r>
        <w:rPr>
          <w:spacing w:val="-3"/>
          <w:w w:val="100"/>
        </w:rPr>
        <w:t>旗</w:t>
      </w:r>
      <w:r>
        <w:rPr>
          <w:w w:val="100"/>
        </w:rPr>
        <w:t>下</w:t>
      </w:r>
      <w:r>
        <w:rPr>
          <w:spacing w:val="-3"/>
          <w:w w:val="100"/>
        </w:rPr>
        <w:t>全</w:t>
      </w:r>
      <w:r>
        <w:rPr>
          <w:w w:val="100"/>
        </w:rPr>
        <w:t>资</w:t>
      </w:r>
      <w:r>
        <w:rPr>
          <w:spacing w:val="-3"/>
          <w:w w:val="100"/>
        </w:rPr>
        <w:t>子</w:t>
      </w:r>
      <w:r>
        <w:rPr>
          <w:w w:val="100"/>
        </w:rPr>
        <w:t>公</w:t>
      </w:r>
      <w:r>
        <w:rPr>
          <w:spacing w:val="-3"/>
          <w:w w:val="100"/>
        </w:rPr>
        <w:t>司</w:t>
      </w:r>
      <w:r>
        <w:rPr>
          <w:w w:val="100"/>
        </w:rPr>
        <w:t>沈</w:t>
      </w:r>
      <w:r>
        <w:rPr>
          <w:spacing w:val="-2"/>
          <w:w w:val="100"/>
        </w:rPr>
        <w:t>阳</w:t>
      </w:r>
      <w:r>
        <w:rPr>
          <w:w w:val="100"/>
        </w:rPr>
        <w:t>辽原</w:t>
      </w:r>
      <w:r>
        <w:rPr>
          <w:spacing w:val="-3"/>
          <w:w w:val="100"/>
        </w:rPr>
        <w:t>物</w:t>
      </w:r>
      <w:r>
        <w:rPr>
          <w:spacing w:val="-1"/>
          <w:w w:val="100"/>
        </w:rPr>
        <w:t>业</w:t>
      </w:r>
      <w:r>
        <w:rPr>
          <w:spacing w:val="-3"/>
          <w:w w:val="100"/>
        </w:rPr>
        <w:t>管</w:t>
      </w:r>
      <w:r>
        <w:rPr>
          <w:w w:val="100"/>
        </w:rPr>
        <w:t>理</w:t>
      </w:r>
      <w:r>
        <w:rPr>
          <w:spacing w:val="-3"/>
          <w:w w:val="100"/>
        </w:rPr>
        <w:t>有</w:t>
      </w:r>
      <w:r>
        <w:rPr>
          <w:w w:val="100"/>
        </w:rPr>
        <w:t>限</w:t>
      </w:r>
      <w:r>
        <w:rPr>
          <w:spacing w:val="-3"/>
          <w:w w:val="100"/>
        </w:rPr>
        <w:t>公</w:t>
      </w:r>
      <w:r>
        <w:rPr>
          <w:w w:val="100"/>
        </w:rPr>
        <w:t>司</w:t>
      </w:r>
      <w:r>
        <w:rPr/>
        <w:t> </w:t>
      </w:r>
      <w:r>
        <w:rPr>
          <w:rFonts w:ascii="宋体" w:hAnsi="宋体" w:cs="宋体" w:eastAsia="宋体" w:hint="default"/>
          <w:spacing w:val="-3"/>
          <w:w w:val="100"/>
        </w:rPr>
        <w:t>10</w:t>
      </w:r>
      <w:r>
        <w:rPr>
          <w:rFonts w:ascii="宋体" w:hAnsi="宋体" w:cs="宋体" w:eastAsia="宋体" w:hint="default"/>
          <w:w w:val="100"/>
        </w:rPr>
        <w:t>0%</w:t>
      </w:r>
      <w:r>
        <w:rPr>
          <w:w w:val="100"/>
        </w:rPr>
        <w:t>股</w:t>
      </w:r>
      <w:r>
        <w:rPr>
          <w:spacing w:val="-3"/>
          <w:w w:val="100"/>
        </w:rPr>
        <w:t>权</w:t>
      </w:r>
      <w:r>
        <w:rPr>
          <w:spacing w:val="-94"/>
          <w:w w:val="100"/>
        </w:rPr>
        <w:t>，</w:t>
      </w:r>
      <w:r>
        <w:rPr>
          <w:w w:val="100"/>
        </w:rPr>
        <w:t>转</w:t>
      </w:r>
      <w:r>
        <w:rPr>
          <w:spacing w:val="-3"/>
          <w:w w:val="100"/>
        </w:rPr>
        <w:t>让</w:t>
      </w:r>
      <w:r>
        <w:rPr>
          <w:w w:val="100"/>
        </w:rPr>
        <w:t>时</w:t>
      </w:r>
      <w:r>
        <w:rPr>
          <w:spacing w:val="-3"/>
          <w:w w:val="100"/>
        </w:rPr>
        <w:t>公</w:t>
      </w:r>
      <w:r>
        <w:rPr>
          <w:w w:val="100"/>
        </w:rPr>
        <w:t>司</w:t>
      </w:r>
      <w:r>
        <w:rPr>
          <w:w w:val="100"/>
        </w:rPr>
        <w:t> 净资</w:t>
      </w:r>
      <w:r>
        <w:rPr>
          <w:spacing w:val="-3"/>
          <w:w w:val="100"/>
        </w:rPr>
        <w:t>产</w:t>
      </w:r>
      <w:r>
        <w:rPr>
          <w:w w:val="100"/>
        </w:rPr>
        <w:t>为</w:t>
      </w:r>
      <w:r>
        <w:rPr>
          <w:spacing w:val="-3"/>
          <w:w w:val="100"/>
        </w:rPr>
        <w:t>人</w:t>
      </w:r>
      <w:r>
        <w:rPr>
          <w:w w:val="100"/>
        </w:rPr>
        <w:t>民</w:t>
      </w:r>
      <w:r>
        <w:rPr>
          <w:spacing w:val="-3"/>
          <w:w w:val="100"/>
        </w:rPr>
        <w:t>币</w:t>
      </w:r>
      <w:r>
        <w:rPr>
          <w:rFonts w:ascii="宋体" w:hAnsi="宋体" w:cs="宋体" w:eastAsia="宋体" w:hint="default"/>
          <w:w w:val="100"/>
        </w:rPr>
        <w:t>-9,</w:t>
      </w:r>
      <w:r>
        <w:rPr>
          <w:rFonts w:ascii="宋体" w:hAnsi="宋体" w:cs="宋体" w:eastAsia="宋体" w:hint="default"/>
          <w:spacing w:val="-3"/>
          <w:w w:val="100"/>
        </w:rPr>
        <w:t>3</w:t>
      </w:r>
      <w:r>
        <w:rPr>
          <w:rFonts w:ascii="宋体" w:hAnsi="宋体" w:cs="宋体" w:eastAsia="宋体" w:hint="default"/>
          <w:w w:val="100"/>
        </w:rPr>
        <w:t>32,</w:t>
      </w:r>
      <w:r>
        <w:rPr>
          <w:rFonts w:ascii="宋体" w:hAnsi="宋体" w:cs="宋体" w:eastAsia="宋体" w:hint="default"/>
          <w:spacing w:val="-3"/>
          <w:w w:val="100"/>
        </w:rPr>
        <w:t>33</w:t>
      </w:r>
      <w:r>
        <w:rPr>
          <w:rFonts w:ascii="宋体" w:hAnsi="宋体" w:cs="宋体" w:eastAsia="宋体" w:hint="default"/>
          <w:w w:val="100"/>
        </w:rPr>
        <w:t>8.05</w:t>
      </w:r>
      <w:r>
        <w:rPr>
          <w:rFonts w:ascii="宋体" w:hAnsi="宋体" w:cs="宋体" w:eastAsia="宋体" w:hint="default"/>
          <w:spacing w:val="-62"/>
        </w:rPr>
        <w:t> </w:t>
      </w:r>
      <w:r>
        <w:rPr>
          <w:w w:val="100"/>
        </w:rPr>
        <w:t>元</w:t>
      </w:r>
      <w:r>
        <w:rPr>
          <w:spacing w:val="-108"/>
          <w:w w:val="100"/>
        </w:rPr>
        <w:t>，</w:t>
      </w:r>
      <w:r>
        <w:rPr>
          <w:w w:val="100"/>
        </w:rPr>
        <w:t>转</w:t>
      </w:r>
      <w:r>
        <w:rPr>
          <w:spacing w:val="-3"/>
          <w:w w:val="100"/>
        </w:rPr>
        <w:t>让</w:t>
      </w:r>
      <w:r>
        <w:rPr>
          <w:w w:val="100"/>
        </w:rPr>
        <w:t>价</w:t>
      </w:r>
      <w:r>
        <w:rPr>
          <w:spacing w:val="-3"/>
          <w:w w:val="100"/>
        </w:rPr>
        <w:t>格</w:t>
      </w:r>
      <w:r>
        <w:rPr>
          <w:w w:val="100"/>
        </w:rPr>
        <w:t>为</w:t>
      </w:r>
      <w:r>
        <w:rPr>
          <w:spacing w:val="-3"/>
          <w:w w:val="100"/>
        </w:rPr>
        <w:t>人民</w:t>
      </w:r>
      <w:r>
        <w:rPr>
          <w:w w:val="100"/>
        </w:rPr>
        <w:t>币</w:t>
      </w:r>
      <w:r>
        <w:rPr>
          <w:spacing w:val="-62"/>
        </w:rPr>
        <w:t> </w:t>
      </w:r>
      <w:r>
        <w:rPr>
          <w:rFonts w:ascii="宋体" w:hAnsi="宋体" w:cs="宋体" w:eastAsia="宋体" w:hint="default"/>
          <w:w w:val="100"/>
        </w:rPr>
        <w:t>1</w:t>
      </w:r>
      <w:r>
        <w:rPr>
          <w:rFonts w:ascii="宋体" w:hAnsi="宋体" w:cs="宋体" w:eastAsia="宋体" w:hint="default"/>
          <w:spacing w:val="-60"/>
        </w:rPr>
        <w:t> </w:t>
      </w:r>
      <w:r>
        <w:rPr>
          <w:w w:val="100"/>
        </w:rPr>
        <w:t>元</w:t>
      </w:r>
      <w:r>
        <w:rPr>
          <w:spacing w:val="-108"/>
          <w:w w:val="100"/>
        </w:rPr>
        <w:t>，</w:t>
      </w:r>
      <w:r>
        <w:rPr>
          <w:spacing w:val="-3"/>
          <w:w w:val="100"/>
        </w:rPr>
        <w:t>差</w:t>
      </w:r>
      <w:r>
        <w:rPr>
          <w:w w:val="100"/>
        </w:rPr>
        <w:t>额</w:t>
      </w:r>
      <w:r>
        <w:rPr>
          <w:spacing w:val="-60"/>
        </w:rPr>
        <w:t> </w:t>
      </w:r>
      <w:r>
        <w:rPr>
          <w:rFonts w:ascii="宋体" w:hAnsi="宋体" w:cs="宋体" w:eastAsia="宋体" w:hint="default"/>
          <w:w w:val="100"/>
        </w:rPr>
        <w:t>9,</w:t>
      </w:r>
      <w:r>
        <w:rPr>
          <w:rFonts w:ascii="宋体" w:hAnsi="宋体" w:cs="宋体" w:eastAsia="宋体" w:hint="default"/>
          <w:spacing w:val="-3"/>
          <w:w w:val="100"/>
        </w:rPr>
        <w:t>3</w:t>
      </w:r>
      <w:r>
        <w:rPr>
          <w:rFonts w:ascii="宋体" w:hAnsi="宋体" w:cs="宋体" w:eastAsia="宋体" w:hint="default"/>
          <w:w w:val="100"/>
        </w:rPr>
        <w:t>32,</w:t>
      </w:r>
      <w:r>
        <w:rPr>
          <w:rFonts w:ascii="宋体" w:hAnsi="宋体" w:cs="宋体" w:eastAsia="宋体" w:hint="default"/>
          <w:spacing w:val="-3"/>
          <w:w w:val="100"/>
        </w:rPr>
        <w:t>3</w:t>
      </w:r>
      <w:r>
        <w:rPr>
          <w:rFonts w:ascii="宋体" w:hAnsi="宋体" w:cs="宋体" w:eastAsia="宋体" w:hint="default"/>
          <w:w w:val="100"/>
        </w:rPr>
        <w:t>39.</w:t>
      </w:r>
      <w:r>
        <w:rPr>
          <w:rFonts w:ascii="宋体" w:hAnsi="宋体" w:cs="宋体" w:eastAsia="宋体" w:hint="default"/>
          <w:spacing w:val="-3"/>
          <w:w w:val="100"/>
        </w:rPr>
        <w:t>0</w:t>
      </w:r>
      <w:r>
        <w:rPr>
          <w:rFonts w:ascii="宋体" w:hAnsi="宋体" w:cs="宋体" w:eastAsia="宋体" w:hint="default"/>
          <w:w w:val="100"/>
        </w:rPr>
        <w:t>5</w:t>
      </w:r>
      <w:r>
        <w:rPr>
          <w:rFonts w:ascii="宋体" w:hAnsi="宋体" w:cs="宋体" w:eastAsia="宋体" w:hint="default"/>
          <w:spacing w:val="-60"/>
        </w:rPr>
        <w:t> </w:t>
      </w:r>
      <w:r>
        <w:rPr>
          <w:spacing w:val="-3"/>
          <w:w w:val="100"/>
        </w:rPr>
        <w:t>元</w:t>
      </w:r>
      <w:r>
        <w:rPr>
          <w:w w:val="100"/>
        </w:rPr>
        <w:t>计</w:t>
      </w:r>
      <w:r>
        <w:rPr>
          <w:spacing w:val="-3"/>
          <w:w w:val="100"/>
        </w:rPr>
        <w:t>入</w:t>
      </w:r>
      <w:r>
        <w:rPr>
          <w:w w:val="100"/>
        </w:rPr>
        <w:t>投</w:t>
      </w:r>
      <w:r>
        <w:rPr>
          <w:spacing w:val="-3"/>
          <w:w w:val="100"/>
        </w:rPr>
        <w:t>资</w:t>
      </w:r>
      <w:r>
        <w:rPr>
          <w:w w:val="100"/>
        </w:rPr>
        <w:t>收</w:t>
      </w:r>
      <w:r>
        <w:rPr>
          <w:spacing w:val="-3"/>
          <w:w w:val="100"/>
        </w:rPr>
        <w:t>益</w:t>
      </w:r>
      <w:r>
        <w:rPr>
          <w:w w:val="100"/>
        </w:rPr>
        <w:t>。</w:t>
      </w:r>
    </w:p>
    <w:p>
      <w:pPr>
        <w:spacing w:after="0" w:line="355"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4"/>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8"/>
        <w:ind w:right="-16"/>
        <w:jc w:val="left"/>
      </w:pPr>
      <w:r>
        <w:rPr>
          <w:spacing w:val="-1"/>
        </w:rPr>
        <w:t>√适用</w:t>
        <w:tab/>
      </w:r>
      <w:r>
        <w:rPr>
          <w:spacing w:val="-2"/>
        </w:rPr>
        <w:t>□不适用</w:t>
      </w:r>
    </w:p>
    <w:p>
      <w:pPr>
        <w:pStyle w:val="Heading4"/>
        <w:tabs>
          <w:tab w:pos="642" w:val="left" w:leader="none"/>
        </w:tabs>
        <w:spacing w:line="240" w:lineRule="auto" w:before="56"/>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51"/>
        <w:gridCol w:w="1580"/>
        <w:gridCol w:w="1226"/>
        <w:gridCol w:w="1685"/>
        <w:gridCol w:w="1183"/>
        <w:gridCol w:w="1141"/>
        <w:gridCol w:w="883"/>
      </w:tblGrid>
      <w:tr>
        <w:trPr>
          <w:trHeight w:val="137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5"/>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34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5" w:right="163"/>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3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41" w:right="144"/>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31" w:right="119" w:hanging="212"/>
              <w:jc w:val="left"/>
              <w:rPr>
                <w:rFonts w:ascii="宋体" w:hAnsi="宋体" w:cs="宋体" w:eastAsia="宋体" w:hint="default"/>
                <w:sz w:val="21"/>
                <w:szCs w:val="21"/>
              </w:rPr>
            </w:pPr>
            <w:r>
              <w:rPr>
                <w:rFonts w:ascii="宋体" w:hAnsi="宋体" w:cs="宋体" w:eastAsia="宋体" w:hint="default"/>
                <w:sz w:val="21"/>
                <w:szCs w:val="21"/>
              </w:rPr>
              <w:t>情况说</w:t>
            </w:r>
            <w:r>
              <w:rPr>
                <w:rFonts w:ascii="宋体" w:hAnsi="宋体" w:cs="宋体" w:eastAsia="宋体" w:hint="default"/>
                <w:spacing w:val="-102"/>
                <w:sz w:val="21"/>
                <w:szCs w:val="21"/>
              </w:rPr>
              <w:t> </w:t>
            </w:r>
            <w:r>
              <w:rPr>
                <w:rFonts w:ascii="宋体" w:hAnsi="宋体" w:cs="宋体" w:eastAsia="宋体" w:hint="default"/>
                <w:sz w:val="21"/>
                <w:szCs w:val="21"/>
              </w:rPr>
              <w:t>明</w:t>
            </w:r>
          </w:p>
        </w:tc>
      </w:tr>
      <w:tr>
        <w:trPr>
          <w:trHeight w:val="1100"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85,593,709.73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30,643,573.18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179.32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主要收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1"/>
                <w:sz w:val="21"/>
                <w:szCs w:val="21"/>
              </w:rPr>
              <w:t>回中科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建项目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投资款</w:t>
            </w:r>
          </w:p>
        </w:tc>
      </w:tr>
      <w:tr>
        <w:trPr>
          <w:trHeight w:val="82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10,286,939.40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14,577,956.79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-29.43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本期应</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1"/>
                <w:sz w:val="21"/>
                <w:szCs w:val="21"/>
              </w:rPr>
              <w:t>收款进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行转让</w:t>
            </w:r>
          </w:p>
        </w:tc>
      </w:tr>
      <w:tr>
        <w:trPr>
          <w:trHeight w:val="826"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12,608,469.33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228,493,532.0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79.29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-94.48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本期收</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回往来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款</w:t>
            </w: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1,576,542.53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1,296,018.88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21.65</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可供出售金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14,454,675.01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11.49</w:t>
            </w:r>
          </w:p>
        </w:tc>
        <w:tc>
          <w:tcPr>
            <w:tcW w:w="168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不再实</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1"/>
                <w:sz w:val="21"/>
                <w:szCs w:val="21"/>
              </w:rPr>
              <w:t>施控制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上海慧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球通信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w:t>
            </w:r>
            <w:r>
              <w:rPr>
                <w:rFonts w:ascii="宋体" w:hAnsi="宋体" w:cs="宋体" w:eastAsia="宋体" w:hint="default"/>
                <w:spacing w:val="3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为可供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出售金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融资产</w:t>
            </w:r>
          </w:p>
        </w:tc>
      </w:tr>
      <w:tr>
        <w:trPr>
          <w:trHeight w:val="1099"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490,111.01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3,532,697.50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-86.13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本期处</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置了部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分固定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资产</w:t>
            </w:r>
          </w:p>
        </w:tc>
      </w:tr>
      <w:tr>
        <w:trPr>
          <w:trHeight w:val="555"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其他非流动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9,000,000.00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收回购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房款</w:t>
            </w:r>
          </w:p>
        </w:tc>
      </w:tr>
      <w:tr>
        <w:trPr>
          <w:trHeight w:val="1099"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2,232,587.11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5,074,183.24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物业公</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1"/>
                <w:sz w:val="21"/>
                <w:szCs w:val="21"/>
              </w:rPr>
              <w:t>司本期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预收款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减少</w:t>
            </w:r>
          </w:p>
        </w:tc>
      </w:tr>
      <w:tr>
        <w:trPr>
          <w:trHeight w:val="82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34,261,136.93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200,841,744.38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69.69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-82.94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本期清</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理了往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来款项</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pStyle w:val="BodyText"/>
        <w:spacing w:line="357" w:lineRule="auto"/>
        <w:ind w:right="227" w:firstLine="419"/>
        <w:jc w:val="left"/>
      </w:pPr>
      <w:r>
        <w:rPr>
          <w:spacing w:val="-2"/>
        </w:rPr>
        <w:t>期初公司其他应收款余额较大主要是应收荆门汉达实业有限公司及湖北汉佳置业有限公司款</w:t>
      </w:r>
      <w:r>
        <w:rPr>
          <w:w w:val="100"/>
        </w:rPr>
        <w:t> </w:t>
      </w:r>
      <w:r>
        <w:rPr/>
        <w:t>项</w:t>
      </w:r>
      <w:r>
        <w:rPr>
          <w:spacing w:val="-45"/>
        </w:rPr>
        <w:t> </w:t>
      </w:r>
      <w:r>
        <w:rPr>
          <w:rFonts w:ascii="宋体" w:hAnsi="宋体" w:cs="宋体" w:eastAsia="宋体" w:hint="default"/>
        </w:rPr>
        <w:t>15,000</w:t>
      </w:r>
      <w:r>
        <w:rPr>
          <w:rFonts w:ascii="宋体" w:hAnsi="宋体" w:cs="宋体" w:eastAsia="宋体" w:hint="default"/>
          <w:spacing w:val="-48"/>
        </w:rPr>
        <w:t> </w:t>
      </w:r>
      <w:r>
        <w:rPr>
          <w:spacing w:val="-8"/>
        </w:rPr>
        <w:t>万元，该款项于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2</w:t>
      </w:r>
      <w:r>
        <w:rPr>
          <w:rFonts w:ascii="宋体" w:hAnsi="宋体" w:cs="宋体" w:eastAsia="宋体" w:hint="default"/>
          <w:spacing w:val="-48"/>
        </w:rPr>
        <w:t> </w:t>
      </w:r>
      <w:r>
        <w:rPr/>
        <w:t>月</w:t>
      </w:r>
      <w:r>
        <w:rPr>
          <w:spacing w:val="-45"/>
        </w:rPr>
        <w:t> </w:t>
      </w:r>
      <w:r>
        <w:rPr>
          <w:rFonts w:ascii="宋体" w:hAnsi="宋体" w:cs="宋体" w:eastAsia="宋体" w:hint="default"/>
        </w:rPr>
        <w:t>15</w:t>
      </w:r>
      <w:r>
        <w:rPr>
          <w:rFonts w:ascii="宋体" w:hAnsi="宋体" w:cs="宋体" w:eastAsia="宋体" w:hint="default"/>
          <w:spacing w:val="-48"/>
        </w:rPr>
        <w:t> </w:t>
      </w:r>
      <w:r>
        <w:rPr>
          <w:spacing w:val="-4"/>
        </w:rPr>
        <w:t>日已经归还；期初公司应付湖北柯赛威数据科技有限公</w:t>
      </w:r>
    </w:p>
    <w:p>
      <w:pPr>
        <w:spacing w:after="0" w:line="357"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0"/>
        <w:jc w:val="left"/>
      </w:pPr>
      <w:r>
        <w:rPr/>
        <w:t>司往来款</w:t>
      </w:r>
      <w:r>
        <w:rPr>
          <w:spacing w:val="-22"/>
        </w:rPr>
        <w:t> </w:t>
      </w:r>
      <w:r>
        <w:rPr>
          <w:rFonts w:ascii="宋体" w:hAnsi="宋体" w:cs="宋体" w:eastAsia="宋体" w:hint="default"/>
        </w:rPr>
        <w:t>18,000</w:t>
      </w:r>
      <w:r>
        <w:rPr>
          <w:rFonts w:ascii="宋体" w:hAnsi="宋体" w:cs="宋体" w:eastAsia="宋体" w:hint="default"/>
          <w:spacing w:val="-22"/>
        </w:rPr>
        <w:t> </w:t>
      </w:r>
      <w:r>
        <w:rPr>
          <w:spacing w:val="-5"/>
        </w:rPr>
        <w:t>万元，公司已将款项支付给上海慧球，由上海慧球偿还湖北柯赛威数据科技有限</w:t>
      </w:r>
      <w:r>
        <w:rPr>
          <w:spacing w:val="-93"/>
        </w:rPr>
        <w:t> </w:t>
      </w:r>
      <w:r>
        <w:rPr>
          <w:spacing w:val="-93"/>
        </w:rPr>
      </w:r>
      <w:r>
        <w:rPr/>
        <w:t>公司。</w:t>
      </w:r>
    </w:p>
    <w:p>
      <w:pPr>
        <w:pStyle w:val="BodyText"/>
        <w:spacing w:line="240" w:lineRule="auto" w:before="30"/>
        <w:ind w:left="558" w:right="0"/>
        <w:jc w:val="left"/>
      </w:pPr>
      <w:r>
        <w:rPr/>
        <w:t>故公司期末的其他应收款、其他应付款、资产总额较期初有较大减少。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11"/>
        <w:rPr>
          <w:rFonts w:ascii="宋体" w:hAnsi="宋体" w:cs="宋体" w:eastAsia="宋体" w:hint="default"/>
          <w:sz w:val="29"/>
          <w:szCs w:val="29"/>
        </w:rPr>
      </w:pPr>
    </w:p>
    <w:p>
      <w:pPr>
        <w:pStyle w:val="Heading4"/>
        <w:tabs>
          <w:tab w:pos="1057" w:val="left" w:leader="none"/>
        </w:tabs>
        <w:spacing w:line="240" w:lineRule="auto" w:before="36"/>
        <w:ind w:right="24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8"/>
        <w:ind w:right="246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right="2465"/>
        <w:jc w:val="left"/>
      </w:pPr>
      <w:r>
        <w:rPr/>
        <w:t>√适用</w:t>
      </w:r>
      <w:r>
        <w:rPr>
          <w:spacing w:val="-1"/>
        </w:rPr>
        <w:t> </w:t>
      </w:r>
      <w:r>
        <w:rPr/>
        <w:t>□不适用</w:t>
      </w:r>
    </w:p>
    <w:p>
      <w:pPr>
        <w:pStyle w:val="BodyText"/>
        <w:spacing w:line="355" w:lineRule="auto"/>
        <w:ind w:right="97" w:firstLine="419"/>
        <w:jc w:val="left"/>
      </w:pPr>
      <w:r>
        <w:rPr>
          <w:spacing w:val="-5"/>
        </w:rPr>
        <w:t>为探索新的业务发展方向，推动公司业务转型，公司出资 </w:t>
      </w:r>
      <w:r>
        <w:rPr>
          <w:rFonts w:ascii="宋体" w:hAnsi="宋体" w:cs="宋体" w:eastAsia="宋体" w:hint="default"/>
        </w:rPr>
        <w:t>2000</w:t>
      </w:r>
      <w:r>
        <w:rPr>
          <w:rFonts w:ascii="宋体" w:hAnsi="宋体" w:cs="宋体" w:eastAsia="宋体" w:hint="default"/>
          <w:spacing w:val="-80"/>
        </w:rPr>
        <w:t> </w:t>
      </w:r>
      <w:r>
        <w:rPr/>
        <w:t>万元在四川成都设立两个基金</w:t>
      </w:r>
      <w:r>
        <w:rPr>
          <w:w w:val="100"/>
        </w:rPr>
        <w:t> </w:t>
      </w:r>
      <w:r>
        <w:rPr/>
        <w:t>子公司：</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成立时间</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慧金股权投资基金管理成都有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鲲鹏未来资产管理成都有限公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40" w:lineRule="auto" w:before="59"/>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tabs>
          <w:tab w:pos="1057" w:val="left" w:leader="none"/>
        </w:tabs>
        <w:spacing w:line="240" w:lineRule="auto" w:before="36"/>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60" w:val="left" w:leader="none"/>
        </w:tabs>
        <w:spacing w:line="240" w:lineRule="auto" w:before="56"/>
        <w:ind w:right="-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单位：万元</w:t>
      </w:r>
    </w:p>
    <w:p>
      <w:pPr>
        <w:spacing w:after="0" w:line="240" w:lineRule="auto"/>
        <w:jc w:val="left"/>
        <w:sectPr>
          <w:type w:val="continuous"/>
          <w:pgSz w:w="11910" w:h="16840"/>
          <w:pgMar w:top="1120" w:bottom="1380" w:left="1580" w:right="1040"/>
          <w:cols w:num="2" w:equalWidth="0">
            <w:col w:w="3168" w:space="4614"/>
            <w:col w:w="150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公司类别</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r>
      <w:tr>
        <w:trPr>
          <w:trHeight w:val="218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南宁市智诚合讯信息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信息技术服务业</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计算机、信息科技、通</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pacing w:val="-7"/>
                <w:sz w:val="21"/>
                <w:szCs w:val="21"/>
              </w:rPr>
              <w:t>信系统的技术开发、服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务、咨询，通信系统设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备、智能系统工程的设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6"/>
                <w:sz w:val="21"/>
                <w:szCs w:val="21"/>
              </w:rPr>
              <w:t>计、安装、调试、维护；</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5"/>
                <w:sz w:val="21"/>
                <w:szCs w:val="21"/>
              </w:rPr>
              <w:t>自营和代理一般经营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sz w:val="21"/>
                <w:szCs w:val="21"/>
              </w:rPr>
              <w:t>项目商品和技术的进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出口业务</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杭州郡原物业服务有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物业服务业</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物业管理服务、居家生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活服务等</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82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南宁市智诚</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合讯信息技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术有限公司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12,017.99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9,840.59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2,429.14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513.66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513.6</w:t>
            </w:r>
          </w:p>
        </w:tc>
      </w:tr>
      <w:tr>
        <w:trPr>
          <w:trHeight w:val="82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杭州郡原物</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业服务有限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4,534.47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2,714.67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4,076.40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849.77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776.50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公司的主要业务为智慧城市业务和物业管理业务，主要实施主体分别为南宁市智诚合讯信息</w:t>
      </w:r>
      <w:r>
        <w:rPr>
          <w:w w:val="100"/>
        </w:rPr>
        <w:t> </w:t>
      </w:r>
      <w:r>
        <w:rPr>
          <w:spacing w:val="-2"/>
        </w:rPr>
        <w:t>技术有限公司和杭州郡原物业服务有限公司，其他子公司业务规模均较小，对公司的收入、利润</w:t>
      </w:r>
      <w:r>
        <w:rPr>
          <w:spacing w:val="-25"/>
        </w:rPr>
        <w:t> </w:t>
      </w:r>
      <w:r>
        <w:rPr>
          <w:spacing w:val="-25"/>
        </w:rPr>
      </w:r>
      <w:r>
        <w:rPr/>
        <w:t>影响不大。</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南宁市智诚合讯信息技术有限公司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公司现任管理层就位后，充分利用和发掘公司资源拓展智慧城市业务，报告期内智诚合讯开</w:t>
      </w:r>
    </w:p>
    <w:p>
      <w:pPr>
        <w:pStyle w:val="BodyText"/>
        <w:spacing w:line="240" w:lineRule="auto" w:before="32"/>
        <w:ind w:left="138" w:right="0"/>
        <w:jc w:val="both"/>
      </w:pPr>
      <w:r>
        <w:rPr/>
        <w:t>展了智慧工厂业务及智慧城市采购业务，并积极寻找其他业务方向。</w:t>
      </w:r>
    </w:p>
    <w:p>
      <w:pPr>
        <w:pStyle w:val="BodyText"/>
        <w:spacing w:line="355" w:lineRule="auto" w:before="135"/>
        <w:ind w:left="138" w:right="128" w:firstLine="419"/>
        <w:jc w:val="both"/>
      </w:pPr>
      <w:r>
        <w:rPr>
          <w:rFonts w:ascii="宋体" w:hAnsi="宋体" w:cs="宋体" w:eastAsia="宋体" w:hint="default"/>
        </w:rPr>
        <w:t>2017</w:t>
      </w:r>
      <w:r>
        <w:rPr>
          <w:rFonts w:ascii="宋体" w:hAnsi="宋体" w:cs="宋体" w:eastAsia="宋体" w:hint="default"/>
          <w:spacing w:val="-47"/>
        </w:rPr>
        <w:t> </w:t>
      </w:r>
      <w:r>
        <w:rPr>
          <w:spacing w:val="-3"/>
        </w:rPr>
        <w:t>年，智诚合讯实现收入</w:t>
      </w:r>
      <w:r>
        <w:rPr>
          <w:spacing w:val="-43"/>
        </w:rPr>
        <w:t> </w:t>
      </w:r>
      <w:r>
        <w:rPr>
          <w:rFonts w:ascii="宋体" w:hAnsi="宋体" w:cs="宋体" w:eastAsia="宋体" w:hint="default"/>
        </w:rPr>
        <w:t>2,429.14</w:t>
      </w:r>
      <w:r>
        <w:rPr>
          <w:rFonts w:ascii="宋体" w:hAnsi="宋体" w:cs="宋体" w:eastAsia="宋体" w:hint="default"/>
          <w:spacing w:val="-44"/>
        </w:rPr>
        <w:t> </w:t>
      </w:r>
      <w:r>
        <w:rPr>
          <w:spacing w:val="-4"/>
        </w:rPr>
        <w:t>万元，实现净利润</w:t>
      </w:r>
      <w:r>
        <w:rPr>
          <w:spacing w:val="-44"/>
        </w:rPr>
        <w:t> </w:t>
      </w:r>
      <w:r>
        <w:rPr>
          <w:rFonts w:ascii="宋体" w:hAnsi="宋体" w:cs="宋体" w:eastAsia="宋体" w:hint="default"/>
        </w:rPr>
        <w:t>513.60</w:t>
      </w:r>
      <w:r>
        <w:rPr>
          <w:rFonts w:ascii="宋体" w:hAnsi="宋体" w:cs="宋体" w:eastAsia="宋体" w:hint="default"/>
          <w:spacing w:val="-44"/>
        </w:rPr>
        <w:t> </w:t>
      </w:r>
      <w:r>
        <w:rPr>
          <w:spacing w:val="-3"/>
        </w:rPr>
        <w:t>万元，为公司带来智慧城市</w:t>
      </w:r>
      <w:r>
        <w:rPr>
          <w:w w:val="100"/>
        </w:rPr>
        <w:t> </w:t>
      </w:r>
      <w:r>
        <w:rPr/>
        <w:t>业务新的增量，后续还将继续拓展项目资源为公司创造利润，增强公司的可持续发展能力。</w:t>
      </w:r>
    </w:p>
    <w:p>
      <w:pPr>
        <w:pStyle w:val="Heading4"/>
        <w:spacing w:line="240" w:lineRule="auto" w:before="33"/>
        <w:ind w:left="560" w:right="0"/>
        <w:jc w:val="left"/>
        <w:rPr>
          <w:b w:val="0"/>
          <w:bCs w:val="0"/>
        </w:rPr>
      </w:pPr>
      <w:r>
        <w:rPr/>
        <w:t>杭州郡原物业服务有限公司</w:t>
      </w:r>
      <w:r>
        <w:rPr>
          <w:b w:val="0"/>
          <w:bCs w:val="0"/>
        </w:rPr>
      </w:r>
    </w:p>
    <w:p>
      <w:pPr>
        <w:pStyle w:val="BodyText"/>
        <w:spacing w:line="240" w:lineRule="auto" w:before="133"/>
        <w:ind w:left="558" w:right="0"/>
        <w:jc w:val="left"/>
      </w:pPr>
      <w:r>
        <w:rPr/>
        <w:t>报告期内杭州郡原物业有限公司实现收入 </w:t>
      </w:r>
      <w:r>
        <w:rPr>
          <w:rFonts w:ascii="宋体" w:hAnsi="宋体" w:cs="宋体" w:eastAsia="宋体" w:hint="default"/>
        </w:rPr>
        <w:t>4,076.40</w:t>
      </w:r>
      <w:r>
        <w:rPr>
          <w:rFonts w:ascii="宋体" w:hAnsi="宋体" w:cs="宋体" w:eastAsia="宋体" w:hint="default"/>
          <w:spacing w:val="-83"/>
        </w:rPr>
        <w:t> </w:t>
      </w:r>
      <w:r>
        <w:rPr>
          <w:spacing w:val="-7"/>
        </w:rPr>
        <w:t>万元，主要是物业管理收入，较上年下降</w:t>
      </w:r>
    </w:p>
    <w:p>
      <w:pPr>
        <w:pStyle w:val="BodyText"/>
        <w:spacing w:line="240" w:lineRule="auto" w:before="135"/>
        <w:ind w:left="138" w:right="0"/>
        <w:jc w:val="both"/>
      </w:pPr>
      <w:r>
        <w:rPr>
          <w:rFonts w:ascii="宋体" w:hAnsi="宋体" w:cs="宋体" w:eastAsia="宋体" w:hint="default"/>
        </w:rPr>
        <w:t>10.83%</w:t>
      </w:r>
      <w:r>
        <w:rPr/>
        <w:t>，发生营业成本</w:t>
      </w:r>
      <w:r>
        <w:rPr>
          <w:spacing w:val="-54"/>
        </w:rPr>
        <w:t> </w:t>
      </w:r>
      <w:r>
        <w:rPr>
          <w:rFonts w:ascii="宋体" w:hAnsi="宋体" w:cs="宋体" w:eastAsia="宋体" w:hint="default"/>
        </w:rPr>
        <w:t>4,822.78</w:t>
      </w:r>
      <w:r>
        <w:rPr>
          <w:rFonts w:ascii="宋体" w:hAnsi="宋体" w:cs="宋体" w:eastAsia="宋体" w:hint="default"/>
          <w:spacing w:val="-55"/>
        </w:rPr>
        <w:t> </w:t>
      </w:r>
      <w:r>
        <w:rPr>
          <w:spacing w:val="-3"/>
        </w:rPr>
        <w:t>万元，较上年减少</w:t>
      </w:r>
      <w:r>
        <w:rPr>
          <w:spacing w:val="-57"/>
        </w:rPr>
        <w:t> </w:t>
      </w:r>
      <w:r>
        <w:rPr>
          <w:rFonts w:ascii="宋体" w:hAnsi="宋体" w:cs="宋体" w:eastAsia="宋体" w:hint="default"/>
        </w:rPr>
        <w:t>13.75%</w:t>
      </w:r>
      <w:r>
        <w:rPr/>
        <w:t>；发生管理费用</w:t>
      </w:r>
      <w:r>
        <w:rPr>
          <w:spacing w:val="-55"/>
        </w:rPr>
        <w:t> </w:t>
      </w:r>
      <w:r>
        <w:rPr>
          <w:rFonts w:ascii="宋体" w:hAnsi="宋体" w:cs="宋体" w:eastAsia="宋体" w:hint="default"/>
        </w:rPr>
        <w:t>862.27</w:t>
      </w:r>
      <w:r>
        <w:rPr>
          <w:rFonts w:ascii="宋体" w:hAnsi="宋体" w:cs="宋体" w:eastAsia="宋体" w:hint="default"/>
          <w:spacing w:val="-57"/>
        </w:rPr>
        <w:t> </w:t>
      </w:r>
      <w:r>
        <w:rPr>
          <w:spacing w:val="-3"/>
        </w:rPr>
        <w:t>万元，较上年</w:t>
      </w:r>
    </w:p>
    <w:p>
      <w:pPr>
        <w:pStyle w:val="BodyText"/>
        <w:spacing w:line="355" w:lineRule="auto" w:before="133"/>
        <w:ind w:left="138" w:right="127"/>
        <w:jc w:val="both"/>
      </w:pPr>
      <w:r>
        <w:rPr/>
        <w:t>较少</w:t>
      </w:r>
      <w:r>
        <w:rPr>
          <w:spacing w:val="-41"/>
        </w:rPr>
        <w:t> </w:t>
      </w:r>
      <w:r>
        <w:rPr>
          <w:rFonts w:ascii="宋体" w:hAnsi="宋体" w:cs="宋体" w:eastAsia="宋体" w:hint="default"/>
          <w:spacing w:val="-3"/>
        </w:rPr>
        <w:t>13.21%</w:t>
      </w:r>
      <w:r>
        <w:rPr>
          <w:spacing w:val="-3"/>
        </w:rPr>
        <w:t>，实现净利润</w:t>
      </w:r>
      <w:r>
        <w:rPr>
          <w:spacing w:val="-42"/>
        </w:rPr>
        <w:t> </w:t>
      </w:r>
      <w:r>
        <w:rPr>
          <w:rFonts w:ascii="宋体" w:hAnsi="宋体" w:cs="宋体" w:eastAsia="宋体" w:hint="default"/>
        </w:rPr>
        <w:t>776.50</w:t>
      </w:r>
      <w:r>
        <w:rPr>
          <w:rFonts w:ascii="宋体" w:hAnsi="宋体" w:cs="宋体" w:eastAsia="宋体" w:hint="default"/>
          <w:spacing w:val="-41"/>
        </w:rPr>
        <w:t> </w:t>
      </w:r>
      <w:r>
        <w:rPr>
          <w:spacing w:val="-4"/>
        </w:rPr>
        <w:t>万元，较上年增加</w:t>
      </w:r>
      <w:r>
        <w:rPr>
          <w:spacing w:val="-43"/>
        </w:rPr>
        <w:t> </w:t>
      </w:r>
      <w:r>
        <w:rPr>
          <w:rFonts w:ascii="宋体" w:hAnsi="宋体" w:cs="宋体" w:eastAsia="宋体" w:hint="default"/>
        </w:rPr>
        <w:t>1,107.57</w:t>
      </w:r>
      <w:r>
        <w:rPr>
          <w:rFonts w:ascii="宋体" w:hAnsi="宋体" w:cs="宋体" w:eastAsia="宋体" w:hint="default"/>
          <w:spacing w:val="-43"/>
        </w:rPr>
        <w:t> </w:t>
      </w:r>
      <w:r>
        <w:rPr>
          <w:spacing w:val="-3"/>
        </w:rPr>
        <w:t>万元。本年物业板块利润大幅度增</w:t>
      </w:r>
      <w:r>
        <w:rPr>
          <w:spacing w:val="-100"/>
        </w:rPr>
        <w:t> </w:t>
      </w:r>
      <w:r>
        <w:rPr>
          <w:spacing w:val="-100"/>
        </w:rPr>
      </w:r>
      <w:r>
        <w:rPr>
          <w:spacing w:val="-2"/>
        </w:rPr>
        <w:t>加一方面是进行业务布局调整、优化业务结构，将沈阳辽原物业管理有限公司进行转让，产生转</w:t>
      </w:r>
      <w:r>
        <w:rPr>
          <w:spacing w:val="-28"/>
        </w:rPr>
        <w:t> </w:t>
      </w:r>
      <w:r>
        <w:rPr>
          <w:spacing w:val="-28"/>
        </w:rPr>
      </w:r>
      <w:r>
        <w:rPr/>
        <w:t>让收益</w:t>
      </w:r>
      <w:r>
        <w:rPr>
          <w:spacing w:val="-56"/>
        </w:rPr>
        <w:t> </w:t>
      </w:r>
      <w:r>
        <w:rPr>
          <w:rFonts w:ascii="宋体" w:hAnsi="宋体" w:cs="宋体" w:eastAsia="宋体" w:hint="default"/>
        </w:rPr>
        <w:t>933.23</w:t>
      </w:r>
      <w:r>
        <w:rPr>
          <w:rFonts w:ascii="宋体" w:hAnsi="宋体" w:cs="宋体" w:eastAsia="宋体" w:hint="default"/>
          <w:spacing w:val="-58"/>
        </w:rPr>
        <w:t> </w:t>
      </w:r>
      <w:r>
        <w:rPr/>
        <w:t>万元，另一方是面进行降本增效，提高了物业公司的管理效率和盈利水平。</w:t>
      </w:r>
    </w:p>
    <w:p>
      <w:pPr>
        <w:spacing w:line="240" w:lineRule="auto" w:before="13"/>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spacing w:before="12"/>
        <w:ind w:left="558" w:right="7263"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智慧城市业务</w:t>
      </w:r>
      <w:r>
        <w:rPr>
          <w:rFonts w:ascii="宋体" w:hAnsi="宋体" w:cs="宋体" w:eastAsia="宋体" w:hint="default"/>
          <w:sz w:val="21"/>
          <w:szCs w:val="21"/>
        </w:rPr>
      </w:r>
    </w:p>
    <w:p>
      <w:pPr>
        <w:pStyle w:val="BodyText"/>
        <w:spacing w:line="357" w:lineRule="auto" w:before="133"/>
        <w:ind w:left="138" w:right="128" w:firstLine="419"/>
        <w:jc w:val="both"/>
      </w:pPr>
      <w:r>
        <w:rPr>
          <w:spacing w:val="-2"/>
        </w:rPr>
        <w:t>从产业链角度来看，智慧城市的建设涉及的主体包括：政府、运营商、解决方案提供商、内</w:t>
      </w:r>
      <w:r>
        <w:rPr>
          <w:w w:val="100"/>
        </w:rPr>
        <w:t> </w:t>
      </w:r>
      <w:r>
        <w:rPr>
          <w:spacing w:val="-4"/>
        </w:rPr>
        <w:t>容及业务提供商以及最终用户等。从智慧城市解决方案来看，其产业链上下游涵盖了</w:t>
      </w:r>
      <w:r>
        <w:rPr>
          <w:spacing w:val="-34"/>
        </w:rPr>
        <w:t> </w:t>
      </w:r>
      <w:r>
        <w:rPr>
          <w:rFonts w:ascii="宋体" w:hAnsi="宋体" w:cs="宋体" w:eastAsia="宋体" w:hint="default"/>
        </w:rPr>
        <w:t>RFID</w:t>
      </w:r>
      <w:r>
        <w:rPr>
          <w:rFonts w:ascii="宋体" w:hAnsi="宋体" w:cs="宋体" w:eastAsia="宋体" w:hint="default"/>
          <w:spacing w:val="-36"/>
        </w:rPr>
        <w:t> </w:t>
      </w:r>
      <w:r>
        <w:rPr/>
        <w:t>等芯片</w:t>
      </w:r>
      <w:r>
        <w:rPr>
          <w:spacing w:val="-97"/>
        </w:rPr>
        <w:t> </w:t>
      </w:r>
      <w:r>
        <w:rPr>
          <w:spacing w:val="-97"/>
        </w:rPr>
      </w:r>
      <w:r>
        <w:rPr>
          <w:spacing w:val="-3"/>
        </w:rPr>
        <w:t>制造商；传感器、物联网终端制造商；电信网络设备、</w:t>
      </w:r>
      <w:r>
        <w:rPr>
          <w:rFonts w:ascii="宋体" w:hAnsi="宋体" w:cs="宋体" w:eastAsia="宋体" w:hint="default"/>
          <w:spacing w:val="-3"/>
        </w:rPr>
        <w:t>IT </w:t>
      </w:r>
      <w:r>
        <w:rPr>
          <w:spacing w:val="-3"/>
        </w:rPr>
        <w:t>设备提供商；终端应用软件开放商、系</w:t>
      </w:r>
      <w:r>
        <w:rPr>
          <w:spacing w:val="-75"/>
        </w:rPr>
        <w:t> </w:t>
      </w:r>
      <w:r>
        <w:rPr>
          <w:spacing w:val="-75"/>
        </w:rPr>
      </w:r>
      <w:r>
        <w:rPr/>
        <w:t>统集成商、智慧城市相关业务运营商以及顶层规划服务提供商等多种科技型企业。</w:t>
      </w:r>
    </w:p>
    <w:p>
      <w:pPr>
        <w:pStyle w:val="BodyText"/>
        <w:spacing w:line="355" w:lineRule="auto" w:before="31"/>
        <w:ind w:left="138" w:right="137" w:firstLine="419"/>
        <w:jc w:val="both"/>
      </w:pPr>
      <w:r>
        <w:rPr>
          <w:spacing w:val="-2"/>
        </w:rPr>
        <w:t>当前我国智慧城市行业的主要特点如下：智慧城市建设标准化程度底、技术研发水平不高、</w:t>
      </w:r>
      <w:r>
        <w:rPr>
          <w:w w:val="100"/>
        </w:rPr>
        <w:t> </w:t>
      </w:r>
      <w:r>
        <w:rPr>
          <w:spacing w:val="-2"/>
        </w:rPr>
        <w:t>智慧城市建设数量快速增长，目前我国的智慧城市建设仍处于起步及快速发展阶段。因城市发展</w:t>
      </w:r>
      <w:r>
        <w:rPr>
          <w:spacing w:val="-25"/>
        </w:rPr>
        <w:t> </w:t>
      </w:r>
      <w:r>
        <w:rPr>
          <w:spacing w:val="-25"/>
        </w:rPr>
      </w:r>
      <w:r>
        <w:rPr/>
        <w:t>需求、业态不断革新，标准还未完全统一，参与竞争的企业较多。</w:t>
      </w:r>
    </w:p>
    <w:p>
      <w:pPr>
        <w:pStyle w:val="BodyText"/>
        <w:spacing w:line="357" w:lineRule="auto" w:before="32"/>
        <w:ind w:left="138" w:right="128" w:firstLine="419"/>
        <w:jc w:val="both"/>
      </w:pPr>
      <w:r>
        <w:rPr>
          <w:rFonts w:ascii="宋体" w:hAnsi="宋体" w:cs="宋体" w:eastAsia="宋体" w:hint="default"/>
        </w:rPr>
        <w:t>2017</w:t>
      </w:r>
      <w:r>
        <w:rPr>
          <w:rFonts w:ascii="宋体" w:hAnsi="宋体" w:cs="宋体" w:eastAsia="宋体" w:hint="default"/>
          <w:spacing w:val="-15"/>
        </w:rPr>
        <w:t> </w:t>
      </w:r>
      <w:r>
        <w:rPr>
          <w:spacing w:val="-3"/>
        </w:rPr>
        <w:t>年，是国家启动新型智慧城市建设的第二年。这一年，新型智慧城市建设提档加速，面</w:t>
      </w:r>
      <w:r>
        <w:rPr>
          <w:w w:val="100"/>
        </w:rPr>
        <w:t> </w:t>
      </w:r>
      <w:r>
        <w:rPr>
          <w:spacing w:val="-6"/>
        </w:rPr>
        <w:t>临一个相对集中的三期叠加利好背景，一是处于战略机遇期；二是起步成长期；三是创新发展期。</w:t>
      </w:r>
      <w:r>
        <w:rPr>
          <w:spacing w:val="-54"/>
        </w:rPr>
        <w:t> </w:t>
      </w:r>
      <w:r>
        <w:rPr>
          <w:spacing w:val="-54"/>
        </w:rPr>
      </w:r>
      <w:r>
        <w:rPr>
          <w:rFonts w:ascii="宋体" w:hAnsi="宋体" w:cs="宋体" w:eastAsia="宋体" w:hint="default"/>
        </w:rPr>
        <w:t>2017</w:t>
      </w:r>
      <w:r>
        <w:rPr>
          <w:rFonts w:ascii="宋体" w:hAnsi="宋体" w:cs="宋体" w:eastAsia="宋体" w:hint="default"/>
          <w:spacing w:val="17"/>
        </w:rPr>
        <w:t> </w:t>
      </w:r>
      <w:r>
        <w:rPr>
          <w:spacing w:val="-3"/>
        </w:rPr>
        <w:t>年，新型智慧城市建设总体发展速度非常显著，城市水平和运行效率得到较大提升，已经日</w:t>
      </w:r>
    </w:p>
    <w:p>
      <w:pPr>
        <w:pStyle w:val="BodyText"/>
        <w:spacing w:line="355" w:lineRule="auto" w:before="30"/>
        <w:ind w:left="138" w:right="127"/>
        <w:jc w:val="left"/>
      </w:pPr>
      <w:r>
        <w:rPr>
          <w:spacing w:val="-5"/>
          <w:w w:val="100"/>
        </w:rPr>
        <w:t>益成为贯彻落实新发展理念优秀的范例或者是实践的载体。预计</w:t>
      </w:r>
      <w:r>
        <w:rPr>
          <w:spacing w:val="-48"/>
          <w:w w:val="100"/>
        </w:rPr>
        <w:t> </w:t>
      </w:r>
      <w:r>
        <w:rPr>
          <w:rFonts w:ascii="宋体" w:hAnsi="宋体" w:cs="宋体" w:eastAsia="宋体" w:hint="default"/>
          <w:spacing w:val="-1"/>
          <w:w w:val="100"/>
        </w:rPr>
        <w:t>2020</w:t>
      </w:r>
      <w:r>
        <w:rPr>
          <w:rFonts w:ascii="宋体" w:hAnsi="宋体" w:cs="宋体" w:eastAsia="宋体" w:hint="default"/>
          <w:spacing w:val="-45"/>
          <w:w w:val="100"/>
        </w:rPr>
        <w:t> </w:t>
      </w:r>
      <w:r>
        <w:rPr>
          <w:spacing w:val="-2"/>
          <w:w w:val="100"/>
        </w:rPr>
        <w:t>年我国智慧城市建设从起跑</w:t>
      </w:r>
      <w:r>
        <w:rPr>
          <w:spacing w:val="-103"/>
          <w:w w:val="100"/>
        </w:rPr>
        <w:t> </w:t>
      </w:r>
      <w:r>
        <w:rPr>
          <w:spacing w:val="-103"/>
          <w:w w:val="100"/>
        </w:rPr>
      </w:r>
      <w:r>
        <w:rPr/>
        <w:t>迈向国际先进水平的新的阶段。</w:t>
      </w:r>
    </w:p>
    <w:p>
      <w:pPr>
        <w:spacing w:after="0" w:line="355"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8" w:firstLine="419"/>
        <w:jc w:val="both"/>
      </w:pPr>
      <w:r>
        <w:rPr>
          <w:spacing w:val="-7"/>
          <w:w w:val="100"/>
        </w:rPr>
        <w:t>未来我国智慧建筑市场发展空间还较大，行业发展相对较成熟，未来有望进入行业整合阶段，</w:t>
      </w:r>
      <w:r>
        <w:rPr>
          <w:w w:val="100"/>
        </w:rPr>
        <w:t> </w:t>
      </w:r>
      <w:r>
        <w:rPr/>
        <w:t>并形成区域龙头的竞争格局。</w:t>
      </w:r>
    </w:p>
    <w:p>
      <w:pPr>
        <w:pStyle w:val="BodyText"/>
        <w:spacing w:line="355" w:lineRule="auto" w:before="30"/>
        <w:ind w:left="558" w:right="0" w:firstLine="2"/>
        <w:jc w:val="left"/>
      </w:pPr>
      <w:r>
        <w:rPr>
          <w:rFonts w:ascii="宋体" w:hAnsi="宋体" w:cs="宋体" w:eastAsia="宋体" w:hint="default"/>
          <w:b/>
          <w:bCs/>
        </w:rPr>
        <w:t>物业管理业务</w:t>
      </w:r>
      <w:r>
        <w:rPr>
          <w:rFonts w:ascii="宋体" w:hAnsi="宋体" w:cs="宋体" w:eastAsia="宋体" w:hint="default"/>
          <w:b/>
          <w:bCs/>
          <w:w w:val="100"/>
        </w:rPr>
        <w:t> </w:t>
      </w:r>
      <w:r>
        <w:rPr>
          <w:spacing w:val="-2"/>
        </w:rPr>
        <w:t>现阶段，我国城镇化正处于中期发展阶段，城镇人口持续快速增长，城镇化进程加快，城镇</w:t>
      </w:r>
    </w:p>
    <w:p>
      <w:pPr>
        <w:pStyle w:val="BodyText"/>
        <w:spacing w:line="357" w:lineRule="auto" w:before="32"/>
        <w:ind w:left="138" w:right="137"/>
        <w:jc w:val="both"/>
      </w:pPr>
      <w:r>
        <w:rPr>
          <w:spacing w:val="-2"/>
        </w:rPr>
        <w:t>人口增长带动住房及物业管理需求，城镇居民收入水平的持续增长和居民对服务需求的转变，为</w:t>
      </w:r>
      <w:r>
        <w:rPr>
          <w:spacing w:val="-25"/>
        </w:rPr>
        <w:t> </w:t>
      </w:r>
      <w:r>
        <w:rPr>
          <w:spacing w:val="-25"/>
        </w:rPr>
      </w:r>
      <w:r>
        <w:rPr>
          <w:spacing w:val="-2"/>
        </w:rPr>
        <w:t>物业管理服务的发展提供了坚实的物质基础，物业管理业务发展空间广阔，预计未来五年物业管</w:t>
      </w:r>
      <w:r>
        <w:rPr>
          <w:spacing w:val="-25"/>
        </w:rPr>
        <w:t> </w:t>
      </w:r>
      <w:r>
        <w:rPr>
          <w:spacing w:val="-25"/>
        </w:rPr>
      </w:r>
      <w:r>
        <w:rPr/>
        <w:t>理业务规模还将继续保持快速增长。</w:t>
      </w:r>
    </w:p>
    <w:p>
      <w:pPr>
        <w:pStyle w:val="BodyText"/>
        <w:spacing w:line="357" w:lineRule="auto" w:before="30"/>
        <w:ind w:left="138" w:right="137" w:firstLine="419"/>
        <w:jc w:val="both"/>
      </w:pPr>
      <w:r>
        <w:rPr>
          <w:spacing w:val="-2"/>
        </w:rPr>
        <w:t>我国物业管理行业进入门槛较低，各地客户对服务、价格要求存在差异性，为行业内小型物</w:t>
      </w:r>
      <w:r>
        <w:rPr>
          <w:w w:val="100"/>
        </w:rPr>
        <w:t> </w:t>
      </w:r>
      <w:r>
        <w:rPr/>
        <w:t>业管理公司的生存提供了空间，物业管理行业呈现出高度分散的特点。</w:t>
      </w:r>
    </w:p>
    <w:p>
      <w:pPr>
        <w:pStyle w:val="BodyText"/>
        <w:spacing w:line="357" w:lineRule="auto" w:before="30"/>
        <w:ind w:left="138" w:right="128" w:firstLine="525"/>
        <w:jc w:val="both"/>
      </w:pPr>
      <w:r>
        <w:rPr>
          <w:spacing w:val="-2"/>
        </w:rPr>
        <w:t>目前物业管理行业的竞争逐步变得激烈，主要体现在以下方面：（</w:t>
      </w:r>
      <w:r>
        <w:rPr>
          <w:rFonts w:ascii="宋体" w:hAnsi="宋体" w:cs="宋体" w:eastAsia="宋体" w:hint="default"/>
          <w:spacing w:val="-2"/>
        </w:rPr>
        <w:t>1</w:t>
      </w:r>
      <w:r>
        <w:rPr>
          <w:spacing w:val="-2"/>
        </w:rPr>
        <w:t>）行业内企业通过不断</w:t>
      </w:r>
      <w:r>
        <w:rPr>
          <w:w w:val="100"/>
        </w:rPr>
        <w:t> </w:t>
      </w:r>
      <w:r>
        <w:rPr>
          <w:spacing w:val="-4"/>
        </w:rPr>
        <w:t>扩张及兼并整合，寻求规模经济效应，领先企业之间的竞争程度加强；（</w:t>
      </w:r>
      <w:r>
        <w:rPr>
          <w:rFonts w:ascii="宋体" w:hAnsi="宋体" w:cs="宋体" w:eastAsia="宋体" w:hint="default"/>
          <w:spacing w:val="-4"/>
        </w:rPr>
        <w:t>2</w:t>
      </w:r>
      <w:r>
        <w:rPr>
          <w:spacing w:val="-4"/>
        </w:rPr>
        <w:t>）行业内规模较大的物</w:t>
      </w:r>
      <w:r>
        <w:rPr>
          <w:spacing w:val="-34"/>
        </w:rPr>
        <w:t> </w:t>
      </w:r>
      <w:r>
        <w:rPr>
          <w:spacing w:val="-34"/>
        </w:rPr>
      </w:r>
      <w:r>
        <w:rPr>
          <w:spacing w:val="-2"/>
        </w:rPr>
        <w:t>业管理企业已经形成了品牌效应，其提供高品质的物业管理服务并且取得了良好的市场反馈，形</w:t>
      </w:r>
      <w:r>
        <w:rPr>
          <w:spacing w:val="-25"/>
        </w:rPr>
        <w:t> </w:t>
      </w:r>
      <w:r>
        <w:rPr>
          <w:spacing w:val="-25"/>
        </w:rPr>
      </w:r>
      <w:r>
        <w:rPr>
          <w:spacing w:val="-4"/>
        </w:rPr>
        <w:t>成一定的竞争优势；（</w:t>
      </w:r>
      <w:r>
        <w:rPr>
          <w:rFonts w:ascii="宋体" w:hAnsi="宋体" w:cs="宋体" w:eastAsia="宋体" w:hint="default"/>
          <w:spacing w:val="-4"/>
        </w:rPr>
        <w:t>3</w:t>
      </w:r>
      <w:r>
        <w:rPr>
          <w:spacing w:val="-4"/>
        </w:rPr>
        <w:t>）行业高科技水平逐步提升，信息科技产品在物业管理行的应用率不断提</w:t>
      </w:r>
      <w:r>
        <w:rPr>
          <w:spacing w:val="-33"/>
        </w:rPr>
        <w:t> </w:t>
      </w:r>
      <w:r>
        <w:rPr>
          <w:spacing w:val="-33"/>
        </w:rPr>
      </w:r>
      <w:r>
        <w:rPr/>
        <w:t>升，推动行业服务质量的提升。</w:t>
      </w:r>
    </w:p>
    <w:p>
      <w:pPr>
        <w:pStyle w:val="BodyText"/>
        <w:spacing w:line="357" w:lineRule="auto" w:before="30"/>
        <w:ind w:left="138" w:right="137" w:firstLine="419"/>
        <w:jc w:val="both"/>
      </w:pPr>
      <w:r>
        <w:rPr>
          <w:spacing w:val="-2"/>
        </w:rPr>
        <w:t>随着有关物业管理的多部法规相继出台，我国的物业管理行业得到进一步规范，并且随着物</w:t>
      </w:r>
      <w:r>
        <w:rPr>
          <w:w w:val="100"/>
        </w:rPr>
        <w:t> </w:t>
      </w:r>
      <w:r>
        <w:rPr>
          <w:spacing w:val="-2"/>
        </w:rPr>
        <w:t>业业主消费升级、形态增多、技术崛起，物业管理业务将朝着专业化、多元化、定制化、智能化</w:t>
      </w:r>
      <w:r>
        <w:rPr>
          <w:spacing w:val="-25"/>
        </w:rPr>
        <w:t> </w:t>
      </w:r>
      <w:r>
        <w:rPr>
          <w:spacing w:val="-25"/>
        </w:rPr>
      </w:r>
      <w:r>
        <w:rPr/>
        <w:t>发展。</w:t>
      </w:r>
    </w:p>
    <w:p>
      <w:pPr>
        <w:spacing w:line="240" w:lineRule="auto" w:before="11"/>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73" w:lineRule="exact" w:before="56"/>
        <w:ind w:left="138" w:right="0"/>
        <w:jc w:val="both"/>
      </w:pPr>
      <w:r>
        <w:rPr/>
        <w:t>√适用</w:t>
      </w:r>
      <w:r>
        <w:rPr>
          <w:spacing w:val="-1"/>
        </w:rPr>
        <w:t> </w:t>
      </w:r>
      <w:r>
        <w:rPr/>
        <w:t>□不适用</w:t>
      </w:r>
    </w:p>
    <w:p>
      <w:pPr>
        <w:pStyle w:val="BodyText"/>
        <w:spacing w:line="357" w:lineRule="auto"/>
        <w:ind w:left="138" w:right="183" w:firstLine="479"/>
        <w:jc w:val="both"/>
      </w:pPr>
      <w:r>
        <w:rPr/>
        <w:t>公司的主营业务为智慧城市及物业管理，物业管理发展较为平稳，智慧城市业务在</w:t>
      </w:r>
      <w:r>
        <w:rPr>
          <w:spacing w:val="-54"/>
        </w:rPr>
        <w:t> </w:t>
      </w:r>
      <w:r>
        <w:rPr>
          <w:rFonts w:ascii="宋体" w:hAnsi="宋体" w:cs="宋体" w:eastAsia="宋体" w:hint="default"/>
        </w:rPr>
        <w:t>2016</w:t>
      </w:r>
      <w:r>
        <w:rPr>
          <w:rFonts w:ascii="宋体" w:hAnsi="宋体" w:cs="宋体" w:eastAsia="宋体" w:hint="default"/>
          <w:spacing w:val="-55"/>
        </w:rPr>
        <w:t> </w:t>
      </w:r>
      <w:r>
        <w:rPr/>
        <w:t>年</w:t>
      </w:r>
      <w:r>
        <w:rPr>
          <w:w w:val="100"/>
        </w:rPr>
        <w:t> </w:t>
      </w:r>
      <w:r>
        <w:rPr>
          <w:spacing w:val="-2"/>
        </w:rPr>
        <w:t>陷入停滞状态后，</w:t>
      </w:r>
      <w:r>
        <w:rPr>
          <w:rFonts w:ascii="宋体" w:hAnsi="宋体" w:cs="宋体" w:eastAsia="宋体" w:hint="default"/>
          <w:spacing w:val="-2"/>
        </w:rPr>
        <w:t>2017</w:t>
      </w:r>
      <w:r>
        <w:rPr>
          <w:rFonts w:ascii="宋体" w:hAnsi="宋体" w:cs="宋体" w:eastAsia="宋体" w:hint="default"/>
          <w:spacing w:val="15"/>
        </w:rPr>
        <w:t> </w:t>
      </w:r>
      <w:r>
        <w:rPr>
          <w:spacing w:val="-2"/>
        </w:rPr>
        <w:t>年在新的董事会、管理层的带领下实现了业务新的拓展。</w:t>
      </w:r>
    </w:p>
    <w:p>
      <w:pPr>
        <w:pStyle w:val="BodyText"/>
        <w:spacing w:line="355" w:lineRule="auto" w:before="30"/>
        <w:ind w:left="138" w:right="137" w:firstLine="419"/>
        <w:jc w:val="both"/>
      </w:pPr>
      <w:r>
        <w:rPr>
          <w:spacing w:val="-2"/>
        </w:rPr>
        <w:t>公司当前发展战略是在维持既有格局的基础上，提升公司经营质量和效益，降本增效，为公</w:t>
      </w:r>
      <w:r>
        <w:rPr>
          <w:w w:val="100"/>
        </w:rPr>
        <w:t> </w:t>
      </w:r>
      <w:r>
        <w:rPr>
          <w:spacing w:val="-2"/>
        </w:rPr>
        <w:t>司创造利润；同时以上市公司为平台，探索新的业务发展方向，夯实公司的业务基础，增强公司</w:t>
      </w:r>
      <w:r>
        <w:rPr>
          <w:spacing w:val="-25"/>
        </w:rPr>
        <w:t> </w:t>
      </w:r>
      <w:r>
        <w:rPr>
          <w:spacing w:val="-25"/>
        </w:rPr>
      </w:r>
      <w:r>
        <w:rPr/>
        <w:t>的可持续发展能力。</w:t>
      </w:r>
    </w:p>
    <w:p>
      <w:pPr>
        <w:spacing w:line="240" w:lineRule="auto" w:before="0"/>
        <w:rPr>
          <w:rFonts w:ascii="宋体" w:hAnsi="宋体" w:cs="宋体" w:eastAsia="宋体" w:hint="default"/>
          <w:sz w:val="28"/>
          <w:szCs w:val="28"/>
        </w:rPr>
      </w:pPr>
    </w:p>
    <w:p>
      <w:pPr>
        <w:pStyle w:val="Heading4"/>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7"/>
          <w:w w:val="100"/>
        </w:rPr>
        <w:t>公司管理层看好公司现有主业格局，在现有业务层面，公司将继续保持物业板块的平稳运营，</w:t>
      </w:r>
    </w:p>
    <w:p>
      <w:pPr>
        <w:pStyle w:val="BodyText"/>
        <w:spacing w:line="357" w:lineRule="auto" w:before="108"/>
        <w:ind w:left="138" w:right="137"/>
        <w:jc w:val="both"/>
      </w:pPr>
      <w:r>
        <w:rPr>
          <w:spacing w:val="-2"/>
        </w:rPr>
        <w:t>对各个项目采取开源节流、精耕细作策略，努力降低成本，提高盈利水平，争取尽早结束物业板</w:t>
      </w:r>
      <w:r>
        <w:rPr>
          <w:spacing w:val="-25"/>
        </w:rPr>
        <w:t> </w:t>
      </w:r>
      <w:r>
        <w:rPr>
          <w:spacing w:val="-25"/>
        </w:rPr>
      </w:r>
      <w:r>
        <w:rPr>
          <w:spacing w:val="-2"/>
        </w:rPr>
        <w:t>块整体亏损的局面，并实现进一步的发展；智慧城市业务方面，未来除了确保新增在手项目继续</w:t>
      </w:r>
      <w:r>
        <w:rPr>
          <w:spacing w:val="-25"/>
        </w:rPr>
        <w:t> </w:t>
      </w:r>
      <w:r>
        <w:rPr>
          <w:spacing w:val="-25"/>
        </w:rPr>
      </w:r>
      <w:r>
        <w:rPr/>
        <w:t>推进外，努力拓展新业务，确保公司的收入增加。</w:t>
      </w:r>
    </w:p>
    <w:p>
      <w:pPr>
        <w:pStyle w:val="BodyText"/>
        <w:spacing w:line="345" w:lineRule="auto" w:before="30"/>
        <w:ind w:left="138" w:right="128"/>
        <w:jc w:val="both"/>
      </w:pPr>
      <w:r>
        <w:rPr>
          <w:spacing w:val="-5"/>
        </w:rPr>
        <w:t>此外，公司于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spacing w:val="-4"/>
        </w:rPr>
        <w:t>月在成都投资设立两家全资子公司，开展股权投资、资产管理业务，目前</w:t>
      </w:r>
      <w:r>
        <w:rPr>
          <w:spacing w:val="-100"/>
        </w:rPr>
        <w:t> </w:t>
      </w:r>
      <w:r>
        <w:rPr>
          <w:spacing w:val="-100"/>
        </w:rPr>
      </w:r>
      <w:r>
        <w:rPr>
          <w:spacing w:val="-2"/>
        </w:rPr>
        <w:t>两家子公司正在积极推进私募基金管理人登记等工作。两家子公司未来将为上市公司积极探索新</w:t>
      </w:r>
      <w:r>
        <w:rPr>
          <w:spacing w:val="-25"/>
        </w:rPr>
        <w:t> </w:t>
      </w:r>
      <w:r>
        <w:rPr>
          <w:spacing w:val="-25"/>
        </w:rPr>
      </w:r>
      <w:r>
        <w:rPr/>
        <w:t>的业务发展方向，推动公司业务转型，为全体股东创造价值。</w:t>
      </w:r>
    </w:p>
    <w:p>
      <w:pPr>
        <w:spacing w:after="0" w:line="345"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77" w:val="left" w:leader="none"/>
        </w:tabs>
        <w:spacing w:line="240" w:lineRule="auto" w:before="177"/>
        <w:ind w:left="238" w:right="24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40" w:lineRule="auto" w:before="56"/>
        <w:ind w:left="23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1077" w:val="left" w:leader="none"/>
        </w:tabs>
        <w:spacing w:line="240" w:lineRule="auto"/>
        <w:ind w:left="238" w:right="24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40" w:lineRule="auto" w:before="58"/>
        <w:ind w:left="23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38" w:right="97"/>
        <w:jc w:val="left"/>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23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tabs>
          <w:tab w:pos="1282" w:val="left" w:leader="none"/>
        </w:tabs>
        <w:spacing w:line="240" w:lineRule="auto"/>
        <w:ind w:left="2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238" w:right="2465"/>
        <w:jc w:val="left"/>
        <w:rPr>
          <w:b w:val="0"/>
          <w:bCs w:val="0"/>
        </w:rPr>
      </w:pPr>
      <w:r>
        <w:rPr/>
        <w:t>一、普通股利润分配或资本公积金转增预案</w:t>
      </w:r>
      <w:r>
        <w:rPr>
          <w:b w:val="0"/>
          <w:bCs w:val="0"/>
        </w:rPr>
      </w:r>
    </w:p>
    <w:p>
      <w:pPr>
        <w:pStyle w:val="Heading4"/>
        <w:spacing w:line="240" w:lineRule="auto" w:before="56"/>
        <w:ind w:left="238"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80" w:val="left" w:leader="none"/>
        </w:tabs>
        <w:spacing w:line="240" w:lineRule="auto" w:before="32"/>
        <w:ind w:left="23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238" w:right="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262" w:val="left" w:leader="none"/>
        </w:tabs>
        <w:spacing w:line="240" w:lineRule="auto" w:before="29"/>
        <w:ind w:left="0" w:right="21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13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4" w:right="127"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189"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71" w:lineRule="exact"/>
              <w:ind w:left="18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ind w:left="146" w:right="147"/>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ind w:left="151" w:right="146"/>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316.90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-2,635.89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513.19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pStyle w:val="BodyText"/>
        <w:spacing w:line="355" w:lineRule="auto" w:before="36"/>
        <w:ind w:left="238" w:right="210" w:firstLine="419"/>
        <w:jc w:val="both"/>
      </w:pPr>
      <w:r>
        <w:rPr/>
        <w:t>公司</w:t>
      </w:r>
      <w:r>
        <w:rPr>
          <w:spacing w:val="-54"/>
        </w:rPr>
        <w:t> </w:t>
      </w:r>
      <w:r>
        <w:rPr>
          <w:rFonts w:ascii="宋体" w:hAnsi="宋体" w:cs="宋体" w:eastAsia="宋体" w:hint="default"/>
        </w:rPr>
        <w:t>2015</w:t>
      </w:r>
      <w:r>
        <w:rPr>
          <w:rFonts w:ascii="宋体" w:hAnsi="宋体" w:cs="宋体" w:eastAsia="宋体" w:hint="default"/>
          <w:spacing w:val="-56"/>
        </w:rPr>
        <w:t> </w:t>
      </w:r>
      <w:r>
        <w:rPr/>
        <w:t>年度、</w:t>
      </w:r>
      <w:r>
        <w:rPr>
          <w:rFonts w:ascii="宋体" w:hAnsi="宋体" w:cs="宋体" w:eastAsia="宋体" w:hint="default"/>
        </w:rPr>
        <w:t>2016</w:t>
      </w:r>
      <w:r>
        <w:rPr>
          <w:rFonts w:ascii="宋体" w:hAnsi="宋体" w:cs="宋体" w:eastAsia="宋体" w:hint="default"/>
          <w:spacing w:val="-54"/>
        </w:rPr>
        <w:t> </w:t>
      </w:r>
      <w:r>
        <w:rPr/>
        <w:t>年度均未进行利润分配、资本公积金转增股本。</w:t>
      </w:r>
      <w:r>
        <w:rPr>
          <w:rFonts w:ascii="宋体" w:hAnsi="宋体" w:cs="宋体" w:eastAsia="宋体" w:hint="default"/>
        </w:rPr>
        <w:t>2017</w:t>
      </w:r>
      <w:r>
        <w:rPr>
          <w:rFonts w:ascii="宋体" w:hAnsi="宋体" w:cs="宋体" w:eastAsia="宋体" w:hint="default"/>
          <w:spacing w:val="-56"/>
        </w:rPr>
        <w:t> </w:t>
      </w:r>
      <w:r>
        <w:rPr/>
        <w:t>年度，公司拟定</w:t>
      </w:r>
      <w:r>
        <w:rPr>
          <w:w w:val="100"/>
        </w:rPr>
        <w:t> </w:t>
      </w:r>
      <w:r>
        <w:rPr>
          <w:spacing w:val="-3"/>
        </w:rPr>
        <w:t>不进行利润分配，也不进行资本公积金转增股本，此预案经公司董事会审议后尚需提交公司 </w:t>
      </w:r>
      <w:r>
        <w:rPr>
          <w:rFonts w:ascii="宋体" w:hAnsi="宋体" w:cs="宋体" w:eastAsia="宋体" w:hint="default"/>
        </w:rPr>
        <w:t>2017</w:t>
      </w:r>
      <w:r>
        <w:rPr>
          <w:rFonts w:ascii="宋体" w:hAnsi="宋体" w:cs="宋体" w:eastAsia="宋体" w:hint="default"/>
          <w:spacing w:val="-86"/>
        </w:rPr>
        <w:t> </w:t>
      </w:r>
      <w:r>
        <w:rPr>
          <w:rFonts w:ascii="宋体" w:hAnsi="宋体" w:cs="宋体" w:eastAsia="宋体" w:hint="default"/>
          <w:spacing w:val="-86"/>
        </w:rPr>
      </w:r>
      <w:r>
        <w:rPr/>
        <w:t>年年度股东大会审议。</w:t>
      </w:r>
    </w:p>
    <w:p>
      <w:pPr>
        <w:spacing w:line="240" w:lineRule="auto" w:before="0"/>
        <w:rPr>
          <w:rFonts w:ascii="宋体" w:hAnsi="宋体" w:cs="宋体" w:eastAsia="宋体" w:hint="default"/>
          <w:sz w:val="28"/>
          <w:szCs w:val="28"/>
        </w:rPr>
      </w:pPr>
    </w:p>
    <w:p>
      <w:pPr>
        <w:pStyle w:val="Heading4"/>
        <w:spacing w:line="240" w:lineRule="auto"/>
        <w:ind w:left="23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left="238" w:right="2465"/>
        <w:jc w:val="left"/>
      </w:pPr>
      <w:r>
        <w:rPr/>
        <w:t>□适用</w:t>
      </w:r>
      <w:r>
        <w:rPr>
          <w:spacing w:val="-1"/>
        </w:rPr>
        <w:t> </w:t>
      </w:r>
      <w:r>
        <w:rPr/>
        <w:t>√不适用</w:t>
      </w:r>
    </w:p>
    <w:p>
      <w:pPr>
        <w:pStyle w:val="Heading4"/>
        <w:spacing w:line="272" w:lineRule="exact" w:before="86"/>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238" w:right="69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804" w:val="left" w:leader="none"/>
        </w:tabs>
        <w:spacing w:line="272" w:lineRule="exact" w:before="42"/>
        <w:ind w:left="80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23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26"/>
        <w:gridCol w:w="869"/>
        <w:gridCol w:w="895"/>
        <w:gridCol w:w="938"/>
        <w:gridCol w:w="939"/>
        <w:gridCol w:w="967"/>
        <w:gridCol w:w="946"/>
        <w:gridCol w:w="1109"/>
        <w:gridCol w:w="871"/>
      </w:tblGrid>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8" w:right="21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25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72" w:lineRule="exact" w:before="27"/>
              <w:ind w:left="357" w:right="144" w:hanging="209"/>
              <w:jc w:val="left"/>
              <w:rPr>
                <w:rFonts w:ascii="宋体" w:hAnsi="宋体" w:cs="宋体" w:eastAsia="宋体" w:hint="default"/>
                <w:sz w:val="21"/>
                <w:szCs w:val="21"/>
              </w:rPr>
            </w:pPr>
            <w:r>
              <w:rPr>
                <w:rFonts w:ascii="宋体" w:hAnsi="宋体" w:cs="宋体" w:eastAsia="宋体" w:hint="default"/>
                <w:sz w:val="21"/>
                <w:szCs w:val="21"/>
              </w:rPr>
              <w:t>间及期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是否有</w:t>
            </w:r>
          </w:p>
          <w:p>
            <w:pPr>
              <w:pStyle w:val="TableParagraph"/>
              <w:spacing w:line="272" w:lineRule="exact" w:before="27"/>
              <w:ind w:left="371" w:right="158" w:hanging="209"/>
              <w:jc w:val="left"/>
              <w:rPr>
                <w:rFonts w:ascii="宋体" w:hAnsi="宋体" w:cs="宋体" w:eastAsia="宋体" w:hint="default"/>
                <w:sz w:val="21"/>
                <w:szCs w:val="21"/>
              </w:rPr>
            </w:pPr>
            <w:r>
              <w:rPr>
                <w:rFonts w:ascii="宋体" w:hAnsi="宋体" w:cs="宋体" w:eastAsia="宋体" w:hint="default"/>
                <w:sz w:val="21"/>
                <w:szCs w:val="21"/>
              </w:rPr>
              <w:t>履行期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是否及</w:t>
            </w:r>
          </w:p>
          <w:p>
            <w:pPr>
              <w:pStyle w:val="TableParagraph"/>
              <w:spacing w:line="272" w:lineRule="exact" w:before="27"/>
              <w:ind w:left="256" w:right="149" w:hanging="106"/>
              <w:jc w:val="left"/>
              <w:rPr>
                <w:rFonts w:ascii="宋体" w:hAnsi="宋体" w:cs="宋体" w:eastAsia="宋体" w:hint="default"/>
                <w:sz w:val="21"/>
                <w:szCs w:val="21"/>
              </w:rPr>
            </w:pP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2" w:lineRule="exact" w:before="27"/>
              <w:ind w:left="130" w:right="125"/>
              <w:jc w:val="left"/>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2" w:lineRule="exact" w:before="27"/>
              <w:ind w:left="112" w:right="113"/>
              <w:jc w:val="left"/>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p>
        </w:tc>
      </w:tr>
    </w:tbl>
    <w:p>
      <w:pPr>
        <w:spacing w:after="0" w:line="272" w:lineRule="exact"/>
        <w:jc w:val="left"/>
        <w:rPr>
          <w:rFonts w:ascii="宋体" w:hAnsi="宋体" w:cs="宋体" w:eastAsia="宋体" w:hint="default"/>
          <w:sz w:val="21"/>
          <w:szCs w:val="21"/>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26"/>
        <w:gridCol w:w="869"/>
        <w:gridCol w:w="895"/>
        <w:gridCol w:w="938"/>
        <w:gridCol w:w="939"/>
        <w:gridCol w:w="967"/>
        <w:gridCol w:w="946"/>
        <w:gridCol w:w="1109"/>
        <w:gridCol w:w="871"/>
      </w:tblGrid>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0" w:right="0"/>
              <w:jc w:val="left"/>
              <w:rPr>
                <w:rFonts w:ascii="宋体" w:hAnsi="宋体" w:cs="宋体" w:eastAsia="宋体" w:hint="default"/>
                <w:sz w:val="21"/>
                <w:szCs w:val="21"/>
              </w:rPr>
            </w:pPr>
            <w:r>
              <w:rPr>
                <w:rFonts w:ascii="宋体" w:hAnsi="宋体" w:cs="宋体" w:eastAsia="宋体" w:hint="default"/>
                <w:sz w:val="21"/>
                <w:szCs w:val="21"/>
              </w:rPr>
              <w:t>成履行的</w:t>
            </w:r>
          </w:p>
          <w:p>
            <w:pPr>
              <w:pStyle w:val="TableParagraph"/>
              <w:spacing w:line="273" w:lineRule="exact"/>
              <w:ind w:left="130" w:right="0"/>
              <w:jc w:val="left"/>
              <w:rPr>
                <w:rFonts w:ascii="宋体" w:hAnsi="宋体" w:cs="宋体" w:eastAsia="宋体" w:hint="default"/>
                <w:sz w:val="21"/>
                <w:szCs w:val="21"/>
              </w:rPr>
            </w:pPr>
            <w:r>
              <w:rPr>
                <w:rFonts w:ascii="宋体" w:hAnsi="宋体" w:cs="宋体" w:eastAsia="宋体" w:hint="default"/>
                <w:sz w:val="21"/>
                <w:szCs w:val="21"/>
              </w:rPr>
              <w:t>具体原因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hAnsi="宋体" w:cs="宋体" w:eastAsia="宋体" w:hint="default"/>
                <w:sz w:val="21"/>
                <w:szCs w:val="21"/>
              </w:rPr>
              <w:t>明下一</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步计划</w:t>
            </w:r>
          </w:p>
        </w:tc>
      </w:tr>
      <w:tr>
        <w:trPr>
          <w:trHeight w:val="11176"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ind w:left="100" w:right="149"/>
              <w:jc w:val="left"/>
              <w:rPr>
                <w:rFonts w:ascii="宋体" w:hAnsi="宋体" w:cs="宋体" w:eastAsia="宋体" w:hint="default"/>
                <w:sz w:val="21"/>
                <w:szCs w:val="21"/>
              </w:rPr>
            </w:pPr>
            <w:r>
              <w:rPr>
                <w:rFonts w:ascii="宋体" w:hAnsi="宋体" w:cs="宋体" w:eastAsia="宋体" w:hint="default"/>
                <w:sz w:val="21"/>
                <w:szCs w:val="21"/>
              </w:rPr>
              <w:t>瑞莱嘉</w:t>
            </w:r>
            <w:r>
              <w:rPr>
                <w:rFonts w:ascii="宋体" w:hAnsi="宋体" w:cs="宋体" w:eastAsia="宋体" w:hint="default"/>
                <w:spacing w:val="-102"/>
                <w:sz w:val="21"/>
                <w:szCs w:val="21"/>
              </w:rPr>
              <w:t> </w:t>
            </w:r>
            <w:r>
              <w:rPr>
                <w:rFonts w:ascii="宋体" w:hAnsi="宋体" w:cs="宋体" w:eastAsia="宋体" w:hint="default"/>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有限</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、严格</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按照法</w:t>
            </w:r>
            <w:r>
              <w:rPr>
                <w:rFonts w:ascii="宋体" w:hAnsi="宋体" w:cs="宋体" w:eastAsia="宋体" w:hint="default"/>
                <w:spacing w:val="-102"/>
                <w:sz w:val="21"/>
                <w:szCs w:val="21"/>
              </w:rPr>
              <w:t> </w:t>
            </w:r>
            <w:r>
              <w:rPr>
                <w:rFonts w:ascii="宋体" w:hAnsi="宋体" w:cs="宋体" w:eastAsia="宋体" w:hint="default"/>
                <w:sz w:val="21"/>
                <w:szCs w:val="21"/>
              </w:rPr>
              <w:t>律法</w:t>
            </w:r>
            <w:r>
              <w:rPr>
                <w:rFonts w:ascii="宋体" w:hAnsi="宋体" w:cs="宋体" w:eastAsia="宋体" w:hint="default"/>
                <w:spacing w:val="-103"/>
                <w:sz w:val="21"/>
                <w:szCs w:val="21"/>
              </w:rPr>
              <w:t> </w:t>
            </w:r>
            <w:r>
              <w:rPr>
                <w:rFonts w:ascii="宋体" w:hAnsi="宋体" w:cs="宋体" w:eastAsia="宋体" w:hint="default"/>
                <w:sz w:val="21"/>
                <w:szCs w:val="21"/>
              </w:rPr>
              <w:t>规、阳</w:t>
            </w:r>
            <w:r>
              <w:rPr>
                <w:rFonts w:ascii="宋体" w:hAnsi="宋体" w:cs="宋体" w:eastAsia="宋体" w:hint="default"/>
                <w:spacing w:val="-102"/>
                <w:sz w:val="21"/>
                <w:szCs w:val="21"/>
              </w:rPr>
              <w:t> </w:t>
            </w:r>
            <w:r>
              <w:rPr>
                <w:rFonts w:ascii="宋体" w:hAnsi="宋体" w:cs="宋体" w:eastAsia="宋体" w:hint="default"/>
                <w:sz w:val="21"/>
                <w:szCs w:val="21"/>
              </w:rPr>
              <w:t>光规范</w:t>
            </w:r>
            <w:r>
              <w:rPr>
                <w:rFonts w:ascii="宋体" w:hAnsi="宋体" w:cs="宋体" w:eastAsia="宋体" w:hint="default"/>
                <w:spacing w:val="-102"/>
                <w:sz w:val="21"/>
                <w:szCs w:val="21"/>
              </w:rPr>
              <w:t> </w:t>
            </w:r>
            <w:r>
              <w:rPr>
                <w:rFonts w:ascii="宋体" w:hAnsi="宋体" w:cs="宋体" w:eastAsia="宋体" w:hint="default"/>
                <w:sz w:val="21"/>
                <w:szCs w:val="21"/>
              </w:rPr>
              <w:t>行使股</w:t>
            </w:r>
            <w:r>
              <w:rPr>
                <w:rFonts w:ascii="宋体" w:hAnsi="宋体" w:cs="宋体" w:eastAsia="宋体" w:hint="default"/>
                <w:spacing w:val="-102"/>
                <w:sz w:val="21"/>
                <w:szCs w:val="21"/>
              </w:rPr>
              <w:t> </w:t>
            </w:r>
            <w:r>
              <w:rPr>
                <w:rFonts w:ascii="宋体" w:hAnsi="宋体" w:cs="宋体" w:eastAsia="宋体" w:hint="default"/>
                <w:sz w:val="21"/>
                <w:szCs w:val="21"/>
              </w:rPr>
              <w:t>东权</w:t>
            </w:r>
            <w:r>
              <w:rPr>
                <w:rFonts w:ascii="宋体" w:hAnsi="宋体" w:cs="宋体" w:eastAsia="宋体" w:hint="default"/>
                <w:spacing w:val="-103"/>
                <w:sz w:val="21"/>
                <w:szCs w:val="21"/>
              </w:rPr>
              <w:t> </w:t>
            </w:r>
            <w:r>
              <w:rPr>
                <w:rFonts w:ascii="宋体" w:hAnsi="宋体" w:cs="宋体" w:eastAsia="宋体" w:hint="default"/>
                <w:sz w:val="21"/>
                <w:szCs w:val="21"/>
              </w:rPr>
              <w:t>利，不</w:t>
            </w:r>
            <w:r>
              <w:rPr>
                <w:rFonts w:ascii="宋体" w:hAnsi="宋体" w:cs="宋体" w:eastAsia="宋体" w:hint="default"/>
                <w:spacing w:val="-102"/>
                <w:sz w:val="21"/>
                <w:szCs w:val="21"/>
              </w:rPr>
              <w:t> </w:t>
            </w:r>
            <w:r>
              <w:rPr>
                <w:rFonts w:ascii="宋体" w:hAnsi="宋体" w:cs="宋体" w:eastAsia="宋体" w:hint="default"/>
                <w:sz w:val="21"/>
                <w:szCs w:val="21"/>
              </w:rPr>
              <w:t>滥用股</w:t>
            </w:r>
            <w:r>
              <w:rPr>
                <w:rFonts w:ascii="宋体" w:hAnsi="宋体" w:cs="宋体" w:eastAsia="宋体" w:hint="default"/>
                <w:spacing w:val="-102"/>
                <w:sz w:val="21"/>
                <w:szCs w:val="21"/>
              </w:rPr>
              <w:t> </w:t>
            </w:r>
            <w:r>
              <w:rPr>
                <w:rFonts w:ascii="宋体" w:hAnsi="宋体" w:cs="宋体" w:eastAsia="宋体" w:hint="default"/>
                <w:sz w:val="21"/>
                <w:szCs w:val="21"/>
              </w:rPr>
              <w:t>东权</w:t>
            </w:r>
            <w:r>
              <w:rPr>
                <w:rFonts w:ascii="宋体" w:hAnsi="宋体" w:cs="宋体" w:eastAsia="宋体" w:hint="default"/>
                <w:spacing w:val="-103"/>
                <w:sz w:val="21"/>
                <w:szCs w:val="21"/>
              </w:rPr>
              <w:t> </w:t>
            </w:r>
            <w:r>
              <w:rPr>
                <w:rFonts w:ascii="宋体" w:hAnsi="宋体" w:cs="宋体" w:eastAsia="宋体" w:hint="default"/>
                <w:sz w:val="21"/>
                <w:szCs w:val="21"/>
              </w:rPr>
              <w:t>利、不</w:t>
            </w:r>
            <w:r>
              <w:rPr>
                <w:rFonts w:ascii="宋体" w:hAnsi="宋体" w:cs="宋体" w:eastAsia="宋体" w:hint="default"/>
                <w:spacing w:val="-102"/>
                <w:sz w:val="21"/>
                <w:szCs w:val="21"/>
              </w:rPr>
              <w:t> </w:t>
            </w:r>
            <w:r>
              <w:rPr>
                <w:rFonts w:ascii="宋体" w:hAnsi="宋体" w:cs="宋体" w:eastAsia="宋体" w:hint="default"/>
                <w:sz w:val="21"/>
                <w:szCs w:val="21"/>
              </w:rPr>
              <w:t>违反程</w:t>
            </w:r>
            <w:r>
              <w:rPr>
                <w:rFonts w:ascii="宋体" w:hAnsi="宋体" w:cs="宋体" w:eastAsia="宋体" w:hint="default"/>
                <w:spacing w:val="-102"/>
                <w:sz w:val="21"/>
                <w:szCs w:val="21"/>
              </w:rPr>
              <w:t> </w:t>
            </w:r>
            <w:r>
              <w:rPr>
                <w:rFonts w:ascii="宋体" w:hAnsi="宋体" w:cs="宋体" w:eastAsia="宋体" w:hint="default"/>
                <w:sz w:val="21"/>
                <w:szCs w:val="21"/>
              </w:rPr>
              <w:t>序干预</w:t>
            </w:r>
            <w:r>
              <w:rPr>
                <w:rFonts w:ascii="宋体" w:hAnsi="宋体" w:cs="宋体" w:eastAsia="宋体" w:hint="default"/>
                <w:spacing w:val="-102"/>
                <w:sz w:val="21"/>
                <w:szCs w:val="21"/>
              </w:rPr>
              <w:t> </w:t>
            </w:r>
            <w:r>
              <w:rPr>
                <w:rFonts w:ascii="宋体" w:hAnsi="宋体" w:cs="宋体" w:eastAsia="宋体" w:hint="default"/>
                <w:sz w:val="21"/>
                <w:szCs w:val="21"/>
              </w:rPr>
              <w:t>公司经</w:t>
            </w:r>
            <w:r>
              <w:rPr>
                <w:rFonts w:ascii="宋体" w:hAnsi="宋体" w:cs="宋体" w:eastAsia="宋体" w:hint="default"/>
                <w:spacing w:val="-102"/>
                <w:sz w:val="21"/>
                <w:szCs w:val="21"/>
              </w:rPr>
              <w:t> </w:t>
            </w:r>
            <w:r>
              <w:rPr>
                <w:rFonts w:ascii="宋体" w:hAnsi="宋体" w:cs="宋体" w:eastAsia="宋体" w:hint="default"/>
                <w:sz w:val="21"/>
                <w:szCs w:val="21"/>
              </w:rPr>
              <w:t>营决</w:t>
            </w:r>
            <w:r>
              <w:rPr>
                <w:rFonts w:ascii="宋体" w:hAnsi="宋体" w:cs="宋体" w:eastAsia="宋体" w:hint="default"/>
                <w:spacing w:val="-103"/>
                <w:sz w:val="21"/>
                <w:szCs w:val="21"/>
              </w:rPr>
              <w:t> </w:t>
            </w:r>
            <w:r>
              <w:rPr>
                <w:rFonts w:ascii="宋体" w:hAnsi="宋体" w:cs="宋体" w:eastAsia="宋体" w:hint="default"/>
                <w:sz w:val="21"/>
                <w:szCs w:val="21"/>
              </w:rPr>
              <w:t>策、不</w:t>
            </w:r>
            <w:r>
              <w:rPr>
                <w:rFonts w:ascii="宋体" w:hAnsi="宋体" w:cs="宋体" w:eastAsia="宋体" w:hint="default"/>
                <w:spacing w:val="-102"/>
                <w:sz w:val="21"/>
                <w:szCs w:val="21"/>
              </w:rPr>
              <w:t> </w:t>
            </w:r>
            <w:r>
              <w:rPr>
                <w:rFonts w:ascii="宋体" w:hAnsi="宋体" w:cs="宋体" w:eastAsia="宋体" w:hint="default"/>
                <w:sz w:val="21"/>
                <w:szCs w:val="21"/>
              </w:rPr>
              <w:t>侵害上</w:t>
            </w:r>
            <w:r>
              <w:rPr>
                <w:rFonts w:ascii="宋体" w:hAnsi="宋体" w:cs="宋体" w:eastAsia="宋体" w:hint="default"/>
                <w:spacing w:val="-102"/>
                <w:sz w:val="21"/>
                <w:szCs w:val="21"/>
              </w:rPr>
              <w:t> </w:t>
            </w:r>
            <w:r>
              <w:rPr>
                <w:rFonts w:ascii="宋体" w:hAnsi="宋体" w:cs="宋体" w:eastAsia="宋体" w:hint="default"/>
                <w:sz w:val="21"/>
                <w:szCs w:val="21"/>
              </w:rPr>
              <w:t>市公司</w:t>
            </w:r>
            <w:r>
              <w:rPr>
                <w:rFonts w:ascii="宋体" w:hAnsi="宋体" w:cs="宋体" w:eastAsia="宋体" w:hint="default"/>
                <w:spacing w:val="-102"/>
                <w:sz w:val="21"/>
                <w:szCs w:val="21"/>
              </w:rPr>
              <w:t> </w:t>
            </w:r>
            <w:r>
              <w:rPr>
                <w:rFonts w:ascii="宋体" w:hAnsi="宋体" w:cs="宋体" w:eastAsia="宋体" w:hint="default"/>
                <w:sz w:val="21"/>
                <w:szCs w:val="21"/>
              </w:rPr>
              <w:t>利益；</w:t>
            </w:r>
            <w:r>
              <w:rPr>
                <w:rFonts w:ascii="宋体" w:hAnsi="宋体" w:cs="宋体" w:eastAsia="宋体" w:hint="default"/>
                <w:spacing w:val="-102"/>
                <w:sz w:val="21"/>
                <w:szCs w:val="21"/>
              </w:rPr>
              <w:t> </w:t>
            </w:r>
            <w:r>
              <w:rPr>
                <w:rFonts w:ascii="宋体" w:hAnsi="宋体" w:cs="宋体" w:eastAsia="宋体" w:hint="default"/>
                <w:spacing w:val="-17"/>
                <w:sz w:val="21"/>
                <w:szCs w:val="21"/>
              </w:rPr>
              <w:t>2</w:t>
            </w:r>
            <w:r>
              <w:rPr>
                <w:rFonts w:ascii="宋体" w:hAnsi="宋体" w:cs="宋体" w:eastAsia="宋体" w:hint="default"/>
                <w:spacing w:val="-17"/>
                <w:sz w:val="21"/>
                <w:szCs w:val="21"/>
              </w:rPr>
              <w:t>、</w:t>
            </w:r>
            <w:r>
              <w:rPr>
                <w:rFonts w:ascii="宋体" w:hAnsi="宋体" w:cs="宋体" w:eastAsia="宋体" w:hint="default"/>
                <w:spacing w:val="-17"/>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r>
              <w:rPr>
                <w:rFonts w:ascii="宋体" w:hAnsi="宋体" w:cs="宋体" w:eastAsia="宋体" w:hint="default"/>
                <w:spacing w:val="-102"/>
                <w:sz w:val="21"/>
                <w:szCs w:val="21"/>
              </w:rPr>
              <w:t> </w:t>
            </w:r>
            <w:r>
              <w:rPr>
                <w:rFonts w:ascii="宋体" w:hAnsi="宋体" w:cs="宋体" w:eastAsia="宋体" w:hint="default"/>
                <w:sz w:val="21"/>
                <w:szCs w:val="21"/>
              </w:rPr>
              <w:t>本企业</w:t>
            </w:r>
            <w:r>
              <w:rPr>
                <w:rFonts w:ascii="宋体" w:hAnsi="宋体" w:cs="宋体" w:eastAsia="宋体" w:hint="default"/>
                <w:spacing w:val="-102"/>
                <w:sz w:val="21"/>
                <w:szCs w:val="21"/>
              </w:rPr>
              <w:t> </w:t>
            </w:r>
            <w:r>
              <w:rPr>
                <w:rFonts w:ascii="宋体" w:hAnsi="宋体" w:cs="宋体" w:eastAsia="宋体" w:hint="default"/>
                <w:sz w:val="21"/>
                <w:szCs w:val="21"/>
              </w:rPr>
              <w:t>不减持</w:t>
            </w:r>
            <w:r>
              <w:rPr>
                <w:rFonts w:ascii="宋体" w:hAnsi="宋体" w:cs="宋体" w:eastAsia="宋体" w:hint="default"/>
                <w:spacing w:val="-102"/>
                <w:sz w:val="21"/>
                <w:szCs w:val="21"/>
              </w:rPr>
              <w:t> </w:t>
            </w:r>
            <w:r>
              <w:rPr>
                <w:rFonts w:ascii="宋体" w:hAnsi="宋体" w:cs="宋体" w:eastAsia="宋体" w:hint="default"/>
                <w:sz w:val="21"/>
                <w:szCs w:val="21"/>
              </w:rPr>
              <w:t>所持有</w:t>
            </w:r>
            <w:r>
              <w:rPr>
                <w:rFonts w:ascii="宋体" w:hAnsi="宋体" w:cs="宋体" w:eastAsia="宋体" w:hint="default"/>
                <w:spacing w:val="-102"/>
                <w:sz w:val="21"/>
                <w:szCs w:val="21"/>
              </w:rPr>
              <w:t> </w:t>
            </w:r>
            <w:r>
              <w:rPr>
                <w:rFonts w:ascii="宋体" w:hAnsi="宋体" w:cs="宋体" w:eastAsia="宋体" w:hint="default"/>
                <w:sz w:val="21"/>
                <w:szCs w:val="21"/>
              </w:rPr>
              <w:t>的上市</w:t>
            </w:r>
            <w:r>
              <w:rPr>
                <w:rFonts w:ascii="宋体" w:hAnsi="宋体" w:cs="宋体" w:eastAsia="宋体" w:hint="default"/>
                <w:spacing w:val="-102"/>
                <w:sz w:val="21"/>
                <w:szCs w:val="21"/>
              </w:rPr>
              <w:t> </w:t>
            </w: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份；</w:t>
            </w:r>
            <w:r>
              <w:rPr>
                <w:rFonts w:ascii="宋体" w:hAnsi="宋体" w:cs="宋体" w:eastAsia="宋体" w:hint="default"/>
                <w:spacing w:val="-103"/>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、不存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在且在</w:t>
            </w:r>
            <w:r>
              <w:rPr>
                <w:rFonts w:ascii="宋体" w:hAnsi="宋体" w:cs="宋体" w:eastAsia="宋体" w:hint="default"/>
                <w:spacing w:val="-102"/>
                <w:sz w:val="21"/>
                <w:szCs w:val="21"/>
              </w:rPr>
              <w:t> </w:t>
            </w: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宋体" w:hAnsi="宋体" w:cs="宋体" w:eastAsia="宋体" w:hint="default"/>
                <w:spacing w:val="-3"/>
                <w:sz w:val="21"/>
                <w:szCs w:val="21"/>
              </w:rPr>
              <w:t>12</w:t>
            </w:r>
            <w:r>
              <w:rPr>
                <w:rFonts w:ascii="宋体" w:hAnsi="宋体" w:cs="宋体" w:eastAsia="宋体" w:hint="default"/>
                <w:spacing w:val="-3"/>
                <w:w w:val="100"/>
                <w:sz w:val="21"/>
                <w:szCs w:val="21"/>
              </w:rPr>
              <w:t> </w:t>
            </w:r>
            <w:r>
              <w:rPr>
                <w:rFonts w:ascii="宋体" w:hAnsi="宋体" w:cs="宋体" w:eastAsia="宋体" w:hint="default"/>
                <w:sz w:val="21"/>
                <w:szCs w:val="21"/>
              </w:rPr>
              <w:t>个月内</w:t>
            </w:r>
            <w:r>
              <w:rPr>
                <w:rFonts w:ascii="宋体" w:hAnsi="宋体" w:cs="宋体" w:eastAsia="宋体" w:hint="default"/>
                <w:spacing w:val="-102"/>
                <w:sz w:val="21"/>
                <w:szCs w:val="21"/>
              </w:rPr>
              <w:t> </w:t>
            </w:r>
            <w:r>
              <w:rPr>
                <w:rFonts w:ascii="宋体" w:hAnsi="宋体" w:cs="宋体" w:eastAsia="宋体" w:hint="default"/>
                <w:sz w:val="21"/>
                <w:szCs w:val="21"/>
              </w:rPr>
              <w:t>也不会</w:t>
            </w:r>
            <w:r>
              <w:rPr>
                <w:rFonts w:ascii="宋体" w:hAnsi="宋体" w:cs="宋体" w:eastAsia="宋体" w:hint="default"/>
                <w:spacing w:val="-102"/>
                <w:sz w:val="21"/>
                <w:szCs w:val="21"/>
              </w:rPr>
              <w:t> </w:t>
            </w:r>
            <w:r>
              <w:rPr>
                <w:rFonts w:ascii="宋体" w:hAnsi="宋体" w:cs="宋体" w:eastAsia="宋体" w:hint="default"/>
                <w:sz w:val="21"/>
                <w:szCs w:val="21"/>
              </w:rPr>
              <w:t>通过委</w:t>
            </w:r>
            <w:r>
              <w:rPr>
                <w:rFonts w:ascii="宋体" w:hAnsi="宋体" w:cs="宋体" w:eastAsia="宋体" w:hint="default"/>
                <w:spacing w:val="-102"/>
                <w:sz w:val="21"/>
                <w:szCs w:val="21"/>
              </w:rPr>
              <w:t> </w:t>
            </w:r>
            <w:r>
              <w:rPr>
                <w:rFonts w:ascii="宋体" w:hAnsi="宋体" w:cs="宋体" w:eastAsia="宋体" w:hint="default"/>
                <w:sz w:val="21"/>
                <w:szCs w:val="21"/>
              </w:rPr>
              <w:t>托表决</w:t>
            </w:r>
            <w:r>
              <w:rPr>
                <w:rFonts w:ascii="宋体" w:hAnsi="宋体" w:cs="宋体" w:eastAsia="宋体" w:hint="default"/>
                <w:spacing w:val="-102"/>
                <w:sz w:val="21"/>
                <w:szCs w:val="21"/>
              </w:rPr>
              <w:t> </w:t>
            </w:r>
            <w:r>
              <w:rPr>
                <w:rFonts w:ascii="宋体" w:hAnsi="宋体" w:cs="宋体" w:eastAsia="宋体" w:hint="default"/>
                <w:sz w:val="21"/>
                <w:szCs w:val="21"/>
              </w:rPr>
              <w:t>权或其</w:t>
            </w:r>
            <w:r>
              <w:rPr>
                <w:rFonts w:ascii="宋体" w:hAnsi="宋体" w:cs="宋体" w:eastAsia="宋体" w:hint="default"/>
                <w:spacing w:val="-102"/>
                <w:sz w:val="21"/>
                <w:szCs w:val="21"/>
              </w:rPr>
              <w:t> </w:t>
            </w:r>
            <w:r>
              <w:rPr>
                <w:rFonts w:ascii="宋体" w:hAnsi="宋体" w:cs="宋体" w:eastAsia="宋体" w:hint="default"/>
                <w:sz w:val="21"/>
                <w:szCs w:val="21"/>
              </w:rPr>
              <w:t>他方式</w:t>
            </w:r>
            <w:r>
              <w:rPr>
                <w:rFonts w:ascii="宋体" w:hAnsi="宋体" w:cs="宋体" w:eastAsia="宋体" w:hint="default"/>
                <w:spacing w:val="-102"/>
                <w:sz w:val="21"/>
                <w:szCs w:val="21"/>
              </w:rPr>
              <w:t> </w:t>
            </w:r>
            <w:r>
              <w:rPr>
                <w:rFonts w:ascii="宋体" w:hAnsi="宋体" w:cs="宋体" w:eastAsia="宋体" w:hint="default"/>
                <w:sz w:val="21"/>
                <w:szCs w:val="21"/>
              </w:rPr>
              <w:t>主动让</w:t>
            </w:r>
            <w:r>
              <w:rPr>
                <w:rFonts w:ascii="宋体" w:hAnsi="宋体" w:cs="宋体" w:eastAsia="宋体" w:hint="default"/>
                <w:spacing w:val="-102"/>
                <w:sz w:val="21"/>
                <w:szCs w:val="21"/>
              </w:rPr>
              <w:t> </w:t>
            </w:r>
            <w:r>
              <w:rPr>
                <w:rFonts w:ascii="宋体" w:hAnsi="宋体" w:cs="宋体" w:eastAsia="宋体" w:hint="default"/>
                <w:sz w:val="21"/>
                <w:szCs w:val="21"/>
              </w:rPr>
              <w:t>渡对上</w:t>
            </w:r>
            <w:r>
              <w:rPr>
                <w:rFonts w:ascii="宋体" w:hAnsi="宋体" w:cs="宋体" w:eastAsia="宋体" w:hint="default"/>
                <w:spacing w:val="-102"/>
                <w:sz w:val="21"/>
                <w:szCs w:val="21"/>
              </w:rPr>
              <w:t> </w:t>
            </w:r>
            <w:r>
              <w:rPr>
                <w:rFonts w:ascii="宋体" w:hAnsi="宋体" w:cs="宋体" w:eastAsia="宋体" w:hint="default"/>
                <w:sz w:val="21"/>
                <w:szCs w:val="21"/>
              </w:rPr>
              <w:t>市公司</w:t>
            </w:r>
            <w:r>
              <w:rPr>
                <w:rFonts w:ascii="宋体" w:hAnsi="宋体" w:cs="宋体" w:eastAsia="宋体" w:hint="default"/>
                <w:spacing w:val="-102"/>
                <w:sz w:val="21"/>
                <w:szCs w:val="21"/>
              </w:rPr>
              <w:t> </w:t>
            </w:r>
            <w:r>
              <w:rPr>
                <w:rFonts w:ascii="宋体" w:hAnsi="宋体" w:cs="宋体" w:eastAsia="宋体" w:hint="default"/>
                <w:sz w:val="21"/>
                <w:szCs w:val="21"/>
              </w:rPr>
              <w:t>的控制</w:t>
            </w:r>
            <w:r>
              <w:rPr>
                <w:rFonts w:ascii="宋体" w:hAnsi="宋体" w:cs="宋体" w:eastAsia="宋体" w:hint="default"/>
                <w:spacing w:val="-102"/>
                <w:sz w:val="21"/>
                <w:szCs w:val="21"/>
              </w:rPr>
              <w:t> </w:t>
            </w:r>
            <w:r>
              <w:rPr>
                <w:rFonts w:ascii="宋体" w:hAnsi="宋体" w:cs="宋体" w:eastAsia="宋体" w:hint="default"/>
                <w:sz w:val="21"/>
                <w:szCs w:val="21"/>
              </w:rPr>
              <w:t>权。</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40" w:lineRule="auto"/>
              <w:ind w:left="103" w:right="139"/>
              <w:jc w:val="both"/>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10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7</w:t>
            </w:r>
            <w:r>
              <w:rPr>
                <w:rFonts w:ascii="宋体" w:hAnsi="宋体" w:cs="宋体" w:eastAsia="宋体" w:hint="default"/>
                <w:spacing w:val="-73"/>
                <w:sz w:val="21"/>
                <w:szCs w:val="21"/>
              </w:rPr>
              <w:t> </w:t>
            </w:r>
            <w:r>
              <w:rPr>
                <w:rFonts w:ascii="宋体" w:hAnsi="宋体" w:cs="宋体" w:eastAsia="宋体" w:hint="default"/>
                <w:sz w:val="21"/>
                <w:szCs w:val="21"/>
              </w:rPr>
              <w:t>日</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3" w:right="191"/>
              <w:jc w:val="both"/>
              <w:rPr>
                <w:rFonts w:ascii="宋体" w:hAnsi="宋体" w:cs="宋体" w:eastAsia="宋体" w:hint="default"/>
                <w:sz w:val="21"/>
                <w:szCs w:val="21"/>
              </w:rPr>
            </w:pPr>
            <w:r>
              <w:rPr>
                <w:rFonts w:ascii="宋体" w:hAnsi="宋体" w:cs="宋体" w:eastAsia="宋体" w:hint="default"/>
                <w:sz w:val="21"/>
                <w:szCs w:val="21"/>
              </w:rPr>
              <w:t>承诺期</w:t>
            </w:r>
            <w:r>
              <w:rPr>
                <w:rFonts w:ascii="宋体" w:hAnsi="宋体" w:cs="宋体" w:eastAsia="宋体" w:hint="default"/>
                <w:spacing w:val="-102"/>
                <w:sz w:val="21"/>
                <w:szCs w:val="21"/>
              </w:rPr>
              <w:t> </w:t>
            </w:r>
            <w:r>
              <w:rPr>
                <w:rFonts w:ascii="宋体" w:hAnsi="宋体" w:cs="宋体" w:eastAsia="宋体" w:hint="default"/>
                <w:sz w:val="21"/>
                <w:szCs w:val="21"/>
              </w:rPr>
              <w:t>限：</w:t>
            </w:r>
            <w:r>
              <w:rPr>
                <w:rFonts w:ascii="宋体" w:hAnsi="宋体" w:cs="宋体" w:eastAsia="宋体" w:hint="default"/>
                <w:sz w:val="21"/>
                <w:szCs w:val="21"/>
              </w:rPr>
              <w:t>12</w:t>
            </w:r>
            <w:r>
              <w:rPr>
                <w:rFonts w:ascii="宋体" w:hAnsi="宋体" w:cs="宋体" w:eastAsia="宋体" w:hint="default"/>
                <w:spacing w:val="-102"/>
                <w:sz w:val="21"/>
                <w:szCs w:val="21"/>
              </w:rPr>
              <w:t> </w:t>
            </w:r>
            <w:r>
              <w:rPr>
                <w:rFonts w:ascii="宋体" w:hAnsi="宋体" w:cs="宋体" w:eastAsia="宋体" w:hint="default"/>
                <w:sz w:val="21"/>
                <w:szCs w:val="21"/>
              </w:rPr>
              <w:t>个月</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1526"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北京州</w:t>
            </w:r>
          </w:p>
          <w:p>
            <w:pPr>
              <w:pStyle w:val="TableParagraph"/>
              <w:spacing w:line="237" w:lineRule="auto" w:before="2"/>
              <w:ind w:left="100" w:right="149"/>
              <w:jc w:val="both"/>
              <w:rPr>
                <w:rFonts w:ascii="宋体" w:hAnsi="宋体" w:cs="宋体" w:eastAsia="宋体" w:hint="default"/>
                <w:sz w:val="21"/>
                <w:szCs w:val="21"/>
              </w:rPr>
            </w:pPr>
            <w:r>
              <w:rPr>
                <w:rFonts w:ascii="宋体" w:hAnsi="宋体" w:cs="宋体" w:eastAsia="宋体" w:hint="default"/>
                <w:sz w:val="21"/>
                <w:szCs w:val="21"/>
              </w:rPr>
              <w:t>际田野</w:t>
            </w:r>
            <w:r>
              <w:rPr>
                <w:rFonts w:ascii="宋体" w:hAnsi="宋体" w:cs="宋体" w:eastAsia="宋体" w:hint="default"/>
                <w:spacing w:val="-102"/>
                <w:sz w:val="21"/>
                <w:szCs w:val="21"/>
              </w:rPr>
              <w:t> </w:t>
            </w:r>
            <w:r>
              <w:rPr>
                <w:rFonts w:ascii="宋体" w:hAnsi="宋体" w:cs="宋体" w:eastAsia="宋体" w:hint="default"/>
                <w:sz w:val="21"/>
                <w:szCs w:val="21"/>
              </w:rPr>
              <w:t>投资咨</w:t>
            </w:r>
            <w:r>
              <w:rPr>
                <w:rFonts w:ascii="宋体" w:hAnsi="宋体" w:cs="宋体" w:eastAsia="宋体" w:hint="default"/>
                <w:spacing w:val="-102"/>
                <w:sz w:val="21"/>
                <w:szCs w:val="21"/>
              </w:rPr>
              <w:t> </w:t>
            </w:r>
            <w:r>
              <w:rPr>
                <w:rFonts w:ascii="宋体" w:hAnsi="宋体" w:cs="宋体" w:eastAsia="宋体" w:hint="default"/>
                <w:sz w:val="21"/>
                <w:szCs w:val="21"/>
              </w:rPr>
              <w:t>询有限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、本公</w:t>
            </w:r>
          </w:p>
          <w:p>
            <w:pPr>
              <w:pStyle w:val="TableParagraph"/>
              <w:spacing w:line="237" w:lineRule="auto" w:before="2"/>
              <w:ind w:left="103" w:right="191"/>
              <w:jc w:val="both"/>
              <w:rPr>
                <w:rFonts w:ascii="宋体" w:hAnsi="宋体" w:cs="宋体" w:eastAsia="宋体" w:hint="default"/>
                <w:sz w:val="21"/>
                <w:szCs w:val="21"/>
              </w:rPr>
            </w:pPr>
            <w:r>
              <w:rPr>
                <w:rFonts w:ascii="宋体" w:hAnsi="宋体" w:cs="宋体" w:eastAsia="宋体" w:hint="default"/>
                <w:sz w:val="21"/>
                <w:szCs w:val="21"/>
              </w:rPr>
              <w:t>司作为</w:t>
            </w:r>
            <w:r>
              <w:rPr>
                <w:rFonts w:ascii="宋体" w:hAnsi="宋体" w:cs="宋体" w:eastAsia="宋体" w:hint="default"/>
                <w:spacing w:val="-102"/>
                <w:sz w:val="21"/>
                <w:szCs w:val="21"/>
              </w:rPr>
              <w:t> </w:t>
            </w:r>
            <w:r>
              <w:rPr>
                <w:rFonts w:ascii="宋体" w:hAnsi="宋体" w:cs="宋体" w:eastAsia="宋体" w:hint="default"/>
                <w:sz w:val="21"/>
                <w:szCs w:val="21"/>
              </w:rPr>
              <w:t>瑞莱嘉</w:t>
            </w:r>
            <w:r>
              <w:rPr>
                <w:rFonts w:ascii="宋体" w:hAnsi="宋体" w:cs="宋体" w:eastAsia="宋体" w:hint="default"/>
                <w:spacing w:val="-102"/>
                <w:sz w:val="21"/>
                <w:szCs w:val="21"/>
              </w:rPr>
              <w:t> </w:t>
            </w:r>
            <w:r>
              <w:rPr>
                <w:rFonts w:ascii="宋体" w:hAnsi="宋体" w:cs="宋体" w:eastAsia="宋体" w:hint="default"/>
                <w:sz w:val="21"/>
                <w:szCs w:val="21"/>
              </w:rPr>
              <w:t>誉的有</w:t>
            </w:r>
            <w:r>
              <w:rPr>
                <w:rFonts w:ascii="宋体" w:hAnsi="宋体" w:cs="宋体" w:eastAsia="宋体" w:hint="default"/>
                <w:spacing w:val="-102"/>
                <w:sz w:val="21"/>
                <w:szCs w:val="21"/>
              </w:rPr>
              <w:t> </w:t>
            </w:r>
            <w:r>
              <w:rPr>
                <w:rFonts w:ascii="宋体" w:hAnsi="宋体" w:cs="宋体" w:eastAsia="宋体" w:hint="default"/>
                <w:sz w:val="21"/>
                <w:szCs w:val="21"/>
              </w:rPr>
              <w:t>限合伙</w:t>
            </w:r>
            <w:r>
              <w:rPr>
                <w:rFonts w:ascii="宋体" w:hAnsi="宋体" w:cs="宋体" w:eastAsia="宋体" w:hint="default"/>
                <w:spacing w:val="-102"/>
                <w:sz w:val="21"/>
                <w:szCs w:val="21"/>
              </w:rPr>
              <w:t> </w:t>
            </w:r>
            <w:r>
              <w:rPr>
                <w:rFonts w:ascii="宋体" w:hAnsi="宋体" w:cs="宋体" w:eastAsia="宋体" w:hint="default"/>
                <w:sz w:val="21"/>
                <w:szCs w:val="21"/>
              </w:rPr>
              <w:t>人，仅</w:t>
            </w:r>
            <w:r>
              <w:rPr>
                <w:rFonts w:ascii="宋体" w:hAnsi="宋体" w:cs="宋体" w:eastAsia="宋体" w:hint="default"/>
                <w:spacing w:val="-102"/>
                <w:sz w:val="21"/>
                <w:szCs w:val="21"/>
              </w:rPr>
              <w:t> </w:t>
            </w:r>
            <w:r>
              <w:rPr>
                <w:rFonts w:ascii="宋体" w:hAnsi="宋体" w:cs="宋体" w:eastAsia="宋体" w:hint="default"/>
                <w:sz w:val="21"/>
                <w:szCs w:val="21"/>
              </w:rPr>
              <w:t>为资金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10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26"/>
        <w:gridCol w:w="869"/>
        <w:gridCol w:w="895"/>
        <w:gridCol w:w="938"/>
        <w:gridCol w:w="939"/>
        <w:gridCol w:w="967"/>
        <w:gridCol w:w="946"/>
        <w:gridCol w:w="1109"/>
        <w:gridCol w:w="871"/>
      </w:tblGrid>
      <w:tr>
        <w:trPr>
          <w:trHeight w:val="278" w:hRule="exact"/>
        </w:trPr>
        <w:tc>
          <w:tcPr>
            <w:tcW w:w="1526"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938"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w:t>
            </w:r>
          </w:p>
        </w:tc>
        <w:tc>
          <w:tcPr>
            <w:tcW w:w="939"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方、并</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非实际</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控制</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人，不</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执行合</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伙事</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务，与</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瑞莱嘉</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誉、慧</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球科技</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及其股</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东及公</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司管理</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层无关</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联关系</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或其他</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安排。</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、本公</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司不参</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与瑞莱</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嘉誉具</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体投</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资、经</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营决</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策，亦</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无法控</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制瑞莱</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嘉誉持</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有的慧</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球科技</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股票的</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权，截</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至本承</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诺函出</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具之</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企业不</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存在且</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在未来</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亦不会</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干预慧</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球科技</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的经营</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决策。</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、本公</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司将严</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格按照</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80" w:hRule="exact"/>
        </w:trPr>
        <w:tc>
          <w:tcPr>
            <w:tcW w:w="1526"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法律法</w:t>
            </w:r>
          </w:p>
        </w:tc>
        <w:tc>
          <w:tcPr>
            <w:tcW w:w="939"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1195" w:header="880"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26"/>
        <w:gridCol w:w="869"/>
        <w:gridCol w:w="895"/>
        <w:gridCol w:w="938"/>
        <w:gridCol w:w="939"/>
        <w:gridCol w:w="967"/>
        <w:gridCol w:w="946"/>
        <w:gridCol w:w="1109"/>
        <w:gridCol w:w="871"/>
      </w:tblGrid>
      <w:tr>
        <w:trPr>
          <w:trHeight w:val="278" w:hRule="exact"/>
        </w:trPr>
        <w:tc>
          <w:tcPr>
            <w:tcW w:w="1526"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938"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规、阳</w:t>
            </w:r>
          </w:p>
        </w:tc>
        <w:tc>
          <w:tcPr>
            <w:tcW w:w="939"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光规范</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行使有</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人权</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利，不</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滥用权</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利、不</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违反程</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序干预</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公司经</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营决</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策、不</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侵害上</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市公司</w:t>
            </w:r>
          </w:p>
        </w:tc>
        <w:tc>
          <w:tcPr>
            <w:tcW w:w="939"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r>
      <w:tr>
        <w:trPr>
          <w:trHeight w:val="278" w:hRule="exact"/>
        </w:trPr>
        <w:tc>
          <w:tcPr>
            <w:tcW w:w="1526"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利益。</w:t>
            </w:r>
          </w:p>
        </w:tc>
        <w:tc>
          <w:tcPr>
            <w:tcW w:w="939"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tabs>
          <w:tab w:pos="804" w:val="left" w:leader="none"/>
        </w:tabs>
        <w:spacing w:line="264" w:lineRule="auto" w:before="154"/>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238" w:right="0"/>
        <w:jc w:val="both"/>
      </w:pPr>
      <w:r>
        <w:rPr/>
        <w:t>□已达到 □未达到 √不适用</w:t>
      </w:r>
    </w:p>
    <w:p>
      <w:pPr>
        <w:spacing w:line="240" w:lineRule="auto" w:before="3"/>
        <w:rPr>
          <w:rFonts w:ascii="宋体" w:hAnsi="宋体" w:cs="宋体" w:eastAsia="宋体" w:hint="default"/>
          <w:sz w:val="25"/>
          <w:szCs w:val="25"/>
        </w:rPr>
      </w:pPr>
    </w:p>
    <w:p>
      <w:pPr>
        <w:pStyle w:val="Heading4"/>
        <w:spacing w:line="240" w:lineRule="auto"/>
        <w:ind w:left="238" w:right="0"/>
        <w:jc w:val="both"/>
        <w:rPr>
          <w:b w:val="0"/>
          <w:bCs w:val="0"/>
        </w:rPr>
      </w:pPr>
      <w:r>
        <w:rPr/>
        <w:t>三、报告期内资金被占用情况及清欠进展情况</w:t>
      </w:r>
      <w:r>
        <w:rPr>
          <w:b w:val="0"/>
          <w:bCs w:val="0"/>
        </w:rPr>
      </w:r>
    </w:p>
    <w:p>
      <w:pPr>
        <w:pStyle w:val="BodyText"/>
        <w:spacing w:line="274" w:lineRule="exact" w:before="56"/>
        <w:ind w:left="238" w:right="0"/>
        <w:jc w:val="both"/>
      </w:pPr>
      <w:r>
        <w:rPr/>
        <w:t>√适用</w:t>
      </w:r>
      <w:r>
        <w:rPr>
          <w:spacing w:val="-1"/>
        </w:rPr>
        <w:t> </w:t>
      </w:r>
      <w:r>
        <w:rPr/>
        <w:t>□不适用</w:t>
      </w:r>
    </w:p>
    <w:p>
      <w:pPr>
        <w:pStyle w:val="BodyText"/>
        <w:spacing w:line="274" w:lineRule="exact"/>
        <w:ind w:left="658" w:right="97"/>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7"/>
        </w:rPr>
        <w:t> </w:t>
      </w:r>
      <w:r>
        <w:rPr/>
        <w:t>年，公司下属子公司湖北科赛威向鲜言控制的荆门汉达实业有限公司支付增资款</w:t>
      </w:r>
      <w:r>
        <w:rPr>
          <w:spacing w:val="-54"/>
        </w:rPr>
        <w:t> </w:t>
      </w:r>
      <w:r>
        <w:rPr>
          <w:rFonts w:ascii="宋体" w:hAnsi="宋体" w:cs="宋体" w:eastAsia="宋体" w:hint="default"/>
        </w:rPr>
        <w:t>9,000</w:t>
      </w:r>
    </w:p>
    <w:p>
      <w:pPr>
        <w:pStyle w:val="BodyText"/>
        <w:spacing w:line="355" w:lineRule="auto" w:before="133"/>
        <w:ind w:left="238" w:right="104"/>
        <w:jc w:val="both"/>
      </w:pPr>
      <w:r>
        <w:rPr>
          <w:spacing w:val="-6"/>
        </w:rPr>
        <w:t>万元、向湖北汉佳置业有限公司支付增资款</w:t>
      </w:r>
      <w:r>
        <w:rPr>
          <w:spacing w:val="-40"/>
        </w:rPr>
        <w:t> </w:t>
      </w:r>
      <w:r>
        <w:rPr>
          <w:rFonts w:ascii="宋体" w:hAnsi="宋体" w:cs="宋体" w:eastAsia="宋体" w:hint="default"/>
        </w:rPr>
        <w:t>6,000</w:t>
      </w:r>
      <w:r>
        <w:rPr>
          <w:rFonts w:ascii="宋体" w:hAnsi="宋体" w:cs="宋体" w:eastAsia="宋体" w:hint="default"/>
          <w:spacing w:val="-38"/>
        </w:rPr>
        <w:t> </w:t>
      </w:r>
      <w:r>
        <w:rPr>
          <w:spacing w:val="-6"/>
        </w:rPr>
        <w:t>万元、向荆门汉通置业有限公司预付购房款</w:t>
      </w:r>
      <w:r>
        <w:rPr>
          <w:spacing w:val="-40"/>
        </w:rPr>
        <w:t> </w:t>
      </w:r>
      <w:r>
        <w:rPr>
          <w:rFonts w:ascii="宋体" w:hAnsi="宋体" w:cs="宋体" w:eastAsia="宋体" w:hint="default"/>
        </w:rPr>
        <w:t>900</w:t>
      </w:r>
      <w:r>
        <w:rPr>
          <w:rFonts w:ascii="宋体" w:hAnsi="宋体" w:cs="宋体" w:eastAsia="宋体" w:hint="default"/>
          <w:spacing w:val="-73"/>
        </w:rPr>
        <w:t> </w:t>
      </w:r>
      <w:r>
        <w:rPr>
          <w:rFonts w:ascii="宋体" w:hAnsi="宋体" w:cs="宋体" w:eastAsia="宋体" w:hint="default"/>
          <w:spacing w:val="-73"/>
        </w:rPr>
      </w:r>
      <w:r>
        <w:rPr/>
        <w:t>万元；公司及原下属公司上海慧球、深圳慧金（原“科赛威智能（深圳）有限公司”）为鲜言控</w:t>
      </w:r>
      <w:r>
        <w:rPr>
          <w:w w:val="100"/>
        </w:rPr>
        <w:t> </w:t>
      </w:r>
      <w:r>
        <w:rPr/>
        <w:t>制的上海躬盛网络科技有限公司（以下简称“上海躬盛”）及相关人员垫支费用</w:t>
      </w:r>
      <w:r>
        <w:rPr>
          <w:spacing w:val="-53"/>
        </w:rPr>
        <w:t> </w:t>
      </w:r>
      <w:r>
        <w:rPr>
          <w:rFonts w:ascii="宋体" w:hAnsi="宋体" w:cs="宋体" w:eastAsia="宋体" w:hint="default"/>
        </w:rPr>
        <w:t>1,474.56</w:t>
      </w:r>
      <w:r>
        <w:rPr>
          <w:rFonts w:ascii="宋体" w:hAnsi="宋体" w:cs="宋体" w:eastAsia="宋体" w:hint="default"/>
          <w:spacing w:val="-56"/>
        </w:rPr>
        <w:t> </w:t>
      </w:r>
      <w:r>
        <w:rPr>
          <w:spacing w:val="2"/>
        </w:rPr>
        <w:t>万元。</w:t>
      </w:r>
      <w:r>
        <w:rPr/>
      </w:r>
    </w:p>
    <w:p>
      <w:pPr>
        <w:pStyle w:val="BodyText"/>
        <w:spacing w:line="240" w:lineRule="auto" w:before="34"/>
        <w:ind w:left="238" w:right="0"/>
        <w:jc w:val="both"/>
      </w:pPr>
      <w:r>
        <w:rPr>
          <w:rFonts w:ascii="宋体" w:hAnsi="宋体" w:cs="宋体" w:eastAsia="宋体" w:hint="default"/>
        </w:rPr>
        <w:t>2017 </w:t>
      </w:r>
      <w:r>
        <w:rPr/>
        <w:t>年公司不再控制上海慧球，截至 </w:t>
      </w:r>
      <w:r>
        <w:rPr>
          <w:rFonts w:ascii="宋体" w:hAnsi="宋体" w:cs="宋体" w:eastAsia="宋体" w:hint="default"/>
        </w:rPr>
        <w:t>2016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61"/>
        </w:rPr>
        <w:t> </w:t>
      </w:r>
      <w:r>
        <w:rPr/>
        <w:t>日</w:t>
      </w:r>
      <w:r>
        <w:rPr>
          <w:rFonts w:ascii="宋体" w:hAnsi="宋体" w:cs="宋体" w:eastAsia="宋体" w:hint="default"/>
        </w:rPr>
        <w:t>,</w:t>
      </w:r>
      <w:r>
        <w:rPr/>
        <w:t>公司欠上海慧球的往来款余额</w:t>
      </w:r>
    </w:p>
    <w:p>
      <w:pPr>
        <w:pStyle w:val="BodyText"/>
        <w:spacing w:line="240" w:lineRule="auto" w:before="133"/>
        <w:ind w:left="238" w:right="0"/>
        <w:jc w:val="both"/>
      </w:pPr>
      <w:r>
        <w:rPr>
          <w:rFonts w:ascii="宋体" w:hAnsi="宋体" w:cs="宋体" w:eastAsia="宋体" w:hint="default"/>
        </w:rPr>
        <w:t>19,061.03</w:t>
      </w:r>
      <w:r>
        <w:rPr>
          <w:rFonts w:ascii="宋体" w:hAnsi="宋体" w:cs="宋体" w:eastAsia="宋体" w:hint="default"/>
          <w:spacing w:val="-52"/>
        </w:rPr>
        <w:t> </w:t>
      </w:r>
      <w:r>
        <w:rPr/>
        <w:t>万元。</w:t>
      </w:r>
    </w:p>
    <w:p>
      <w:pPr>
        <w:pStyle w:val="BodyText"/>
        <w:spacing w:line="357" w:lineRule="auto" w:before="133"/>
        <w:ind w:left="658" w:right="97"/>
        <w:jc w:val="left"/>
      </w:pPr>
      <w:r>
        <w:rPr/>
        <w:t>现任公司管理层就位后，积极对上述关联方资金占用进行清理，采取了一系列措施。</w:t>
      </w:r>
      <w:r>
        <w:rPr>
          <w:w w:val="100"/>
        </w:rPr>
        <w:t> </w:t>
      </w:r>
      <w:r>
        <w:rPr/>
        <w:t>湖北科赛威已于</w:t>
      </w:r>
      <w:r>
        <w:rPr>
          <w:spacing w:val="-59"/>
        </w:rPr>
        <w:t> </w:t>
      </w:r>
      <w:r>
        <w:rPr>
          <w:rFonts w:ascii="宋体" w:hAnsi="宋体" w:cs="宋体" w:eastAsia="宋体" w:hint="default"/>
        </w:rPr>
        <w:t>2017</w:t>
      </w:r>
      <w:r>
        <w:rPr>
          <w:rFonts w:ascii="宋体" w:hAnsi="宋体" w:cs="宋体" w:eastAsia="宋体" w:hint="default"/>
          <w:spacing w:val="-4"/>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t>日收到荆门汉通置业有限公司退还的全部预付购房款</w:t>
      </w:r>
      <w:r>
        <w:rPr>
          <w:spacing w:val="-58"/>
        </w:rPr>
        <w:t> </w:t>
      </w:r>
      <w:r>
        <w:rPr>
          <w:rFonts w:ascii="宋体" w:hAnsi="宋体" w:cs="宋体" w:eastAsia="宋体" w:hint="default"/>
        </w:rPr>
        <w:t>900</w:t>
      </w:r>
      <w:r>
        <w:rPr>
          <w:rFonts w:ascii="宋体" w:hAnsi="宋体" w:cs="宋体" w:eastAsia="宋体" w:hint="default"/>
          <w:spacing w:val="-61"/>
        </w:rPr>
        <w:t> </w:t>
      </w:r>
      <w:r>
        <w:rPr/>
        <w:t>万</w:t>
      </w:r>
    </w:p>
    <w:p>
      <w:pPr>
        <w:pStyle w:val="BodyText"/>
        <w:spacing w:line="357" w:lineRule="auto" w:before="30"/>
        <w:ind w:left="238" w:right="97"/>
        <w:jc w:val="left"/>
      </w:pPr>
      <w:r>
        <w:rPr>
          <w:spacing w:val="-2"/>
        </w:rPr>
        <w:t>元，并签署了《商品房买卖合同终止协议》，自协议签订之日起，双方解除相关房产购买协议。</w:t>
      </w:r>
      <w:r>
        <w:rPr>
          <w:spacing w:val="-25"/>
        </w:rPr>
        <w:t> </w:t>
      </w:r>
      <w:r>
        <w:rPr>
          <w:spacing w:val="-25"/>
        </w:rPr>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日荆门汉达实业有限公司、湖北汉佳置业有限公司向湖北科赛威退回增资款共计</w:t>
      </w:r>
    </w:p>
    <w:p>
      <w:pPr>
        <w:pStyle w:val="BodyText"/>
        <w:spacing w:line="240" w:lineRule="auto" w:before="30"/>
        <w:ind w:left="238" w:right="0"/>
        <w:jc w:val="both"/>
      </w:pPr>
      <w:r>
        <w:rPr>
          <w:rFonts w:ascii="宋体" w:hAnsi="宋体" w:cs="宋体" w:eastAsia="宋体" w:hint="default"/>
        </w:rPr>
        <w:t>1.5</w:t>
      </w:r>
      <w:r>
        <w:rPr>
          <w:rFonts w:ascii="宋体" w:hAnsi="宋体" w:cs="宋体" w:eastAsia="宋体" w:hint="default"/>
          <w:spacing w:val="-51"/>
        </w:rPr>
        <w:t> </w:t>
      </w:r>
      <w:r>
        <w:rPr/>
        <w:t>亿元。</w:t>
      </w:r>
    </w:p>
    <w:p>
      <w:pPr>
        <w:pStyle w:val="BodyText"/>
        <w:spacing w:line="355" w:lineRule="auto" w:before="133"/>
        <w:ind w:left="238" w:right="208" w:firstLine="419"/>
        <w:jc w:val="both"/>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w:t>
      </w:r>
      <w:r>
        <w:rPr>
          <w:rFonts w:ascii="宋体" w:hAnsi="宋体" w:cs="宋体" w:eastAsia="宋体" w:hint="default"/>
          <w:spacing w:val="-45"/>
        </w:rPr>
        <w:t> </w:t>
      </w:r>
      <w:r>
        <w:rPr/>
        <w:t>月至</w:t>
      </w:r>
      <w:r>
        <w:rPr>
          <w:spacing w:val="-45"/>
        </w:rPr>
        <w:t> </w:t>
      </w:r>
      <w:r>
        <w:rPr>
          <w:rFonts w:ascii="宋体" w:hAnsi="宋体" w:cs="宋体" w:eastAsia="宋体" w:hint="default"/>
        </w:rPr>
        <w:t>3</w:t>
      </w:r>
      <w:r>
        <w:rPr>
          <w:rFonts w:ascii="宋体" w:hAnsi="宋体" w:cs="宋体" w:eastAsia="宋体" w:hint="default"/>
          <w:spacing w:val="-43"/>
        </w:rPr>
        <w:t> </w:t>
      </w:r>
      <w:r>
        <w:rPr>
          <w:spacing w:val="-3"/>
        </w:rPr>
        <w:t>月，公司通过向上海慧球支付相关往来还款、与上海慧球、上海躬盛签订关</w:t>
      </w:r>
      <w:r>
        <w:rPr>
          <w:w w:val="100"/>
        </w:rPr>
        <w:t> </w:t>
      </w:r>
      <w:r>
        <w:rPr>
          <w:spacing w:val="-2"/>
        </w:rPr>
        <w:t>于债权债务抵销的一揽子协议等方式对与上海慧球、上海躬盛的债权债务进行处理，一揽子清理</w:t>
      </w:r>
      <w:r>
        <w:rPr>
          <w:spacing w:val="-25"/>
        </w:rPr>
        <w:t> </w:t>
      </w:r>
      <w:r>
        <w:rPr>
          <w:spacing w:val="-25"/>
        </w:rPr>
      </w:r>
      <w:r>
        <w:rPr/>
        <w:t>措施处置后公司尚欠上海慧球</w:t>
      </w:r>
      <w:r>
        <w:rPr>
          <w:spacing w:val="-54"/>
        </w:rPr>
        <w:t> </w:t>
      </w:r>
      <w:r>
        <w:rPr>
          <w:rFonts w:ascii="宋体" w:hAnsi="宋体" w:cs="宋体" w:eastAsia="宋体" w:hint="default"/>
        </w:rPr>
        <w:t>1917.05</w:t>
      </w:r>
      <w:r>
        <w:rPr>
          <w:rFonts w:ascii="宋体" w:hAnsi="宋体" w:cs="宋体" w:eastAsia="宋体" w:hint="default"/>
          <w:spacing w:val="-54"/>
        </w:rPr>
        <w:t> </w:t>
      </w:r>
      <w:r>
        <w:rPr/>
        <w:t>万元。</w:t>
      </w:r>
    </w:p>
    <w:p>
      <w:pPr>
        <w:spacing w:after="0" w:line="355" w:lineRule="auto"/>
        <w:jc w:val="both"/>
        <w:sectPr>
          <w:footerReference w:type="default" r:id="rId14"/>
          <w:pgSz w:w="11910" w:h="16840"/>
          <w:pgMar w:footer="1195" w:header="880" w:top="1120" w:bottom="1380" w:left="1560" w:right="1060"/>
          <w:pgNumType w:start="21"/>
        </w:sectPr>
      </w:pPr>
    </w:p>
    <w:p>
      <w:pPr>
        <w:spacing w:line="240" w:lineRule="auto" w:before="4"/>
        <w:rPr>
          <w:rFonts w:ascii="宋体" w:hAnsi="宋体" w:cs="宋体" w:eastAsia="宋体" w:hint="default"/>
          <w:sz w:val="25"/>
          <w:szCs w:val="25"/>
        </w:rPr>
      </w:pPr>
    </w:p>
    <w:p>
      <w:pPr>
        <w:pStyle w:val="BodyText"/>
        <w:spacing w:line="240" w:lineRule="auto" w:before="36"/>
        <w:ind w:left="558" w:right="0"/>
        <w:jc w:val="left"/>
      </w:pPr>
      <w:r>
        <w:rPr/>
        <w:t>因前实际控制人</w:t>
      </w:r>
      <w:r>
        <w:rPr>
          <w:spacing w:val="-55"/>
        </w:rPr>
        <w:t> </w:t>
      </w:r>
      <w:r>
        <w:rPr>
          <w:rFonts w:ascii="宋体" w:hAnsi="宋体" w:cs="宋体" w:eastAsia="宋体" w:hint="default"/>
        </w:rPr>
        <w:t>2016</w:t>
      </w:r>
      <w:r>
        <w:rPr>
          <w:rFonts w:ascii="宋体" w:hAnsi="宋体" w:cs="宋体" w:eastAsia="宋体" w:hint="default"/>
          <w:spacing w:val="-54"/>
        </w:rPr>
        <w:t> </w:t>
      </w:r>
      <w:r>
        <w:rPr/>
        <w:t>年控制期间遗留事项，在</w:t>
      </w:r>
      <w:r>
        <w:rPr>
          <w:spacing w:val="-55"/>
        </w:rPr>
        <w:t> </w:t>
      </w:r>
      <w:r>
        <w:rPr>
          <w:rFonts w:ascii="宋体" w:hAnsi="宋体" w:cs="宋体" w:eastAsia="宋体" w:hint="default"/>
        </w:rPr>
        <w:t>2017</w:t>
      </w:r>
      <w:r>
        <w:rPr>
          <w:rFonts w:ascii="宋体" w:hAnsi="宋体" w:cs="宋体" w:eastAsia="宋体" w:hint="default"/>
          <w:spacing w:val="-57"/>
        </w:rPr>
        <w:t> </w:t>
      </w:r>
      <w:r>
        <w:rPr/>
        <w:t>年初至交接完成前，公司及子公司深圳</w:t>
      </w:r>
    </w:p>
    <w:p>
      <w:pPr>
        <w:pStyle w:val="BodyText"/>
        <w:spacing w:line="355" w:lineRule="auto" w:before="135"/>
        <w:ind w:left="138" w:right="127"/>
        <w:jc w:val="both"/>
      </w:pPr>
      <w:r>
        <w:rPr>
          <w:spacing w:val="-2"/>
          <w:w w:val="100"/>
        </w:rPr>
        <w:t>慧金仍为上海躬盛及其相关人员垫支费用共计</w:t>
      </w:r>
      <w:r>
        <w:rPr>
          <w:spacing w:val="-47"/>
          <w:w w:val="100"/>
        </w:rPr>
        <w:t> </w:t>
      </w:r>
      <w:r>
        <w:rPr>
          <w:rFonts w:ascii="宋体" w:hAnsi="宋体" w:cs="宋体" w:eastAsia="宋体" w:hint="default"/>
          <w:spacing w:val="-2"/>
          <w:w w:val="100"/>
        </w:rPr>
        <w:t>471.3</w:t>
      </w:r>
      <w:r>
        <w:rPr>
          <w:rFonts w:ascii="宋体" w:hAnsi="宋体" w:cs="宋体" w:eastAsia="宋体" w:hint="default"/>
          <w:spacing w:val="-45"/>
          <w:w w:val="100"/>
        </w:rPr>
        <w:t> </w:t>
      </w:r>
      <w:r>
        <w:rPr>
          <w:spacing w:val="-10"/>
          <w:w w:val="100"/>
        </w:rPr>
        <w:t>万元，该款项也将采取处理</w:t>
      </w:r>
      <w:r>
        <w:rPr>
          <w:spacing w:val="-47"/>
          <w:w w:val="100"/>
        </w:rPr>
        <w:t> </w:t>
      </w:r>
      <w:r>
        <w:rPr>
          <w:rFonts w:ascii="宋体" w:hAnsi="宋体" w:cs="宋体" w:eastAsia="宋体" w:hint="default"/>
          <w:spacing w:val="-1"/>
          <w:w w:val="100"/>
        </w:rPr>
        <w:t>2016</w:t>
      </w:r>
      <w:r>
        <w:rPr>
          <w:rFonts w:ascii="宋体" w:hAnsi="宋体" w:cs="宋体" w:eastAsia="宋体" w:hint="default"/>
          <w:spacing w:val="-47"/>
          <w:w w:val="100"/>
        </w:rPr>
        <w:t> </w:t>
      </w:r>
      <w:r>
        <w:rPr>
          <w:spacing w:val="-2"/>
          <w:w w:val="100"/>
        </w:rPr>
        <w:t>年垫付费用</w:t>
      </w:r>
      <w:r>
        <w:rPr>
          <w:spacing w:val="-103"/>
          <w:w w:val="100"/>
        </w:rPr>
        <w:t> </w:t>
      </w:r>
      <w:r>
        <w:rPr>
          <w:spacing w:val="-103"/>
          <w:w w:val="100"/>
        </w:rPr>
      </w:r>
      <w:r>
        <w:rPr/>
        <w:t>相同的方式尽快进行清理。</w:t>
      </w:r>
    </w:p>
    <w:p>
      <w:pPr>
        <w:pStyle w:val="Heading4"/>
        <w:spacing w:line="240" w:lineRule="auto" w:before="92"/>
        <w:ind w:left="138" w:right="0"/>
        <w:jc w:val="both"/>
        <w:rPr>
          <w:b w:val="0"/>
          <w:bCs w:val="0"/>
        </w:rPr>
      </w:pPr>
      <w:r>
        <w:rPr/>
        <w:t>四、公司对会计师事务所“非标准意见审计报告”的说明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left="138" w:right="0"/>
        <w:jc w:val="both"/>
        <w:rPr>
          <w:b w:val="0"/>
          <w:bCs w:val="0"/>
        </w:rPr>
      </w:pPr>
      <w:r>
        <w:rPr/>
        <w:t>五、公司对会计政策、会计估计变更或重大会计差错更正原因和影响的分析说明</w:t>
      </w:r>
      <w:r>
        <w:rPr>
          <w:b w:val="0"/>
          <w:bCs w:val="0"/>
        </w:rPr>
      </w:r>
    </w:p>
    <w:p>
      <w:pPr>
        <w:pStyle w:val="Heading4"/>
        <w:spacing w:line="240" w:lineRule="auto" w:before="58"/>
        <w:ind w:left="13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5" w:lineRule="exact" w:before="56"/>
        <w:ind w:left="138" w:right="0"/>
        <w:jc w:val="both"/>
      </w:pPr>
      <w:r>
        <w:rPr/>
        <w:t>√适用</w:t>
      </w:r>
      <w:r>
        <w:rPr>
          <w:spacing w:val="104"/>
        </w:rPr>
        <w:t> </w:t>
      </w:r>
      <w:r>
        <w:rPr/>
        <w:t>□不适用</w:t>
      </w:r>
    </w:p>
    <w:p>
      <w:pPr>
        <w:pStyle w:val="BodyText"/>
        <w:spacing w:line="290" w:lineRule="exact"/>
        <w:ind w:left="558" w:right="0"/>
        <w:jc w:val="left"/>
      </w:pPr>
      <w:r>
        <w:rPr>
          <w:rFonts w:ascii="宋体" w:hAnsi="宋体" w:cs="宋体" w:eastAsia="宋体" w:hint="default"/>
          <w:w w:val="100"/>
        </w:rPr>
        <w:t>1.</w:t>
      </w:r>
      <w:r>
        <w:rPr>
          <w:w w:val="100"/>
        </w:rPr>
        <w:t>根</w:t>
      </w:r>
      <w:r>
        <w:rPr>
          <w:spacing w:val="-3"/>
          <w:w w:val="100"/>
        </w:rPr>
        <w:t>据</w:t>
      </w:r>
      <w:r>
        <w:rPr>
          <w:w w:val="100"/>
        </w:rPr>
        <w:t>财</w:t>
      </w:r>
      <w:r>
        <w:rPr>
          <w:spacing w:val="-3"/>
          <w:w w:val="100"/>
        </w:rPr>
        <w:t>政</w:t>
      </w:r>
      <w:r>
        <w:rPr>
          <w:w w:val="100"/>
        </w:rPr>
        <w:t>部</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日</w:t>
      </w:r>
      <w:r>
        <w:rPr>
          <w:w w:val="100"/>
        </w:rPr>
        <w:t>发</w:t>
      </w:r>
      <w:r>
        <w:rPr>
          <w:spacing w:val="-3"/>
          <w:w w:val="100"/>
        </w:rPr>
        <w:t>布</w:t>
      </w:r>
      <w:r>
        <w:rPr>
          <w:w w:val="100"/>
        </w:rPr>
        <w:t>的</w:t>
      </w:r>
      <w:r>
        <w:rPr>
          <w:spacing w:val="-3"/>
          <w:w w:val="100"/>
        </w:rPr>
        <w:t>关</w:t>
      </w:r>
      <w:r>
        <w:rPr>
          <w:w w:val="100"/>
        </w:rPr>
        <w:t>于</w:t>
      </w:r>
      <w:r>
        <w:rPr>
          <w:spacing w:val="-3"/>
          <w:w w:val="100"/>
        </w:rPr>
        <w:t>印</w:t>
      </w:r>
      <w:r>
        <w:rPr>
          <w:spacing w:val="-104"/>
          <w:w w:val="100"/>
        </w:rPr>
        <w:t>发</w:t>
      </w:r>
      <w:r>
        <w:rPr>
          <w:w w:val="100"/>
        </w:rPr>
        <w:t>《</w:t>
      </w:r>
      <w:r>
        <w:rPr>
          <w:spacing w:val="-3"/>
          <w:w w:val="100"/>
        </w:rPr>
        <w:t>增</w:t>
      </w:r>
      <w:r>
        <w:rPr>
          <w:w w:val="100"/>
        </w:rPr>
        <w:t>值税</w:t>
      </w:r>
      <w:r>
        <w:rPr>
          <w:spacing w:val="-3"/>
          <w:w w:val="100"/>
        </w:rPr>
        <w:t>会</w:t>
      </w:r>
      <w:r>
        <w:rPr>
          <w:w w:val="100"/>
        </w:rPr>
        <w:t>计</w:t>
      </w:r>
      <w:r>
        <w:rPr>
          <w:spacing w:val="-3"/>
          <w:w w:val="100"/>
        </w:rPr>
        <w:t>处</w:t>
      </w:r>
      <w:r>
        <w:rPr>
          <w:w w:val="100"/>
        </w:rPr>
        <w:t>理</w:t>
      </w:r>
      <w:r>
        <w:rPr>
          <w:spacing w:val="-3"/>
          <w:w w:val="100"/>
        </w:rPr>
        <w:t>规定</w:t>
      </w:r>
      <w:r>
        <w:rPr>
          <w:spacing w:val="-101"/>
          <w:w w:val="100"/>
        </w:rPr>
        <w:t>》</w:t>
      </w:r>
      <w:r>
        <w:rPr>
          <w:spacing w:val="-3"/>
          <w:w w:val="100"/>
        </w:rPr>
        <w:t>的</w:t>
      </w:r>
      <w:r>
        <w:rPr>
          <w:w w:val="100"/>
        </w:rPr>
        <w:t>通</w:t>
      </w:r>
      <w:r>
        <w:rPr>
          <w:spacing w:val="-104"/>
          <w:w w:val="100"/>
        </w:rPr>
        <w:t>知</w:t>
      </w:r>
      <w:r>
        <w:rPr>
          <w:w w:val="100"/>
        </w:rPr>
        <w:t>（</w:t>
      </w:r>
      <w:r>
        <w:rPr>
          <w:spacing w:val="-3"/>
          <w:w w:val="100"/>
        </w:rPr>
        <w:t>财</w:t>
      </w:r>
      <w:r>
        <w:rPr>
          <w:spacing w:val="-104"/>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6</w:t>
      </w:r>
      <w:r>
        <w:rPr>
          <w:w w:val="100"/>
        </w:rPr>
        <w:t>】</w:t>
      </w:r>
    </w:p>
    <w:p>
      <w:pPr>
        <w:pStyle w:val="BodyText"/>
        <w:spacing w:line="343" w:lineRule="auto" w:before="117"/>
        <w:ind w:left="138" w:right="127"/>
        <w:jc w:val="both"/>
      </w:pPr>
      <w:r>
        <w:rPr>
          <w:rFonts w:ascii="Times New Roman" w:hAnsi="Times New Roman" w:cs="Times New Roman" w:eastAsia="Times New Roman" w:hint="default"/>
        </w:rPr>
        <w:t>22 </w:t>
      </w:r>
      <w:r>
        <w:rPr>
          <w:spacing w:val="-3"/>
        </w:rPr>
        <w:t>号）文件规定，全面试行营业税改增值税后，</w:t>
      </w:r>
      <w:r>
        <w:rPr>
          <w:rFonts w:ascii="Times New Roman" w:hAnsi="Times New Roman" w:cs="Times New Roman" w:eastAsia="Times New Roman" w:hint="default"/>
          <w:spacing w:val="-3"/>
        </w:rPr>
        <w:t>“</w:t>
      </w:r>
      <w:r>
        <w:rPr>
          <w:spacing w:val="-3"/>
        </w:rPr>
        <w:t>营业税金及附加</w:t>
      </w:r>
      <w:r>
        <w:rPr>
          <w:rFonts w:ascii="Times New Roman" w:hAnsi="Times New Roman" w:cs="Times New Roman" w:eastAsia="Times New Roman" w:hint="default"/>
          <w:spacing w:val="-3"/>
        </w:rPr>
        <w:t>”</w:t>
      </w:r>
      <w:r>
        <w:rPr>
          <w:spacing w:val="-3"/>
        </w:rPr>
        <w:t>科目名称调整为</w:t>
      </w:r>
      <w:r>
        <w:rPr>
          <w:rFonts w:ascii="Times New Roman" w:hAnsi="Times New Roman" w:cs="Times New Roman" w:eastAsia="Times New Roman" w:hint="default"/>
          <w:spacing w:val="-3"/>
        </w:rPr>
        <w:t>“</w:t>
      </w:r>
      <w:r>
        <w:rPr>
          <w:spacing w:val="-3"/>
        </w:rPr>
        <w:t>税金及附加</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6"/>
        </w:rPr>
        <w:t> </w:t>
      </w:r>
      <w:r>
        <w:rPr>
          <w:spacing w:val="-6"/>
        </w:rPr>
        <w:t>科目，该科目核算企业经营活动发生的消费税、城市维护建设税、资源税、教育费附加及房产税、</w:t>
      </w:r>
      <w:r>
        <w:rPr>
          <w:spacing w:val="-52"/>
        </w:rPr>
        <w:t> </w:t>
      </w:r>
      <w:r>
        <w:rPr>
          <w:spacing w:val="-52"/>
        </w:rPr>
      </w:r>
      <w:r>
        <w:rPr>
          <w:spacing w:val="-3"/>
        </w:rPr>
        <w:t>土地使用税、车船使用税、印花税等相关税费；利润表中的</w:t>
      </w:r>
      <w:r>
        <w:rPr>
          <w:rFonts w:ascii="Times New Roman" w:hAnsi="Times New Roman" w:cs="Times New Roman" w:eastAsia="Times New Roman" w:hint="default"/>
          <w:spacing w:val="-3"/>
        </w:rPr>
        <w:t>“</w:t>
      </w:r>
      <w:r>
        <w:rPr>
          <w:spacing w:val="-3"/>
        </w:rPr>
        <w:t>营业税金及附加</w:t>
      </w:r>
      <w:r>
        <w:rPr>
          <w:rFonts w:ascii="Times New Roman" w:hAnsi="Times New Roman" w:cs="Times New Roman" w:eastAsia="Times New Roman" w:hint="default"/>
          <w:spacing w:val="-3"/>
        </w:rPr>
        <w:t>”</w:t>
      </w:r>
      <w:r>
        <w:rPr>
          <w:spacing w:val="-3"/>
        </w:rPr>
        <w:t>项目调整为</w:t>
      </w:r>
      <w:r>
        <w:rPr>
          <w:rFonts w:ascii="Times New Roman" w:hAnsi="Times New Roman" w:cs="Times New Roman" w:eastAsia="Times New Roman" w:hint="default"/>
          <w:spacing w:val="-3"/>
        </w:rPr>
        <w:t>“</w:t>
      </w:r>
      <w:r>
        <w:rPr>
          <w:spacing w:val="-3"/>
        </w:rPr>
        <w:t>税金及</w:t>
      </w:r>
      <w:r>
        <w:rPr>
          <w:spacing w:val="-41"/>
        </w:rPr>
        <w:t> </w:t>
      </w:r>
      <w:r>
        <w:rPr>
          <w:spacing w:val="-41"/>
        </w:rPr>
      </w:r>
      <w:r>
        <w:rPr>
          <w:spacing w:val="-8"/>
        </w:rPr>
        <w:t>附加</w:t>
      </w:r>
      <w:r>
        <w:rPr>
          <w:rFonts w:ascii="Times New Roman" w:hAnsi="Times New Roman" w:cs="Times New Roman" w:eastAsia="Times New Roman" w:hint="default"/>
          <w:spacing w:val="-8"/>
        </w:rPr>
        <w:t>”</w:t>
      </w:r>
      <w:r>
        <w:rPr>
          <w:spacing w:val="-8"/>
        </w:rPr>
        <w:t>项目。公司将自</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6"/>
        </w:rPr>
        <w:t>日起公司经营活动发生的房产税、土地使用税、车船使用税、</w:t>
      </w:r>
    </w:p>
    <w:p>
      <w:pPr>
        <w:pStyle w:val="BodyText"/>
        <w:spacing w:line="240" w:lineRule="auto" w:before="17"/>
        <w:ind w:left="138" w:right="0"/>
        <w:jc w:val="both"/>
      </w:pPr>
      <w:r>
        <w:rPr>
          <w:w w:val="100"/>
        </w:rPr>
        <w:t>印花</w:t>
      </w:r>
      <w:r>
        <w:rPr>
          <w:spacing w:val="-3"/>
          <w:w w:val="100"/>
        </w:rPr>
        <w:t>税</w:t>
      </w:r>
      <w:r>
        <w:rPr>
          <w:spacing w:val="-1"/>
          <w:w w:val="100"/>
        </w:rPr>
        <w:t>从</w:t>
      </w:r>
      <w:r>
        <w:rPr>
          <w:rFonts w:ascii="Times New Roman" w:hAnsi="Times New Roman" w:cs="Times New Roman" w:eastAsia="Times New Roman" w:hint="default"/>
          <w:spacing w:val="-3"/>
          <w:w w:val="100"/>
        </w:rPr>
        <w:t>“</w:t>
      </w:r>
      <w:r>
        <w:rPr>
          <w:w w:val="100"/>
        </w:rPr>
        <w:t>管</w:t>
      </w:r>
      <w:r>
        <w:rPr>
          <w:spacing w:val="-3"/>
          <w:w w:val="100"/>
        </w:rPr>
        <w:t>理</w:t>
      </w:r>
      <w:r>
        <w:rPr>
          <w:w w:val="100"/>
        </w:rPr>
        <w:t>费</w:t>
      </w:r>
      <w:r>
        <w:rPr>
          <w:spacing w:val="-1"/>
          <w:w w:val="100"/>
        </w:rPr>
        <w:t>用</w:t>
      </w:r>
      <w:r>
        <w:rPr>
          <w:rFonts w:ascii="Times New Roman" w:hAnsi="Times New Roman" w:cs="Times New Roman" w:eastAsia="Times New Roman" w:hint="default"/>
          <w:spacing w:val="-3"/>
          <w:w w:val="100"/>
        </w:rPr>
        <w:t>”</w:t>
      </w:r>
      <w:r>
        <w:rPr>
          <w:w w:val="100"/>
        </w:rPr>
        <w:t>项</w:t>
      </w:r>
      <w:r>
        <w:rPr>
          <w:spacing w:val="-3"/>
          <w:w w:val="100"/>
        </w:rPr>
        <w:t>目</w:t>
      </w:r>
      <w:r>
        <w:rPr>
          <w:w w:val="100"/>
        </w:rPr>
        <w:t>重分</w:t>
      </w:r>
      <w:r>
        <w:rPr>
          <w:spacing w:val="-3"/>
          <w:w w:val="100"/>
        </w:rPr>
        <w:t>类</w:t>
      </w:r>
      <w:r>
        <w:rPr>
          <w:w w:val="100"/>
        </w:rPr>
        <w:t>至</w:t>
      </w:r>
      <w:r>
        <w:rPr>
          <w:rFonts w:ascii="Times New Roman" w:hAnsi="Times New Roman" w:cs="Times New Roman" w:eastAsia="Times New Roman" w:hint="default"/>
          <w:spacing w:val="-3"/>
          <w:w w:val="100"/>
        </w:rPr>
        <w:t>“</w:t>
      </w:r>
      <w:r>
        <w:rPr>
          <w:w w:val="100"/>
        </w:rPr>
        <w:t>税</w:t>
      </w:r>
      <w:r>
        <w:rPr>
          <w:spacing w:val="-3"/>
          <w:w w:val="100"/>
        </w:rPr>
        <w:t>金</w:t>
      </w:r>
      <w:r>
        <w:rPr>
          <w:w w:val="100"/>
        </w:rPr>
        <w:t>及</w:t>
      </w:r>
      <w:r>
        <w:rPr>
          <w:spacing w:val="-3"/>
          <w:w w:val="100"/>
        </w:rPr>
        <w:t>附</w:t>
      </w:r>
      <w:r>
        <w:rPr>
          <w:spacing w:val="-1"/>
          <w:w w:val="100"/>
        </w:rPr>
        <w:t>加</w:t>
      </w:r>
      <w:r>
        <w:rPr>
          <w:rFonts w:ascii="Times New Roman" w:hAnsi="Times New Roman" w:cs="Times New Roman" w:eastAsia="Times New Roman" w:hint="default"/>
          <w:spacing w:val="-1"/>
          <w:w w:val="100"/>
        </w:rPr>
        <w:t>”</w:t>
      </w:r>
      <w:r>
        <w:rPr>
          <w:spacing w:val="-3"/>
          <w:w w:val="100"/>
        </w:rPr>
        <w:t>项</w:t>
      </w:r>
      <w:r>
        <w:rPr>
          <w:w w:val="100"/>
        </w:rPr>
        <w:t>目</w:t>
      </w:r>
      <w:r>
        <w:rPr>
          <w:spacing w:val="-106"/>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22"/>
        </w:rPr>
        <w:t> </w:t>
      </w:r>
      <w:r>
        <w:rPr>
          <w:w w:val="100"/>
        </w:rPr>
        <w:t>年</w:t>
      </w:r>
      <w:r>
        <w:rPr>
          <w:spacing w:val="-72"/>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2"/>
        </w:rPr>
        <w:t> </w:t>
      </w:r>
      <w:r>
        <w:rPr>
          <w:w w:val="100"/>
        </w:rPr>
        <w:t>月</w:t>
      </w:r>
      <w:r>
        <w:rPr>
          <w:spacing w:val="-7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2"/>
        </w:rPr>
        <w:t> </w:t>
      </w:r>
      <w:r>
        <w:rPr>
          <w:w w:val="100"/>
        </w:rPr>
        <w:t>日</w:t>
      </w:r>
      <w:r>
        <w:rPr>
          <w:spacing w:val="-3"/>
          <w:w w:val="100"/>
        </w:rPr>
        <w:t>之</w:t>
      </w:r>
      <w:r>
        <w:rPr>
          <w:w w:val="100"/>
        </w:rPr>
        <w:t>前</w:t>
      </w:r>
      <w:r>
        <w:rPr>
          <w:spacing w:val="-3"/>
          <w:w w:val="100"/>
        </w:rPr>
        <w:t>发</w:t>
      </w:r>
      <w:r>
        <w:rPr>
          <w:w w:val="100"/>
        </w:rPr>
        <w:t>生的</w:t>
      </w:r>
      <w:r>
        <w:rPr>
          <w:spacing w:val="-3"/>
          <w:w w:val="100"/>
        </w:rPr>
        <w:t>税</w:t>
      </w:r>
      <w:r>
        <w:rPr>
          <w:w w:val="100"/>
        </w:rPr>
        <w:t>费</w:t>
      </w:r>
      <w:r>
        <w:rPr>
          <w:spacing w:val="-3"/>
          <w:w w:val="100"/>
        </w:rPr>
        <w:t>不</w:t>
      </w:r>
      <w:r>
        <w:rPr>
          <w:w w:val="100"/>
        </w:rPr>
        <w:t>予</w:t>
      </w:r>
      <w:r>
        <w:rPr>
          <w:spacing w:val="-3"/>
          <w:w w:val="100"/>
        </w:rPr>
        <w:t>调整</w:t>
      </w:r>
      <w:r>
        <w:rPr>
          <w:w w:val="100"/>
        </w:rPr>
        <w:t>，</w:t>
      </w:r>
    </w:p>
    <w:p>
      <w:pPr>
        <w:pStyle w:val="BodyText"/>
        <w:spacing w:line="240" w:lineRule="auto" w:before="117"/>
        <w:ind w:left="138" w:right="0"/>
        <w:jc w:val="both"/>
      </w:pPr>
      <w:r>
        <w:rPr/>
        <w:t>比较数据不予调整。调增税金及附加本年金额</w:t>
      </w:r>
      <w:r>
        <w:rPr>
          <w:spacing w:val="-55"/>
        </w:rPr>
        <w:t> </w:t>
      </w:r>
      <w:r>
        <w:rPr>
          <w:rFonts w:ascii="Times New Roman" w:hAnsi="Times New Roman" w:cs="Times New Roman" w:eastAsia="Times New Roman" w:hint="default"/>
        </w:rPr>
        <w:t>9,680.85</w:t>
      </w:r>
      <w:r>
        <w:rPr>
          <w:rFonts w:ascii="Times New Roman" w:hAnsi="Times New Roman" w:cs="Times New Roman" w:eastAsia="Times New Roman" w:hint="default"/>
          <w:spacing w:val="-2"/>
        </w:rPr>
        <w:t> </w:t>
      </w:r>
      <w:r>
        <w:rPr/>
        <w:t>元，调减管理费用本年金额</w:t>
      </w:r>
      <w:r>
        <w:rPr>
          <w:spacing w:val="-55"/>
        </w:rPr>
        <w:t> </w:t>
      </w:r>
      <w:r>
        <w:rPr>
          <w:rFonts w:ascii="Times New Roman" w:hAnsi="Times New Roman" w:cs="Times New Roman" w:eastAsia="Times New Roman" w:hint="default"/>
        </w:rPr>
        <w:t>9,680.85</w:t>
      </w:r>
      <w:r>
        <w:rPr>
          <w:rFonts w:ascii="Times New Roman" w:hAnsi="Times New Roman" w:cs="Times New Roman" w:eastAsia="Times New Roman" w:hint="default"/>
          <w:spacing w:val="-2"/>
        </w:rPr>
        <w:t> </w:t>
      </w:r>
      <w:r>
        <w:rPr>
          <w:spacing w:val="-3"/>
        </w:rPr>
        <w:t>元。</w:t>
      </w:r>
      <w:r>
        <w:rPr/>
      </w:r>
    </w:p>
    <w:p>
      <w:pPr>
        <w:pStyle w:val="BodyText"/>
        <w:spacing w:line="338" w:lineRule="auto" w:before="117"/>
        <w:ind w:left="138" w:right="130"/>
        <w:jc w:val="both"/>
      </w:pPr>
      <w:r>
        <w:rPr/>
        <w:t>对于</w:t>
      </w:r>
      <w:r>
        <w:rPr>
          <w:spacing w:val="-50"/>
        </w:rPr>
        <w:t> </w:t>
      </w: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rPr>
        <w:t>1 </w:t>
      </w:r>
      <w:r>
        <w:rPr/>
        <w:t>月</w:t>
      </w:r>
      <w:r>
        <w:rPr>
          <w:spacing w:val="-50"/>
        </w:rPr>
        <w:t> </w:t>
      </w:r>
      <w:r>
        <w:rPr>
          <w:rFonts w:ascii="Times New Roman" w:hAnsi="Times New Roman" w:cs="Times New Roman" w:eastAsia="Times New Roman" w:hint="default"/>
        </w:rPr>
        <w:t>1 </w:t>
      </w:r>
      <w:r>
        <w:rPr/>
        <w:t>日至</w:t>
      </w:r>
      <w:r>
        <w:rPr>
          <w:spacing w:val="-51"/>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30 </w:t>
      </w:r>
      <w:r>
        <w:rPr>
          <w:spacing w:val="-7"/>
        </w:rPr>
        <w:t>日期间发生的交易，不予追溯调整；对于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年财务报表中可比</w:t>
      </w:r>
      <w:r>
        <w:rPr>
          <w:w w:val="100"/>
        </w:rPr>
        <w:t> </w:t>
      </w:r>
      <w:r>
        <w:rPr/>
        <w:t>期间的财务报表也不予追溯调整。</w:t>
      </w:r>
    </w:p>
    <w:p>
      <w:pPr>
        <w:pStyle w:val="BodyText"/>
        <w:spacing w:line="240" w:lineRule="auto" w:before="47"/>
        <w:ind w:left="558" w:right="0"/>
        <w:jc w:val="left"/>
      </w:pPr>
      <w:r>
        <w:rPr>
          <w:rFonts w:ascii="宋体" w:hAnsi="宋体" w:cs="宋体" w:eastAsia="宋体" w:hint="default"/>
        </w:rPr>
        <w:t>2.2017</w:t>
      </w:r>
      <w:r>
        <w:rPr>
          <w:rFonts w:ascii="宋体" w:hAnsi="宋体" w:cs="宋体" w:eastAsia="宋体" w:hint="default"/>
          <w:spacing w:val="-44"/>
        </w:rPr>
        <w:t> </w:t>
      </w:r>
      <w:r>
        <w:rPr/>
        <w:t>年</w:t>
      </w:r>
      <w:r>
        <w:rPr>
          <w:spacing w:val="-47"/>
        </w:rPr>
        <w:t> </w:t>
      </w:r>
      <w:r>
        <w:rPr>
          <w:rFonts w:ascii="宋体" w:hAnsi="宋体" w:cs="宋体" w:eastAsia="宋体" w:hint="default"/>
        </w:rPr>
        <w:t>4</w:t>
      </w:r>
      <w:r>
        <w:rPr>
          <w:rFonts w:ascii="宋体" w:hAnsi="宋体" w:cs="宋体" w:eastAsia="宋体" w:hint="default"/>
          <w:spacing w:val="-44"/>
        </w:rPr>
        <w:t> </w:t>
      </w:r>
      <w:r>
        <w:rPr/>
        <w:t>月</w:t>
      </w:r>
      <w:r>
        <w:rPr>
          <w:spacing w:val="-44"/>
        </w:rPr>
        <w:t> </w:t>
      </w:r>
      <w:r>
        <w:rPr>
          <w:rFonts w:ascii="宋体" w:hAnsi="宋体" w:cs="宋体" w:eastAsia="宋体" w:hint="default"/>
        </w:rPr>
        <w:t>28</w:t>
      </w:r>
      <w:r>
        <w:rPr>
          <w:rFonts w:ascii="宋体" w:hAnsi="宋体" w:cs="宋体" w:eastAsia="宋体" w:hint="default"/>
          <w:spacing w:val="-43"/>
        </w:rPr>
        <w:t> </w:t>
      </w:r>
      <w:r>
        <w:rPr>
          <w:spacing w:val="-4"/>
        </w:rPr>
        <w:t>日，财政部发布了《企业会计准则第</w:t>
      </w:r>
      <w:r>
        <w:rPr>
          <w:spacing w:val="-44"/>
        </w:rPr>
        <w:t> </w:t>
      </w:r>
      <w:r>
        <w:rPr>
          <w:rFonts w:ascii="宋体" w:hAnsi="宋体" w:cs="宋体" w:eastAsia="宋体" w:hint="default"/>
        </w:rPr>
        <w:t>42</w:t>
      </w:r>
      <w:r>
        <w:rPr>
          <w:rFonts w:ascii="宋体" w:hAnsi="宋体" w:cs="宋体" w:eastAsia="宋体" w:hint="default"/>
          <w:spacing w:val="-47"/>
        </w:rPr>
        <w:t> </w:t>
      </w:r>
      <w:r>
        <w:rPr>
          <w:spacing w:val="-3"/>
        </w:rPr>
        <w:t>号——持有待售的非流动资产、处</w:t>
      </w:r>
    </w:p>
    <w:p>
      <w:pPr>
        <w:pStyle w:val="BodyText"/>
        <w:spacing w:line="240" w:lineRule="auto" w:before="133"/>
        <w:ind w:left="138" w:right="0"/>
        <w:jc w:val="both"/>
      </w:pPr>
      <w:r>
        <w:rPr/>
        <w:t>置组和终止经营》，该准则自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日起施行。对于本准则施行日存在的持有待售的非</w:t>
      </w:r>
    </w:p>
    <w:p>
      <w:pPr>
        <w:pStyle w:val="BodyText"/>
        <w:spacing w:line="357" w:lineRule="auto" w:before="133"/>
        <w:ind w:left="138" w:right="137"/>
        <w:jc w:val="both"/>
      </w:pPr>
      <w:r>
        <w:rPr/>
        <w:t>流动资产、处置组和终止经营，应当采用未来适用法处理。公司自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日开始采用该</w:t>
      </w:r>
      <w:r>
        <w:rPr>
          <w:w w:val="100"/>
        </w:rPr>
        <w:t> </w:t>
      </w:r>
      <w:r>
        <w:rPr>
          <w:spacing w:val="-2"/>
        </w:rPr>
        <w:t>修订后的准则，公司已根据新准则要求，列报了当期财务报表，与此同时，对在当期财务报表中</w:t>
      </w:r>
      <w:r>
        <w:rPr>
          <w:spacing w:val="-25"/>
        </w:rPr>
        <w:t> </w:t>
      </w:r>
      <w:r>
        <w:rPr>
          <w:spacing w:val="-25"/>
        </w:rPr>
      </w:r>
      <w:r>
        <w:rPr>
          <w:spacing w:val="-2"/>
        </w:rPr>
        <w:t>将原来作为持续经营损益列报的信息上重新作为可比会计期间的终止经营损益列报，并按照本准</w:t>
      </w:r>
      <w:r>
        <w:rPr>
          <w:spacing w:val="-25"/>
        </w:rPr>
        <w:t> </w:t>
      </w:r>
      <w:r>
        <w:rPr>
          <w:spacing w:val="-25"/>
        </w:rPr>
      </w:r>
      <w:r>
        <w:rPr/>
        <w:t>则规定披露可比会计期间的信息。</w:t>
      </w:r>
    </w:p>
    <w:p>
      <w:pPr>
        <w:pStyle w:val="BodyText"/>
        <w:spacing w:line="240" w:lineRule="auto" w:before="30"/>
        <w:ind w:left="558" w:right="0"/>
        <w:jc w:val="left"/>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5"/>
        </w:rPr>
        <w:t> </w:t>
      </w:r>
      <w:r>
        <w:rPr/>
        <w:t>日，财政部发布了修订后的《企业会计准则第</w:t>
      </w:r>
      <w:r>
        <w:rPr>
          <w:spacing w:val="-54"/>
        </w:rPr>
        <w:t> </w:t>
      </w:r>
      <w:r>
        <w:rPr>
          <w:rFonts w:ascii="宋体" w:hAnsi="宋体" w:cs="宋体" w:eastAsia="宋体" w:hint="default"/>
        </w:rPr>
        <w:t>16</w:t>
      </w:r>
      <w:r>
        <w:rPr>
          <w:rFonts w:ascii="宋体" w:hAnsi="宋体" w:cs="宋体" w:eastAsia="宋体" w:hint="default"/>
          <w:spacing w:val="-54"/>
        </w:rPr>
        <w:t> </w:t>
      </w:r>
      <w:r>
        <w:rPr/>
        <w:t>号——政府补助》（以</w:t>
      </w:r>
    </w:p>
    <w:p>
      <w:pPr>
        <w:pStyle w:val="BodyText"/>
        <w:spacing w:line="240" w:lineRule="auto" w:before="133"/>
        <w:ind w:left="138" w:right="0"/>
        <w:jc w:val="both"/>
      </w:pPr>
      <w:r>
        <w:rPr>
          <w:spacing w:val="-7"/>
        </w:rPr>
        <w:t>下简称“新准则”），自</w:t>
      </w:r>
      <w:r>
        <w:rPr>
          <w:spacing w:val="-49"/>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2"/>
        </w:rPr>
        <w:t> </w:t>
      </w:r>
      <w:r>
        <w:rPr>
          <w:rFonts w:ascii="宋体" w:hAnsi="宋体" w:cs="宋体" w:eastAsia="宋体" w:hint="default"/>
        </w:rPr>
        <w:t>12</w:t>
      </w:r>
      <w:r>
        <w:rPr>
          <w:rFonts w:ascii="宋体" w:hAnsi="宋体" w:cs="宋体" w:eastAsia="宋体" w:hint="default"/>
          <w:spacing w:val="-52"/>
        </w:rPr>
        <w:t> </w:t>
      </w:r>
      <w:r>
        <w:rPr>
          <w:spacing w:val="-4"/>
        </w:rPr>
        <w:t>日起施行。新准则要求企业对</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49"/>
        </w:rPr>
        <w:t> </w:t>
      </w:r>
      <w:r>
        <w:rPr>
          <w:rFonts w:ascii="宋体" w:hAnsi="宋体" w:cs="宋体" w:eastAsia="宋体" w:hint="default"/>
        </w:rPr>
        <w:t>1</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日存在的政</w:t>
      </w:r>
    </w:p>
    <w:p>
      <w:pPr>
        <w:pStyle w:val="BodyText"/>
        <w:spacing w:line="240" w:lineRule="auto" w:before="135"/>
        <w:ind w:left="138" w:right="0"/>
        <w:jc w:val="both"/>
      </w:pPr>
      <w:r>
        <w:rPr>
          <w:w w:val="100"/>
        </w:rPr>
        <w:t>府补</w:t>
      </w:r>
      <w:r>
        <w:rPr>
          <w:spacing w:val="-3"/>
          <w:w w:val="100"/>
        </w:rPr>
        <w:t>助</w:t>
      </w:r>
      <w:r>
        <w:rPr>
          <w:w w:val="100"/>
        </w:rPr>
        <w:t>采</w:t>
      </w:r>
      <w:r>
        <w:rPr>
          <w:spacing w:val="-3"/>
          <w:w w:val="100"/>
        </w:rPr>
        <w:t>用</w:t>
      </w:r>
      <w:r>
        <w:rPr>
          <w:w w:val="100"/>
        </w:rPr>
        <w:t>未</w:t>
      </w:r>
      <w:r>
        <w:rPr>
          <w:spacing w:val="-3"/>
          <w:w w:val="100"/>
        </w:rPr>
        <w:t>来</w:t>
      </w:r>
      <w:r>
        <w:rPr>
          <w:w w:val="100"/>
        </w:rPr>
        <w:t>适</w:t>
      </w:r>
      <w:r>
        <w:rPr>
          <w:spacing w:val="-3"/>
          <w:w w:val="100"/>
        </w:rPr>
        <w:t>用</w:t>
      </w:r>
      <w:r>
        <w:rPr>
          <w:w w:val="100"/>
        </w:rPr>
        <w:t>法</w:t>
      </w:r>
      <w:r>
        <w:rPr>
          <w:spacing w:val="-3"/>
          <w:w w:val="100"/>
        </w:rPr>
        <w:t>处</w:t>
      </w:r>
      <w:r>
        <w:rPr>
          <w:w w:val="100"/>
        </w:rPr>
        <w:t>理</w:t>
      </w:r>
      <w:r>
        <w:rPr>
          <w:spacing w:val="-94"/>
          <w:w w:val="100"/>
        </w:rPr>
        <w:t>，</w:t>
      </w:r>
      <w:r>
        <w:rPr>
          <w:w w:val="100"/>
        </w:rPr>
        <w:t>对</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日至</w:t>
      </w:r>
      <w:r>
        <w:rPr>
          <w:spacing w:val="-55"/>
        </w:rPr>
        <w:t> </w:t>
      </w: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日</w:t>
      </w:r>
      <w:r>
        <w:rPr>
          <w:spacing w:val="-3"/>
          <w:w w:val="100"/>
        </w:rPr>
        <w:t>之</w:t>
      </w:r>
      <w:r>
        <w:rPr>
          <w:w w:val="100"/>
        </w:rPr>
        <w:t>间</w:t>
      </w:r>
      <w:r>
        <w:rPr>
          <w:spacing w:val="-3"/>
          <w:w w:val="100"/>
        </w:rPr>
        <w:t>新</w:t>
      </w:r>
      <w:r>
        <w:rPr>
          <w:w w:val="100"/>
        </w:rPr>
        <w:t>增的</w:t>
      </w:r>
      <w:r>
        <w:rPr>
          <w:spacing w:val="-3"/>
          <w:w w:val="100"/>
        </w:rPr>
        <w:t>政</w:t>
      </w:r>
      <w:r>
        <w:rPr>
          <w:w w:val="100"/>
        </w:rPr>
        <w:t>府</w:t>
      </w:r>
      <w:r>
        <w:rPr>
          <w:spacing w:val="-3"/>
          <w:w w:val="100"/>
        </w:rPr>
        <w:t>补</w:t>
      </w:r>
      <w:r>
        <w:rPr>
          <w:w w:val="100"/>
        </w:rPr>
        <w:t>助</w:t>
      </w:r>
      <w:r>
        <w:rPr>
          <w:spacing w:val="-3"/>
          <w:w w:val="100"/>
        </w:rPr>
        <w:t>根据</w:t>
      </w:r>
      <w:r>
        <w:rPr>
          <w:w w:val="100"/>
        </w:rPr>
        <w:t>新</w:t>
      </w:r>
    </w:p>
    <w:p>
      <w:pPr>
        <w:pStyle w:val="BodyText"/>
        <w:spacing w:line="355" w:lineRule="auto" w:before="133"/>
        <w:ind w:left="138" w:right="130"/>
        <w:jc w:val="both"/>
      </w:pPr>
      <w:r>
        <w:rPr>
          <w:spacing w:val="-6"/>
        </w:rPr>
        <w:t>准则进行调整。公司自</w:t>
      </w:r>
      <w:r>
        <w:rPr>
          <w:spacing w:val="-46"/>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6</w:t>
      </w:r>
      <w:r>
        <w:rPr>
          <w:rFonts w:ascii="宋体" w:hAnsi="宋体" w:cs="宋体" w:eastAsia="宋体" w:hint="default"/>
          <w:spacing w:val="-50"/>
        </w:rPr>
        <w:t> </w:t>
      </w:r>
      <w:r>
        <w:rPr/>
        <w:t>月</w:t>
      </w:r>
      <w:r>
        <w:rPr>
          <w:spacing w:val="-47"/>
        </w:rPr>
        <w:t> </w:t>
      </w:r>
      <w:r>
        <w:rPr>
          <w:rFonts w:ascii="宋体" w:hAnsi="宋体" w:cs="宋体" w:eastAsia="宋体" w:hint="default"/>
        </w:rPr>
        <w:t>12</w:t>
      </w:r>
      <w:r>
        <w:rPr>
          <w:rFonts w:ascii="宋体" w:hAnsi="宋体" w:cs="宋体" w:eastAsia="宋体" w:hint="default"/>
          <w:spacing w:val="-47"/>
        </w:rPr>
        <w:t> </w:t>
      </w:r>
      <w:r>
        <w:rPr>
          <w:spacing w:val="-4"/>
        </w:rPr>
        <w:t>日起开始执行上述准则，并根据新准则的规定对相关</w:t>
      </w:r>
      <w:r>
        <w:rPr>
          <w:spacing w:val="10"/>
        </w:rPr>
        <w:t> </w:t>
      </w:r>
      <w:r>
        <w:rPr/>
        <w:t>会计</w:t>
      </w:r>
      <w:r>
        <w:rPr>
          <w:spacing w:val="-103"/>
        </w:rPr>
        <w:t> </w:t>
      </w:r>
      <w:r>
        <w:rPr>
          <w:spacing w:val="-103"/>
        </w:rPr>
      </w:r>
      <w:r>
        <w:rPr>
          <w:spacing w:val="-11"/>
          <w:w w:val="100"/>
        </w:rPr>
        <w:t>政策进行变更。根据新准则的要求，公司将修改财务报表列报：利润表中增</w:t>
      </w:r>
      <w:r>
        <w:rPr>
          <w:spacing w:val="14"/>
          <w:w w:val="100"/>
        </w:rPr>
        <w:t> </w:t>
      </w:r>
      <w:r>
        <w:rPr>
          <w:spacing w:val="-2"/>
          <w:w w:val="100"/>
        </w:rPr>
        <w:t>加“其他收益”项目，</w:t>
      </w:r>
      <w:r>
        <w:rPr>
          <w:spacing w:val="-103"/>
          <w:w w:val="100"/>
        </w:rPr>
        <w:t> </w:t>
      </w:r>
      <w:r>
        <w:rPr>
          <w:spacing w:val="-103"/>
          <w:w w:val="100"/>
        </w:rPr>
      </w:r>
      <w:r>
        <w:rPr>
          <w:spacing w:val="-2"/>
        </w:rPr>
        <w:t>并按新准则规定列示政府补助。本次会计政策变更对公司财务状况、经营成果和现金流量无重大</w:t>
      </w:r>
      <w:r>
        <w:rPr>
          <w:spacing w:val="-25"/>
        </w:rPr>
        <w:t> </w:t>
      </w:r>
      <w:r>
        <w:rPr>
          <w:spacing w:val="-25"/>
        </w:rPr>
      </w:r>
      <w:r>
        <w:rPr/>
        <w:t>影响，也无需进行追溯调整。</w:t>
      </w:r>
    </w:p>
    <w:p>
      <w:pPr>
        <w:pStyle w:val="BodyText"/>
        <w:spacing w:line="240" w:lineRule="auto" w:before="34"/>
        <w:ind w:left="558" w:right="0"/>
        <w:jc w:val="left"/>
      </w:pPr>
      <w:r>
        <w:rPr>
          <w:rFonts w:ascii="宋体" w:hAnsi="宋体" w:cs="宋体" w:eastAsia="宋体" w:hint="default"/>
        </w:rPr>
        <w:t>4.</w:t>
      </w:r>
      <w:r>
        <w:rPr>
          <w:rFonts w:ascii="宋体" w:hAnsi="宋体" w:cs="宋体" w:eastAsia="宋体" w:hint="default"/>
          <w:spacing w:val="1"/>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4"/>
        </w:rPr>
        <w:t> </w:t>
      </w:r>
      <w:r>
        <w:rPr/>
        <w:t>日，财政部发布了《关于修订印发一般企业财务报表格式的通知》（财</w:t>
      </w:r>
    </w:p>
    <w:p>
      <w:pPr>
        <w:pStyle w:val="BodyText"/>
        <w:spacing w:line="357" w:lineRule="auto" w:before="133"/>
        <w:ind w:left="138" w:right="127"/>
        <w:jc w:val="both"/>
      </w:pPr>
      <w:r>
        <w:rPr>
          <w:spacing w:val="-6"/>
        </w:rPr>
        <w:t>会〔</w:t>
      </w:r>
      <w:r>
        <w:rPr>
          <w:rFonts w:ascii="宋体" w:hAnsi="宋体" w:cs="宋体" w:eastAsia="宋体" w:hint="default"/>
          <w:spacing w:val="-6"/>
        </w:rPr>
        <w:t>2017</w:t>
      </w:r>
      <w:r>
        <w:rPr>
          <w:spacing w:val="-6"/>
        </w:rPr>
        <w:t>〕</w:t>
      </w:r>
      <w:r>
        <w:rPr>
          <w:rFonts w:ascii="宋体" w:hAnsi="宋体" w:cs="宋体" w:eastAsia="宋体" w:hint="default"/>
          <w:spacing w:val="-6"/>
        </w:rPr>
        <w:t>30</w:t>
      </w:r>
      <w:r>
        <w:rPr>
          <w:rFonts w:ascii="宋体" w:hAnsi="宋体" w:cs="宋体" w:eastAsia="宋体" w:hint="default"/>
          <w:spacing w:val="-33"/>
        </w:rPr>
        <w:t> </w:t>
      </w:r>
      <w:r>
        <w:rPr>
          <w:spacing w:val="-3"/>
        </w:rPr>
        <w:t>号），执行企业会计准则的非金融企业应当按照企业会计准则和通知要求编制</w:t>
      </w:r>
      <w:r>
        <w:rPr>
          <w:spacing w:val="-29"/>
        </w:rPr>
        <w:t> </w:t>
      </w:r>
      <w:r>
        <w:rPr>
          <w:rFonts w:ascii="宋体" w:hAnsi="宋体" w:cs="宋体" w:eastAsia="宋体" w:hint="default"/>
        </w:rPr>
        <w:t>2017</w:t>
      </w:r>
      <w:r>
        <w:rPr>
          <w:rFonts w:ascii="宋体" w:hAnsi="宋体" w:cs="宋体" w:eastAsia="宋体" w:hint="default"/>
          <w:spacing w:val="-96"/>
        </w:rPr>
        <w:t> </w:t>
      </w:r>
      <w:r>
        <w:rPr>
          <w:rFonts w:ascii="宋体" w:hAnsi="宋体" w:cs="宋体" w:eastAsia="宋体" w:hint="default"/>
          <w:spacing w:val="-96"/>
        </w:rPr>
      </w:r>
      <w:r>
        <w:rPr>
          <w:spacing w:val="-2"/>
        </w:rPr>
        <w:t>年度及以后期间的财务报表。本次会计政策变更仅对公司财务报表项目列示产生影响，对公司当</w:t>
      </w:r>
      <w:r>
        <w:rPr>
          <w:spacing w:val="-25"/>
        </w:rPr>
        <w:t> </w:t>
      </w:r>
      <w:r>
        <w:rPr>
          <w:spacing w:val="-25"/>
        </w:rPr>
      </w:r>
      <w:r>
        <w:rPr/>
        <w:t>期损益、总资产、净资产均无影响。</w:t>
      </w:r>
    </w:p>
    <w:p>
      <w:pPr>
        <w:spacing w:after="0" w:line="357"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tabs>
          <w:tab w:pos="1057" w:val="left" w:leader="none"/>
        </w:tabs>
        <w:spacing w:line="240" w:lineRule="auto" w:before="36"/>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2465"/>
        <w:jc w:val="left"/>
        <w:rPr>
          <w:b w:val="0"/>
          <w:bCs w:val="0"/>
        </w:rPr>
      </w:pPr>
      <w:r>
        <w:rPr/>
        <w:t>（四）</w:t>
        <w:tab/>
        <w:t>其他说明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4"/>
        <w:spacing w:line="240" w:lineRule="auto" w:before="36"/>
        <w:ind w:right="2465"/>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聘任、解聘会计师事务所的情况说明</w:t>
      </w:r>
    </w:p>
    <w:p>
      <w:pPr>
        <w:pStyle w:val="BodyText"/>
        <w:spacing w:line="273"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审计期间改聘会计师事务所的情况说明</w:t>
      </w:r>
    </w:p>
    <w:p>
      <w:pPr>
        <w:pStyle w:val="BodyText"/>
        <w:tabs>
          <w:tab w:pos="1060" w:val="left" w:leader="none"/>
        </w:tabs>
        <w:spacing w:line="274"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4"/>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7"/>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八、面临终止上市的情况和原因</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九、破产重整相关事项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十、重大诉讼、仲裁事项</w:t>
      </w:r>
      <w:r>
        <w:rPr>
          <w:b w:val="0"/>
          <w:bCs w:val="0"/>
        </w:rPr>
      </w:r>
    </w:p>
    <w:p>
      <w:pPr>
        <w:pStyle w:val="BodyText"/>
        <w:spacing w:line="240" w:lineRule="auto" w:before="58"/>
        <w:ind w:right="97"/>
        <w:jc w:val="left"/>
      </w:pPr>
      <w:r>
        <w:rPr/>
        <w:t>√本年度公司有重大诉讼、仲裁事项</w:t>
      </w:r>
      <w:r>
        <w:rPr>
          <w:spacing w:val="-7"/>
        </w:rPr>
        <w:t> </w:t>
      </w:r>
      <w:r>
        <w:rPr/>
        <w:t>□本年度公司无重大诉讼、仲裁事项</w:t>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right="2465"/>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8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0"/>
                <w:sz w:val="21"/>
                <w:szCs w:val="21"/>
              </w:rPr>
              <w:t> </w:t>
            </w:r>
            <w:r>
              <w:rPr>
                <w:rFonts w:ascii="宋体" w:hAnsi="宋体" w:cs="宋体" w:eastAsia="宋体" w:hint="default"/>
                <w:sz w:val="21"/>
                <w:szCs w:val="21"/>
              </w:rPr>
              <w:t>2016</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9</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27</w:t>
            </w:r>
            <w:r>
              <w:rPr>
                <w:rFonts w:ascii="宋体" w:hAnsi="宋体" w:cs="宋体" w:eastAsia="宋体" w:hint="default"/>
                <w:spacing w:val="-69"/>
                <w:sz w:val="21"/>
                <w:szCs w:val="21"/>
              </w:rPr>
              <w:t> </w:t>
            </w:r>
            <w:r>
              <w:rPr>
                <w:rFonts w:ascii="宋体" w:hAnsi="宋体" w:cs="宋体" w:eastAsia="宋体" w:hint="default"/>
                <w:sz w:val="21"/>
                <w:szCs w:val="21"/>
              </w:rPr>
              <w:t>日收到了上海高级人民法院</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14"/>
                <w:sz w:val="21"/>
                <w:szCs w:val="21"/>
              </w:rPr>
              <w:t>邮寄送达的应诉通知书（【</w:t>
            </w:r>
            <w:r>
              <w:rPr>
                <w:rFonts w:ascii="宋体" w:hAnsi="宋体" w:cs="宋体" w:eastAsia="宋体" w:hint="default"/>
                <w:spacing w:val="-14"/>
                <w:sz w:val="21"/>
                <w:szCs w:val="21"/>
              </w:rPr>
              <w:t>2016</w:t>
            </w:r>
            <w:r>
              <w:rPr>
                <w:rFonts w:ascii="宋体" w:hAnsi="宋体" w:cs="宋体" w:eastAsia="宋体" w:hint="default"/>
                <w:spacing w:val="-14"/>
                <w:sz w:val="21"/>
                <w:szCs w:val="21"/>
              </w:rPr>
              <w:t>】沪民初</w:t>
            </w:r>
            <w:r>
              <w:rPr>
                <w:rFonts w:ascii="宋体" w:hAnsi="宋体" w:cs="宋体" w:eastAsia="宋体" w:hint="default"/>
                <w:spacing w:val="-33"/>
                <w:sz w:val="21"/>
                <w:szCs w:val="21"/>
              </w:rPr>
              <w:t> </w:t>
            </w:r>
            <w:r>
              <w:rPr>
                <w:rFonts w:ascii="宋体" w:hAnsi="宋体" w:cs="宋体" w:eastAsia="宋体" w:hint="default"/>
                <w:sz w:val="21"/>
                <w:szCs w:val="21"/>
              </w:rPr>
              <w:t>29</w:t>
            </w:r>
            <w:r>
              <w:rPr>
                <w:rFonts w:ascii="宋体" w:hAnsi="宋体" w:cs="宋体" w:eastAsia="宋体" w:hint="default"/>
                <w:spacing w:val="-36"/>
                <w:sz w:val="21"/>
                <w:szCs w:val="21"/>
              </w:rPr>
              <w:t> </w:t>
            </w:r>
            <w:r>
              <w:rPr>
                <w:rFonts w:ascii="宋体" w:hAnsi="宋体" w:cs="宋体" w:eastAsia="宋体" w:hint="default"/>
                <w:spacing w:val="-27"/>
                <w:sz w:val="21"/>
                <w:szCs w:val="21"/>
              </w:rPr>
              <w:t>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w w:val="100"/>
                <w:sz w:val="21"/>
                <w:szCs w:val="21"/>
              </w:rPr>
              <w:t>民事起诉状副本及相关立案材料等。因与顾国平</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w w:val="100"/>
                <w:sz w:val="21"/>
                <w:szCs w:val="21"/>
              </w:rPr>
              <w:t>先生的股权转让纠纷，上海躬盛网络科技有限公</w:t>
            </w:r>
            <w:r>
              <w:rPr>
                <w:rFonts w:ascii="宋体" w:hAnsi="宋体" w:cs="宋体" w:eastAsia="宋体" w:hint="default"/>
                <w:w w:val="100"/>
                <w:sz w:val="21"/>
                <w:szCs w:val="21"/>
              </w:rPr>
              <w:t> </w:t>
            </w:r>
            <w:r>
              <w:rPr>
                <w:rFonts w:ascii="宋体" w:hAnsi="宋体" w:cs="宋体" w:eastAsia="宋体" w:hint="default"/>
                <w:spacing w:val="-7"/>
                <w:sz w:val="21"/>
                <w:szCs w:val="21"/>
              </w:rPr>
              <w:t>司（以下简称：上海躬盛）向上海市高级人民法</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w w:val="100"/>
                <w:sz w:val="21"/>
                <w:szCs w:val="21"/>
              </w:rPr>
              <w:t>院递交了民事起诉状。上海躬盛请求判令顾国平</w:t>
            </w:r>
            <w:r>
              <w:rPr>
                <w:rFonts w:ascii="宋体" w:hAnsi="宋体" w:cs="宋体" w:eastAsia="宋体" w:hint="default"/>
                <w:w w:val="100"/>
                <w:sz w:val="21"/>
                <w:szCs w:val="21"/>
              </w:rPr>
              <w:t> </w:t>
            </w:r>
            <w:r>
              <w:rPr>
                <w:rFonts w:ascii="宋体" w:hAnsi="宋体" w:cs="宋体" w:eastAsia="宋体" w:hint="default"/>
                <w:spacing w:val="-2"/>
                <w:w w:val="100"/>
                <w:sz w:val="21"/>
                <w:szCs w:val="21"/>
              </w:rPr>
              <w:t>依法返还原告人民币</w:t>
            </w:r>
            <w:r>
              <w:rPr>
                <w:rFonts w:ascii="宋体" w:hAnsi="宋体" w:cs="宋体" w:eastAsia="宋体" w:hint="default"/>
                <w:spacing w:val="-48"/>
                <w:w w:val="100"/>
                <w:sz w:val="21"/>
                <w:szCs w:val="21"/>
              </w:rPr>
              <w:t> </w:t>
            </w:r>
            <w:r>
              <w:rPr>
                <w:rFonts w:ascii="宋体" w:hAnsi="宋体" w:cs="宋体" w:eastAsia="宋体" w:hint="default"/>
                <w:w w:val="100"/>
                <w:sz w:val="21"/>
                <w:szCs w:val="21"/>
              </w:rPr>
              <w:t>1</w:t>
            </w:r>
            <w:r>
              <w:rPr>
                <w:rFonts w:ascii="宋体" w:hAnsi="宋体" w:cs="宋体" w:eastAsia="宋体" w:hint="default"/>
                <w:spacing w:val="-47"/>
                <w:w w:val="100"/>
                <w:sz w:val="21"/>
                <w:szCs w:val="21"/>
              </w:rPr>
              <w:t> </w:t>
            </w:r>
            <w:r>
              <w:rPr>
                <w:rFonts w:ascii="宋体" w:hAnsi="宋体" w:cs="宋体" w:eastAsia="宋体" w:hint="default"/>
                <w:spacing w:val="-11"/>
                <w:w w:val="100"/>
                <w:sz w:val="21"/>
                <w:szCs w:val="21"/>
              </w:rPr>
              <w:t>亿元借款，赔偿原告人民</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宋体" w:hAnsi="宋体" w:cs="宋体" w:eastAsia="宋体" w:hint="default"/>
                <w:w w:val="100"/>
                <w:sz w:val="21"/>
                <w:szCs w:val="21"/>
              </w:rPr>
              <w:t>14</w:t>
            </w:r>
            <w:r>
              <w:rPr>
                <w:rFonts w:ascii="宋体" w:hAnsi="宋体" w:cs="宋体" w:eastAsia="宋体" w:hint="default"/>
                <w:spacing w:val="-55"/>
                <w:sz w:val="21"/>
                <w:szCs w:val="21"/>
              </w:rPr>
              <w:t> </w:t>
            </w:r>
            <w:r>
              <w:rPr>
                <w:rFonts w:ascii="宋体" w:hAnsi="宋体" w:cs="宋体" w:eastAsia="宋体" w:hint="default"/>
                <w:w w:val="100"/>
                <w:sz w:val="21"/>
                <w:szCs w:val="21"/>
              </w:rPr>
              <w:t>亿</w:t>
            </w:r>
            <w:r>
              <w:rPr>
                <w:rFonts w:ascii="宋体" w:hAnsi="宋体" w:cs="宋体" w:eastAsia="宋体" w:hint="default"/>
                <w:spacing w:val="-3"/>
                <w:w w:val="100"/>
                <w:sz w:val="21"/>
                <w:szCs w:val="21"/>
              </w:rPr>
              <w:t>元</w:t>
            </w:r>
            <w:r>
              <w:rPr>
                <w:rFonts w:ascii="宋体" w:hAnsi="宋体" w:cs="宋体" w:eastAsia="宋体" w:hint="default"/>
                <w:w w:val="100"/>
                <w:sz w:val="21"/>
                <w:szCs w:val="21"/>
              </w:rPr>
              <w:t>整</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慧</w:t>
            </w:r>
            <w:r>
              <w:rPr>
                <w:rFonts w:ascii="宋体" w:hAnsi="宋体" w:cs="宋体" w:eastAsia="宋体" w:hint="default"/>
                <w:w w:val="100"/>
                <w:sz w:val="21"/>
                <w:szCs w:val="21"/>
              </w:rPr>
              <w:t>球</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承</w:t>
            </w:r>
            <w:r>
              <w:rPr>
                <w:rFonts w:ascii="宋体" w:hAnsi="宋体" w:cs="宋体" w:eastAsia="宋体" w:hint="default"/>
                <w:w w:val="100"/>
                <w:sz w:val="21"/>
                <w:szCs w:val="21"/>
              </w:rPr>
              <w:t>担无</w:t>
            </w:r>
            <w:r>
              <w:rPr>
                <w:rFonts w:ascii="宋体" w:hAnsi="宋体" w:cs="宋体" w:eastAsia="宋体" w:hint="default"/>
                <w:spacing w:val="-3"/>
                <w:w w:val="100"/>
                <w:sz w:val="21"/>
                <w:szCs w:val="21"/>
              </w:rPr>
              <w:t>限</w:t>
            </w:r>
            <w:r>
              <w:rPr>
                <w:rFonts w:ascii="宋体" w:hAnsi="宋体" w:cs="宋体" w:eastAsia="宋体" w:hint="default"/>
                <w:w w:val="100"/>
                <w:sz w:val="21"/>
                <w:szCs w:val="21"/>
              </w:rPr>
              <w:t>连</w:t>
            </w:r>
            <w:r>
              <w:rPr>
                <w:rFonts w:ascii="宋体" w:hAnsi="宋体" w:cs="宋体" w:eastAsia="宋体" w:hint="default"/>
                <w:spacing w:val="-3"/>
                <w:w w:val="100"/>
                <w:sz w:val="21"/>
                <w:szCs w:val="21"/>
              </w:rPr>
              <w:t>带</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责</w:t>
            </w:r>
            <w:r>
              <w:rPr>
                <w:rFonts w:ascii="宋体" w:hAnsi="宋体" w:cs="宋体" w:eastAsia="宋体" w:hint="default"/>
                <w:spacing w:val="-3"/>
                <w:w w:val="100"/>
                <w:sz w:val="21"/>
                <w:szCs w:val="21"/>
              </w:rPr>
              <w:t>任</w:t>
            </w:r>
            <w:r>
              <w:rPr>
                <w:rFonts w:ascii="宋体" w:hAnsi="宋体" w:cs="宋体" w:eastAsia="宋体" w:hint="default"/>
                <w:w w:val="100"/>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《关于涉及重大诉讼的风险提示性公告》（临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w:t>
            </w:r>
            <w:r>
              <w:rPr>
                <w:rFonts w:ascii="宋体" w:hAnsi="宋体" w:cs="宋体" w:eastAsia="宋体" w:hint="default"/>
                <w:sz w:val="21"/>
                <w:szCs w:val="21"/>
              </w:rPr>
              <w:t>132</w:t>
            </w:r>
            <w:r>
              <w:rPr>
                <w:rFonts w:ascii="宋体" w:hAnsi="宋体" w:cs="宋体" w:eastAsia="宋体" w:hint="default"/>
                <w:sz w:val="21"/>
                <w:szCs w:val="21"/>
              </w:rPr>
              <w:t>）</w:t>
            </w:r>
          </w:p>
        </w:tc>
      </w:tr>
      <w:tr>
        <w:trPr>
          <w:trHeight w:val="27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日公告，近日收到上海</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级</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院</w:t>
            </w:r>
            <w:r>
              <w:rPr>
                <w:rFonts w:ascii="宋体" w:hAnsi="宋体" w:cs="宋体" w:eastAsia="宋体" w:hint="default"/>
                <w:spacing w:val="-76"/>
                <w:sz w:val="21"/>
                <w:szCs w:val="21"/>
              </w:rPr>
              <w:t> </w:t>
            </w:r>
            <w:r>
              <w:rPr>
                <w:rFonts w:ascii="宋体" w:hAnsi="宋体" w:cs="宋体" w:eastAsia="宋体" w:hint="default"/>
                <w:sz w:val="21"/>
                <w:szCs w:val="21"/>
              </w:rPr>
              <w:t>邮</w:t>
            </w:r>
            <w:r>
              <w:rPr>
                <w:rFonts w:ascii="宋体" w:hAnsi="宋体" w:cs="宋体" w:eastAsia="宋体" w:hint="default"/>
                <w:spacing w:val="-76"/>
                <w:sz w:val="21"/>
                <w:szCs w:val="21"/>
              </w:rPr>
              <w:t> </w:t>
            </w:r>
            <w:r>
              <w:rPr>
                <w:rFonts w:ascii="宋体" w:hAnsi="宋体" w:cs="宋体" w:eastAsia="宋体" w:hint="default"/>
                <w:sz w:val="21"/>
                <w:szCs w:val="21"/>
              </w:rPr>
              <w:t>寄</w:t>
            </w:r>
            <w:r>
              <w:rPr>
                <w:rFonts w:ascii="宋体" w:hAnsi="宋体" w:cs="宋体" w:eastAsia="宋体" w:hint="default"/>
                <w:spacing w:val="-76"/>
                <w:sz w:val="21"/>
                <w:szCs w:val="21"/>
              </w:rPr>
              <w:t> </w:t>
            </w:r>
            <w:r>
              <w:rPr>
                <w:rFonts w:ascii="宋体" w:hAnsi="宋体" w:cs="宋体" w:eastAsia="宋体" w:hint="default"/>
                <w:sz w:val="21"/>
                <w:szCs w:val="21"/>
              </w:rPr>
              <w:t>送</w:t>
            </w:r>
            <w:r>
              <w:rPr>
                <w:rFonts w:ascii="宋体" w:hAnsi="宋体" w:cs="宋体" w:eastAsia="宋体" w:hint="default"/>
                <w:spacing w:val="-73"/>
                <w:sz w:val="21"/>
                <w:szCs w:val="21"/>
              </w:rPr>
              <w:t> </w:t>
            </w:r>
            <w:r>
              <w:rPr>
                <w:rFonts w:ascii="宋体" w:hAnsi="宋体" w:cs="宋体" w:eastAsia="宋体" w:hint="default"/>
                <w:sz w:val="21"/>
                <w:szCs w:val="21"/>
              </w:rPr>
              <w:t>达</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诉</w:t>
            </w:r>
            <w:r>
              <w:rPr>
                <w:rFonts w:ascii="宋体" w:hAnsi="宋体" w:cs="宋体" w:eastAsia="宋体" w:hint="default"/>
                <w:spacing w:val="-73"/>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知</w:t>
            </w:r>
            <w:r>
              <w:rPr>
                <w:rFonts w:ascii="宋体" w:hAnsi="宋体" w:cs="宋体" w:eastAsia="宋体" w:hint="default"/>
                <w:spacing w:val="-73"/>
                <w:sz w:val="21"/>
                <w:szCs w:val="21"/>
              </w:rPr>
              <w:t> </w:t>
            </w:r>
            <w:r>
              <w:rPr>
                <w:rFonts w:ascii="宋体" w:hAnsi="宋体" w:cs="宋体" w:eastAsia="宋体" w:hint="default"/>
                <w:sz w:val="21"/>
                <w:szCs w:val="21"/>
              </w:rPr>
              <w:t>书</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z w:val="21"/>
                <w:szCs w:val="21"/>
              </w:rPr>
              <w:t>】沪</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民初</w:t>
            </w:r>
            <w:r>
              <w:rPr>
                <w:rFonts w:ascii="宋体" w:hAnsi="宋体" w:cs="宋体" w:eastAsia="宋体" w:hint="default"/>
                <w:spacing w:val="-51"/>
                <w:sz w:val="21"/>
                <w:szCs w:val="21"/>
              </w:rPr>
              <w:t> </w:t>
            </w:r>
            <w:r>
              <w:rPr>
                <w:rFonts w:ascii="宋体" w:hAnsi="宋体" w:cs="宋体" w:eastAsia="宋体" w:hint="default"/>
                <w:sz w:val="21"/>
                <w:szCs w:val="21"/>
              </w:rPr>
              <w:t>806</w:t>
            </w:r>
            <w:r>
              <w:rPr>
                <w:rFonts w:ascii="宋体" w:hAnsi="宋体" w:cs="宋体" w:eastAsia="宋体" w:hint="default"/>
                <w:spacing w:val="-54"/>
                <w:sz w:val="21"/>
                <w:szCs w:val="21"/>
              </w:rPr>
              <w:t> </w:t>
            </w:r>
            <w:r>
              <w:rPr>
                <w:rFonts w:ascii="宋体" w:hAnsi="宋体" w:cs="宋体" w:eastAsia="宋体" w:hint="default"/>
                <w:sz w:val="21"/>
                <w:szCs w:val="21"/>
              </w:rPr>
              <w:t>号），因与顾国平的</w:t>
            </w:r>
            <w:r>
              <w:rPr>
                <w:rFonts w:ascii="宋体" w:hAnsi="宋体" w:cs="宋体" w:eastAsia="宋体" w:hint="default"/>
                <w:w w:val="100"/>
                <w:sz w:val="21"/>
                <w:szCs w:val="21"/>
              </w:rPr>
              <w:t> </w:t>
            </w:r>
            <w:r>
              <w:rPr>
                <w:rFonts w:ascii="宋体" w:hAnsi="宋体" w:cs="宋体" w:eastAsia="宋体" w:hint="default"/>
                <w:spacing w:val="-7"/>
                <w:sz w:val="21"/>
                <w:szCs w:val="21"/>
              </w:rPr>
              <w:t>借款合同纠纷，上海瀚辉投资有限公司（以下简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称：上海瀚辉）向上海第一中级人民法院递交了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w w:val="100"/>
                <w:sz w:val="21"/>
                <w:szCs w:val="21"/>
              </w:rPr>
              <w:t>民事起诉状，请求判令顾国平向上海瀚辉返还投</w:t>
            </w:r>
            <w:r>
              <w:rPr>
                <w:rFonts w:ascii="宋体" w:hAnsi="宋体" w:cs="宋体" w:eastAsia="宋体" w:hint="default"/>
                <w:w w:val="100"/>
                <w:sz w:val="21"/>
                <w:szCs w:val="21"/>
              </w:rPr>
              <w:t> 资款</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15000</w:t>
            </w:r>
            <w:r>
              <w:rPr>
                <w:rFonts w:ascii="宋体" w:hAnsi="宋体" w:cs="宋体" w:eastAsia="宋体" w:hint="default"/>
                <w:spacing w:val="-52"/>
                <w:w w:val="100"/>
                <w:sz w:val="21"/>
                <w:szCs w:val="21"/>
              </w:rPr>
              <w:t> </w:t>
            </w:r>
            <w:r>
              <w:rPr>
                <w:rFonts w:ascii="宋体" w:hAnsi="宋体" w:cs="宋体" w:eastAsia="宋体" w:hint="default"/>
                <w:spacing w:val="-8"/>
                <w:w w:val="100"/>
                <w:sz w:val="21"/>
                <w:szCs w:val="21"/>
              </w:rPr>
              <w:t>万元、顾国平向上海瀚辉支付基本收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益暂计</w:t>
            </w:r>
            <w:r>
              <w:rPr>
                <w:rFonts w:ascii="宋体" w:hAnsi="宋体" w:cs="宋体" w:eastAsia="宋体" w:hint="default"/>
                <w:spacing w:val="-50"/>
                <w:sz w:val="21"/>
                <w:szCs w:val="21"/>
              </w:rPr>
              <w:t> </w:t>
            </w:r>
            <w:r>
              <w:rPr>
                <w:rFonts w:ascii="宋体" w:hAnsi="宋体" w:cs="宋体" w:eastAsia="宋体" w:hint="default"/>
                <w:sz w:val="21"/>
                <w:szCs w:val="21"/>
              </w:rPr>
              <w:t>1800</w:t>
            </w:r>
            <w:r>
              <w:rPr>
                <w:rFonts w:ascii="宋体" w:hAnsi="宋体" w:cs="宋体" w:eastAsia="宋体" w:hint="default"/>
                <w:spacing w:val="-53"/>
                <w:sz w:val="21"/>
                <w:szCs w:val="21"/>
              </w:rPr>
              <w:t> </w:t>
            </w:r>
            <w:r>
              <w:rPr>
                <w:rFonts w:ascii="宋体" w:hAnsi="宋体" w:cs="宋体" w:eastAsia="宋体" w:hint="default"/>
                <w:sz w:val="21"/>
                <w:szCs w:val="21"/>
              </w:rPr>
              <w:t>万元、顾国平向上海瀚辉支付违约</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宋体" w:hAnsi="宋体" w:cs="宋体" w:eastAsia="宋体" w:hint="default"/>
                <w:sz w:val="21"/>
                <w:szCs w:val="21"/>
              </w:rPr>
              <w:t>1500</w:t>
            </w:r>
            <w:r>
              <w:rPr>
                <w:rFonts w:ascii="宋体" w:hAnsi="宋体" w:cs="宋体" w:eastAsia="宋体" w:hint="default"/>
                <w:spacing w:val="-54"/>
                <w:sz w:val="21"/>
                <w:szCs w:val="21"/>
              </w:rPr>
              <w:t> </w:t>
            </w:r>
            <w:r>
              <w:rPr>
                <w:rFonts w:ascii="宋体" w:hAnsi="宋体" w:cs="宋体" w:eastAsia="宋体" w:hint="default"/>
                <w:sz w:val="21"/>
                <w:szCs w:val="21"/>
              </w:rPr>
              <w:t>万元（合计金额</w:t>
            </w:r>
            <w:r>
              <w:rPr>
                <w:rFonts w:ascii="宋体" w:hAnsi="宋体" w:cs="宋体" w:eastAsia="宋体" w:hint="default"/>
                <w:spacing w:val="-54"/>
                <w:sz w:val="21"/>
                <w:szCs w:val="21"/>
              </w:rPr>
              <w:t> </w:t>
            </w:r>
            <w:r>
              <w:rPr>
                <w:rFonts w:ascii="宋体" w:hAnsi="宋体" w:cs="宋体" w:eastAsia="宋体" w:hint="default"/>
                <w:sz w:val="21"/>
                <w:szCs w:val="21"/>
              </w:rPr>
              <w:t>18300</w:t>
            </w:r>
            <w:r>
              <w:rPr>
                <w:rFonts w:ascii="宋体" w:hAnsi="宋体" w:cs="宋体" w:eastAsia="宋体" w:hint="default"/>
                <w:spacing w:val="-52"/>
                <w:sz w:val="21"/>
                <w:szCs w:val="21"/>
              </w:rPr>
              <w:t> </w:t>
            </w:r>
            <w:r>
              <w:rPr>
                <w:rFonts w:ascii="宋体" w:hAnsi="宋体" w:cs="宋体" w:eastAsia="宋体" w:hint="default"/>
                <w:sz w:val="21"/>
                <w:szCs w:val="21"/>
              </w:rPr>
              <w:t>万元），慧球科</w:t>
            </w:r>
            <w:r>
              <w:rPr>
                <w:rFonts w:ascii="宋体" w:hAnsi="宋体" w:cs="宋体" w:eastAsia="宋体" w:hint="default"/>
                <w:w w:val="100"/>
                <w:sz w:val="21"/>
                <w:szCs w:val="21"/>
              </w:rPr>
              <w:t> </w:t>
            </w:r>
            <w:r>
              <w:rPr>
                <w:rFonts w:ascii="宋体" w:hAnsi="宋体" w:cs="宋体" w:eastAsia="宋体" w:hint="default"/>
                <w:sz w:val="21"/>
                <w:szCs w:val="21"/>
              </w:rPr>
              <w:t>技承担连带清偿责任。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《关于涉及重大诉讼的风险提示性公告》（临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w:t>
            </w:r>
            <w:r>
              <w:rPr>
                <w:rFonts w:ascii="宋体" w:hAnsi="宋体" w:cs="宋体" w:eastAsia="宋体" w:hint="default"/>
                <w:sz w:val="21"/>
                <w:szCs w:val="21"/>
              </w:rPr>
              <w:t>138</w:t>
            </w:r>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before="36"/>
        <w:ind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067" w:space="14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81"/>
        <w:gridCol w:w="852"/>
        <w:gridCol w:w="487"/>
        <w:gridCol w:w="488"/>
        <w:gridCol w:w="1582"/>
        <w:gridCol w:w="1371"/>
        <w:gridCol w:w="578"/>
        <w:gridCol w:w="1268"/>
        <w:gridCol w:w="578"/>
        <w:gridCol w:w="1265"/>
      </w:tblGrid>
      <w:tr>
        <w:trPr>
          <w:trHeight w:val="284"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4095"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127" w:right="125" w:firstLine="52"/>
              <w:jc w:val="both"/>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申</w:t>
            </w:r>
          </w:p>
          <w:p>
            <w:pPr>
              <w:pStyle w:val="TableParagraph"/>
              <w:spacing w:line="272" w:lineRule="exact" w:before="26"/>
              <w:ind w:left="180" w:right="125" w:hanging="53"/>
              <w:jc w:val="both"/>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55" w:right="156" w:firstLine="52"/>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被申</w:t>
            </w:r>
          </w:p>
          <w:p>
            <w:pPr>
              <w:pStyle w:val="TableParagraph"/>
              <w:spacing w:line="249" w:lineRule="exact"/>
              <w:ind w:left="155" w:right="0"/>
              <w:jc w:val="left"/>
              <w:rPr>
                <w:rFonts w:ascii="宋体" w:hAnsi="宋体" w:cs="宋体" w:eastAsia="宋体" w:hint="default"/>
                <w:sz w:val="21"/>
                <w:szCs w:val="21"/>
              </w:rPr>
            </w:pP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31" w:right="132"/>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5"/>
              <w:ind w:left="131" w:right="134"/>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470" w:right="151" w:hanging="31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本情况</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56" w:right="155" w:hanging="10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涉及金额</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40" w:lineRule="auto"/>
              <w:ind w:left="127" w:right="122" w:firstLine="50"/>
              <w:jc w:val="both"/>
              <w:rPr>
                <w:rFonts w:ascii="宋体" w:hAnsi="宋体" w:cs="宋体" w:eastAsia="宋体" w:hint="default"/>
                <w:sz w:val="21"/>
                <w:szCs w:val="21"/>
              </w:rPr>
            </w:pP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ind w:left="177" w:right="122" w:hanging="51"/>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形</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08" w:right="99" w:hanging="10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进展情况</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24" w:right="125" w:firstLine="50"/>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ind w:left="175" w:right="125" w:hanging="51"/>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103" w:right="96" w:hanging="1"/>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判决执行情</w:t>
            </w:r>
            <w:r>
              <w:rPr>
                <w:rFonts w:ascii="宋体" w:hAnsi="宋体" w:cs="宋体" w:eastAsia="宋体" w:hint="default"/>
                <w:w w:val="100"/>
                <w:sz w:val="21"/>
                <w:szCs w:val="21"/>
              </w:rPr>
              <w:t> </w:t>
            </w:r>
            <w:r>
              <w:rPr>
                <w:rFonts w:ascii="宋体" w:hAnsi="宋体" w:cs="宋体" w:eastAsia="宋体" w:hint="default"/>
                <w:sz w:val="21"/>
                <w:szCs w:val="21"/>
              </w:rPr>
              <w:t>况</w:t>
            </w:r>
          </w:p>
        </w:tc>
      </w:tr>
      <w:tr>
        <w:trPr>
          <w:trHeight w:val="300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before="2"/>
              <w:ind w:left="103" w:right="254"/>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深圳市</w:t>
            </w:r>
            <w:r>
              <w:rPr>
                <w:rFonts w:ascii="宋体" w:hAnsi="宋体" w:cs="宋体" w:eastAsia="宋体" w:hint="default"/>
                <w:sz w:val="21"/>
                <w:szCs w:val="21"/>
              </w:rPr>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2"/>
                <w:sz w:val="21"/>
                <w:szCs w:val="21"/>
              </w:rPr>
              <w:t>瑞莱嘉</w:t>
            </w:r>
            <w:r>
              <w:rPr>
                <w:rFonts w:ascii="宋体" w:hAnsi="宋体" w:cs="宋体" w:eastAsia="宋体" w:hint="default"/>
                <w:spacing w:val="-102"/>
                <w:sz w:val="21"/>
                <w:szCs w:val="21"/>
              </w:rPr>
              <w:t> </w:t>
            </w:r>
            <w:r>
              <w:rPr>
                <w:rFonts w:ascii="宋体" w:hAnsi="宋体" w:cs="宋体" w:eastAsia="宋体" w:hint="default"/>
                <w:spacing w:val="2"/>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 </w:t>
            </w:r>
            <w:r>
              <w:rPr>
                <w:rFonts w:ascii="宋体" w:hAnsi="宋体" w:cs="宋体" w:eastAsia="宋体" w:hint="default"/>
                <w:spacing w:val="8"/>
                <w:sz w:val="21"/>
                <w:szCs w:val="21"/>
              </w:rPr>
              <w:t> </w:t>
            </w:r>
            <w:r>
              <w:rPr>
                <w:rFonts w:ascii="宋体" w:hAnsi="宋体" w:cs="宋体" w:eastAsia="宋体" w:hint="default"/>
                <w:sz w:val="21"/>
                <w:szCs w:val="21"/>
              </w:rPr>
              <w:t>业</w:t>
            </w:r>
          </w:p>
          <w:p>
            <w:pPr>
              <w:pStyle w:val="TableParagraph"/>
              <w:spacing w:line="274" w:lineRule="exact" w:before="22"/>
              <w:ind w:left="100" w:right="98"/>
              <w:jc w:val="both"/>
              <w:rPr>
                <w:rFonts w:ascii="宋体" w:hAnsi="宋体" w:cs="宋体" w:eastAsia="宋体" w:hint="default"/>
                <w:sz w:val="21"/>
                <w:szCs w:val="21"/>
              </w:rPr>
            </w:pPr>
            <w:r>
              <w:rPr>
                <w:rFonts w:ascii="宋体" w:hAnsi="宋体" w:cs="宋体" w:eastAsia="宋体" w:hint="default"/>
                <w:spacing w:val="2"/>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3" w:right="161"/>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纠</w:t>
            </w:r>
            <w:r>
              <w:rPr>
                <w:rFonts w:ascii="宋体" w:hAnsi="宋体" w:cs="宋体" w:eastAsia="宋体" w:hint="default"/>
                <w:w w:val="100"/>
                <w:sz w:val="21"/>
                <w:szCs w:val="21"/>
              </w:rPr>
              <w:t> </w:t>
            </w:r>
            <w:r>
              <w:rPr>
                <w:rFonts w:ascii="宋体" w:hAnsi="宋体" w:cs="宋体" w:eastAsia="宋体" w:hint="default"/>
                <w:sz w:val="21"/>
                <w:szCs w:val="21"/>
              </w:rPr>
              <w:t>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7</w:t>
            </w:r>
            <w:r>
              <w:rPr>
                <w:rFonts w:ascii="宋体" w:hAnsi="宋体" w:cs="宋体" w:eastAsia="宋体" w:hint="default"/>
                <w:spacing w:val="-35"/>
                <w:sz w:val="21"/>
                <w:szCs w:val="21"/>
              </w:rPr>
              <w:t> </w:t>
            </w:r>
            <w:r>
              <w:rPr>
                <w:rFonts w:ascii="宋体" w:hAnsi="宋体" w:cs="宋体" w:eastAsia="宋体" w:hint="default"/>
                <w:sz w:val="21"/>
                <w:szCs w:val="21"/>
              </w:rPr>
              <w:t>日公告</w:t>
            </w:r>
            <w:r>
              <w:rPr>
                <w:rFonts w:ascii="宋体" w:hAnsi="宋体" w:cs="宋体" w:eastAsia="宋体" w:hint="default"/>
                <w:w w:val="100"/>
                <w:sz w:val="21"/>
                <w:szCs w:val="21"/>
              </w:rPr>
              <w:t> </w:t>
            </w:r>
            <w:r>
              <w:rPr>
                <w:rFonts w:ascii="宋体" w:hAnsi="宋体" w:cs="宋体" w:eastAsia="宋体" w:hint="default"/>
                <w:spacing w:val="15"/>
                <w:sz w:val="21"/>
                <w:szCs w:val="21"/>
              </w:rPr>
              <w:t>收到了广东省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深圳市福田区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人民法院送达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受理案件通知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7"/>
                <w:sz w:val="21"/>
                <w:szCs w:val="21"/>
              </w:rPr>
              <w:t>书（【</w:t>
            </w:r>
            <w:r>
              <w:rPr>
                <w:rFonts w:ascii="宋体" w:hAnsi="宋体" w:cs="宋体" w:eastAsia="宋体" w:hint="default"/>
                <w:spacing w:val="-17"/>
                <w:sz w:val="21"/>
                <w:szCs w:val="21"/>
              </w:rPr>
              <w:t>2016</w:t>
            </w:r>
            <w:r>
              <w:rPr>
                <w:rFonts w:ascii="宋体" w:hAnsi="宋体" w:cs="宋体" w:eastAsia="宋体" w:hint="default"/>
                <w:spacing w:val="-17"/>
                <w:sz w:val="21"/>
                <w:szCs w:val="21"/>
              </w:rPr>
              <w:t>】粤</w:t>
            </w:r>
            <w:r>
              <w:rPr>
                <w:rFonts w:ascii="宋体" w:hAnsi="宋体" w:cs="宋体" w:eastAsia="宋体" w:hint="default"/>
                <w:spacing w:val="-92"/>
                <w:sz w:val="21"/>
                <w:szCs w:val="21"/>
              </w:rPr>
              <w:t> </w:t>
            </w:r>
            <w:r>
              <w:rPr>
                <w:rFonts w:ascii="宋体" w:hAnsi="宋体" w:cs="宋体" w:eastAsia="宋体" w:hint="default"/>
                <w:sz w:val="21"/>
                <w:szCs w:val="21"/>
              </w:rPr>
              <w:t>0304   </w:t>
            </w:r>
            <w:r>
              <w:rPr>
                <w:rFonts w:ascii="宋体" w:hAnsi="宋体" w:cs="宋体" w:eastAsia="宋体" w:hint="default"/>
                <w:sz w:val="21"/>
                <w:szCs w:val="21"/>
              </w:rPr>
              <w:t>民 </w:t>
            </w:r>
            <w:r>
              <w:rPr>
                <w:rFonts w:ascii="宋体" w:hAnsi="宋体" w:cs="宋体" w:eastAsia="宋体" w:hint="default"/>
                <w:spacing w:val="2"/>
                <w:sz w:val="21"/>
                <w:szCs w:val="21"/>
              </w:rPr>
              <w:t> </w:t>
            </w:r>
            <w:r>
              <w:rPr>
                <w:rFonts w:ascii="宋体" w:hAnsi="宋体" w:cs="宋体" w:eastAsia="宋体" w:hint="default"/>
                <w:sz w:val="21"/>
                <w:szCs w:val="21"/>
              </w:rPr>
              <w:t>初</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25320</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37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召开第八届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董事会第四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十次会议，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决定撤回本</w:t>
            </w:r>
          </w:p>
          <w:p>
            <w:pPr>
              <w:pStyle w:val="TableParagraph"/>
              <w:spacing w:line="274" w:lineRule="exact" w:before="22"/>
              <w:ind w:left="103" w:right="29"/>
              <w:jc w:val="both"/>
              <w:rPr>
                <w:rFonts w:ascii="宋体" w:hAnsi="宋体" w:cs="宋体" w:eastAsia="宋体" w:hint="default"/>
                <w:sz w:val="21"/>
                <w:szCs w:val="21"/>
              </w:rPr>
            </w:pPr>
            <w:r>
              <w:rPr>
                <w:rFonts w:ascii="宋体" w:hAnsi="宋体" w:cs="宋体" w:eastAsia="宋体" w:hint="default"/>
                <w:spacing w:val="51"/>
                <w:sz w:val="21"/>
                <w:szCs w:val="21"/>
              </w:rPr>
              <w:t>次起诉；</w:t>
            </w:r>
            <w:r>
              <w:rPr>
                <w:rFonts w:ascii="宋体" w:hAnsi="宋体" w:cs="宋体" w:eastAsia="宋体" w:hint="default"/>
                <w:spacing w:val="-9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2" w:lineRule="exact"/>
              <w:ind w:left="103" w:right="99"/>
              <w:jc w:val="both"/>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49"/>
                <w:sz w:val="21"/>
                <w:szCs w:val="21"/>
              </w:rPr>
              <w:t> </w:t>
            </w:r>
            <w:r>
              <w:rPr>
                <w:rFonts w:ascii="宋体" w:hAnsi="宋体" w:cs="宋体" w:eastAsia="宋体" w:hint="default"/>
                <w:spacing w:val="-14"/>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公告收到广</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东省深圳市</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0" w:right="254"/>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已撤诉</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81"/>
        <w:gridCol w:w="852"/>
        <w:gridCol w:w="487"/>
        <w:gridCol w:w="488"/>
        <w:gridCol w:w="1582"/>
        <w:gridCol w:w="1371"/>
        <w:gridCol w:w="578"/>
        <w:gridCol w:w="1268"/>
        <w:gridCol w:w="578"/>
        <w:gridCol w:w="1265"/>
      </w:tblGrid>
      <w:tr>
        <w:trPr>
          <w:trHeight w:val="300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福田区人民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法院作出的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同意公司撤</w:t>
            </w:r>
          </w:p>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回起诉的</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《民事裁定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书》《民事</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裁定书》</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粤 </w:t>
            </w:r>
            <w:r>
              <w:rPr>
                <w:rFonts w:ascii="宋体" w:hAnsi="宋体" w:cs="宋体" w:eastAsia="宋体" w:hint="default"/>
                <w:sz w:val="21"/>
                <w:szCs w:val="21"/>
              </w:rPr>
              <w:t>0304</w:t>
            </w:r>
            <w:r>
              <w:rPr>
                <w:rFonts w:ascii="宋体" w:hAnsi="宋体" w:cs="宋体" w:eastAsia="宋体" w:hint="default"/>
                <w:spacing w:val="1"/>
                <w:sz w:val="21"/>
                <w:szCs w:val="21"/>
              </w:rPr>
              <w:t> </w:t>
            </w:r>
            <w:r>
              <w:rPr>
                <w:rFonts w:ascii="宋体" w:hAnsi="宋体" w:cs="宋体" w:eastAsia="宋体" w:hint="default"/>
                <w:sz w:val="21"/>
                <w:szCs w:val="21"/>
              </w:rPr>
              <w:t>民</w:t>
            </w:r>
          </w:p>
          <w:p>
            <w:pPr>
              <w:pStyle w:val="TableParagraph"/>
              <w:tabs>
                <w:tab w:pos="628" w:val="left" w:leader="none"/>
              </w:tabs>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初</w:t>
              <w:tab/>
            </w:r>
            <w:r>
              <w:rPr>
                <w:rFonts w:ascii="宋体" w:hAnsi="宋体" w:cs="宋体" w:eastAsia="宋体" w:hint="default"/>
                <w:sz w:val="21"/>
                <w:szCs w:val="21"/>
              </w:rPr>
              <w:t>25320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5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before="1"/>
              <w:ind w:left="103" w:right="254"/>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深圳市</w:t>
            </w:r>
            <w:r>
              <w:rPr>
                <w:rFonts w:ascii="宋体" w:hAnsi="宋体" w:cs="宋体" w:eastAsia="宋体" w:hint="default"/>
                <w:sz w:val="21"/>
                <w:szCs w:val="21"/>
              </w:rPr>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2"/>
                <w:sz w:val="21"/>
                <w:szCs w:val="21"/>
              </w:rPr>
              <w:t>瑞莱嘉</w:t>
            </w:r>
            <w:r>
              <w:rPr>
                <w:rFonts w:ascii="宋体" w:hAnsi="宋体" w:cs="宋体" w:eastAsia="宋体" w:hint="default"/>
                <w:spacing w:val="-102"/>
                <w:sz w:val="21"/>
                <w:szCs w:val="21"/>
              </w:rPr>
              <w:t> </w:t>
            </w:r>
            <w:r>
              <w:rPr>
                <w:rFonts w:ascii="宋体" w:hAnsi="宋体" w:cs="宋体" w:eastAsia="宋体" w:hint="default"/>
                <w:spacing w:val="2"/>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 </w:t>
            </w:r>
            <w:r>
              <w:rPr>
                <w:rFonts w:ascii="宋体" w:hAnsi="宋体" w:cs="宋体" w:eastAsia="宋体" w:hint="default"/>
                <w:spacing w:val="8"/>
                <w:sz w:val="21"/>
                <w:szCs w:val="21"/>
              </w:rPr>
              <w:t> </w:t>
            </w:r>
            <w:r>
              <w:rPr>
                <w:rFonts w:ascii="宋体" w:hAnsi="宋体" w:cs="宋体" w:eastAsia="宋体" w:hint="default"/>
                <w:sz w:val="21"/>
                <w:szCs w:val="21"/>
              </w:rPr>
              <w:t>业</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2"/>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1"/>
              <w:ind w:left="103" w:right="161"/>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纠</w:t>
            </w:r>
            <w:r>
              <w:rPr>
                <w:rFonts w:ascii="宋体" w:hAnsi="宋体" w:cs="宋体" w:eastAsia="宋体" w:hint="default"/>
                <w:w w:val="100"/>
                <w:sz w:val="21"/>
                <w:szCs w:val="21"/>
              </w:rPr>
              <w:t> </w:t>
            </w:r>
            <w:r>
              <w:rPr>
                <w:rFonts w:ascii="宋体" w:hAnsi="宋体" w:cs="宋体" w:eastAsia="宋体" w:hint="default"/>
                <w:sz w:val="21"/>
                <w:szCs w:val="21"/>
              </w:rPr>
              <w:t>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6</w:t>
            </w:r>
            <w:r>
              <w:rPr>
                <w:rFonts w:ascii="宋体" w:hAnsi="宋体" w:cs="宋体" w:eastAsia="宋体" w:hint="default"/>
                <w:spacing w:val="-35"/>
                <w:sz w:val="21"/>
                <w:szCs w:val="21"/>
              </w:rPr>
              <w:t> </w:t>
            </w:r>
            <w:r>
              <w:rPr>
                <w:rFonts w:ascii="宋体" w:hAnsi="宋体" w:cs="宋体" w:eastAsia="宋体" w:hint="default"/>
                <w:sz w:val="21"/>
                <w:szCs w:val="21"/>
              </w:rPr>
              <w:t>日收到</w:t>
            </w:r>
            <w:r>
              <w:rPr>
                <w:rFonts w:ascii="宋体" w:hAnsi="宋体" w:cs="宋体" w:eastAsia="宋体" w:hint="default"/>
                <w:w w:val="100"/>
                <w:sz w:val="21"/>
                <w:szCs w:val="21"/>
              </w:rPr>
              <w:t> </w:t>
            </w:r>
            <w:r>
              <w:rPr>
                <w:rFonts w:ascii="宋体" w:hAnsi="宋体" w:cs="宋体" w:eastAsia="宋体" w:hint="default"/>
                <w:spacing w:val="15"/>
                <w:sz w:val="21"/>
                <w:szCs w:val="21"/>
              </w:rPr>
              <w:t>了广东省深圳</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市福田区人民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法院送达受理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案</w:t>
            </w:r>
            <w:r>
              <w:rPr>
                <w:rFonts w:ascii="宋体" w:hAnsi="宋体" w:cs="宋体" w:eastAsia="宋体" w:hint="default"/>
                <w:spacing w:val="-25"/>
                <w:sz w:val="21"/>
                <w:szCs w:val="21"/>
              </w:rPr>
              <w:t> </w:t>
            </w:r>
            <w:r>
              <w:rPr>
                <w:rFonts w:ascii="宋体" w:hAnsi="宋体" w:cs="宋体" w:eastAsia="宋体" w:hint="default"/>
                <w:sz w:val="21"/>
                <w:szCs w:val="21"/>
              </w:rPr>
              <w:t>件</w:t>
            </w:r>
            <w:r>
              <w:rPr>
                <w:rFonts w:ascii="宋体" w:hAnsi="宋体" w:cs="宋体" w:eastAsia="宋体" w:hint="default"/>
                <w:spacing w:val="-28"/>
                <w:sz w:val="21"/>
                <w:szCs w:val="21"/>
              </w:rPr>
              <w:t> </w:t>
            </w:r>
            <w:r>
              <w:rPr>
                <w:rFonts w:ascii="宋体" w:hAnsi="宋体" w:cs="宋体" w:eastAsia="宋体" w:hint="default"/>
                <w:sz w:val="21"/>
                <w:szCs w:val="21"/>
              </w:rPr>
              <w:t>通</w:t>
            </w:r>
            <w:r>
              <w:rPr>
                <w:rFonts w:ascii="宋体" w:hAnsi="宋体" w:cs="宋体" w:eastAsia="宋体" w:hint="default"/>
                <w:spacing w:val="-28"/>
                <w:sz w:val="21"/>
                <w:szCs w:val="21"/>
              </w:rPr>
              <w:t> </w:t>
            </w:r>
            <w:r>
              <w:rPr>
                <w:rFonts w:ascii="宋体" w:hAnsi="宋体" w:cs="宋体" w:eastAsia="宋体" w:hint="default"/>
                <w:sz w:val="21"/>
                <w:szCs w:val="21"/>
              </w:rPr>
              <w:t>知</w:t>
            </w:r>
            <w:r>
              <w:rPr>
                <w:rFonts w:ascii="宋体" w:hAnsi="宋体" w:cs="宋体" w:eastAsia="宋体" w:hint="default"/>
                <w:spacing w:val="-25"/>
                <w:sz w:val="21"/>
                <w:szCs w:val="21"/>
              </w:rPr>
              <w:t> </w:t>
            </w:r>
            <w:r>
              <w:rPr>
                <w:rFonts w:ascii="宋体" w:hAnsi="宋体" w:cs="宋体" w:eastAsia="宋体" w:hint="default"/>
                <w:sz w:val="21"/>
                <w:szCs w:val="21"/>
              </w:rPr>
              <w:t>书</w:t>
            </w:r>
          </w:p>
          <w:p>
            <w:pPr>
              <w:pStyle w:val="TableParagraph"/>
              <w:spacing w:line="272" w:lineRule="exact" w:before="26"/>
              <w:ind w:left="103" w:right="72"/>
              <w:jc w:val="both"/>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2016</w:t>
            </w:r>
            <w:r>
              <w:rPr>
                <w:rFonts w:ascii="宋体" w:hAnsi="宋体" w:cs="宋体" w:eastAsia="宋体" w:hint="default"/>
                <w:spacing w:val="-80"/>
                <w:sz w:val="21"/>
                <w:szCs w:val="21"/>
              </w:rPr>
              <w:t> </w:t>
            </w:r>
            <w:r>
              <w:rPr>
                <w:rFonts w:ascii="宋体" w:hAnsi="宋体" w:cs="宋体" w:eastAsia="宋体" w:hint="default"/>
                <w:spacing w:val="12"/>
                <w:sz w:val="21"/>
                <w:szCs w:val="21"/>
              </w:rPr>
              <w:t>】粤</w:t>
            </w:r>
            <w:r>
              <w:rPr>
                <w:rFonts w:ascii="宋体" w:hAnsi="宋体" w:cs="宋体" w:eastAsia="宋体" w:hint="default"/>
                <w:spacing w:val="-102"/>
                <w:sz w:val="21"/>
                <w:szCs w:val="21"/>
              </w:rPr>
              <w:t> </w:t>
            </w:r>
            <w:r>
              <w:rPr>
                <w:rFonts w:ascii="宋体" w:hAnsi="宋体" w:cs="宋体" w:eastAsia="宋体" w:hint="default"/>
                <w:sz w:val="21"/>
                <w:szCs w:val="21"/>
              </w:rPr>
              <w:t>0304   </w:t>
            </w:r>
            <w:r>
              <w:rPr>
                <w:rFonts w:ascii="宋体" w:hAnsi="宋体" w:cs="宋体" w:eastAsia="宋体" w:hint="default"/>
                <w:sz w:val="21"/>
                <w:szCs w:val="21"/>
              </w:rPr>
              <w:t>民 </w:t>
            </w:r>
            <w:r>
              <w:rPr>
                <w:rFonts w:ascii="宋体" w:hAnsi="宋体" w:cs="宋体" w:eastAsia="宋体" w:hint="default"/>
                <w:spacing w:val="2"/>
                <w:sz w:val="21"/>
                <w:szCs w:val="21"/>
              </w:rPr>
              <w:t> </w:t>
            </w:r>
            <w:r>
              <w:rPr>
                <w:rFonts w:ascii="宋体" w:hAnsi="宋体" w:cs="宋体" w:eastAsia="宋体" w:hint="default"/>
                <w:sz w:val="21"/>
                <w:szCs w:val="21"/>
              </w:rPr>
              <w:t>初</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25359</w:t>
            </w:r>
            <w:r>
              <w:rPr>
                <w:rFonts w:ascii="宋体" w:hAnsi="宋体" w:cs="宋体" w:eastAsia="宋体" w:hint="default"/>
                <w:spacing w:val="1"/>
                <w:sz w:val="21"/>
                <w:szCs w:val="21"/>
              </w:rPr>
              <w:t> </w:t>
            </w:r>
            <w:r>
              <w:rPr>
                <w:rFonts w:ascii="宋体" w:hAnsi="宋体" w:cs="宋体" w:eastAsia="宋体" w:hint="default"/>
                <w:sz w:val="21"/>
                <w:szCs w:val="21"/>
              </w:rPr>
              <w:t>号）。</w:t>
            </w:r>
          </w:p>
        </w:tc>
        <w:tc>
          <w:tcPr>
            <w:tcW w:w="137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召开第八届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董事会第四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十次会议，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决定撤回本</w:t>
            </w:r>
          </w:p>
          <w:p>
            <w:pPr>
              <w:pStyle w:val="TableParagraph"/>
              <w:spacing w:line="272" w:lineRule="exact" w:before="26"/>
              <w:ind w:left="103" w:right="29"/>
              <w:jc w:val="left"/>
              <w:rPr>
                <w:rFonts w:ascii="宋体" w:hAnsi="宋体" w:cs="宋体" w:eastAsia="宋体" w:hint="default"/>
                <w:sz w:val="21"/>
                <w:szCs w:val="21"/>
              </w:rPr>
            </w:pPr>
            <w:r>
              <w:rPr>
                <w:rFonts w:ascii="宋体" w:hAnsi="宋体" w:cs="宋体" w:eastAsia="宋体" w:hint="default"/>
                <w:spacing w:val="51"/>
                <w:sz w:val="21"/>
                <w:szCs w:val="21"/>
              </w:rPr>
              <w:t>次起诉；</w:t>
            </w:r>
            <w:r>
              <w:rPr>
                <w:rFonts w:ascii="宋体" w:hAnsi="宋体" w:cs="宋体" w:eastAsia="宋体" w:hint="default"/>
                <w:spacing w:val="-9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49"/>
                <w:sz w:val="21"/>
                <w:szCs w:val="21"/>
              </w:rPr>
              <w:t> </w:t>
            </w:r>
            <w:r>
              <w:rPr>
                <w:rFonts w:ascii="宋体" w:hAnsi="宋体" w:cs="宋体" w:eastAsia="宋体" w:hint="default"/>
                <w:spacing w:val="-14"/>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公告收到广</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z w:val="21"/>
                <w:szCs w:val="21"/>
              </w:rPr>
              <w:t>东省深圳市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福田区人民</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z w:val="21"/>
                <w:szCs w:val="21"/>
              </w:rPr>
              <w:t>法院作出的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同意公司撤</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回起诉的</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《民事裁定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6"/>
                <w:w w:val="100"/>
                <w:sz w:val="21"/>
                <w:szCs w:val="21"/>
              </w:rPr>
              <w:t>书》（【</w:t>
            </w:r>
            <w:r>
              <w:rPr>
                <w:rFonts w:ascii="宋体" w:hAnsi="宋体" w:cs="宋体" w:eastAsia="宋体" w:hint="default"/>
                <w:spacing w:val="-36"/>
                <w:w w:val="100"/>
                <w:sz w:val="21"/>
                <w:szCs w:val="21"/>
              </w:rPr>
              <w:t>2016</w:t>
            </w:r>
            <w:r>
              <w:rPr>
                <w:rFonts w:ascii="宋体" w:hAnsi="宋体" w:cs="宋体" w:eastAsia="宋体" w:hint="default"/>
                <w:spacing w:val="-36"/>
                <w:w w:val="100"/>
                <w:sz w:val="21"/>
                <w:szCs w:val="21"/>
              </w:rPr>
              <w:t>】</w:t>
            </w:r>
            <w:r>
              <w:rPr>
                <w:rFonts w:ascii="宋体" w:hAnsi="宋体" w:cs="宋体" w:eastAsia="宋体" w:hint="default"/>
                <w:spacing w:val="-103"/>
                <w:w w:val="100"/>
                <w:sz w:val="21"/>
                <w:szCs w:val="21"/>
              </w:rPr>
              <w:t> </w:t>
            </w:r>
            <w:r>
              <w:rPr>
                <w:rFonts w:ascii="宋体" w:hAnsi="宋体" w:cs="宋体" w:eastAsia="宋体" w:hint="default"/>
                <w:sz w:val="21"/>
                <w:szCs w:val="21"/>
              </w:rPr>
              <w:t>粤 </w:t>
            </w:r>
            <w:r>
              <w:rPr>
                <w:rFonts w:ascii="宋体" w:hAnsi="宋体" w:cs="宋体" w:eastAsia="宋体" w:hint="default"/>
                <w:sz w:val="21"/>
                <w:szCs w:val="21"/>
              </w:rPr>
              <w:t>0304</w:t>
            </w:r>
            <w:r>
              <w:rPr>
                <w:rFonts w:ascii="宋体" w:hAnsi="宋体" w:cs="宋体" w:eastAsia="宋体" w:hint="default"/>
                <w:spacing w:val="1"/>
                <w:sz w:val="21"/>
                <w:szCs w:val="21"/>
              </w:rPr>
              <w:t> </w:t>
            </w:r>
            <w:r>
              <w:rPr>
                <w:rFonts w:ascii="宋体" w:hAnsi="宋体" w:cs="宋体" w:eastAsia="宋体" w:hint="default"/>
                <w:sz w:val="21"/>
                <w:szCs w:val="21"/>
              </w:rPr>
              <w:t>民</w:t>
            </w:r>
          </w:p>
          <w:p>
            <w:pPr>
              <w:pStyle w:val="TableParagraph"/>
              <w:tabs>
                <w:tab w:pos="631"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初</w:t>
              <w:tab/>
            </w:r>
            <w:r>
              <w:rPr>
                <w:rFonts w:ascii="宋体" w:hAnsi="宋体" w:cs="宋体" w:eastAsia="宋体" w:hint="default"/>
                <w:sz w:val="21"/>
                <w:szCs w:val="21"/>
              </w:rPr>
              <w:t>25359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0" w:right="254"/>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已撤诉</w:t>
            </w:r>
          </w:p>
        </w:tc>
      </w:tr>
      <w:tr>
        <w:trPr>
          <w:trHeight w:val="5185"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ind w:left="103" w:right="254"/>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深圳市</w:t>
            </w:r>
            <w:r>
              <w:rPr>
                <w:rFonts w:ascii="宋体" w:hAnsi="宋体" w:cs="宋体" w:eastAsia="宋体" w:hint="default"/>
                <w:sz w:val="21"/>
                <w:szCs w:val="21"/>
              </w:rPr>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2"/>
                <w:sz w:val="21"/>
                <w:szCs w:val="21"/>
              </w:rPr>
              <w:t>瑞莱嘉</w:t>
            </w:r>
            <w:r>
              <w:rPr>
                <w:rFonts w:ascii="宋体" w:hAnsi="宋体" w:cs="宋体" w:eastAsia="宋体" w:hint="default"/>
                <w:spacing w:val="-102"/>
                <w:sz w:val="21"/>
                <w:szCs w:val="21"/>
              </w:rPr>
              <w:t> </w:t>
            </w:r>
            <w:r>
              <w:rPr>
                <w:rFonts w:ascii="宋体" w:hAnsi="宋体" w:cs="宋体" w:eastAsia="宋体" w:hint="default"/>
                <w:spacing w:val="2"/>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 </w:t>
            </w:r>
            <w:r>
              <w:rPr>
                <w:rFonts w:ascii="宋体" w:hAnsi="宋体" w:cs="宋体" w:eastAsia="宋体" w:hint="default"/>
                <w:spacing w:val="8"/>
                <w:sz w:val="21"/>
                <w:szCs w:val="21"/>
              </w:rPr>
              <w:t> </w:t>
            </w:r>
            <w:r>
              <w:rPr>
                <w:rFonts w:ascii="宋体" w:hAnsi="宋体" w:cs="宋体" w:eastAsia="宋体" w:hint="default"/>
                <w:sz w:val="21"/>
                <w:szCs w:val="21"/>
              </w:rPr>
              <w:t>业</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2"/>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损</w:t>
            </w:r>
          </w:p>
          <w:p>
            <w:pPr>
              <w:pStyle w:val="TableParagraph"/>
              <w:spacing w:line="237" w:lineRule="auto"/>
              <w:ind w:left="103" w:right="161"/>
              <w:jc w:val="both"/>
              <w:rPr>
                <w:rFonts w:ascii="宋体" w:hAnsi="宋体" w:cs="宋体" w:eastAsia="宋体" w:hint="default"/>
                <w:sz w:val="21"/>
                <w:szCs w:val="21"/>
              </w:rPr>
            </w:pPr>
            <w:r>
              <w:rPr>
                <w:rFonts w:ascii="宋体" w:hAnsi="宋体" w:cs="宋体" w:eastAsia="宋体" w:hint="default"/>
                <w:sz w:val="21"/>
                <w:szCs w:val="21"/>
              </w:rPr>
              <w:t>害</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纠</w:t>
            </w:r>
            <w:r>
              <w:rPr>
                <w:rFonts w:ascii="宋体" w:hAnsi="宋体" w:cs="宋体" w:eastAsia="宋体" w:hint="default"/>
                <w:w w:val="100"/>
                <w:sz w:val="21"/>
                <w:szCs w:val="21"/>
              </w:rPr>
              <w:t> </w:t>
            </w:r>
            <w:r>
              <w:rPr>
                <w:rFonts w:ascii="宋体" w:hAnsi="宋体" w:cs="宋体" w:eastAsia="宋体" w:hint="default"/>
                <w:sz w:val="21"/>
                <w:szCs w:val="21"/>
              </w:rPr>
              <w:t>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tabs>
                <w:tab w:pos="578" w:val="left" w:leader="none"/>
              </w:tabs>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17 </w:t>
            </w:r>
            <w:r>
              <w:rPr>
                <w:rFonts w:ascii="宋体" w:hAnsi="宋体" w:cs="宋体" w:eastAsia="宋体" w:hint="default"/>
                <w:sz w:val="21"/>
                <w:szCs w:val="21"/>
              </w:rPr>
              <w:t>日公</w:t>
            </w:r>
            <w:r>
              <w:rPr>
                <w:rFonts w:ascii="宋体" w:hAnsi="宋体" w:cs="宋体" w:eastAsia="宋体" w:hint="default"/>
                <w:w w:val="100"/>
                <w:sz w:val="21"/>
                <w:szCs w:val="21"/>
              </w:rPr>
              <w:t> </w:t>
            </w:r>
            <w:r>
              <w:rPr>
                <w:rFonts w:ascii="宋体" w:hAnsi="宋体" w:cs="宋体" w:eastAsia="宋体" w:hint="default"/>
                <w:spacing w:val="-16"/>
                <w:w w:val="100"/>
                <w:sz w:val="21"/>
                <w:szCs w:val="21"/>
              </w:rPr>
              <w:t>告，公司因与瑞</w:t>
            </w:r>
            <w:r>
              <w:rPr>
                <w:rFonts w:ascii="宋体" w:hAnsi="宋体" w:cs="宋体" w:eastAsia="宋体" w:hint="default"/>
                <w:w w:val="100"/>
                <w:sz w:val="21"/>
                <w:szCs w:val="21"/>
              </w:rPr>
              <w:t> </w:t>
            </w:r>
            <w:r>
              <w:rPr>
                <w:rFonts w:ascii="宋体" w:hAnsi="宋体" w:cs="宋体" w:eastAsia="宋体" w:hint="default"/>
                <w:spacing w:val="15"/>
                <w:sz w:val="21"/>
                <w:szCs w:val="21"/>
              </w:rPr>
              <w:t>莱嘉誉损害公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司利益责任纠</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纷一案，向广东</w:t>
            </w:r>
            <w:r>
              <w:rPr>
                <w:rFonts w:ascii="宋体" w:hAnsi="宋体" w:cs="宋体" w:eastAsia="宋体" w:hint="default"/>
                <w:w w:val="100"/>
                <w:sz w:val="21"/>
                <w:szCs w:val="21"/>
              </w:rPr>
              <w:t> </w:t>
            </w:r>
            <w:r>
              <w:rPr>
                <w:rFonts w:ascii="宋体" w:hAnsi="宋体" w:cs="宋体" w:eastAsia="宋体" w:hint="default"/>
                <w:spacing w:val="15"/>
                <w:sz w:val="21"/>
                <w:szCs w:val="21"/>
              </w:rPr>
              <w:t>省深圳市中级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人民法院递交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了民事起诉状，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sz w:val="21"/>
                <w:szCs w:val="21"/>
              </w:rPr>
              <w:t>公司收到了广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东省深圳市中</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级人民法院送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达的受理案件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2"/>
                <w:w w:val="100"/>
                <w:sz w:val="21"/>
                <w:szCs w:val="21"/>
              </w:rPr>
              <w:t>通知书（【</w:t>
            </w:r>
            <w:r>
              <w:rPr>
                <w:rFonts w:ascii="宋体" w:hAnsi="宋体" w:cs="宋体" w:eastAsia="宋体" w:hint="default"/>
                <w:spacing w:val="-22"/>
                <w:w w:val="100"/>
                <w:sz w:val="21"/>
                <w:szCs w:val="21"/>
              </w:rPr>
              <w:t>2016</w:t>
            </w:r>
            <w:r>
              <w:rPr>
                <w:rFonts w:ascii="宋体" w:hAnsi="宋体" w:cs="宋体" w:eastAsia="宋体" w:hint="default"/>
                <w:spacing w:val="-22"/>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粤</w:t>
              <w:tab/>
            </w:r>
            <w:r>
              <w:rPr>
                <w:rFonts w:ascii="宋体" w:hAnsi="宋体" w:cs="宋体" w:eastAsia="宋体" w:hint="default"/>
                <w:sz w:val="21"/>
                <w:szCs w:val="21"/>
              </w:rPr>
              <w:t>03</w:t>
            </w:r>
            <w:r>
              <w:rPr>
                <w:rFonts w:ascii="宋体" w:hAnsi="宋体" w:cs="宋体" w:eastAsia="宋体" w:hint="default"/>
                <w:spacing w:val="78"/>
                <w:sz w:val="21"/>
                <w:szCs w:val="21"/>
              </w:rPr>
              <w:t> </w:t>
            </w:r>
            <w:r>
              <w:rPr>
                <w:rFonts w:ascii="宋体" w:hAnsi="宋体" w:cs="宋体" w:eastAsia="宋体" w:hint="default"/>
                <w:spacing w:val="39"/>
                <w:sz w:val="21"/>
                <w:szCs w:val="21"/>
              </w:rPr>
              <w:t>民初</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2831</w:t>
            </w:r>
            <w:r>
              <w:rPr>
                <w:rFonts w:ascii="宋体" w:hAnsi="宋体" w:cs="宋体" w:eastAsia="宋体" w:hint="default"/>
                <w:spacing w:val="1"/>
                <w:sz w:val="21"/>
                <w:szCs w:val="21"/>
              </w:rPr>
              <w:t> </w:t>
            </w:r>
            <w:r>
              <w:rPr>
                <w:rFonts w:ascii="宋体" w:hAnsi="宋体" w:cs="宋体" w:eastAsia="宋体" w:hint="default"/>
                <w:sz w:val="21"/>
                <w:szCs w:val="21"/>
              </w:rPr>
              <w:t>号），公</w:t>
            </w:r>
            <w:r>
              <w:rPr>
                <w:rFonts w:ascii="宋体" w:hAnsi="宋体" w:cs="宋体" w:eastAsia="宋体" w:hint="default"/>
                <w:w w:val="100"/>
                <w:sz w:val="21"/>
                <w:szCs w:val="21"/>
              </w:rPr>
              <w:t> </w:t>
            </w:r>
            <w:r>
              <w:rPr>
                <w:rFonts w:ascii="宋体" w:hAnsi="宋体" w:cs="宋体" w:eastAsia="宋体" w:hint="default"/>
                <w:spacing w:val="15"/>
                <w:sz w:val="21"/>
                <w:szCs w:val="21"/>
              </w:rPr>
              <w:t>司请求判令瑞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莱嘉誉停止侵</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权行为、判令瑞</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28797.1652</w:t>
            </w:r>
          </w:p>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万</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  司 </w:t>
            </w:r>
            <w:r>
              <w:rPr>
                <w:rFonts w:ascii="宋体" w:hAnsi="宋体" w:cs="宋体" w:eastAsia="宋体" w:hint="default"/>
                <w:spacing w:val="2"/>
                <w:sz w:val="21"/>
                <w:szCs w:val="21"/>
              </w:rPr>
              <w:t> </w:t>
            </w:r>
            <w:r>
              <w:rPr>
                <w:rFonts w:ascii="宋体" w:hAnsi="宋体" w:cs="宋体" w:eastAsia="宋体" w:hint="default"/>
                <w:sz w:val="21"/>
                <w:szCs w:val="21"/>
              </w:rPr>
              <w:t>于</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12</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日公</w:t>
            </w:r>
            <w:r>
              <w:rPr>
                <w:rFonts w:ascii="宋体" w:hAnsi="宋体" w:cs="宋体" w:eastAsia="宋体" w:hint="default"/>
                <w:w w:val="100"/>
                <w:sz w:val="21"/>
                <w:szCs w:val="21"/>
              </w:rPr>
              <w:t> </w:t>
            </w:r>
            <w:r>
              <w:rPr>
                <w:rFonts w:ascii="宋体" w:hAnsi="宋体" w:cs="宋体" w:eastAsia="宋体" w:hint="default"/>
                <w:sz w:val="21"/>
                <w:szCs w:val="21"/>
              </w:rPr>
              <w:t>告收到了广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东省深圳市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中级人民法</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51"/>
                <w:sz w:val="21"/>
                <w:szCs w:val="21"/>
              </w:rPr>
              <w:t>院作出的</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《民事裁定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书》，裁定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对瑞莱嘉誉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价值人民币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287971652</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元的财产采</w:t>
            </w:r>
          </w:p>
          <w:p>
            <w:pPr>
              <w:pStyle w:val="TableParagraph"/>
              <w:spacing w:line="237" w:lineRule="auto" w:before="2"/>
              <w:ind w:left="103" w:right="29"/>
              <w:jc w:val="left"/>
              <w:rPr>
                <w:rFonts w:ascii="宋体" w:hAnsi="宋体" w:cs="宋体" w:eastAsia="宋体" w:hint="default"/>
                <w:sz w:val="21"/>
                <w:szCs w:val="21"/>
              </w:rPr>
            </w:pPr>
            <w:r>
              <w:rPr>
                <w:rFonts w:ascii="宋体" w:hAnsi="宋体" w:cs="宋体" w:eastAsia="宋体" w:hint="default"/>
                <w:spacing w:val="51"/>
                <w:sz w:val="21"/>
                <w:szCs w:val="21"/>
              </w:rPr>
              <w:t>取保全措</w:t>
            </w:r>
            <w:r>
              <w:rPr>
                <w:rFonts w:ascii="宋体" w:hAnsi="宋体" w:cs="宋体" w:eastAsia="宋体" w:hint="default"/>
                <w:spacing w:val="-98"/>
                <w:sz w:val="21"/>
                <w:szCs w:val="21"/>
              </w:rPr>
              <w:t> </w:t>
            </w:r>
            <w:r>
              <w:rPr>
                <w:rFonts w:ascii="宋体" w:hAnsi="宋体" w:cs="宋体" w:eastAsia="宋体" w:hint="default"/>
                <w:spacing w:val="-10"/>
                <w:sz w:val="21"/>
                <w:szCs w:val="21"/>
              </w:rPr>
              <w:t>施；</w:t>
            </w:r>
            <w:r>
              <w:rPr>
                <w:rFonts w:ascii="宋体" w:hAnsi="宋体" w:cs="宋体" w:eastAsia="宋体" w:hint="default"/>
                <w:spacing w:val="-10"/>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99"/>
                <w:sz w:val="21"/>
                <w:szCs w:val="21"/>
              </w:rPr>
              <w:t> </w:t>
            </w:r>
            <w:r>
              <w:rPr>
                <w:rFonts w:ascii="宋体" w:hAnsi="宋体" w:cs="宋体" w:eastAsia="宋体" w:hint="default"/>
                <w:sz w:val="21"/>
                <w:szCs w:val="21"/>
              </w:rPr>
              <w:t>1</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9</w:t>
            </w:r>
            <w:r>
              <w:rPr>
                <w:rFonts w:ascii="宋体" w:hAnsi="宋体" w:cs="宋体" w:eastAsia="宋体" w:hint="default"/>
                <w:spacing w:val="-3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公司召开第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八届董事会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第四十次会</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0" w:right="254"/>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已撤诉</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81"/>
        <w:gridCol w:w="852"/>
        <w:gridCol w:w="487"/>
        <w:gridCol w:w="488"/>
        <w:gridCol w:w="1582"/>
        <w:gridCol w:w="1371"/>
        <w:gridCol w:w="578"/>
        <w:gridCol w:w="1268"/>
        <w:gridCol w:w="578"/>
        <w:gridCol w:w="1265"/>
      </w:tblGrid>
      <w:tr>
        <w:trPr>
          <w:trHeight w:val="3824" w:hRule="exact"/>
        </w:trPr>
        <w:tc>
          <w:tcPr>
            <w:tcW w:w="5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莱嘉誉赔偿公</w:t>
            </w:r>
          </w:p>
          <w:p>
            <w:pPr>
              <w:pStyle w:val="TableParagraph"/>
              <w:tabs>
                <w:tab w:pos="1259"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司市值损失人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民</w:t>
              <w:tab/>
              <w:t>币</w:t>
            </w:r>
          </w:p>
          <w:p>
            <w:pPr>
              <w:pStyle w:val="TableParagraph"/>
              <w:spacing w:line="269" w:lineRule="exact"/>
              <w:ind w:left="103" w:right="0"/>
              <w:jc w:val="left"/>
              <w:rPr>
                <w:rFonts w:ascii="宋体" w:hAnsi="宋体" w:cs="宋体" w:eastAsia="宋体" w:hint="default"/>
                <w:sz w:val="21"/>
                <w:szCs w:val="21"/>
              </w:rPr>
            </w:pPr>
            <w:r>
              <w:rPr>
                <w:rFonts w:ascii="宋体"/>
                <w:sz w:val="21"/>
              </w:rPr>
              <w:t>28,797.1652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7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议，决定撤</w:t>
            </w:r>
          </w:p>
          <w:p>
            <w:pPr>
              <w:pStyle w:val="TableParagraph"/>
              <w:spacing w:line="237" w:lineRule="auto"/>
              <w:ind w:left="103" w:right="29"/>
              <w:jc w:val="left"/>
              <w:rPr>
                <w:rFonts w:ascii="宋体" w:hAnsi="宋体" w:cs="宋体" w:eastAsia="宋体" w:hint="default"/>
                <w:sz w:val="21"/>
                <w:szCs w:val="21"/>
              </w:rPr>
            </w:pPr>
            <w:r>
              <w:rPr>
                <w:rFonts w:ascii="宋体" w:hAnsi="宋体" w:cs="宋体" w:eastAsia="宋体" w:hint="default"/>
                <w:spacing w:val="51"/>
                <w:sz w:val="21"/>
                <w:szCs w:val="21"/>
              </w:rPr>
              <w:t>回本次起</w:t>
            </w:r>
            <w:r>
              <w:rPr>
                <w:rFonts w:ascii="宋体" w:hAnsi="宋体" w:cs="宋体" w:eastAsia="宋体" w:hint="default"/>
                <w:spacing w:val="-98"/>
                <w:sz w:val="21"/>
                <w:szCs w:val="21"/>
              </w:rPr>
              <w:t> </w:t>
            </w:r>
            <w:r>
              <w:rPr>
                <w:rFonts w:ascii="宋体" w:hAnsi="宋体" w:cs="宋体" w:eastAsia="宋体" w:hint="default"/>
                <w:spacing w:val="-10"/>
                <w:sz w:val="21"/>
                <w:szCs w:val="21"/>
              </w:rPr>
              <w:t>诉；</w:t>
            </w:r>
            <w:r>
              <w:rPr>
                <w:rFonts w:ascii="宋体" w:hAnsi="宋体" w:cs="宋体" w:eastAsia="宋体" w:hint="default"/>
                <w:spacing w:val="-10"/>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99"/>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广东省深圳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市中级人民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法院依据公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司的申请，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裁定同意公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司撤回起诉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并解除对瑞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莱嘉誉的财</w:t>
            </w:r>
          </w:p>
          <w:p>
            <w:pPr>
              <w:pStyle w:val="TableParagraph"/>
              <w:spacing w:line="274" w:lineRule="exact" w:before="23"/>
              <w:ind w:left="103" w:right="29"/>
              <w:jc w:val="left"/>
              <w:rPr>
                <w:rFonts w:ascii="宋体" w:hAnsi="宋体" w:cs="宋体" w:eastAsia="宋体" w:hint="default"/>
                <w:sz w:val="21"/>
                <w:szCs w:val="21"/>
              </w:rPr>
            </w:pPr>
            <w:r>
              <w:rPr>
                <w:rFonts w:ascii="宋体" w:hAnsi="宋体" w:cs="宋体" w:eastAsia="宋体" w:hint="default"/>
                <w:spacing w:val="51"/>
                <w:sz w:val="21"/>
                <w:szCs w:val="21"/>
              </w:rPr>
              <w:t>产保全措</w:t>
            </w:r>
            <w:r>
              <w:rPr>
                <w:rFonts w:ascii="宋体" w:hAnsi="宋体" w:cs="宋体" w:eastAsia="宋体" w:hint="default"/>
                <w:spacing w:val="-98"/>
                <w:sz w:val="21"/>
                <w:szCs w:val="21"/>
              </w:rPr>
              <w:t> </w:t>
            </w:r>
            <w:r>
              <w:rPr>
                <w:rFonts w:ascii="宋体" w:hAnsi="宋体" w:cs="宋体" w:eastAsia="宋体" w:hint="default"/>
                <w:sz w:val="21"/>
                <w:szCs w:val="21"/>
              </w:rPr>
              <w:t>施。</w:t>
            </w:r>
          </w:p>
        </w:tc>
        <w:tc>
          <w:tcPr>
            <w:tcW w:w="5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45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before="2"/>
              <w:ind w:left="103" w:right="254"/>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深圳市</w:t>
            </w:r>
            <w:r>
              <w:rPr>
                <w:rFonts w:ascii="宋体" w:hAnsi="宋体" w:cs="宋体" w:eastAsia="宋体" w:hint="default"/>
                <w:sz w:val="21"/>
                <w:szCs w:val="21"/>
              </w:rPr>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2"/>
                <w:sz w:val="21"/>
                <w:szCs w:val="21"/>
              </w:rPr>
              <w:t>瑞莱嘉</w:t>
            </w:r>
            <w:r>
              <w:rPr>
                <w:rFonts w:ascii="宋体" w:hAnsi="宋体" w:cs="宋体" w:eastAsia="宋体" w:hint="default"/>
                <w:spacing w:val="-102"/>
                <w:sz w:val="21"/>
                <w:szCs w:val="21"/>
              </w:rPr>
              <w:t> </w:t>
            </w:r>
            <w:r>
              <w:rPr>
                <w:rFonts w:ascii="宋体" w:hAnsi="宋体" w:cs="宋体" w:eastAsia="宋体" w:hint="default"/>
                <w:spacing w:val="2"/>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 </w:t>
            </w:r>
            <w:r>
              <w:rPr>
                <w:rFonts w:ascii="宋体" w:hAnsi="宋体" w:cs="宋体" w:eastAsia="宋体" w:hint="default"/>
                <w:spacing w:val="8"/>
                <w:sz w:val="21"/>
                <w:szCs w:val="21"/>
              </w:rPr>
              <w:t> </w:t>
            </w:r>
            <w:r>
              <w:rPr>
                <w:rFonts w:ascii="宋体" w:hAnsi="宋体" w:cs="宋体" w:eastAsia="宋体" w:hint="default"/>
                <w:sz w:val="21"/>
                <w:szCs w:val="21"/>
              </w:rPr>
              <w:t>业</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pacing w:val="2"/>
                <w:sz w:val="21"/>
                <w:szCs w:val="21"/>
              </w:rPr>
              <w:t>（有限</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合伙）、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上海证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w:t>
            </w: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损</w:t>
            </w:r>
          </w:p>
          <w:p>
            <w:pPr>
              <w:pStyle w:val="TableParagraph"/>
              <w:spacing w:line="237" w:lineRule="auto" w:before="2"/>
              <w:ind w:left="103" w:right="161"/>
              <w:jc w:val="both"/>
              <w:rPr>
                <w:rFonts w:ascii="宋体" w:hAnsi="宋体" w:cs="宋体" w:eastAsia="宋体" w:hint="default"/>
                <w:sz w:val="21"/>
                <w:szCs w:val="21"/>
              </w:rPr>
            </w:pPr>
            <w:r>
              <w:rPr>
                <w:rFonts w:ascii="宋体" w:hAnsi="宋体" w:cs="宋体" w:eastAsia="宋体" w:hint="default"/>
                <w:sz w:val="21"/>
                <w:szCs w:val="21"/>
              </w:rPr>
              <w:t>害</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纠</w:t>
            </w:r>
            <w:r>
              <w:rPr>
                <w:rFonts w:ascii="宋体" w:hAnsi="宋体" w:cs="宋体" w:eastAsia="宋体" w:hint="default"/>
                <w:w w:val="100"/>
                <w:sz w:val="21"/>
                <w:szCs w:val="21"/>
              </w:rPr>
              <w:t> </w:t>
            </w:r>
            <w:r>
              <w:rPr>
                <w:rFonts w:ascii="宋体" w:hAnsi="宋体" w:cs="宋体" w:eastAsia="宋体" w:hint="default"/>
                <w:sz w:val="21"/>
                <w:szCs w:val="21"/>
              </w:rPr>
              <w:t>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tabs>
                <w:tab w:pos="837" w:val="left" w:leader="none"/>
                <w:tab w:pos="1259" w:val="left" w:leader="none"/>
              </w:tabs>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2016 </w:t>
            </w:r>
            <w:r>
              <w:rPr>
                <w:rFonts w:ascii="宋体" w:hAnsi="宋体" w:cs="宋体" w:eastAsia="宋体" w:hint="default"/>
                <w:sz w:val="21"/>
                <w:szCs w:val="21"/>
              </w:rPr>
              <w:t>】 粤</w:t>
            </w:r>
            <w:r>
              <w:rPr>
                <w:rFonts w:ascii="宋体" w:hAnsi="宋体" w:cs="宋体" w:eastAsia="宋体" w:hint="default"/>
                <w:w w:val="100"/>
                <w:sz w:val="21"/>
                <w:szCs w:val="21"/>
              </w:rPr>
              <w:t> </w:t>
            </w:r>
            <w:r>
              <w:rPr>
                <w:rFonts w:ascii="宋体" w:hAnsi="宋体" w:cs="宋体" w:eastAsia="宋体" w:hint="default"/>
                <w:sz w:val="21"/>
                <w:szCs w:val="21"/>
              </w:rPr>
              <w:t>0304</w:t>
              <w:tab/>
            </w:r>
            <w:r>
              <w:rPr>
                <w:rFonts w:ascii="宋体" w:hAnsi="宋体" w:cs="宋体" w:eastAsia="宋体" w:hint="default"/>
                <w:sz w:val="21"/>
                <w:szCs w:val="21"/>
              </w:rPr>
              <w:t>民</w:t>
              <w:tab/>
              <w:t>初</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z w:val="21"/>
                <w:szCs w:val="21"/>
              </w:rPr>
              <w:t>25409</w:t>
            </w:r>
            <w:r>
              <w:rPr>
                <w:rFonts w:ascii="宋体" w:hAnsi="宋体" w:cs="宋体" w:eastAsia="宋体" w:hint="default"/>
                <w:spacing w:val="35"/>
                <w:sz w:val="21"/>
                <w:szCs w:val="21"/>
              </w:rPr>
              <w:t> </w:t>
            </w:r>
            <w:r>
              <w:rPr>
                <w:rFonts w:ascii="宋体" w:hAnsi="宋体" w:cs="宋体" w:eastAsia="宋体" w:hint="default"/>
                <w:sz w:val="21"/>
                <w:szCs w:val="21"/>
              </w:rPr>
              <w:t>号</w:t>
            </w:r>
            <w:r>
              <w:rPr>
                <w:rFonts w:ascii="宋体" w:hAnsi="宋体" w:cs="宋体" w:eastAsia="宋体" w:hint="default"/>
                <w:spacing w:val="-71"/>
                <w:sz w:val="21"/>
                <w:szCs w:val="21"/>
              </w:rPr>
              <w:t> </w:t>
            </w:r>
            <w:r>
              <w:rPr>
                <w:rFonts w:ascii="宋体" w:hAnsi="宋体" w:cs="宋体" w:eastAsia="宋体" w:hint="default"/>
                <w:sz w:val="21"/>
                <w:szCs w:val="21"/>
              </w:rPr>
              <w:t>案</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pacing w:val="15"/>
                <w:sz w:val="21"/>
                <w:szCs w:val="21"/>
              </w:rPr>
              <w:t>由广东省深圳</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15"/>
                <w:sz w:val="21"/>
                <w:szCs w:val="21"/>
              </w:rPr>
              <w:t>市福田区人民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法院受理，公司</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15"/>
                <w:sz w:val="21"/>
                <w:szCs w:val="21"/>
              </w:rPr>
              <w:t>请求判令瑞莱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嘉誉、上海证券</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pacing w:val="15"/>
                <w:sz w:val="21"/>
                <w:szCs w:val="21"/>
              </w:rPr>
              <w:t>交易所停止侵</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权，公开道歉。</w:t>
            </w:r>
          </w:p>
        </w:tc>
        <w:tc>
          <w:tcPr>
            <w:tcW w:w="137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召开第八届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董事会第四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十次会议，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决定撤回本</w:t>
            </w:r>
          </w:p>
          <w:p>
            <w:pPr>
              <w:pStyle w:val="TableParagraph"/>
              <w:spacing w:line="274" w:lineRule="exact" w:before="22"/>
              <w:ind w:left="103" w:right="29"/>
              <w:jc w:val="both"/>
              <w:rPr>
                <w:rFonts w:ascii="宋体" w:hAnsi="宋体" w:cs="宋体" w:eastAsia="宋体" w:hint="default"/>
                <w:sz w:val="21"/>
                <w:szCs w:val="21"/>
              </w:rPr>
            </w:pPr>
            <w:r>
              <w:rPr>
                <w:rFonts w:ascii="宋体" w:hAnsi="宋体" w:cs="宋体" w:eastAsia="宋体" w:hint="default"/>
                <w:spacing w:val="51"/>
                <w:sz w:val="21"/>
                <w:szCs w:val="21"/>
              </w:rPr>
              <w:t>次起诉；</w:t>
            </w:r>
            <w:r>
              <w:rPr>
                <w:rFonts w:ascii="宋体" w:hAnsi="宋体" w:cs="宋体" w:eastAsia="宋体" w:hint="default"/>
                <w:spacing w:val="-9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5" w:lineRule="exact"/>
              <w:ind w:left="103" w:right="0"/>
              <w:jc w:val="both"/>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47"/>
                <w:sz w:val="21"/>
                <w:szCs w:val="21"/>
              </w:rPr>
              <w:t> </w:t>
            </w:r>
            <w:r>
              <w:rPr>
                <w:rFonts w:ascii="宋体" w:hAnsi="宋体" w:cs="宋体" w:eastAsia="宋体" w:hint="default"/>
                <w:spacing w:val="-14"/>
                <w:sz w:val="21"/>
                <w:szCs w:val="21"/>
              </w:rPr>
              <w:t>日，公司</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公告收到广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东省深圳市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福田区人民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法院作出的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同意公司撤</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pacing w:val="51"/>
                <w:sz w:val="21"/>
                <w:szCs w:val="21"/>
              </w:rPr>
              <w:t>回起诉的</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《民事裁定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6"/>
                <w:w w:val="100"/>
                <w:sz w:val="21"/>
                <w:szCs w:val="21"/>
              </w:rPr>
              <w:t>书》（【</w:t>
            </w:r>
            <w:r>
              <w:rPr>
                <w:rFonts w:ascii="宋体" w:hAnsi="宋体" w:cs="宋体" w:eastAsia="宋体" w:hint="default"/>
                <w:spacing w:val="-36"/>
                <w:w w:val="100"/>
                <w:sz w:val="21"/>
                <w:szCs w:val="21"/>
              </w:rPr>
              <w:t>2016</w:t>
            </w:r>
            <w:r>
              <w:rPr>
                <w:rFonts w:ascii="宋体" w:hAnsi="宋体" w:cs="宋体" w:eastAsia="宋体" w:hint="default"/>
                <w:spacing w:val="-36"/>
                <w:w w:val="100"/>
                <w:sz w:val="21"/>
                <w:szCs w:val="21"/>
              </w:rPr>
              <w:t>】</w:t>
            </w:r>
            <w:r>
              <w:rPr>
                <w:rFonts w:ascii="宋体" w:hAnsi="宋体" w:cs="宋体" w:eastAsia="宋体" w:hint="default"/>
                <w:spacing w:val="-103"/>
                <w:w w:val="100"/>
                <w:sz w:val="21"/>
                <w:szCs w:val="21"/>
              </w:rPr>
              <w:t> </w:t>
            </w:r>
            <w:r>
              <w:rPr>
                <w:rFonts w:ascii="宋体" w:hAnsi="宋体" w:cs="宋体" w:eastAsia="宋体" w:hint="default"/>
                <w:sz w:val="21"/>
                <w:szCs w:val="21"/>
              </w:rPr>
              <w:t>粤 </w:t>
            </w:r>
            <w:r>
              <w:rPr>
                <w:rFonts w:ascii="宋体" w:hAnsi="宋体" w:cs="宋体" w:eastAsia="宋体" w:hint="default"/>
                <w:sz w:val="21"/>
                <w:szCs w:val="21"/>
              </w:rPr>
              <w:t>0304</w:t>
            </w:r>
            <w:r>
              <w:rPr>
                <w:rFonts w:ascii="宋体" w:hAnsi="宋体" w:cs="宋体" w:eastAsia="宋体" w:hint="default"/>
                <w:spacing w:val="1"/>
                <w:sz w:val="21"/>
                <w:szCs w:val="21"/>
              </w:rPr>
              <w:t> </w:t>
            </w:r>
            <w:r>
              <w:rPr>
                <w:rFonts w:ascii="宋体" w:hAnsi="宋体" w:cs="宋体" w:eastAsia="宋体" w:hint="default"/>
                <w:sz w:val="21"/>
                <w:szCs w:val="21"/>
              </w:rPr>
              <w:t>民</w:t>
            </w:r>
          </w:p>
          <w:p>
            <w:pPr>
              <w:pStyle w:val="TableParagraph"/>
              <w:spacing w:line="270" w:lineRule="exact"/>
              <w:ind w:left="103" w:right="0"/>
              <w:jc w:val="both"/>
              <w:rPr>
                <w:rFonts w:ascii="宋体" w:hAnsi="宋体" w:cs="宋体" w:eastAsia="宋体" w:hint="default"/>
                <w:sz w:val="21"/>
                <w:szCs w:val="21"/>
              </w:rPr>
            </w:pPr>
            <w:r>
              <w:rPr>
                <w:rFonts w:ascii="宋体" w:hAnsi="宋体" w:cs="宋体" w:eastAsia="宋体" w:hint="default"/>
                <w:sz w:val="21"/>
                <w:szCs w:val="21"/>
              </w:rPr>
              <w:t>初  </w:t>
            </w:r>
            <w:r>
              <w:rPr>
                <w:rFonts w:ascii="宋体" w:hAnsi="宋体" w:cs="宋体" w:eastAsia="宋体" w:hint="default"/>
                <w:spacing w:val="3"/>
                <w:sz w:val="21"/>
                <w:szCs w:val="21"/>
              </w:rPr>
              <w:t> </w:t>
            </w:r>
            <w:r>
              <w:rPr>
                <w:rFonts w:ascii="宋体" w:hAnsi="宋体" w:cs="宋体" w:eastAsia="宋体" w:hint="default"/>
                <w:sz w:val="21"/>
                <w:szCs w:val="21"/>
              </w:rPr>
              <w:t>25409</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号）。</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0" w:right="254"/>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已撤诉</w:t>
            </w:r>
          </w:p>
        </w:tc>
      </w:tr>
      <w:tr>
        <w:trPr>
          <w:trHeight w:val="4369"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before="2"/>
              <w:ind w:left="103" w:right="254"/>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深圳市</w:t>
            </w:r>
            <w:r>
              <w:rPr>
                <w:rFonts w:ascii="宋体" w:hAnsi="宋体" w:cs="宋体" w:eastAsia="宋体" w:hint="default"/>
                <w:sz w:val="21"/>
                <w:szCs w:val="21"/>
              </w:rPr>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2"/>
                <w:sz w:val="21"/>
                <w:szCs w:val="21"/>
              </w:rPr>
              <w:t>瑞莱嘉</w:t>
            </w:r>
            <w:r>
              <w:rPr>
                <w:rFonts w:ascii="宋体" w:hAnsi="宋体" w:cs="宋体" w:eastAsia="宋体" w:hint="default"/>
                <w:spacing w:val="-102"/>
                <w:sz w:val="21"/>
                <w:szCs w:val="21"/>
              </w:rPr>
              <w:t> </w:t>
            </w:r>
            <w:r>
              <w:rPr>
                <w:rFonts w:ascii="宋体" w:hAnsi="宋体" w:cs="宋体" w:eastAsia="宋体" w:hint="default"/>
                <w:spacing w:val="2"/>
                <w:sz w:val="21"/>
                <w:szCs w:val="21"/>
              </w:rPr>
              <w:t>誉投资</w:t>
            </w:r>
            <w:r>
              <w:rPr>
                <w:rFonts w:ascii="宋体" w:hAnsi="宋体" w:cs="宋体" w:eastAsia="宋体" w:hint="default"/>
                <w:spacing w:val="-102"/>
                <w:sz w:val="21"/>
                <w:szCs w:val="21"/>
              </w:rPr>
              <w:t> </w:t>
            </w:r>
            <w:r>
              <w:rPr>
                <w:rFonts w:ascii="宋体" w:hAnsi="宋体" w:cs="宋体" w:eastAsia="宋体" w:hint="default"/>
                <w:sz w:val="21"/>
                <w:szCs w:val="21"/>
              </w:rPr>
              <w:t>企 </w:t>
            </w:r>
            <w:r>
              <w:rPr>
                <w:rFonts w:ascii="宋体" w:hAnsi="宋体" w:cs="宋体" w:eastAsia="宋体" w:hint="default"/>
                <w:spacing w:val="8"/>
                <w:sz w:val="21"/>
                <w:szCs w:val="21"/>
              </w:rPr>
              <w:t> </w:t>
            </w:r>
            <w:r>
              <w:rPr>
                <w:rFonts w:ascii="宋体" w:hAnsi="宋体" w:cs="宋体" w:eastAsia="宋体" w:hint="default"/>
                <w:sz w:val="21"/>
                <w:szCs w:val="21"/>
              </w:rPr>
              <w:t>业</w:t>
            </w:r>
          </w:p>
          <w:p>
            <w:pPr>
              <w:pStyle w:val="TableParagraph"/>
              <w:tabs>
                <w:tab w:pos="527" w:val="left" w:leader="none"/>
              </w:tabs>
              <w:spacing w:line="237" w:lineRule="auto"/>
              <w:ind w:left="100" w:right="-3"/>
              <w:jc w:val="left"/>
              <w:rPr>
                <w:rFonts w:ascii="宋体" w:hAnsi="宋体" w:cs="宋体" w:eastAsia="宋体" w:hint="default"/>
                <w:sz w:val="21"/>
                <w:szCs w:val="21"/>
              </w:rPr>
            </w:pPr>
            <w:r>
              <w:rPr>
                <w:rFonts w:ascii="宋体" w:hAnsi="宋体" w:cs="宋体" w:eastAsia="宋体" w:hint="default"/>
                <w:spacing w:val="2"/>
                <w:sz w:val="21"/>
                <w:szCs w:val="21"/>
              </w:rPr>
              <w:t>（有限</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合伙）、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上海锦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天</w:t>
              <w:tab/>
              <w:t>城</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pacing w:val="2"/>
                <w:sz w:val="21"/>
                <w:szCs w:val="21"/>
              </w:rPr>
              <w:t>圳）律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师事务</w:t>
            </w:r>
            <w:r>
              <w:rPr>
                <w:rFonts w:ascii="宋体" w:hAnsi="宋体" w:cs="宋体" w:eastAsia="宋体" w:hint="default"/>
                <w:spacing w:val="-102"/>
                <w:sz w:val="21"/>
                <w:szCs w:val="21"/>
              </w:rPr>
              <w:t> </w:t>
            </w:r>
            <w:r>
              <w:rPr>
                <w:rFonts w:ascii="宋体" w:hAnsi="宋体" w:cs="宋体" w:eastAsia="宋体" w:hint="default"/>
                <w:sz w:val="21"/>
                <w:szCs w:val="21"/>
              </w:rPr>
              <w:t>所</w:t>
            </w: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损</w:t>
            </w:r>
          </w:p>
          <w:p>
            <w:pPr>
              <w:pStyle w:val="TableParagraph"/>
              <w:spacing w:line="237" w:lineRule="auto" w:before="2"/>
              <w:ind w:left="103" w:right="161"/>
              <w:jc w:val="both"/>
              <w:rPr>
                <w:rFonts w:ascii="宋体" w:hAnsi="宋体" w:cs="宋体" w:eastAsia="宋体" w:hint="default"/>
                <w:sz w:val="21"/>
                <w:szCs w:val="21"/>
              </w:rPr>
            </w:pPr>
            <w:r>
              <w:rPr>
                <w:rFonts w:ascii="宋体" w:hAnsi="宋体" w:cs="宋体" w:eastAsia="宋体" w:hint="default"/>
                <w:sz w:val="21"/>
                <w:szCs w:val="21"/>
              </w:rPr>
              <w:t>害</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纠</w:t>
            </w:r>
            <w:r>
              <w:rPr>
                <w:rFonts w:ascii="宋体" w:hAnsi="宋体" w:cs="宋体" w:eastAsia="宋体" w:hint="default"/>
                <w:w w:val="100"/>
                <w:sz w:val="21"/>
                <w:szCs w:val="21"/>
              </w:rPr>
              <w:t> </w:t>
            </w:r>
            <w:r>
              <w:rPr>
                <w:rFonts w:ascii="宋体" w:hAnsi="宋体" w:cs="宋体" w:eastAsia="宋体" w:hint="default"/>
                <w:sz w:val="21"/>
                <w:szCs w:val="21"/>
              </w:rPr>
              <w:t>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2016 </w:t>
            </w:r>
            <w:r>
              <w:rPr>
                <w:rFonts w:ascii="宋体" w:hAnsi="宋体" w:cs="宋体" w:eastAsia="宋体" w:hint="default"/>
                <w:sz w:val="21"/>
                <w:szCs w:val="21"/>
              </w:rPr>
              <w:t>】 粤</w:t>
            </w:r>
            <w:r>
              <w:rPr>
                <w:rFonts w:ascii="宋体" w:hAnsi="宋体" w:cs="宋体" w:eastAsia="宋体" w:hint="default"/>
                <w:w w:val="100"/>
                <w:sz w:val="21"/>
                <w:szCs w:val="21"/>
              </w:rPr>
              <w:t> </w:t>
            </w:r>
            <w:r>
              <w:rPr>
                <w:rFonts w:ascii="宋体" w:hAnsi="宋体" w:cs="宋体" w:eastAsia="宋体" w:hint="default"/>
                <w:sz w:val="21"/>
                <w:szCs w:val="21"/>
              </w:rPr>
              <w:t>0304   </w:t>
            </w:r>
            <w:r>
              <w:rPr>
                <w:rFonts w:ascii="宋体" w:hAnsi="宋体" w:cs="宋体" w:eastAsia="宋体" w:hint="default"/>
                <w:sz w:val="21"/>
                <w:szCs w:val="21"/>
              </w:rPr>
              <w:t>民 </w:t>
            </w:r>
            <w:r>
              <w:rPr>
                <w:rFonts w:ascii="宋体" w:hAnsi="宋体" w:cs="宋体" w:eastAsia="宋体" w:hint="default"/>
                <w:spacing w:val="2"/>
                <w:sz w:val="21"/>
                <w:szCs w:val="21"/>
              </w:rPr>
              <w:t> </w:t>
            </w:r>
            <w:r>
              <w:rPr>
                <w:rFonts w:ascii="宋体" w:hAnsi="宋体" w:cs="宋体" w:eastAsia="宋体" w:hint="default"/>
                <w:sz w:val="21"/>
                <w:szCs w:val="21"/>
              </w:rPr>
              <w:t>初</w:t>
            </w:r>
          </w:p>
          <w:p>
            <w:pPr>
              <w:pStyle w:val="TableParagraph"/>
              <w:spacing w:line="272" w:lineRule="exact" w:before="1"/>
              <w:ind w:left="103" w:right="99"/>
              <w:jc w:val="both"/>
              <w:rPr>
                <w:rFonts w:ascii="宋体" w:hAnsi="宋体" w:cs="宋体" w:eastAsia="宋体" w:hint="default"/>
                <w:sz w:val="21"/>
                <w:szCs w:val="21"/>
              </w:rPr>
            </w:pPr>
            <w:r>
              <w:rPr>
                <w:rFonts w:ascii="宋体" w:hAnsi="宋体" w:cs="宋体" w:eastAsia="宋体" w:hint="default"/>
                <w:sz w:val="21"/>
                <w:szCs w:val="21"/>
              </w:rPr>
              <w:t>25441</w:t>
            </w:r>
            <w:r>
              <w:rPr>
                <w:rFonts w:ascii="宋体" w:hAnsi="宋体" w:cs="宋体" w:eastAsia="宋体" w:hint="default"/>
                <w:spacing w:val="35"/>
                <w:sz w:val="21"/>
                <w:szCs w:val="21"/>
              </w:rPr>
              <w:t> </w:t>
            </w:r>
            <w:r>
              <w:rPr>
                <w:rFonts w:ascii="宋体" w:hAnsi="宋体" w:cs="宋体" w:eastAsia="宋体" w:hint="default"/>
                <w:sz w:val="21"/>
                <w:szCs w:val="21"/>
              </w:rPr>
              <w:t>号</w:t>
            </w:r>
            <w:r>
              <w:rPr>
                <w:rFonts w:ascii="宋体" w:hAnsi="宋体" w:cs="宋体" w:eastAsia="宋体" w:hint="default"/>
                <w:spacing w:val="-71"/>
                <w:sz w:val="21"/>
                <w:szCs w:val="21"/>
              </w:rPr>
              <w:t> </w:t>
            </w:r>
            <w:r>
              <w:rPr>
                <w:rFonts w:ascii="宋体" w:hAnsi="宋体" w:cs="宋体" w:eastAsia="宋体" w:hint="default"/>
                <w:sz w:val="21"/>
                <w:szCs w:val="21"/>
              </w:rPr>
              <w:t>案</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pacing w:val="15"/>
                <w:sz w:val="21"/>
                <w:szCs w:val="21"/>
              </w:rPr>
              <w:t>由广东省深圳</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15"/>
                <w:sz w:val="21"/>
                <w:szCs w:val="21"/>
              </w:rPr>
              <w:t>市福田区人民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法院受理。公司</w:t>
            </w:r>
            <w:r>
              <w:rPr>
                <w:rFonts w:ascii="宋体" w:hAnsi="宋体" w:cs="宋体" w:eastAsia="宋体" w:hint="default"/>
                <w:w w:val="100"/>
                <w:sz w:val="21"/>
                <w:szCs w:val="21"/>
              </w:rPr>
              <w:t> </w:t>
            </w:r>
            <w:r>
              <w:rPr>
                <w:rFonts w:ascii="宋体" w:hAnsi="宋体" w:cs="宋体" w:eastAsia="宋体" w:hint="default"/>
                <w:spacing w:val="15"/>
                <w:sz w:val="21"/>
                <w:szCs w:val="21"/>
              </w:rPr>
              <w:t>请求判令瑞莱</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16"/>
                <w:w w:val="100"/>
                <w:sz w:val="21"/>
                <w:szCs w:val="21"/>
              </w:rPr>
              <w:t>嘉誉、上海锦天</w:t>
            </w:r>
            <w:r>
              <w:rPr>
                <w:rFonts w:ascii="宋体" w:hAnsi="宋体" w:cs="宋体" w:eastAsia="宋体" w:hint="default"/>
                <w:w w:val="100"/>
                <w:sz w:val="21"/>
                <w:szCs w:val="21"/>
              </w:rPr>
              <w:t> </w:t>
            </w:r>
            <w:r>
              <w:rPr>
                <w:rFonts w:ascii="宋体" w:hAnsi="宋体" w:cs="宋体" w:eastAsia="宋体" w:hint="default"/>
                <w:spacing w:val="-16"/>
                <w:sz w:val="21"/>
                <w:szCs w:val="21"/>
              </w:rPr>
              <w:t>城（深圳）律师</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15"/>
                <w:sz w:val="21"/>
                <w:szCs w:val="21"/>
              </w:rPr>
              <w:t>事务所赔偿公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司名誉权损失</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召开第八届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董事会第四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十次会议，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决定撤回本</w:t>
            </w:r>
          </w:p>
          <w:p>
            <w:pPr>
              <w:pStyle w:val="TableParagraph"/>
              <w:spacing w:line="272" w:lineRule="exact" w:before="24"/>
              <w:ind w:left="103" w:right="29"/>
              <w:jc w:val="both"/>
              <w:rPr>
                <w:rFonts w:ascii="宋体" w:hAnsi="宋体" w:cs="宋体" w:eastAsia="宋体" w:hint="default"/>
                <w:sz w:val="21"/>
                <w:szCs w:val="21"/>
              </w:rPr>
            </w:pPr>
            <w:r>
              <w:rPr>
                <w:rFonts w:ascii="宋体" w:hAnsi="宋体" w:cs="宋体" w:eastAsia="宋体" w:hint="default"/>
                <w:spacing w:val="51"/>
                <w:sz w:val="21"/>
                <w:szCs w:val="21"/>
              </w:rPr>
              <w:t>次起诉；</w:t>
            </w:r>
            <w:r>
              <w:rPr>
                <w:rFonts w:ascii="宋体" w:hAnsi="宋体" w:cs="宋体" w:eastAsia="宋体" w:hint="default"/>
                <w:spacing w:val="-9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2" w:lineRule="exact" w:before="1"/>
              <w:ind w:left="103" w:right="99"/>
              <w:jc w:val="both"/>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49"/>
                <w:sz w:val="21"/>
                <w:szCs w:val="21"/>
              </w:rPr>
              <w:t> </w:t>
            </w:r>
            <w:r>
              <w:rPr>
                <w:rFonts w:ascii="宋体" w:hAnsi="宋体" w:cs="宋体" w:eastAsia="宋体" w:hint="default"/>
                <w:spacing w:val="-14"/>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公告收到广</w:t>
            </w:r>
          </w:p>
          <w:p>
            <w:pPr>
              <w:pStyle w:val="TableParagraph"/>
              <w:spacing w:line="272" w:lineRule="exact" w:before="1"/>
              <w:ind w:left="103" w:right="99"/>
              <w:jc w:val="both"/>
              <w:rPr>
                <w:rFonts w:ascii="宋体" w:hAnsi="宋体" w:cs="宋体" w:eastAsia="宋体" w:hint="default"/>
                <w:sz w:val="21"/>
                <w:szCs w:val="21"/>
              </w:rPr>
            </w:pPr>
            <w:r>
              <w:rPr>
                <w:rFonts w:ascii="宋体" w:hAnsi="宋体" w:cs="宋体" w:eastAsia="宋体" w:hint="default"/>
                <w:sz w:val="21"/>
                <w:szCs w:val="21"/>
              </w:rPr>
              <w:t>东省深圳市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福田区人民</w:t>
            </w:r>
          </w:p>
          <w:p>
            <w:pPr>
              <w:pStyle w:val="TableParagraph"/>
              <w:spacing w:line="272" w:lineRule="exact" w:before="1"/>
              <w:ind w:left="103" w:right="99"/>
              <w:jc w:val="both"/>
              <w:rPr>
                <w:rFonts w:ascii="宋体" w:hAnsi="宋体" w:cs="宋体" w:eastAsia="宋体" w:hint="default"/>
                <w:sz w:val="21"/>
                <w:szCs w:val="21"/>
              </w:rPr>
            </w:pPr>
            <w:r>
              <w:rPr>
                <w:rFonts w:ascii="宋体" w:hAnsi="宋体" w:cs="宋体" w:eastAsia="宋体" w:hint="default"/>
                <w:sz w:val="21"/>
                <w:szCs w:val="21"/>
              </w:rPr>
              <w:t>法院作出的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同意公司撤</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51"/>
                <w:sz w:val="21"/>
                <w:szCs w:val="21"/>
              </w:rPr>
              <w:t>回起诉的</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《民事裁定</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0" w:right="254"/>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已撤诉</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81"/>
        <w:gridCol w:w="852"/>
        <w:gridCol w:w="487"/>
        <w:gridCol w:w="488"/>
        <w:gridCol w:w="1582"/>
        <w:gridCol w:w="1371"/>
        <w:gridCol w:w="578"/>
        <w:gridCol w:w="1268"/>
        <w:gridCol w:w="578"/>
        <w:gridCol w:w="1265"/>
      </w:tblGrid>
      <w:tr>
        <w:trPr>
          <w:trHeight w:val="1100" w:hRule="exact"/>
        </w:trPr>
        <w:tc>
          <w:tcPr>
            <w:tcW w:w="58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书</w:t>
            </w:r>
            <w:r>
              <w:rPr>
                <w:rFonts w:ascii="宋体" w:hAnsi="宋体" w:cs="宋体" w:eastAsia="宋体" w:hint="default"/>
                <w:spacing w:val="-212"/>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6</w:t>
            </w:r>
            <w:r>
              <w:rPr>
                <w:rFonts w:ascii="宋体" w:hAnsi="宋体" w:cs="宋体" w:eastAsia="宋体" w:hint="default"/>
                <w:w w:val="100"/>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粤 </w:t>
            </w:r>
            <w:r>
              <w:rPr>
                <w:rFonts w:ascii="宋体" w:hAnsi="宋体" w:cs="宋体" w:eastAsia="宋体" w:hint="default"/>
                <w:sz w:val="21"/>
                <w:szCs w:val="21"/>
              </w:rPr>
              <w:t>0304</w:t>
            </w:r>
            <w:r>
              <w:rPr>
                <w:rFonts w:ascii="宋体" w:hAnsi="宋体" w:cs="宋体" w:eastAsia="宋体" w:hint="default"/>
                <w:spacing w:val="1"/>
                <w:sz w:val="21"/>
                <w:szCs w:val="21"/>
              </w:rPr>
              <w:t> </w:t>
            </w:r>
            <w:r>
              <w:rPr>
                <w:rFonts w:ascii="宋体" w:hAnsi="宋体" w:cs="宋体" w:eastAsia="宋体" w:hint="default"/>
                <w:sz w:val="21"/>
                <w:szCs w:val="21"/>
              </w:rPr>
              <w:t>民</w:t>
            </w:r>
          </w:p>
          <w:p>
            <w:pPr>
              <w:pStyle w:val="TableParagraph"/>
              <w:tabs>
                <w:tab w:pos="62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初</w:t>
              <w:tab/>
            </w:r>
            <w:r>
              <w:rPr>
                <w:rFonts w:ascii="宋体" w:hAnsi="宋体" w:cs="宋体" w:eastAsia="宋体" w:hint="default"/>
                <w:sz w:val="21"/>
                <w:szCs w:val="21"/>
              </w:rPr>
              <w:t>25411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5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187"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ind w:left="103" w:right="254"/>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z w:val="21"/>
                <w:szCs w:val="21"/>
              </w:rPr>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2"/>
                <w:sz w:val="21"/>
                <w:szCs w:val="21"/>
              </w:rPr>
              <w:t>券监督</w:t>
            </w:r>
            <w:r>
              <w:rPr>
                <w:rFonts w:ascii="宋体" w:hAnsi="宋体" w:cs="宋体" w:eastAsia="宋体" w:hint="default"/>
                <w:spacing w:val="-102"/>
                <w:sz w:val="21"/>
                <w:szCs w:val="21"/>
              </w:rPr>
              <w:t> </w:t>
            </w:r>
            <w:r>
              <w:rPr>
                <w:rFonts w:ascii="宋体" w:hAnsi="宋体" w:cs="宋体" w:eastAsia="宋体" w:hint="default"/>
                <w:spacing w:val="2"/>
                <w:sz w:val="21"/>
                <w:szCs w:val="21"/>
              </w:rPr>
              <w:t>管理委</w:t>
            </w:r>
            <w:r>
              <w:rPr>
                <w:rFonts w:ascii="宋体" w:hAnsi="宋体" w:cs="宋体" w:eastAsia="宋体" w:hint="default"/>
                <w:spacing w:val="-102"/>
                <w:sz w:val="21"/>
                <w:szCs w:val="21"/>
              </w:rPr>
              <w:t> </w:t>
            </w:r>
            <w:r>
              <w:rPr>
                <w:rFonts w:ascii="宋体" w:hAnsi="宋体" w:cs="宋体" w:eastAsia="宋体" w:hint="default"/>
                <w:sz w:val="21"/>
                <w:szCs w:val="21"/>
              </w:rPr>
              <w:t>员会</w:t>
            </w:r>
          </w:p>
        </w:tc>
        <w:tc>
          <w:tcPr>
            <w:tcW w:w="48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行</w:t>
            </w:r>
          </w:p>
          <w:p>
            <w:pPr>
              <w:pStyle w:val="TableParagraph"/>
              <w:spacing w:line="237" w:lineRule="auto"/>
              <w:ind w:left="103" w:right="161"/>
              <w:jc w:val="both"/>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北京市第一中</w:t>
            </w:r>
          </w:p>
          <w:p>
            <w:pPr>
              <w:pStyle w:val="TableParagraph"/>
              <w:spacing w:line="240" w:lineRule="auto"/>
              <w:ind w:left="103" w:right="98"/>
              <w:jc w:val="both"/>
              <w:rPr>
                <w:rFonts w:ascii="宋体" w:hAnsi="宋体" w:cs="宋体" w:eastAsia="宋体" w:hint="default"/>
                <w:sz w:val="21"/>
                <w:szCs w:val="21"/>
              </w:rPr>
            </w:pPr>
            <w:r>
              <w:rPr>
                <w:rFonts w:ascii="宋体" w:hAnsi="宋体" w:cs="宋体" w:eastAsia="宋体" w:hint="default"/>
                <w:spacing w:val="15"/>
                <w:sz w:val="21"/>
                <w:szCs w:val="21"/>
              </w:rPr>
              <w:t>级人民法院于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5"/>
                <w:sz w:val="21"/>
                <w:szCs w:val="21"/>
              </w:rPr>
              <w:t>日受理了广西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慧球科技股份</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有限公司与中</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国证券监督管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理委员会行政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诉  讼  案</w:t>
            </w:r>
            <w:r>
              <w:rPr>
                <w:rFonts w:ascii="宋体" w:hAnsi="宋体" w:cs="宋体" w:eastAsia="宋体" w:hint="default"/>
                <w:spacing w:val="1"/>
                <w:sz w:val="21"/>
                <w:szCs w:val="21"/>
              </w:rPr>
              <w:t> </w:t>
            </w:r>
            <w:r>
              <w:rPr>
                <w:rFonts w:ascii="宋体" w:hAnsi="宋体" w:cs="宋体" w:eastAsia="宋体" w:hint="default"/>
                <w:sz w:val="21"/>
                <w:szCs w:val="21"/>
              </w:rPr>
              <w:t>件</w:t>
            </w:r>
          </w:p>
          <w:p>
            <w:pPr>
              <w:pStyle w:val="TableParagraph"/>
              <w:spacing w:line="272" w:lineRule="exact" w:before="26"/>
              <w:ind w:left="103" w:right="72"/>
              <w:jc w:val="both"/>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2016</w:t>
            </w:r>
            <w:r>
              <w:rPr>
                <w:rFonts w:ascii="宋体" w:hAnsi="宋体" w:cs="宋体" w:eastAsia="宋体" w:hint="default"/>
                <w:spacing w:val="-80"/>
                <w:sz w:val="21"/>
                <w:szCs w:val="21"/>
              </w:rPr>
              <w:t> </w:t>
            </w:r>
            <w:r>
              <w:rPr>
                <w:rFonts w:ascii="宋体" w:hAnsi="宋体" w:cs="宋体" w:eastAsia="宋体" w:hint="default"/>
                <w:spacing w:val="12"/>
                <w:sz w:val="21"/>
                <w:szCs w:val="21"/>
              </w:rPr>
              <w:t>】京</w:t>
            </w:r>
            <w:r>
              <w:rPr>
                <w:rFonts w:ascii="宋体" w:hAnsi="宋体" w:cs="宋体" w:eastAsia="宋体" w:hint="default"/>
                <w:spacing w:val="-102"/>
                <w:sz w:val="21"/>
                <w:szCs w:val="21"/>
              </w:rPr>
              <w:t> </w:t>
            </w:r>
            <w:r>
              <w:rPr>
                <w:rFonts w:ascii="宋体" w:hAnsi="宋体" w:cs="宋体" w:eastAsia="宋体" w:hint="default"/>
                <w:sz w:val="21"/>
                <w:szCs w:val="21"/>
              </w:rPr>
              <w:t>01</w:t>
            </w:r>
            <w:r>
              <w:rPr>
                <w:rFonts w:ascii="宋体" w:hAnsi="宋体" w:cs="宋体" w:eastAsia="宋体" w:hint="default"/>
                <w:spacing w:val="56"/>
                <w:sz w:val="21"/>
                <w:szCs w:val="21"/>
              </w:rPr>
              <w:t> </w:t>
            </w:r>
            <w:r>
              <w:rPr>
                <w:rFonts w:ascii="宋体" w:hAnsi="宋体" w:cs="宋体" w:eastAsia="宋体" w:hint="default"/>
                <w:sz w:val="21"/>
                <w:szCs w:val="21"/>
              </w:rPr>
              <w:t>行</w:t>
            </w:r>
            <w:r>
              <w:rPr>
                <w:rFonts w:ascii="宋体" w:hAnsi="宋体" w:cs="宋体" w:eastAsia="宋体" w:hint="default"/>
                <w:spacing w:val="-55"/>
                <w:sz w:val="21"/>
                <w:szCs w:val="21"/>
              </w:rPr>
              <w:t> </w:t>
            </w:r>
            <w:r>
              <w:rPr>
                <w:rFonts w:ascii="宋体" w:hAnsi="宋体" w:cs="宋体" w:eastAsia="宋体" w:hint="default"/>
                <w:sz w:val="21"/>
                <w:szCs w:val="21"/>
              </w:rPr>
              <w:t>初</w:t>
            </w:r>
            <w:r>
              <w:rPr>
                <w:rFonts w:ascii="宋体" w:hAnsi="宋体" w:cs="宋体" w:eastAsia="宋体" w:hint="default"/>
                <w:spacing w:val="-55"/>
                <w:sz w:val="21"/>
                <w:szCs w:val="21"/>
              </w:rPr>
              <w:t> </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字</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1259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37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召开第八届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董事会第四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十次会议，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决定撤回本</w:t>
            </w:r>
          </w:p>
          <w:p>
            <w:pPr>
              <w:pStyle w:val="TableParagraph"/>
              <w:spacing w:line="272" w:lineRule="exact" w:before="26"/>
              <w:ind w:left="103" w:right="29"/>
              <w:jc w:val="both"/>
              <w:rPr>
                <w:rFonts w:ascii="宋体" w:hAnsi="宋体" w:cs="宋体" w:eastAsia="宋体" w:hint="default"/>
                <w:sz w:val="21"/>
                <w:szCs w:val="21"/>
              </w:rPr>
            </w:pPr>
            <w:r>
              <w:rPr>
                <w:rFonts w:ascii="宋体" w:hAnsi="宋体" w:cs="宋体" w:eastAsia="宋体" w:hint="default"/>
                <w:spacing w:val="51"/>
                <w:sz w:val="21"/>
                <w:szCs w:val="21"/>
              </w:rPr>
              <w:t>次起诉；</w:t>
            </w:r>
            <w:r>
              <w:rPr>
                <w:rFonts w:ascii="宋体" w:hAnsi="宋体" w:cs="宋体" w:eastAsia="宋体" w:hint="default"/>
                <w:spacing w:val="-9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47"/>
                <w:sz w:val="21"/>
                <w:szCs w:val="21"/>
              </w:rPr>
              <w:t> </w:t>
            </w:r>
            <w:r>
              <w:rPr>
                <w:rFonts w:ascii="宋体" w:hAnsi="宋体" w:cs="宋体" w:eastAsia="宋体" w:hint="default"/>
                <w:spacing w:val="-14"/>
                <w:sz w:val="21"/>
                <w:szCs w:val="21"/>
              </w:rPr>
              <w:t>日，公司</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公告收到了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北京市第一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中级人民法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院作出的同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意公司撤回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起诉的《行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政裁定书》</w:t>
            </w:r>
          </w:p>
          <w:p>
            <w:pPr>
              <w:pStyle w:val="TableParagraph"/>
              <w:spacing w:line="274" w:lineRule="exact" w:before="22"/>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京 </w:t>
            </w:r>
            <w:r>
              <w:rPr>
                <w:rFonts w:ascii="宋体" w:hAnsi="宋体" w:cs="宋体" w:eastAsia="宋体" w:hint="default"/>
                <w:sz w:val="21"/>
                <w:szCs w:val="21"/>
              </w:rPr>
              <w:t>01</w:t>
            </w:r>
            <w:r>
              <w:rPr>
                <w:rFonts w:ascii="宋体" w:hAnsi="宋体" w:cs="宋体" w:eastAsia="宋体" w:hint="default"/>
                <w:spacing w:val="2"/>
                <w:sz w:val="21"/>
                <w:szCs w:val="21"/>
              </w:rPr>
              <w:t> </w:t>
            </w:r>
            <w:r>
              <w:rPr>
                <w:rFonts w:ascii="宋体" w:hAnsi="宋体" w:cs="宋体" w:eastAsia="宋体" w:hint="default"/>
                <w:sz w:val="21"/>
                <w:szCs w:val="21"/>
              </w:rPr>
              <w:t>行初</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1259</w:t>
            </w:r>
            <w:r>
              <w:rPr>
                <w:rFonts w:ascii="宋体" w:hAnsi="宋体" w:cs="宋体" w:eastAsia="宋体" w:hint="default"/>
                <w:spacing w:val="-49"/>
                <w:sz w:val="21"/>
                <w:szCs w:val="21"/>
              </w:rPr>
              <w:t> </w:t>
            </w:r>
            <w:r>
              <w:rPr>
                <w:rFonts w:ascii="宋体" w:hAnsi="宋体" w:cs="宋体" w:eastAsia="宋体" w:hint="default"/>
                <w:sz w:val="21"/>
                <w:szCs w:val="21"/>
              </w:rPr>
              <w:t>号）。</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0" w:right="254"/>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已撤诉</w:t>
            </w:r>
          </w:p>
        </w:tc>
      </w:tr>
      <w:tr>
        <w:trPr>
          <w:trHeight w:val="7365"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before="1"/>
              <w:ind w:left="103" w:right="254"/>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球</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贵州中</w:t>
            </w:r>
            <w:r>
              <w:rPr>
                <w:rFonts w:ascii="宋体" w:hAnsi="宋体" w:cs="宋体" w:eastAsia="宋体" w:hint="default"/>
                <w:sz w:val="21"/>
                <w:szCs w:val="21"/>
              </w:rPr>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2"/>
                <w:sz w:val="21"/>
                <w:szCs w:val="21"/>
              </w:rPr>
              <w:t>科建设</w:t>
            </w:r>
            <w:r>
              <w:rPr>
                <w:rFonts w:ascii="宋体" w:hAnsi="宋体" w:cs="宋体" w:eastAsia="宋体" w:hint="default"/>
                <w:spacing w:val="-102"/>
                <w:sz w:val="21"/>
                <w:szCs w:val="21"/>
              </w:rPr>
              <w:t> </w:t>
            </w:r>
            <w:r>
              <w:rPr>
                <w:rFonts w:ascii="宋体" w:hAnsi="宋体" w:cs="宋体" w:eastAsia="宋体" w:hint="default"/>
                <w:spacing w:val="2"/>
                <w:sz w:val="21"/>
                <w:szCs w:val="21"/>
              </w:rPr>
              <w:t>有限公</w:t>
            </w:r>
            <w:r>
              <w:rPr>
                <w:rFonts w:ascii="宋体" w:hAnsi="宋体" w:cs="宋体" w:eastAsia="宋体" w:hint="default"/>
                <w:spacing w:val="-102"/>
                <w:sz w:val="21"/>
                <w:szCs w:val="21"/>
              </w:rPr>
              <w:t> </w:t>
            </w:r>
            <w:r>
              <w:rPr>
                <w:rFonts w:ascii="宋体" w:hAnsi="宋体" w:cs="宋体" w:eastAsia="宋体" w:hint="default"/>
                <w:spacing w:val="2"/>
                <w:sz w:val="21"/>
                <w:szCs w:val="21"/>
              </w:rPr>
              <w:t>司、中</w:t>
            </w:r>
            <w:r>
              <w:rPr>
                <w:rFonts w:ascii="宋体" w:hAnsi="宋体" w:cs="宋体" w:eastAsia="宋体" w:hint="default"/>
                <w:spacing w:val="-102"/>
                <w:sz w:val="21"/>
                <w:szCs w:val="21"/>
              </w:rPr>
              <w:t> </w:t>
            </w:r>
            <w:r>
              <w:rPr>
                <w:rFonts w:ascii="宋体" w:hAnsi="宋体" w:cs="宋体" w:eastAsia="宋体" w:hint="default"/>
                <w:spacing w:val="2"/>
                <w:sz w:val="21"/>
                <w:szCs w:val="21"/>
              </w:rPr>
              <w:t>科建设</w:t>
            </w:r>
            <w:r>
              <w:rPr>
                <w:rFonts w:ascii="宋体" w:hAnsi="宋体" w:cs="宋体" w:eastAsia="宋体" w:hint="default"/>
                <w:spacing w:val="-102"/>
                <w:sz w:val="21"/>
                <w:szCs w:val="21"/>
              </w:rPr>
              <w:t> </w:t>
            </w:r>
            <w:r>
              <w:rPr>
                <w:rFonts w:ascii="宋体" w:hAnsi="宋体" w:cs="宋体" w:eastAsia="宋体" w:hint="default"/>
                <w:spacing w:val="2"/>
                <w:sz w:val="21"/>
                <w:szCs w:val="21"/>
              </w:rPr>
              <w:t>开发总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1"/>
              <w:ind w:left="103" w:right="161"/>
              <w:jc w:val="both"/>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37" w:lineRule="auto" w:before="1"/>
              <w:ind w:left="103" w:right="161"/>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纠</w:t>
            </w:r>
            <w:r>
              <w:rPr>
                <w:rFonts w:ascii="宋体" w:hAnsi="宋体" w:cs="宋体" w:eastAsia="宋体" w:hint="default"/>
                <w:w w:val="100"/>
                <w:sz w:val="21"/>
                <w:szCs w:val="21"/>
              </w:rPr>
              <w:t> </w:t>
            </w:r>
            <w:r>
              <w:rPr>
                <w:rFonts w:ascii="宋体" w:hAnsi="宋体" w:cs="宋体" w:eastAsia="宋体" w:hint="default"/>
                <w:sz w:val="21"/>
                <w:szCs w:val="21"/>
              </w:rPr>
              <w:t>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公司因与贵州</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15"/>
                <w:sz w:val="21"/>
                <w:szCs w:val="21"/>
              </w:rPr>
              <w:t>中科建设有限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公司、中科建设</w:t>
            </w:r>
            <w:r>
              <w:rPr>
                <w:rFonts w:ascii="宋体" w:hAnsi="宋体" w:cs="宋体" w:eastAsia="宋体" w:hint="default"/>
                <w:w w:val="100"/>
                <w:sz w:val="21"/>
                <w:szCs w:val="21"/>
              </w:rPr>
              <w:t> </w:t>
            </w:r>
            <w:r>
              <w:rPr>
                <w:rFonts w:ascii="宋体" w:hAnsi="宋体" w:cs="宋体" w:eastAsia="宋体" w:hint="default"/>
                <w:spacing w:val="15"/>
                <w:sz w:val="21"/>
                <w:szCs w:val="21"/>
              </w:rPr>
              <w:t>开发总公司发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生合同纠纷，公</w:t>
            </w:r>
            <w:r>
              <w:rPr>
                <w:rFonts w:ascii="宋体" w:hAnsi="宋体" w:cs="宋体" w:eastAsia="宋体" w:hint="default"/>
                <w:w w:val="100"/>
                <w:sz w:val="21"/>
                <w:szCs w:val="21"/>
              </w:rPr>
              <w:t> </w:t>
            </w:r>
            <w:r>
              <w:rPr>
                <w:rFonts w:ascii="宋体" w:hAnsi="宋体" w:cs="宋体" w:eastAsia="宋体" w:hint="default"/>
                <w:spacing w:val="12"/>
                <w:sz w:val="21"/>
                <w:szCs w:val="21"/>
              </w:rPr>
              <w:t>司于 </w:t>
            </w:r>
            <w:r>
              <w:rPr>
                <w:rFonts w:ascii="宋体" w:hAnsi="宋体" w:cs="宋体" w:eastAsia="宋体" w:hint="default"/>
                <w:sz w:val="21"/>
                <w:szCs w:val="21"/>
              </w:rPr>
              <w:t>2017</w:t>
            </w:r>
            <w:r>
              <w:rPr>
                <w:rFonts w:ascii="宋体" w:hAnsi="宋体" w:cs="宋体" w:eastAsia="宋体" w:hint="default"/>
                <w:spacing w:val="70"/>
                <w:sz w:val="21"/>
                <w:szCs w:val="21"/>
              </w:rPr>
              <w:t> </w:t>
            </w:r>
            <w:r>
              <w:rPr>
                <w:rFonts w:ascii="宋体" w:hAnsi="宋体" w:cs="宋体" w:eastAsia="宋体" w:hint="default"/>
                <w:sz w:val="21"/>
                <w:szCs w:val="21"/>
              </w:rPr>
              <w:t>年</w:t>
            </w:r>
          </w:p>
          <w:p>
            <w:pPr>
              <w:pStyle w:val="TableParagraph"/>
              <w:spacing w:line="237" w:lineRule="auto" w:before="1"/>
              <w:ind w:left="103" w:right="77"/>
              <w:jc w:val="both"/>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月 </w:t>
            </w:r>
            <w:r>
              <w:rPr>
                <w:rFonts w:ascii="宋体" w:hAnsi="宋体" w:cs="宋体" w:eastAsia="宋体" w:hint="default"/>
                <w:sz w:val="21"/>
                <w:szCs w:val="21"/>
              </w:rPr>
              <w:t>21</w:t>
            </w:r>
            <w:r>
              <w:rPr>
                <w:rFonts w:ascii="宋体" w:hAnsi="宋体" w:cs="宋体" w:eastAsia="宋体" w:hint="default"/>
                <w:spacing w:val="85"/>
                <w:sz w:val="21"/>
                <w:szCs w:val="21"/>
              </w:rPr>
              <w:t> </w:t>
            </w:r>
            <w:r>
              <w:rPr>
                <w:rFonts w:ascii="宋体" w:hAnsi="宋体" w:cs="宋体" w:eastAsia="宋体" w:hint="default"/>
                <w:spacing w:val="10"/>
                <w:sz w:val="21"/>
                <w:szCs w:val="21"/>
              </w:rPr>
              <w:t>日向</w:t>
            </w:r>
            <w:r>
              <w:rPr>
                <w:rFonts w:ascii="宋体" w:hAnsi="宋体" w:cs="宋体" w:eastAsia="宋体" w:hint="default"/>
                <w:spacing w:val="-84"/>
                <w:sz w:val="21"/>
                <w:szCs w:val="21"/>
              </w:rPr>
              <w:t> </w:t>
            </w:r>
            <w:r>
              <w:rPr>
                <w:rFonts w:ascii="宋体" w:hAnsi="宋体" w:cs="宋体" w:eastAsia="宋体" w:hint="default"/>
                <w:spacing w:val="15"/>
                <w:sz w:val="21"/>
                <w:szCs w:val="21"/>
              </w:rPr>
              <w:t>陕西省西安市</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中级人民法院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起诉。公司要求</w:t>
            </w:r>
            <w:r>
              <w:rPr>
                <w:rFonts w:ascii="宋体" w:hAnsi="宋体" w:cs="宋体" w:eastAsia="宋体" w:hint="default"/>
                <w:w w:val="100"/>
                <w:sz w:val="21"/>
                <w:szCs w:val="21"/>
              </w:rPr>
              <w:t> </w:t>
            </w:r>
            <w:r>
              <w:rPr>
                <w:rFonts w:ascii="宋体" w:hAnsi="宋体" w:cs="宋体" w:eastAsia="宋体" w:hint="default"/>
                <w:spacing w:val="15"/>
                <w:sz w:val="21"/>
                <w:szCs w:val="21"/>
              </w:rPr>
              <w:t>法院判令贵州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中科建设有限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公司立即返还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公司项目建设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资</w:t>
            </w:r>
            <w:r>
              <w:rPr>
                <w:rFonts w:ascii="宋体" w:hAnsi="宋体" w:cs="宋体" w:eastAsia="宋体" w:hint="default"/>
                <w:spacing w:val="-25"/>
                <w:sz w:val="21"/>
                <w:szCs w:val="21"/>
              </w:rPr>
              <w:t> </w:t>
            </w:r>
            <w:r>
              <w:rPr>
                <w:rFonts w:ascii="宋体" w:hAnsi="宋体" w:cs="宋体" w:eastAsia="宋体" w:hint="default"/>
                <w:sz w:val="21"/>
                <w:szCs w:val="21"/>
              </w:rPr>
              <w:t>金</w:t>
            </w:r>
            <w:r>
              <w:rPr>
                <w:rFonts w:ascii="宋体" w:hAnsi="宋体" w:cs="宋体" w:eastAsia="宋体" w:hint="default"/>
                <w:spacing w:val="-28"/>
                <w:sz w:val="21"/>
                <w:szCs w:val="21"/>
              </w:rPr>
              <w:t> </w:t>
            </w:r>
            <w:r>
              <w:rPr>
                <w:rFonts w:ascii="宋体" w:hAnsi="宋体" w:cs="宋体" w:eastAsia="宋体" w:hint="default"/>
                <w:sz w:val="21"/>
                <w:szCs w:val="21"/>
              </w:rPr>
              <w:t>人</w:t>
            </w:r>
            <w:r>
              <w:rPr>
                <w:rFonts w:ascii="宋体" w:hAnsi="宋体" w:cs="宋体" w:eastAsia="宋体" w:hint="default"/>
                <w:spacing w:val="-28"/>
                <w:sz w:val="21"/>
                <w:szCs w:val="21"/>
              </w:rPr>
              <w:t> </w:t>
            </w:r>
            <w:r>
              <w:rPr>
                <w:rFonts w:ascii="宋体" w:hAnsi="宋体" w:cs="宋体" w:eastAsia="宋体" w:hint="default"/>
                <w:sz w:val="21"/>
                <w:szCs w:val="21"/>
              </w:rPr>
              <w:t>民</w:t>
            </w:r>
            <w:r>
              <w:rPr>
                <w:rFonts w:ascii="宋体" w:hAnsi="宋体" w:cs="宋体" w:eastAsia="宋体" w:hint="default"/>
                <w:spacing w:val="-25"/>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5000</w:t>
            </w:r>
            <w:r>
              <w:rPr>
                <w:rFonts w:ascii="宋体" w:hAnsi="宋体" w:cs="宋体" w:eastAsia="宋体" w:hint="default"/>
                <w:spacing w:val="1"/>
                <w:sz w:val="21"/>
                <w:szCs w:val="21"/>
              </w:rPr>
              <w:t> </w:t>
            </w:r>
            <w:r>
              <w:rPr>
                <w:rFonts w:ascii="宋体" w:hAnsi="宋体" w:cs="宋体" w:eastAsia="宋体" w:hint="default"/>
                <w:sz w:val="21"/>
                <w:szCs w:val="21"/>
              </w:rPr>
              <w:t>万元；判</w:t>
            </w:r>
            <w:r>
              <w:rPr>
                <w:rFonts w:ascii="宋体" w:hAnsi="宋体" w:cs="宋体" w:eastAsia="宋体" w:hint="default"/>
                <w:w w:val="100"/>
                <w:sz w:val="21"/>
                <w:szCs w:val="21"/>
              </w:rPr>
              <w:t> </w:t>
            </w:r>
            <w:r>
              <w:rPr>
                <w:rFonts w:ascii="宋体" w:hAnsi="宋体" w:cs="宋体" w:eastAsia="宋体" w:hint="default"/>
                <w:spacing w:val="15"/>
                <w:sz w:val="21"/>
                <w:szCs w:val="21"/>
              </w:rPr>
              <w:t>令贵州中科建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设有限公司支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付公司资金占</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w w:val="100"/>
                <w:sz w:val="21"/>
                <w:szCs w:val="21"/>
              </w:rPr>
              <w:t>用费、逾期付款</w:t>
            </w:r>
            <w:r>
              <w:rPr>
                <w:rFonts w:ascii="宋体" w:hAnsi="宋体" w:cs="宋体" w:eastAsia="宋体" w:hint="default"/>
                <w:w w:val="100"/>
                <w:sz w:val="21"/>
                <w:szCs w:val="21"/>
              </w:rPr>
              <w:t> </w:t>
            </w:r>
            <w:r>
              <w:rPr>
                <w:rFonts w:ascii="宋体" w:hAnsi="宋体" w:cs="宋体" w:eastAsia="宋体" w:hint="default"/>
                <w:sz w:val="21"/>
                <w:szCs w:val="21"/>
              </w:rPr>
              <w:t>违</w:t>
            </w:r>
            <w:r>
              <w:rPr>
                <w:rFonts w:ascii="宋体" w:hAnsi="宋体" w:cs="宋体" w:eastAsia="宋体" w:hint="default"/>
                <w:spacing w:val="-25"/>
                <w:sz w:val="21"/>
                <w:szCs w:val="21"/>
              </w:rPr>
              <w:t> </w:t>
            </w:r>
            <w:r>
              <w:rPr>
                <w:rFonts w:ascii="宋体" w:hAnsi="宋体" w:cs="宋体" w:eastAsia="宋体" w:hint="default"/>
                <w:sz w:val="21"/>
                <w:szCs w:val="21"/>
              </w:rPr>
              <w:t>约</w:t>
            </w:r>
            <w:r>
              <w:rPr>
                <w:rFonts w:ascii="宋体" w:hAnsi="宋体" w:cs="宋体" w:eastAsia="宋体" w:hint="default"/>
                <w:spacing w:val="-28"/>
                <w:sz w:val="21"/>
                <w:szCs w:val="21"/>
              </w:rPr>
              <w:t> </w:t>
            </w:r>
            <w:r>
              <w:rPr>
                <w:rFonts w:ascii="宋体" w:hAnsi="宋体" w:cs="宋体" w:eastAsia="宋体" w:hint="default"/>
                <w:sz w:val="21"/>
                <w:szCs w:val="21"/>
              </w:rPr>
              <w:t>金</w:t>
            </w:r>
            <w:r>
              <w:rPr>
                <w:rFonts w:ascii="宋体" w:hAnsi="宋体" w:cs="宋体" w:eastAsia="宋体" w:hint="default"/>
                <w:spacing w:val="-28"/>
                <w:sz w:val="21"/>
                <w:szCs w:val="21"/>
              </w:rPr>
              <w:t> </w:t>
            </w:r>
            <w:r>
              <w:rPr>
                <w:rFonts w:ascii="宋体" w:hAnsi="宋体" w:cs="宋体" w:eastAsia="宋体" w:hint="default"/>
                <w:sz w:val="21"/>
                <w:szCs w:val="21"/>
              </w:rPr>
              <w:t>，</w:t>
            </w:r>
            <w:r>
              <w:rPr>
                <w:rFonts w:ascii="宋体" w:hAnsi="宋体" w:cs="宋体" w:eastAsia="宋体" w:hint="default"/>
                <w:spacing w:val="-25"/>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7</w:t>
            </w:r>
            <w:r>
              <w:rPr>
                <w:rFonts w:ascii="宋体" w:hAnsi="宋体" w:cs="宋体" w:eastAsia="宋体" w:hint="default"/>
                <w:spacing w:val="1"/>
                <w:sz w:val="21"/>
                <w:szCs w:val="21"/>
              </w:rPr>
              <w:t> </w:t>
            </w:r>
            <w:r>
              <w:rPr>
                <w:rFonts w:ascii="宋体" w:hAnsi="宋体" w:cs="宋体" w:eastAsia="宋体" w:hint="default"/>
                <w:sz w:val="21"/>
                <w:szCs w:val="21"/>
              </w:rPr>
              <w:t>月</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pacing w:val="14"/>
                <w:sz w:val="21"/>
                <w:szCs w:val="21"/>
              </w:rPr>
              <w:t>日起暂计至</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月</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日为人民币</w:t>
            </w:r>
          </w:p>
          <w:p>
            <w:pPr>
              <w:pStyle w:val="TableParagraph"/>
              <w:spacing w:line="273" w:lineRule="exact"/>
              <w:ind w:left="103" w:right="0"/>
              <w:jc w:val="both"/>
              <w:rPr>
                <w:rFonts w:ascii="宋体" w:hAnsi="宋体" w:cs="宋体" w:eastAsia="宋体" w:hint="default"/>
                <w:sz w:val="21"/>
                <w:szCs w:val="21"/>
              </w:rPr>
            </w:pPr>
            <w:r>
              <w:rPr>
                <w:rFonts w:ascii="宋体"/>
                <w:sz w:val="21"/>
              </w:rPr>
              <w:t>19,791,666.67</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此</w:t>
            </w:r>
            <w:r>
              <w:rPr>
                <w:rFonts w:ascii="宋体" w:hAnsi="宋体" w:cs="宋体" w:eastAsia="宋体" w:hint="default"/>
                <w:w w:val="100"/>
                <w:sz w:val="21"/>
                <w:szCs w:val="21"/>
              </w:rPr>
              <w:t>后</w:t>
            </w:r>
            <w:r>
              <w:rPr>
                <w:rFonts w:ascii="宋体" w:hAnsi="宋体" w:cs="宋体" w:eastAsia="宋体" w:hint="default"/>
                <w:spacing w:val="-3"/>
                <w:w w:val="100"/>
                <w:sz w:val="21"/>
                <w:szCs w:val="21"/>
              </w:rPr>
              <w:t>贵</w:t>
            </w:r>
            <w:r>
              <w:rPr>
                <w:rFonts w:ascii="宋体" w:hAnsi="宋体" w:cs="宋体" w:eastAsia="宋体" w:hint="default"/>
                <w:w w:val="100"/>
                <w:sz w:val="21"/>
                <w:szCs w:val="21"/>
              </w:rPr>
              <w:t>州中</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6979.166667</w:t>
            </w:r>
          </w:p>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万</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  司 </w:t>
            </w:r>
            <w:r>
              <w:rPr>
                <w:rFonts w:ascii="宋体" w:hAnsi="宋体" w:cs="宋体" w:eastAsia="宋体" w:hint="default"/>
                <w:spacing w:val="2"/>
                <w:sz w:val="21"/>
                <w:szCs w:val="21"/>
              </w:rPr>
              <w:t> </w:t>
            </w:r>
            <w:r>
              <w:rPr>
                <w:rFonts w:ascii="宋体" w:hAnsi="宋体" w:cs="宋体" w:eastAsia="宋体" w:hint="default"/>
                <w:sz w:val="21"/>
                <w:szCs w:val="21"/>
              </w:rPr>
              <w:t>于</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pacing w:val="2"/>
                <w:sz w:val="21"/>
                <w:szCs w:val="21"/>
              </w:rPr>
              <w:t> </w:t>
            </w:r>
            <w:r>
              <w:rPr>
                <w:rFonts w:ascii="宋体" w:hAnsi="宋体" w:cs="宋体" w:eastAsia="宋体" w:hint="default"/>
                <w:sz w:val="21"/>
                <w:szCs w:val="21"/>
              </w:rPr>
              <w:t>8</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16</w:t>
            </w:r>
            <w:r>
              <w:rPr>
                <w:rFonts w:ascii="宋体" w:hAnsi="宋体" w:cs="宋体" w:eastAsia="宋体" w:hint="default"/>
                <w:spacing w:val="2"/>
                <w:sz w:val="21"/>
                <w:szCs w:val="21"/>
              </w:rPr>
              <w:t> </w:t>
            </w:r>
            <w:r>
              <w:rPr>
                <w:rFonts w:ascii="宋体" w:hAnsi="宋体" w:cs="宋体" w:eastAsia="宋体" w:hint="default"/>
                <w:sz w:val="21"/>
                <w:szCs w:val="21"/>
              </w:rPr>
              <w:t>日召</w:t>
            </w:r>
            <w:r>
              <w:rPr>
                <w:rFonts w:ascii="宋体" w:hAnsi="宋体" w:cs="宋体" w:eastAsia="宋体" w:hint="default"/>
                <w:w w:val="100"/>
                <w:sz w:val="21"/>
                <w:szCs w:val="21"/>
              </w:rPr>
              <w:t> </w:t>
            </w:r>
            <w:r>
              <w:rPr>
                <w:rFonts w:ascii="宋体" w:hAnsi="宋体" w:cs="宋体" w:eastAsia="宋体" w:hint="default"/>
                <w:sz w:val="21"/>
                <w:szCs w:val="21"/>
              </w:rPr>
              <w:t>开第八届董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事会第四十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五次会议，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会议决定同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意公司与贵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州中科建设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中科建设开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发总公司签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署《和解协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r>
              <w:rPr>
                <w:rFonts w:ascii="宋体" w:hAnsi="宋体" w:cs="宋体" w:eastAsia="宋体" w:hint="default"/>
                <w:sz w:val="21"/>
                <w:szCs w:val="21"/>
              </w:rPr>
              <w:t>2017</w:t>
            </w:r>
            <w:r>
              <w:rPr>
                <w:rFonts w:ascii="宋体" w:hAnsi="宋体" w:cs="宋体" w:eastAsia="宋体" w:hint="default"/>
                <w:spacing w:val="-102"/>
                <w:sz w:val="21"/>
                <w:szCs w:val="21"/>
              </w:rPr>
              <w:t> </w:t>
            </w:r>
            <w:r>
              <w:rPr>
                <w:rFonts w:ascii="宋体" w:hAnsi="宋体" w:cs="宋体" w:eastAsia="宋体" w:hint="default"/>
                <w:sz w:val="21"/>
                <w:szCs w:val="21"/>
              </w:rPr>
              <w:t>年 </w:t>
            </w: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z w:val="21"/>
                <w:szCs w:val="21"/>
              </w:rPr>
              <w:t>26</w:t>
            </w:r>
            <w:r>
              <w:rPr>
                <w:rFonts w:ascii="宋体" w:hAnsi="宋体" w:cs="宋体" w:eastAsia="宋体" w:hint="default"/>
                <w:w w:val="100"/>
                <w:sz w:val="21"/>
                <w:szCs w:val="21"/>
              </w:rPr>
              <w:t> </w:t>
            </w:r>
            <w:r>
              <w:rPr>
                <w:rFonts w:ascii="宋体" w:hAnsi="宋体" w:cs="宋体" w:eastAsia="宋体" w:hint="default"/>
                <w:sz w:val="21"/>
                <w:szCs w:val="21"/>
              </w:rPr>
              <w:t>日，公司公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告收到陕西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省西安市中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级人民法院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作出的同意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公司撤回起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诉的《民事</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pacing w:val="51"/>
                <w:sz w:val="21"/>
                <w:szCs w:val="21"/>
              </w:rPr>
              <w:t>裁定书》</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陕 </w:t>
            </w:r>
            <w:r>
              <w:rPr>
                <w:rFonts w:ascii="宋体" w:hAnsi="宋体" w:cs="宋体" w:eastAsia="宋体" w:hint="default"/>
                <w:sz w:val="21"/>
                <w:szCs w:val="21"/>
              </w:rPr>
              <w:t>01</w:t>
            </w:r>
            <w:r>
              <w:rPr>
                <w:rFonts w:ascii="宋体" w:hAnsi="宋体" w:cs="宋体" w:eastAsia="宋体" w:hint="default"/>
                <w:spacing w:val="2"/>
                <w:sz w:val="21"/>
                <w:szCs w:val="21"/>
              </w:rPr>
              <w:t> </w:t>
            </w:r>
            <w:r>
              <w:rPr>
                <w:rFonts w:ascii="宋体" w:hAnsi="宋体" w:cs="宋体" w:eastAsia="宋体" w:hint="default"/>
                <w:sz w:val="21"/>
                <w:szCs w:val="21"/>
              </w:rPr>
              <w:t>民初</w:t>
            </w:r>
          </w:p>
          <w:p>
            <w:pPr>
              <w:pStyle w:val="TableParagraph"/>
              <w:spacing w:line="272" w:lineRule="exact" w:before="2"/>
              <w:ind w:left="103" w:right="99"/>
              <w:jc w:val="both"/>
              <w:rPr>
                <w:rFonts w:ascii="宋体" w:hAnsi="宋体" w:cs="宋体" w:eastAsia="宋体" w:hint="default"/>
                <w:sz w:val="21"/>
                <w:szCs w:val="21"/>
              </w:rPr>
            </w:pPr>
            <w:r>
              <w:rPr>
                <w:rFonts w:ascii="宋体" w:hAnsi="宋体" w:cs="宋体" w:eastAsia="宋体" w:hint="default"/>
                <w:sz w:val="21"/>
                <w:szCs w:val="21"/>
              </w:rPr>
              <w:t>670 </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宋体" w:hAnsi="宋体" w:cs="宋体" w:eastAsia="宋体" w:hint="default"/>
                <w:sz w:val="21"/>
                <w:szCs w:val="21"/>
              </w:rPr>
              <w:t>之</w:t>
            </w:r>
            <w:r>
              <w:rPr>
                <w:rFonts w:ascii="宋体" w:hAnsi="宋体" w:cs="宋体" w:eastAsia="宋体" w:hint="default"/>
                <w:w w:val="100"/>
                <w:sz w:val="21"/>
                <w:szCs w:val="21"/>
              </w:rPr>
              <w:t> </w:t>
            </w:r>
            <w:r>
              <w:rPr>
                <w:rFonts w:ascii="宋体" w:hAnsi="宋体" w:cs="宋体" w:eastAsia="宋体" w:hint="default"/>
                <w:sz w:val="21"/>
                <w:szCs w:val="21"/>
              </w:rPr>
              <w:t>二）。</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0" w:right="254"/>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12</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22</w:t>
            </w:r>
            <w:r>
              <w:rPr>
                <w:rFonts w:ascii="宋体" w:hAnsi="宋体" w:cs="宋体" w:eastAsia="宋体" w:hint="default"/>
                <w:spacing w:val="-55"/>
                <w:w w:val="100"/>
                <w:sz w:val="21"/>
                <w:szCs w:val="21"/>
              </w:rPr>
              <w:t> </w:t>
            </w:r>
            <w:r>
              <w:rPr>
                <w:rFonts w:ascii="宋体" w:hAnsi="宋体" w:cs="宋体" w:eastAsia="宋体" w:hint="default"/>
                <w:spacing w:val="-36"/>
                <w:w w:val="100"/>
                <w:sz w:val="21"/>
                <w:szCs w:val="21"/>
              </w:rPr>
              <w:t>日，公</w:t>
            </w:r>
            <w:r>
              <w:rPr>
                <w:rFonts w:ascii="宋体" w:hAnsi="宋体" w:cs="宋体" w:eastAsia="宋体" w:hint="default"/>
                <w:w w:val="100"/>
                <w:sz w:val="21"/>
                <w:szCs w:val="21"/>
              </w:rPr>
              <w:t> </w:t>
            </w:r>
            <w:r>
              <w:rPr>
                <w:rFonts w:ascii="宋体" w:hAnsi="宋体" w:cs="宋体" w:eastAsia="宋体" w:hint="default"/>
                <w:sz w:val="21"/>
                <w:szCs w:val="21"/>
              </w:rPr>
              <w:t>司公告已收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回全部欠款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50,310,379</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元。</w:t>
            </w:r>
          </w:p>
        </w:tc>
      </w:tr>
    </w:tbl>
    <w:p>
      <w:pPr>
        <w:spacing w:after="0" w:line="271" w:lineRule="exact"/>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81"/>
        <w:gridCol w:w="852"/>
        <w:gridCol w:w="487"/>
        <w:gridCol w:w="488"/>
        <w:gridCol w:w="1582"/>
        <w:gridCol w:w="1371"/>
        <w:gridCol w:w="578"/>
        <w:gridCol w:w="1268"/>
        <w:gridCol w:w="578"/>
        <w:gridCol w:w="1265"/>
      </w:tblGrid>
      <w:tr>
        <w:trPr>
          <w:trHeight w:val="278" w:hRule="exact"/>
        </w:trPr>
        <w:tc>
          <w:tcPr>
            <w:tcW w:w="58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488" w:type="dxa"/>
            <w:vMerge w:val="restart"/>
            <w:tcBorders>
              <w:top w:val="single" w:sz="4" w:space="0" w:color="000000"/>
              <w:left w:val="single" w:sz="4" w:space="0" w:color="000000"/>
              <w:right w:val="single" w:sz="4" w:space="0" w:color="000000"/>
            </w:tcBorders>
          </w:tcPr>
          <w:p>
            <w:pP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科建设有限公</w:t>
            </w:r>
          </w:p>
        </w:tc>
        <w:tc>
          <w:tcPr>
            <w:tcW w:w="1371"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司应当按照年</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利率 </w:t>
            </w: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pacing w:val="10"/>
                <w:sz w:val="21"/>
                <w:szCs w:val="21"/>
              </w:rPr>
              <w:t>支付</w:t>
            </w:r>
            <w:r>
              <w:rPr>
                <w:rFonts w:ascii="宋体" w:hAnsi="宋体" w:cs="宋体" w:eastAsia="宋体" w:hint="default"/>
                <w:spacing w:val="-84"/>
                <w:sz w:val="21"/>
                <w:szCs w:val="21"/>
              </w:rPr>
              <w:t> </w:t>
            </w:r>
            <w:r>
              <w:rPr>
                <w:rFonts w:ascii="宋体" w:hAnsi="宋体" w:cs="宋体" w:eastAsia="宋体" w:hint="default"/>
                <w:sz w:val="21"/>
                <w:szCs w:val="21"/>
              </w:rPr>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1"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资金</w:t>
            </w:r>
            <w:r>
              <w:rPr>
                <w:rFonts w:ascii="宋体" w:hAnsi="宋体" w:cs="宋体" w:eastAsia="宋体" w:hint="default"/>
                <w:spacing w:val="-3"/>
                <w:w w:val="100"/>
                <w:sz w:val="21"/>
                <w:szCs w:val="21"/>
              </w:rPr>
              <w:t>占</w:t>
            </w:r>
            <w:r>
              <w:rPr>
                <w:rFonts w:ascii="宋体" w:hAnsi="宋体" w:cs="宋体" w:eastAsia="宋体" w:hint="default"/>
                <w:w w:val="100"/>
                <w:sz w:val="21"/>
                <w:szCs w:val="21"/>
              </w:rPr>
              <w:t>用</w:t>
            </w:r>
            <w:r>
              <w:rPr>
                <w:rFonts w:ascii="宋体" w:hAnsi="宋体" w:cs="宋体" w:eastAsia="宋体" w:hint="default"/>
                <w:spacing w:val="-3"/>
                <w:w w:val="100"/>
                <w:sz w:val="21"/>
                <w:szCs w:val="21"/>
              </w:rPr>
              <w:t>费</w:t>
            </w:r>
            <w:r>
              <w:rPr>
                <w:rFonts w:ascii="宋体" w:hAnsi="宋体" w:cs="宋体" w:eastAsia="宋体" w:hint="default"/>
                <w:spacing w:val="-106"/>
                <w:w w:val="100"/>
                <w:sz w:val="21"/>
                <w:szCs w:val="21"/>
              </w:rPr>
              <w:t>、</w:t>
            </w:r>
            <w:r>
              <w:rPr>
                <w:rFonts w:ascii="宋体" w:hAnsi="宋体" w:cs="宋体" w:eastAsia="宋体" w:hint="default"/>
                <w:w w:val="100"/>
                <w:sz w:val="21"/>
                <w:szCs w:val="21"/>
              </w:rPr>
              <w:t>逾</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期付款违约金</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直至项目建设</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资金本金全部</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返还付清之日</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止</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要</w:t>
            </w:r>
            <w:r>
              <w:rPr>
                <w:rFonts w:ascii="宋体" w:hAnsi="宋体" w:cs="宋体" w:eastAsia="宋体" w:hint="default"/>
                <w:spacing w:val="-1"/>
                <w:w w:val="100"/>
                <w:sz w:val="21"/>
                <w:szCs w:val="21"/>
              </w:rPr>
              <w:t>求</w:t>
            </w:r>
            <w:r>
              <w:rPr>
                <w:rFonts w:ascii="宋体" w:hAnsi="宋体" w:cs="宋体" w:eastAsia="宋体" w:hint="default"/>
                <w:w w:val="100"/>
                <w:sz w:val="21"/>
                <w:szCs w:val="21"/>
              </w:rPr>
              <w:t>判</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令中科建设开</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发总公司对贵</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3"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州中科建设有</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3"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限公司上述债</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务承担连带清</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偿责</w:t>
            </w:r>
            <w:r>
              <w:rPr>
                <w:rFonts w:ascii="宋体" w:hAnsi="宋体" w:cs="宋体" w:eastAsia="宋体" w:hint="default"/>
                <w:spacing w:val="-3"/>
                <w:w w:val="100"/>
                <w:sz w:val="21"/>
                <w:szCs w:val="21"/>
              </w:rPr>
              <w:t>任</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暂</w:t>
            </w:r>
            <w:r>
              <w:rPr>
                <w:rFonts w:ascii="宋体" w:hAnsi="宋体" w:cs="宋体" w:eastAsia="宋体" w:hint="default"/>
                <w:w w:val="100"/>
                <w:sz w:val="21"/>
                <w:szCs w:val="21"/>
              </w:rPr>
              <w:t>合计</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tabs>
                <w:tab w:pos="681" w:val="left" w:leader="none"/>
                <w:tab w:pos="1259" w:val="left" w:leader="none"/>
              </w:tabs>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tab/>
              <w:t>民</w:t>
              <w:tab/>
              <w:t>币</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2" w:hRule="exact"/>
        </w:trPr>
        <w:tc>
          <w:tcPr>
            <w:tcW w:w="58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488"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69,791,666.67</w:t>
            </w:r>
          </w:p>
        </w:tc>
        <w:tc>
          <w:tcPr>
            <w:tcW w:w="1371"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277" w:hRule="exact"/>
        </w:trPr>
        <w:tc>
          <w:tcPr>
            <w:tcW w:w="58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488" w:type="dxa"/>
            <w:vMerge/>
            <w:tcBorders>
              <w:left w:val="single" w:sz="4" w:space="0" w:color="000000"/>
              <w:bottom w:val="single" w:sz="4" w:space="0" w:color="000000"/>
              <w:right w:val="single" w:sz="4" w:space="0" w:color="000000"/>
            </w:tcBorders>
          </w:tcPr>
          <w:p>
            <w:pPr/>
          </w:p>
        </w:tc>
        <w:tc>
          <w:tcPr>
            <w:tcW w:w="1582"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71"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4"/>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060" w:val="left" w:leader="none"/>
        </w:tabs>
        <w:spacing w:line="240" w:lineRule="auto" w:before="29"/>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638" w:right="97"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74" w:lineRule="exact" w:before="56"/>
        <w:ind w:right="2465"/>
        <w:jc w:val="left"/>
      </w:pPr>
      <w:r>
        <w:rPr/>
        <w:t>√适用</w:t>
      </w:r>
      <w:r>
        <w:rPr>
          <w:spacing w:val="-1"/>
        </w:rPr>
        <w:t> </w:t>
      </w:r>
      <w:r>
        <w:rPr/>
        <w:t>□不适用</w:t>
      </w:r>
    </w:p>
    <w:p>
      <w:pPr>
        <w:pStyle w:val="BodyText"/>
        <w:spacing w:line="355" w:lineRule="auto"/>
        <w:ind w:right="97"/>
        <w:jc w:val="left"/>
      </w:pPr>
      <w:r>
        <w:rPr>
          <w:rFonts w:ascii="宋体" w:hAnsi="宋体" w:cs="宋体" w:eastAsia="宋体" w:hint="default"/>
          <w:spacing w:val="-9"/>
          <w:w w:val="100"/>
        </w:rPr>
        <w:t>1</w:t>
      </w:r>
      <w:r>
        <w:rPr>
          <w:spacing w:val="-9"/>
          <w:w w:val="100"/>
        </w:rPr>
        <w:t>、</w:t>
      </w:r>
      <w:r>
        <w:rPr>
          <w:rFonts w:ascii="宋体" w:hAnsi="宋体" w:cs="宋体" w:eastAsia="宋体" w:hint="default"/>
          <w:spacing w:val="-9"/>
          <w:w w:val="100"/>
        </w:rPr>
        <w:t>2017</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5</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18</w:t>
      </w:r>
      <w:r>
        <w:rPr>
          <w:rFonts w:ascii="宋体" w:hAnsi="宋体" w:cs="宋体" w:eastAsia="宋体" w:hint="default"/>
          <w:spacing w:val="-53"/>
          <w:w w:val="100"/>
        </w:rPr>
        <w:t> </w:t>
      </w:r>
      <w:r>
        <w:rPr>
          <w:spacing w:val="-7"/>
          <w:w w:val="100"/>
        </w:rPr>
        <w:t>日，公司收到中国证监会《行政处罚决定书》</w:t>
      </w:r>
      <w:r>
        <w:rPr>
          <w:rFonts w:ascii="宋体" w:hAnsi="宋体" w:cs="宋体" w:eastAsia="宋体" w:hint="default"/>
          <w:spacing w:val="-7"/>
          <w:w w:val="100"/>
        </w:rPr>
        <w:t>[2017]47</w:t>
      </w:r>
      <w:r>
        <w:rPr>
          <w:rFonts w:ascii="宋体" w:hAnsi="宋体" w:cs="宋体" w:eastAsia="宋体" w:hint="default"/>
          <w:spacing w:val="-53"/>
          <w:w w:val="100"/>
        </w:rPr>
        <w:t> </w:t>
      </w:r>
      <w:r>
        <w:rPr>
          <w:spacing w:val="-11"/>
          <w:w w:val="100"/>
        </w:rPr>
        <w:t>号、《行政处罚决定书》</w:t>
      </w:r>
      <w:r>
        <w:rPr>
          <w:w w:val="100"/>
        </w:rPr>
        <w:t> </w:t>
      </w:r>
      <w:r>
        <w:rPr>
          <w:rFonts w:ascii="宋体" w:hAnsi="宋体" w:cs="宋体" w:eastAsia="宋体" w:hint="default"/>
        </w:rPr>
        <w:t>[2017]48</w:t>
      </w:r>
      <w:r>
        <w:rPr>
          <w:rFonts w:ascii="宋体" w:hAnsi="宋体" w:cs="宋体" w:eastAsia="宋体" w:hint="default"/>
          <w:spacing w:val="-57"/>
        </w:rPr>
        <w:t> </w:t>
      </w:r>
      <w:r>
        <w:rPr/>
        <w:t>号、《行政处罚决定书》</w:t>
      </w:r>
      <w:r>
        <w:rPr>
          <w:rFonts w:ascii="宋体" w:hAnsi="宋体" w:cs="宋体" w:eastAsia="宋体" w:hint="default"/>
        </w:rPr>
        <w:t>[2017]49</w:t>
      </w:r>
      <w:r>
        <w:rPr>
          <w:rFonts w:ascii="宋体" w:hAnsi="宋体" w:cs="宋体" w:eastAsia="宋体" w:hint="default"/>
          <w:spacing w:val="-57"/>
        </w:rPr>
        <w:t> </w:t>
      </w:r>
      <w:r>
        <w:rPr/>
        <w:t>号、《行政处罚决定书》</w:t>
      </w:r>
      <w:r>
        <w:rPr>
          <w:rFonts w:ascii="宋体" w:hAnsi="宋体" w:cs="宋体" w:eastAsia="宋体" w:hint="default"/>
        </w:rPr>
        <w:t>[2017]50</w:t>
      </w:r>
      <w:r>
        <w:rPr>
          <w:rFonts w:ascii="宋体" w:hAnsi="宋体" w:cs="宋体" w:eastAsia="宋体" w:hint="default"/>
          <w:spacing w:val="-54"/>
        </w:rPr>
        <w:t> </w:t>
      </w:r>
      <w:r>
        <w:rPr/>
        <w:t>号，就前期违法</w:t>
      </w:r>
      <w:r>
        <w:rPr>
          <w:w w:val="100"/>
        </w:rPr>
        <w:t> </w:t>
      </w:r>
      <w:r>
        <w:rPr/>
        <w:t>违规事项对公司以及顾国平、鲜言等相关个人进行处罚。</w:t>
      </w:r>
    </w:p>
    <w:p>
      <w:pPr>
        <w:pStyle w:val="BodyText"/>
        <w:spacing w:line="355" w:lineRule="auto" w:before="32"/>
        <w:ind w:right="97"/>
        <w:jc w:val="left"/>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w:t>
      </w:r>
      <w:r>
        <w:rPr>
          <w:rFonts w:ascii="宋体" w:hAnsi="宋体" w:cs="宋体" w:eastAsia="宋体" w:hint="default"/>
          <w:spacing w:val="-54"/>
        </w:rPr>
        <w:t> </w:t>
      </w:r>
      <w:r>
        <w:rPr/>
        <w:t>日，公司收到上海证券交易所《纪律处分决定书》</w:t>
      </w:r>
      <w:r>
        <w:rPr>
          <w:rFonts w:ascii="宋体" w:hAnsi="宋体" w:cs="宋体" w:eastAsia="宋体" w:hint="default"/>
        </w:rPr>
        <w:t>[2017]26</w:t>
      </w:r>
      <w:r>
        <w:rPr>
          <w:rFonts w:ascii="宋体" w:hAnsi="宋体" w:cs="宋体" w:eastAsia="宋体" w:hint="default"/>
          <w:spacing w:val="-53"/>
        </w:rPr>
        <w:t> </w:t>
      </w:r>
      <w:r>
        <w:rPr/>
        <w:t>号，就前期违规事</w:t>
      </w:r>
      <w:r>
        <w:rPr>
          <w:w w:val="100"/>
        </w:rPr>
        <w:t> </w:t>
      </w:r>
      <w:r>
        <w:rPr/>
        <w:t>项对公司以及顾国平、鲜言等相关个人进行纪律处分。</w:t>
      </w:r>
    </w:p>
    <w:p>
      <w:pPr>
        <w:pStyle w:val="BodyText"/>
        <w:spacing w:line="357" w:lineRule="auto" w:before="34"/>
        <w:ind w:right="238"/>
        <w:jc w:val="both"/>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4"/>
        </w:rPr>
        <w:t> </w:t>
      </w:r>
      <w:r>
        <w:rPr/>
        <w:t>日，公司发布《广西慧金科技股份有限公司关于信息披露、公司治理相关问题</w:t>
      </w:r>
      <w:r>
        <w:rPr>
          <w:w w:val="100"/>
        </w:rPr>
        <w:t> </w:t>
      </w:r>
      <w:r>
        <w:rPr>
          <w:spacing w:val="-2"/>
        </w:rPr>
        <w:t>整改情况的公告》，严格按照监管部门要求，对前期违法违规事项进行了全面清查和整改，同时</w:t>
      </w:r>
      <w:r>
        <w:rPr>
          <w:spacing w:val="-25"/>
        </w:rPr>
        <w:t> </w:t>
      </w:r>
      <w:r>
        <w:rPr>
          <w:spacing w:val="-25"/>
        </w:rPr>
      </w:r>
      <w:r>
        <w:rPr/>
        <w:t>公司股票申请复牌交易。</w:t>
      </w:r>
    </w:p>
    <w:p>
      <w:pPr>
        <w:spacing w:line="240" w:lineRule="auto" w:before="11"/>
        <w:rPr>
          <w:rFonts w:ascii="宋体" w:hAnsi="宋体" w:cs="宋体" w:eastAsia="宋体" w:hint="default"/>
          <w:sz w:val="27"/>
          <w:szCs w:val="27"/>
        </w:rPr>
      </w:pPr>
    </w:p>
    <w:p>
      <w:pPr>
        <w:pStyle w:val="Heading4"/>
        <w:spacing w:line="240" w:lineRule="auto"/>
        <w:ind w:right="2465"/>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6"/>
        <w:ind w:right="448"/>
        <w:jc w:val="left"/>
      </w:pPr>
      <w:r>
        <w:rPr>
          <w:spacing w:val="-1"/>
        </w:rPr>
        <w:t>√适用</w:t>
        <w:tab/>
      </w:r>
      <w:r>
        <w:rPr>
          <w:spacing w:val="-2"/>
        </w:rPr>
        <w:t>□不适用</w:t>
      </w:r>
      <w:r>
        <w:rPr>
          <w:spacing w:val="-99"/>
        </w:rPr>
        <w:t> </w:t>
      </w:r>
      <w:r>
        <w:rPr>
          <w:spacing w:val="-99"/>
        </w:rPr>
      </w:r>
      <w:r>
        <w:rPr>
          <w:spacing w:val="-2"/>
        </w:rPr>
        <w:t>控股股东及实际控制人不存在未履行法院生效判决、所负数额较大的债务到期未清偿等情况。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92" w:lineRule="auto"/>
        <w:ind w:right="15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0"/>
        <w:ind w:right="2465"/>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spacing w:line="290"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其他说明</w:t>
      </w:r>
    </w:p>
    <w:p>
      <w:pPr>
        <w:pStyle w:val="BodyText"/>
        <w:tabs>
          <w:tab w:pos="1060" w:val="left" w:leader="none"/>
        </w:tabs>
        <w:spacing w:line="274" w:lineRule="exact"/>
        <w:ind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员工持股计划情况</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其他激励措施</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十四、重大关联交易</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w:t>
      </w:r>
      <w:r>
        <w:rPr>
          <w:spacing w:val="-1"/>
        </w:rPr>
        <w:t> </w:t>
      </w:r>
      <w:r>
        <w:rPr/>
        <w:t>√不适用</w:t>
      </w:r>
    </w:p>
    <w:p>
      <w:pPr>
        <w:pStyle w:val="Heading4"/>
        <w:spacing w:line="240" w:lineRule="auto" w:before="58"/>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2" w:lineRule="auto" w:before="56"/>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10"/>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将公司在前实际控制人控制期间购买的设备以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账面净值转让给其指定公司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披露</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治</w:t>
            </w:r>
            <w:r>
              <w:rPr>
                <w:rFonts w:ascii="宋体" w:hAnsi="宋体" w:cs="宋体" w:eastAsia="宋体" w:hint="default"/>
                <w:w w:val="100"/>
                <w:sz w:val="21"/>
                <w:szCs w:val="21"/>
              </w:rPr>
              <w:t>理</w:t>
            </w:r>
            <w:r>
              <w:rPr>
                <w:rFonts w:ascii="宋体" w:hAnsi="宋体" w:cs="宋体" w:eastAsia="宋体" w:hint="default"/>
                <w:spacing w:val="-3"/>
                <w:w w:val="100"/>
                <w:sz w:val="21"/>
                <w:szCs w:val="21"/>
              </w:rPr>
              <w:t>相</w:t>
            </w:r>
            <w:r>
              <w:rPr>
                <w:rFonts w:ascii="宋体" w:hAnsi="宋体" w:cs="宋体" w:eastAsia="宋体" w:hint="default"/>
                <w:w w:val="100"/>
                <w:sz w:val="21"/>
                <w:szCs w:val="21"/>
              </w:rPr>
              <w:t>关问</w:t>
            </w:r>
            <w:r>
              <w:rPr>
                <w:rFonts w:ascii="宋体" w:hAnsi="宋体" w:cs="宋体" w:eastAsia="宋体" w:hint="default"/>
                <w:spacing w:val="-3"/>
                <w:w w:val="100"/>
                <w:sz w:val="21"/>
                <w:szCs w:val="21"/>
              </w:rPr>
              <w:t>题</w:t>
            </w:r>
            <w:r>
              <w:rPr>
                <w:rFonts w:ascii="宋体" w:hAnsi="宋体" w:cs="宋体" w:eastAsia="宋体" w:hint="default"/>
                <w:w w:val="100"/>
                <w:sz w:val="21"/>
                <w:szCs w:val="21"/>
              </w:rPr>
              <w:t>整</w:t>
            </w:r>
            <w:r>
              <w:rPr>
                <w:rFonts w:ascii="宋体" w:hAnsi="宋体" w:cs="宋体" w:eastAsia="宋体" w:hint="default"/>
                <w:spacing w:val="-3"/>
                <w:w w:val="100"/>
                <w:sz w:val="21"/>
                <w:szCs w:val="21"/>
              </w:rPr>
              <w:t>改</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告（临</w:t>
            </w:r>
            <w:r>
              <w:rPr>
                <w:rFonts w:ascii="宋体" w:hAnsi="宋体" w:cs="宋体" w:eastAsia="宋体" w:hint="default"/>
                <w:spacing w:val="-54"/>
                <w:sz w:val="21"/>
                <w:szCs w:val="21"/>
              </w:rPr>
              <w:t> </w:t>
            </w:r>
            <w:r>
              <w:rPr>
                <w:rFonts w:ascii="宋体" w:hAnsi="宋体" w:cs="宋体" w:eastAsia="宋体" w:hint="default"/>
                <w:sz w:val="21"/>
                <w:szCs w:val="21"/>
              </w:rPr>
              <w:t>2017-064</w:t>
            </w:r>
            <w:r>
              <w:rPr>
                <w:rFonts w:ascii="宋体" w:hAnsi="宋体" w:cs="宋体" w:eastAsia="宋体" w:hint="default"/>
                <w:sz w:val="21"/>
                <w:szCs w:val="21"/>
              </w:rPr>
              <w:t>）</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before="3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w:t>
      </w:r>
      <w:r>
        <w:rPr>
          <w:spacing w:val="-1"/>
        </w:rPr>
        <w:t> </w:t>
      </w:r>
      <w:r>
        <w:rPr/>
        <w:t>√不适用</w:t>
      </w:r>
    </w:p>
    <w:p>
      <w:pPr>
        <w:pStyle w:val="Heading4"/>
        <w:spacing w:line="240" w:lineRule="auto" w:before="59"/>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after="0" w:line="240" w:lineRule="auto"/>
        <w:jc w:val="left"/>
        <w:sectPr>
          <w:footerReference w:type="default" r:id="rId15"/>
          <w:pgSz w:w="11910" w:h="16840"/>
          <w:pgMar w:footer="1195" w:header="880" w:top="1120" w:bottom="1380" w:left="1580" w:right="104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公司现任管理层上任后对鲜言及其关联方与公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司的款项进行清理。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治</w:t>
            </w:r>
            <w:r>
              <w:rPr>
                <w:rFonts w:ascii="宋体" w:hAnsi="宋体" w:cs="宋体" w:eastAsia="宋体" w:hint="default"/>
                <w:w w:val="100"/>
                <w:sz w:val="21"/>
                <w:szCs w:val="21"/>
              </w:rPr>
              <w:t>理</w:t>
            </w:r>
            <w:r>
              <w:rPr>
                <w:rFonts w:ascii="宋体" w:hAnsi="宋体" w:cs="宋体" w:eastAsia="宋体" w:hint="default"/>
                <w:spacing w:val="-3"/>
                <w:w w:val="100"/>
                <w:sz w:val="21"/>
                <w:szCs w:val="21"/>
              </w:rPr>
              <w:t>相</w:t>
            </w:r>
            <w:r>
              <w:rPr>
                <w:rFonts w:ascii="宋体" w:hAnsi="宋体" w:cs="宋体" w:eastAsia="宋体" w:hint="default"/>
                <w:w w:val="100"/>
                <w:sz w:val="21"/>
                <w:szCs w:val="21"/>
              </w:rPr>
              <w:t>关问</w:t>
            </w:r>
            <w:r>
              <w:rPr>
                <w:rFonts w:ascii="宋体" w:hAnsi="宋体" w:cs="宋体" w:eastAsia="宋体" w:hint="default"/>
                <w:spacing w:val="-3"/>
                <w:w w:val="100"/>
                <w:sz w:val="21"/>
                <w:szCs w:val="21"/>
              </w:rPr>
              <w:t>题</w:t>
            </w:r>
            <w:r>
              <w:rPr>
                <w:rFonts w:ascii="宋体" w:hAnsi="宋体" w:cs="宋体" w:eastAsia="宋体" w:hint="default"/>
                <w:w w:val="100"/>
                <w:sz w:val="21"/>
                <w:szCs w:val="21"/>
              </w:rPr>
              <w:t>整</w:t>
            </w:r>
            <w:r>
              <w:rPr>
                <w:rFonts w:ascii="宋体" w:hAnsi="宋体" w:cs="宋体" w:eastAsia="宋体" w:hint="default"/>
                <w:spacing w:val="-3"/>
                <w:w w:val="100"/>
                <w:sz w:val="21"/>
                <w:szCs w:val="21"/>
              </w:rPr>
              <w:t>改</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告（临</w:t>
            </w:r>
            <w:r>
              <w:rPr>
                <w:rFonts w:ascii="宋体" w:hAnsi="宋体" w:cs="宋体" w:eastAsia="宋体" w:hint="default"/>
                <w:spacing w:val="-54"/>
                <w:sz w:val="21"/>
                <w:szCs w:val="21"/>
              </w:rPr>
              <w:t> </w:t>
            </w:r>
            <w:r>
              <w:rPr>
                <w:rFonts w:ascii="宋体" w:hAnsi="宋体" w:cs="宋体" w:eastAsia="宋体" w:hint="default"/>
                <w:sz w:val="21"/>
                <w:szCs w:val="21"/>
              </w:rPr>
              <w:t>2017-064</w:t>
            </w:r>
            <w:r>
              <w:rPr>
                <w:rFonts w:ascii="宋体" w:hAnsi="宋体" w:cs="宋体" w:eastAsia="宋体" w:hint="default"/>
                <w:sz w:val="21"/>
                <w:szCs w:val="21"/>
              </w:rPr>
              <w:t>）</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2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43"/>
        <w:gridCol w:w="1513"/>
        <w:gridCol w:w="984"/>
        <w:gridCol w:w="1088"/>
        <w:gridCol w:w="1061"/>
        <w:gridCol w:w="979"/>
        <w:gridCol w:w="997"/>
        <w:gridCol w:w="1032"/>
      </w:tblGrid>
      <w:tr>
        <w:trPr>
          <w:trHeight w:val="554" w:hRule="exact"/>
        </w:trPr>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0"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0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281" w:hRule="exact"/>
        </w:trPr>
        <w:tc>
          <w:tcPr>
            <w:tcW w:w="1243" w:type="dxa"/>
            <w:vMerge/>
            <w:tcBorders>
              <w:left w:val="single" w:sz="4" w:space="0" w:color="000000"/>
              <w:bottom w:val="single" w:sz="4" w:space="0" w:color="000000"/>
              <w:right w:val="single" w:sz="4" w:space="0" w:color="000000"/>
            </w:tcBorders>
          </w:tcPr>
          <w:p>
            <w:pPr/>
          </w:p>
        </w:tc>
        <w:tc>
          <w:tcPr>
            <w:tcW w:w="1513"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上海躬盛网</w:t>
            </w:r>
          </w:p>
          <w:p>
            <w:pPr>
              <w:pStyle w:val="TableParagraph"/>
              <w:spacing w:line="240" w:lineRule="auto"/>
              <w:ind w:left="26" w:right="151"/>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1,474.56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sz w:val="21"/>
              </w:rPr>
              <w:t>-1,003.26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471.3</w:t>
            </w:r>
          </w:p>
        </w:tc>
        <w:tc>
          <w:tcPr>
            <w:tcW w:w="97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1,474.56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sz w:val="21"/>
              </w:rPr>
              <w:t>-1,003.26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471.3</w:t>
            </w:r>
          </w:p>
        </w:tc>
        <w:tc>
          <w:tcPr>
            <w:tcW w:w="97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1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在前实际控制人控制期间公司为前实际控制人垫付员工工资、费用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w:t>
            </w:r>
          </w:p>
        </w:tc>
      </w:tr>
      <w:tr>
        <w:trPr>
          <w:trHeight w:val="283" w:hRule="exact"/>
        </w:trPr>
        <w:tc>
          <w:tcPr>
            <w:tcW w:w="2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61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占用了公司经营性资金</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9"/>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日，公司与亨德来实业发展（深圳）有限公司（以下简称“亨德来”）签署</w:t>
      </w:r>
    </w:p>
    <w:p>
      <w:pPr>
        <w:pStyle w:val="BodyText"/>
        <w:spacing w:line="355" w:lineRule="auto" w:before="135"/>
        <w:ind w:left="138" w:right="324"/>
        <w:jc w:val="both"/>
      </w:pPr>
      <w:r>
        <w:rPr>
          <w:spacing w:val="-5"/>
        </w:rPr>
        <w:t>了两份《深圳市房屋租赁合同书》，分别承租亨德来位于深圳市福田区金田路</w:t>
      </w:r>
      <w:r>
        <w:rPr>
          <w:spacing w:val="-36"/>
        </w:rPr>
        <w:t> </w:t>
      </w:r>
      <w:r>
        <w:rPr>
          <w:rFonts w:ascii="宋体" w:hAnsi="宋体" w:cs="宋体" w:eastAsia="宋体" w:hint="default"/>
        </w:rPr>
        <w:t>4036</w:t>
      </w:r>
      <w:r>
        <w:rPr>
          <w:rFonts w:ascii="宋体" w:hAnsi="宋体" w:cs="宋体" w:eastAsia="宋体" w:hint="default"/>
          <w:spacing w:val="-38"/>
        </w:rPr>
        <w:t> </w:t>
      </w:r>
      <w:r>
        <w:rPr/>
        <w:t>号荣超大厦办</w:t>
      </w:r>
      <w:r>
        <w:rPr>
          <w:spacing w:val="-68"/>
        </w:rPr>
        <w:t> </w:t>
      </w:r>
      <w:r>
        <w:rPr>
          <w:spacing w:val="-68"/>
        </w:rPr>
      </w:r>
      <w:r>
        <w:rPr/>
        <w:t>公</w:t>
      </w:r>
      <w:r>
        <w:rPr>
          <w:spacing w:val="-46"/>
        </w:rPr>
        <w:t> </w:t>
      </w:r>
      <w:r>
        <w:rPr>
          <w:rFonts w:ascii="宋体" w:hAnsi="宋体" w:cs="宋体" w:eastAsia="宋体" w:hint="default"/>
        </w:rPr>
        <w:t>05</w:t>
      </w:r>
      <w:r>
        <w:rPr>
          <w:rFonts w:ascii="宋体" w:hAnsi="宋体" w:cs="宋体" w:eastAsia="宋体" w:hint="default"/>
          <w:spacing w:val="-48"/>
        </w:rPr>
        <w:t> </w:t>
      </w:r>
      <w:r>
        <w:rPr/>
        <w:t>层</w:t>
      </w:r>
      <w:r>
        <w:rPr>
          <w:spacing w:val="-46"/>
        </w:rPr>
        <w:t> </w:t>
      </w:r>
      <w:r>
        <w:rPr>
          <w:rFonts w:ascii="宋体" w:hAnsi="宋体" w:cs="宋体" w:eastAsia="宋体" w:hint="default"/>
          <w:spacing w:val="-4"/>
        </w:rPr>
        <w:t>01</w:t>
      </w:r>
      <w:r>
        <w:rPr>
          <w:spacing w:val="-4"/>
        </w:rPr>
        <w:t>、</w:t>
      </w:r>
      <w:r>
        <w:rPr>
          <w:rFonts w:ascii="宋体" w:hAnsi="宋体" w:cs="宋体" w:eastAsia="宋体" w:hint="default"/>
          <w:spacing w:val="-4"/>
        </w:rPr>
        <w:t>02</w:t>
      </w:r>
      <w:r>
        <w:rPr>
          <w:spacing w:val="-4"/>
        </w:rPr>
        <w:t>、</w:t>
      </w:r>
      <w:r>
        <w:rPr>
          <w:rFonts w:ascii="宋体" w:hAnsi="宋体" w:cs="宋体" w:eastAsia="宋体" w:hint="default"/>
          <w:spacing w:val="-4"/>
        </w:rPr>
        <w:t>03</w:t>
      </w:r>
      <w:r>
        <w:rPr>
          <w:spacing w:val="-4"/>
        </w:rPr>
        <w:t>、</w:t>
      </w:r>
      <w:r>
        <w:rPr>
          <w:rFonts w:ascii="宋体" w:hAnsi="宋体" w:cs="宋体" w:eastAsia="宋体" w:hint="default"/>
          <w:spacing w:val="-4"/>
        </w:rPr>
        <w:t>05</w:t>
      </w:r>
      <w:r>
        <w:rPr>
          <w:spacing w:val="-4"/>
        </w:rPr>
        <w:t>、</w:t>
      </w:r>
      <w:r>
        <w:rPr>
          <w:rFonts w:ascii="宋体" w:hAnsi="宋体" w:cs="宋体" w:eastAsia="宋体" w:hint="default"/>
          <w:spacing w:val="-4"/>
        </w:rPr>
        <w:t>06</w:t>
      </w:r>
      <w:r>
        <w:rPr>
          <w:rFonts w:ascii="宋体" w:hAnsi="宋体" w:cs="宋体" w:eastAsia="宋体" w:hint="default"/>
          <w:spacing w:val="-46"/>
        </w:rPr>
        <w:t> </w:t>
      </w:r>
      <w:r>
        <w:rPr/>
        <w:t>及</w:t>
      </w:r>
      <w:r>
        <w:rPr>
          <w:spacing w:val="-46"/>
        </w:rPr>
        <w:t> </w:t>
      </w:r>
      <w:r>
        <w:rPr>
          <w:rFonts w:ascii="宋体" w:hAnsi="宋体" w:cs="宋体" w:eastAsia="宋体" w:hint="default"/>
          <w:spacing w:val="-4"/>
        </w:rPr>
        <w:t>08</w:t>
      </w:r>
      <w:r>
        <w:rPr>
          <w:spacing w:val="-4"/>
        </w:rPr>
        <w:t>、</w:t>
      </w:r>
      <w:r>
        <w:rPr>
          <w:rFonts w:ascii="宋体" w:hAnsi="宋体" w:cs="宋体" w:eastAsia="宋体" w:hint="default"/>
          <w:spacing w:val="-4"/>
        </w:rPr>
        <w:t>09</w:t>
      </w:r>
      <w:r>
        <w:rPr>
          <w:spacing w:val="-4"/>
        </w:rPr>
        <w:t>、</w:t>
      </w:r>
      <w:r>
        <w:rPr>
          <w:rFonts w:ascii="宋体" w:hAnsi="宋体" w:cs="宋体" w:eastAsia="宋体" w:hint="default"/>
          <w:spacing w:val="-4"/>
        </w:rPr>
        <w:t>10</w:t>
      </w:r>
      <w:r>
        <w:rPr>
          <w:spacing w:val="-4"/>
        </w:rPr>
        <w:t>、</w:t>
      </w:r>
      <w:r>
        <w:rPr>
          <w:rFonts w:ascii="宋体" w:hAnsi="宋体" w:cs="宋体" w:eastAsia="宋体" w:hint="default"/>
          <w:spacing w:val="-4"/>
        </w:rPr>
        <w:t>11</w:t>
      </w:r>
      <w:r>
        <w:rPr>
          <w:spacing w:val="-4"/>
        </w:rPr>
        <w:t>、</w:t>
      </w:r>
      <w:r>
        <w:rPr>
          <w:rFonts w:ascii="宋体" w:hAnsi="宋体" w:cs="宋体" w:eastAsia="宋体" w:hint="default"/>
          <w:spacing w:val="-4"/>
        </w:rPr>
        <w:t>12</w:t>
      </w:r>
      <w:r>
        <w:rPr>
          <w:spacing w:val="-4"/>
        </w:rPr>
        <w:t>、</w:t>
      </w:r>
      <w:r>
        <w:rPr>
          <w:rFonts w:ascii="宋体" w:hAnsi="宋体" w:cs="宋体" w:eastAsia="宋体" w:hint="default"/>
          <w:spacing w:val="-4"/>
        </w:rPr>
        <w:t>13</w:t>
      </w:r>
      <w:r>
        <w:rPr>
          <w:rFonts w:ascii="宋体" w:hAnsi="宋体" w:cs="宋体" w:eastAsia="宋体" w:hint="default"/>
          <w:spacing w:val="-46"/>
        </w:rPr>
        <w:t> </w:t>
      </w:r>
      <w:r>
        <w:rPr>
          <w:spacing w:val="-3"/>
        </w:rPr>
        <w:t>单元的房屋，租赁房屋用途为办公，租</w:t>
      </w:r>
      <w:r>
        <w:rPr>
          <w:spacing w:val="-85"/>
        </w:rPr>
        <w:t> </w:t>
      </w:r>
      <w:r>
        <w:rPr>
          <w:spacing w:val="-85"/>
        </w:rPr>
      </w:r>
      <w:r>
        <w:rPr/>
        <w:t>赁期限分别为</w:t>
      </w:r>
      <w:r>
        <w:rPr>
          <w:spacing w:val="-51"/>
        </w:rPr>
        <w:t> </w:t>
      </w:r>
      <w:r>
        <w:rPr>
          <w:rFonts w:ascii="宋体" w:hAnsi="宋体" w:cs="宋体" w:eastAsia="宋体" w:hint="default"/>
        </w:rPr>
        <w:t>2016</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16</w:t>
      </w:r>
      <w:r>
        <w:rPr>
          <w:rFonts w:ascii="宋体" w:hAnsi="宋体" w:cs="宋体" w:eastAsia="宋体" w:hint="default"/>
          <w:spacing w:val="-53"/>
        </w:rPr>
        <w:t> </w:t>
      </w:r>
      <w:r>
        <w:rPr/>
        <w:t>日至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w:t>
      </w: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11</w:t>
      </w:r>
      <w:r>
        <w:rPr>
          <w:rFonts w:ascii="宋体" w:hAnsi="宋体" w:cs="宋体" w:eastAsia="宋体" w:hint="default"/>
          <w:spacing w:val="-51"/>
        </w:rPr>
        <w:t> </w:t>
      </w:r>
      <w:r>
        <w:rPr/>
        <w:t>月</w:t>
      </w:r>
      <w:r>
        <w:rPr>
          <w:spacing w:val="-48"/>
        </w:rPr>
        <w:t> </w:t>
      </w:r>
      <w:r>
        <w:rPr>
          <w:rFonts w:ascii="宋体" w:hAnsi="宋体" w:cs="宋体" w:eastAsia="宋体" w:hint="default"/>
        </w:rPr>
        <w:t>1</w:t>
      </w:r>
      <w:r>
        <w:rPr>
          <w:rFonts w:ascii="宋体" w:hAnsi="宋体" w:cs="宋体" w:eastAsia="宋体" w:hint="default"/>
          <w:spacing w:val="-51"/>
        </w:rPr>
        <w:t> </w:t>
      </w:r>
      <w:r>
        <w:rPr/>
        <w:t>日至</w:t>
      </w:r>
      <w:r>
        <w:rPr>
          <w:spacing w:val="-51"/>
        </w:rPr>
        <w:t> </w:t>
      </w:r>
      <w:r>
        <w:rPr>
          <w:rFonts w:ascii="宋体" w:hAnsi="宋体" w:cs="宋体" w:eastAsia="宋体" w:hint="default"/>
        </w:rPr>
        <w:t>2019</w:t>
      </w:r>
      <w:r>
        <w:rPr>
          <w:rFonts w:ascii="宋体" w:hAnsi="宋体" w:cs="宋体" w:eastAsia="宋体" w:hint="default"/>
          <w:spacing w:val="-47"/>
        </w:rPr>
        <w:t> </w:t>
      </w:r>
      <w:r>
        <w:rPr/>
        <w:t>年</w:t>
      </w:r>
      <w:r>
        <w:rPr>
          <w:spacing w:val="-51"/>
        </w:rPr>
        <w:t> </w:t>
      </w:r>
      <w:r>
        <w:rPr>
          <w:rFonts w:ascii="宋体" w:hAnsi="宋体" w:cs="宋体" w:eastAsia="宋体" w:hint="default"/>
        </w:rPr>
        <w:t>7</w:t>
      </w:r>
      <w:r>
        <w:rPr>
          <w:rFonts w:ascii="宋体" w:hAnsi="宋体" w:cs="宋体" w:eastAsia="宋体" w:hint="default"/>
          <w:spacing w:val="-48"/>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w:t>
      </w:r>
    </w:p>
    <w:p>
      <w:pPr>
        <w:pStyle w:val="BodyText"/>
        <w:spacing w:line="240" w:lineRule="auto" w:before="32"/>
        <w:ind w:left="558" w:right="0"/>
        <w:jc w:val="left"/>
      </w:pPr>
      <w:r>
        <w:rPr/>
        <w:t>上述两项租赁承租建筑面积合计为</w:t>
      </w:r>
      <w:r>
        <w:rPr>
          <w:spacing w:val="-54"/>
        </w:rPr>
        <w:t> </w:t>
      </w:r>
      <w:r>
        <w:rPr>
          <w:rFonts w:ascii="宋体" w:hAnsi="宋体" w:cs="宋体" w:eastAsia="宋体" w:hint="default"/>
        </w:rPr>
        <w:t>1,667.13</w:t>
      </w:r>
      <w:r>
        <w:rPr>
          <w:rFonts w:ascii="宋体" w:hAnsi="宋体" w:cs="宋体" w:eastAsia="宋体" w:hint="default"/>
          <w:spacing w:val="-56"/>
        </w:rPr>
        <w:t> </w:t>
      </w:r>
      <w:r>
        <w:rPr/>
        <w:t>平方米，期间租金总额为</w:t>
      </w:r>
      <w:r>
        <w:rPr>
          <w:spacing w:val="-54"/>
        </w:rPr>
        <w:t> </w:t>
      </w:r>
      <w:r>
        <w:rPr>
          <w:rFonts w:ascii="宋体" w:hAnsi="宋体" w:cs="宋体" w:eastAsia="宋体" w:hint="default"/>
        </w:rPr>
        <w:t>14,497,252</w:t>
      </w:r>
      <w:r>
        <w:rPr>
          <w:rFonts w:ascii="宋体" w:hAnsi="宋体" w:cs="宋体" w:eastAsia="宋体" w:hint="default"/>
          <w:spacing w:val="-56"/>
        </w:rPr>
        <w:t> </w:t>
      </w:r>
      <w:r>
        <w:rPr/>
        <w:t>元，管理</w:t>
      </w:r>
    </w:p>
    <w:p>
      <w:pPr>
        <w:pStyle w:val="BodyText"/>
        <w:spacing w:line="240" w:lineRule="auto" w:before="133"/>
        <w:ind w:left="138" w:right="0"/>
        <w:jc w:val="both"/>
      </w:pPr>
      <w:r>
        <w:rPr/>
        <w:t>费总额为</w:t>
      </w:r>
      <w:r>
        <w:rPr>
          <w:spacing w:val="-54"/>
        </w:rPr>
        <w:t> </w:t>
      </w:r>
      <w:r>
        <w:rPr>
          <w:rFonts w:ascii="宋体" w:hAnsi="宋体" w:cs="宋体" w:eastAsia="宋体" w:hint="default"/>
        </w:rPr>
        <w:t>1,615,448.97</w:t>
      </w:r>
      <w:r>
        <w:rPr>
          <w:rFonts w:ascii="宋体" w:hAnsi="宋体" w:cs="宋体" w:eastAsia="宋体" w:hint="default"/>
          <w:spacing w:val="-56"/>
        </w:rPr>
        <w:t> </w:t>
      </w:r>
      <w:r>
        <w:rPr/>
        <w:t>元，保证金合计为</w:t>
      </w:r>
      <w:r>
        <w:rPr>
          <w:spacing w:val="-54"/>
        </w:rPr>
        <w:t> </w:t>
      </w:r>
      <w:r>
        <w:rPr>
          <w:rFonts w:ascii="宋体" w:hAnsi="宋体" w:cs="宋体" w:eastAsia="宋体" w:hint="default"/>
        </w:rPr>
        <w:t>1,525,426</w:t>
      </w:r>
      <w:r>
        <w:rPr>
          <w:rFonts w:ascii="宋体" w:hAnsi="宋体" w:cs="宋体" w:eastAsia="宋体" w:hint="default"/>
          <w:spacing w:val="-54"/>
        </w:rPr>
        <w:t> </w:t>
      </w:r>
      <w:r>
        <w:rPr/>
        <w:t>元。</w:t>
      </w:r>
    </w:p>
    <w:p>
      <w:pPr>
        <w:pStyle w:val="BodyText"/>
        <w:spacing w:line="357" w:lineRule="auto" w:before="135"/>
        <w:ind w:left="138" w:right="428" w:firstLine="419"/>
        <w:jc w:val="both"/>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8</w:t>
      </w:r>
      <w:r>
        <w:rPr>
          <w:rFonts w:ascii="宋体" w:hAnsi="宋体" w:cs="宋体" w:eastAsia="宋体" w:hint="default"/>
          <w:spacing w:val="-44"/>
        </w:rPr>
        <w:t> </w:t>
      </w:r>
      <w:r>
        <w:rPr/>
        <w:t>月</w:t>
      </w:r>
      <w:r>
        <w:rPr>
          <w:spacing w:val="-42"/>
        </w:rPr>
        <w:t> </w:t>
      </w:r>
      <w:r>
        <w:rPr>
          <w:rFonts w:ascii="宋体" w:hAnsi="宋体" w:cs="宋体" w:eastAsia="宋体" w:hint="default"/>
        </w:rPr>
        <w:t>2</w:t>
      </w:r>
      <w:r>
        <w:rPr>
          <w:rFonts w:ascii="宋体" w:hAnsi="宋体" w:cs="宋体" w:eastAsia="宋体" w:hint="default"/>
          <w:spacing w:val="-44"/>
        </w:rPr>
        <w:t> </w:t>
      </w:r>
      <w:r>
        <w:rPr>
          <w:spacing w:val="-3"/>
        </w:rPr>
        <w:t>日，公司第八届董事会第四十四次会议审议通过了《关于解除房屋租赁合同的</w:t>
      </w:r>
      <w:r>
        <w:rPr>
          <w:w w:val="100"/>
        </w:rPr>
        <w:t> </w:t>
      </w:r>
      <w:r>
        <w:rPr>
          <w:spacing w:val="-2"/>
        </w:rPr>
        <w:t>议案》，鉴于上述办公场地并不符合公司经营需要，为维护公司利益，减少不必要支出，同意与</w:t>
      </w:r>
      <w:r>
        <w:rPr>
          <w:spacing w:val="-25"/>
        </w:rPr>
        <w:t> </w:t>
      </w:r>
      <w:r>
        <w:rPr>
          <w:spacing w:val="-25"/>
        </w:rPr>
      </w:r>
      <w:r>
        <w:rPr/>
        <w:t>亨德来签订《房屋租赁合同解除协议》，将该租赁房屋退租。</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6"/>
          <w:pgSz w:w="11910" w:h="16840"/>
          <w:pgMar w:footer="1195" w:header="880" w:top="1120" w:bottom="1380" w:left="1660" w:right="840"/>
          <w:pgNumType w:start="31"/>
        </w:sectPr>
      </w:pPr>
    </w:p>
    <w:p>
      <w:pPr>
        <w:pStyle w:val="Heading4"/>
        <w:tabs>
          <w:tab w:pos="977" w:val="left" w:leader="none"/>
        </w:tabs>
        <w:spacing w:line="240" w:lineRule="auto" w:before="36"/>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1"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660" w:right="840"/>
          <w:cols w:num="2" w:equalWidth="0">
            <w:col w:w="1823" w:space="4804"/>
            <w:col w:w="278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78"/>
        <w:gridCol w:w="576"/>
        <w:gridCol w:w="578"/>
        <w:gridCol w:w="879"/>
        <w:gridCol w:w="1006"/>
        <w:gridCol w:w="581"/>
        <w:gridCol w:w="576"/>
        <w:gridCol w:w="578"/>
        <w:gridCol w:w="578"/>
        <w:gridCol w:w="578"/>
        <w:gridCol w:w="656"/>
        <w:gridCol w:w="578"/>
        <w:gridCol w:w="576"/>
        <w:gridCol w:w="576"/>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7" w:right="69"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71" w:right="71"/>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4" w:right="7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26" w:right="11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3" w:right="23" w:firstLine="52"/>
              <w:jc w:val="both"/>
              <w:rPr>
                <w:rFonts w:ascii="宋体" w:hAnsi="宋体" w:cs="宋体" w:eastAsia="宋体"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签署日</w:t>
            </w:r>
            <w:r>
              <w:rPr>
                <w:rFonts w:ascii="宋体" w:hAnsi="宋体" w:cs="宋体" w:eastAsia="宋体" w:hint="default"/>
                <w:sz w:val="21"/>
                <w:szCs w:val="21"/>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4" w:right="7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1" w:right="7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4" w:right="71"/>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72" w:right="7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1" w:right="7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0" w:right="111"/>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1" w:right="7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1" w:right="7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4" w:right="67"/>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82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慧球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顾国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平</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2016.4.27</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57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慧球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26" w:right="119"/>
              <w:jc w:val="both"/>
              <w:rPr>
                <w:rFonts w:ascii="宋体" w:hAnsi="宋体" w:cs="宋体" w:eastAsia="宋体" w:hint="default"/>
                <w:sz w:val="21"/>
                <w:szCs w:val="21"/>
              </w:rPr>
            </w:pPr>
            <w:r>
              <w:rPr>
                <w:rFonts w:ascii="宋体" w:hAnsi="宋体" w:cs="宋体" w:eastAsia="宋体" w:hint="default"/>
                <w:sz w:val="21"/>
                <w:szCs w:val="21"/>
              </w:rPr>
              <w:t>斐讯</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18,300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2015.5.8</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72" w:lineRule="exact" w:before="27"/>
              <w:ind w:left="26" w:right="19"/>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57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报告期内担保发生额合计（不包括对子公司的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4698" w:type="dxa"/>
            <w:gridSpan w:val="8"/>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168,300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0</w:t>
            </w:r>
          </w:p>
        </w:tc>
      </w:tr>
      <w:tr>
        <w:trPr>
          <w:trHeight w:val="317"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46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168,300</w:t>
            </w:r>
          </w:p>
        </w:tc>
      </w:tr>
      <w:tr>
        <w:trPr>
          <w:trHeight w:val="317"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4698"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为股东、实际控制人及其关联方提供担保的金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C</w:t>
            </w:r>
            <w:r>
              <w:rPr>
                <w:rFonts w:ascii="宋体" w:hAnsi="宋体" w:cs="宋体" w:eastAsia="宋体" w:hint="default"/>
                <w:sz w:val="21"/>
                <w:szCs w:val="21"/>
              </w:rPr>
              <w:t>）</w:t>
            </w:r>
          </w:p>
        </w:tc>
        <w:tc>
          <w:tcPr>
            <w:tcW w:w="4698" w:type="dxa"/>
            <w:gridSpan w:val="8"/>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698"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36"/>
        <w:ind w:left="0" w:right="125"/>
        <w:jc w:val="right"/>
      </w:pPr>
      <w:r>
        <w:rPr/>
        <w:pict>
          <v:shape style="position:absolute;margin-left:88.103996pt;margin-top:-71.996353pt;width:445.55pt;height:416.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98"/>
                    <w:gridCol w:w="4698"/>
                  </w:tblGrid>
                  <w:tr>
                    <w:trPr>
                      <w:trHeight w:val="320" w:hRule="exact"/>
                    </w:trPr>
                    <w:tc>
                      <w:tcPr>
                        <w:tcW w:w="41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69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41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69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1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698" w:type="dxa"/>
                        <w:tcBorders>
                          <w:top w:val="single" w:sz="4" w:space="0" w:color="000000"/>
                          <w:left w:val="single" w:sz="4" w:space="0" w:color="000000"/>
                          <w:bottom w:val="single" w:sz="4" w:space="0" w:color="000000"/>
                          <w:right w:val="single" w:sz="4" w:space="0" w:color="000000"/>
                        </w:tcBorders>
                      </w:tcPr>
                      <w:p>
                        <w:pPr/>
                      </w:p>
                    </w:tc>
                  </w:tr>
                  <w:tr>
                    <w:trPr>
                      <w:trHeight w:val="7364" w:hRule="exact"/>
                    </w:trPr>
                    <w:tc>
                      <w:tcPr>
                        <w:tcW w:w="4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、上海市高级人民法院于</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月受理了原告上</w:t>
                        </w:r>
                      </w:p>
                      <w:p>
                        <w:pPr>
                          <w:pStyle w:val="TableParagraph"/>
                          <w:spacing w:line="237" w:lineRule="auto" w:before="2"/>
                          <w:ind w:left="23" w:right="19"/>
                          <w:jc w:val="left"/>
                          <w:rPr>
                            <w:rFonts w:ascii="宋体" w:hAnsi="宋体" w:cs="宋体" w:eastAsia="宋体" w:hint="default"/>
                            <w:sz w:val="21"/>
                            <w:szCs w:val="21"/>
                          </w:rPr>
                        </w:pPr>
                        <w:r>
                          <w:rPr>
                            <w:rFonts w:ascii="宋体" w:hAnsi="宋体" w:cs="宋体" w:eastAsia="宋体" w:hint="default"/>
                            <w:sz w:val="21"/>
                            <w:szCs w:val="21"/>
                          </w:rPr>
                          <w:t>海躬盛网络科技有限公司诉被告顾国平（第一被</w:t>
                        </w:r>
                        <w:r>
                          <w:rPr>
                            <w:rFonts w:ascii="宋体" w:hAnsi="宋体" w:cs="宋体" w:eastAsia="宋体" w:hint="default"/>
                            <w:w w:val="100"/>
                            <w:sz w:val="21"/>
                            <w:szCs w:val="21"/>
                          </w:rPr>
                          <w:t> </w:t>
                        </w:r>
                        <w:r>
                          <w:rPr>
                            <w:rFonts w:ascii="宋体" w:hAnsi="宋体" w:cs="宋体" w:eastAsia="宋体" w:hint="default"/>
                            <w:spacing w:val="-15"/>
                            <w:sz w:val="21"/>
                            <w:szCs w:val="21"/>
                          </w:rPr>
                          <w:t>告）、上海斐讯数据通信技术有限公司（第二被告）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广西慧球科技股份有限公司（第三被告）股权转让</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纠纷一案，案号为（</w:t>
                        </w:r>
                        <w:r>
                          <w:rPr>
                            <w:rFonts w:ascii="宋体" w:hAnsi="宋体" w:cs="宋体" w:eastAsia="宋体" w:hint="default"/>
                            <w:sz w:val="21"/>
                            <w:szCs w:val="21"/>
                          </w:rPr>
                          <w:t>2016</w:t>
                        </w:r>
                        <w:r>
                          <w:rPr>
                            <w:rFonts w:ascii="宋体" w:hAnsi="宋体" w:cs="宋体" w:eastAsia="宋体" w:hint="default"/>
                            <w:sz w:val="21"/>
                            <w:szCs w:val="21"/>
                          </w:rPr>
                          <w:t>）沪民初 </w:t>
                        </w:r>
                        <w:r>
                          <w:rPr>
                            <w:rFonts w:ascii="宋体" w:hAnsi="宋体" w:cs="宋体" w:eastAsia="宋体" w:hint="default"/>
                            <w:sz w:val="21"/>
                            <w:szCs w:val="21"/>
                          </w:rPr>
                          <w:t>29</w:t>
                        </w:r>
                        <w:r>
                          <w:rPr>
                            <w:rFonts w:ascii="宋体" w:hAnsi="宋体" w:cs="宋体" w:eastAsia="宋体" w:hint="default"/>
                            <w:spacing w:val="-1"/>
                            <w:sz w:val="21"/>
                            <w:szCs w:val="21"/>
                          </w:rPr>
                          <w:t> </w:t>
                        </w:r>
                        <w:r>
                          <w:rPr>
                            <w:rFonts w:ascii="宋体" w:hAnsi="宋体" w:cs="宋体" w:eastAsia="宋体" w:hint="default"/>
                            <w:sz w:val="21"/>
                            <w:szCs w:val="21"/>
                          </w:rPr>
                          <w:t>号。在诉讼</w:t>
                        </w:r>
                        <w:r>
                          <w:rPr>
                            <w:rFonts w:ascii="宋体" w:hAnsi="宋体" w:cs="宋体" w:eastAsia="宋体" w:hint="default"/>
                            <w:w w:val="100"/>
                            <w:sz w:val="21"/>
                            <w:szCs w:val="21"/>
                          </w:rPr>
                          <w:t> </w:t>
                        </w:r>
                        <w:r>
                          <w:rPr>
                            <w:rFonts w:ascii="宋体" w:hAnsi="宋体" w:cs="宋体" w:eastAsia="宋体" w:hint="default"/>
                            <w:spacing w:val="-2"/>
                            <w:sz w:val="21"/>
                            <w:szCs w:val="21"/>
                          </w:rPr>
                          <w:t>中，原告要求第一被告偿还借款及违约金合计人民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w w:val="100"/>
                            <w:sz w:val="21"/>
                            <w:szCs w:val="21"/>
                          </w:rPr>
                          <w:t>币</w:t>
                        </w:r>
                        <w:r>
                          <w:rPr>
                            <w:rFonts w:ascii="宋体" w:hAnsi="宋体" w:cs="宋体" w:eastAsia="宋体" w:hint="default"/>
                            <w:spacing w:val="-5"/>
                            <w:w w:val="100"/>
                            <w:sz w:val="21"/>
                            <w:szCs w:val="21"/>
                          </w:rPr>
                          <w:t>18.00</w:t>
                        </w:r>
                        <w:r>
                          <w:rPr>
                            <w:rFonts w:ascii="宋体" w:hAnsi="宋体" w:cs="宋体" w:eastAsia="宋体" w:hint="default"/>
                            <w:spacing w:val="-5"/>
                            <w:w w:val="100"/>
                            <w:sz w:val="21"/>
                            <w:szCs w:val="21"/>
                          </w:rPr>
                          <w:t>亿元，要求本公司及第二被告作为上述协议</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的担保人，应当对以上款项依法承担无限连带担保</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责任。上海市高级人民法院分别于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5"/>
                            <w:w w:val="100"/>
                            <w:sz w:val="21"/>
                            <w:szCs w:val="21"/>
                          </w:rPr>
                          <w:t>2017</w:t>
                        </w:r>
                        <w:r>
                          <w:rPr>
                            <w:rFonts w:ascii="宋体" w:hAnsi="宋体" w:cs="宋体" w:eastAsia="宋体" w:hint="default"/>
                            <w:spacing w:val="-5"/>
                            <w:w w:val="100"/>
                            <w:sz w:val="21"/>
                            <w:szCs w:val="21"/>
                          </w:rPr>
                          <w:t>年</w:t>
                        </w:r>
                        <w:r>
                          <w:rPr>
                            <w:rFonts w:ascii="宋体" w:hAnsi="宋体" w:cs="宋体" w:eastAsia="宋体" w:hint="default"/>
                            <w:spacing w:val="-5"/>
                            <w:w w:val="100"/>
                            <w:sz w:val="21"/>
                            <w:szCs w:val="21"/>
                          </w:rPr>
                          <w:t>2</w:t>
                        </w:r>
                        <w:r>
                          <w:rPr>
                            <w:rFonts w:ascii="宋体" w:hAnsi="宋体" w:cs="宋体" w:eastAsia="宋体" w:hint="default"/>
                            <w:spacing w:val="-5"/>
                            <w:w w:val="100"/>
                            <w:sz w:val="21"/>
                            <w:szCs w:val="21"/>
                          </w:rPr>
                          <w:t>月</w:t>
                        </w:r>
                        <w:r>
                          <w:rPr>
                            <w:rFonts w:ascii="宋体" w:hAnsi="宋体" w:cs="宋体" w:eastAsia="宋体" w:hint="default"/>
                            <w:spacing w:val="-5"/>
                            <w:w w:val="100"/>
                            <w:sz w:val="21"/>
                            <w:szCs w:val="21"/>
                          </w:rPr>
                          <w:t>16</w:t>
                        </w:r>
                        <w:r>
                          <w:rPr>
                            <w:rFonts w:ascii="宋体" w:hAnsi="宋体" w:cs="宋体" w:eastAsia="宋体" w:hint="default"/>
                            <w:spacing w:val="-5"/>
                            <w:w w:val="100"/>
                            <w:sz w:val="21"/>
                            <w:szCs w:val="21"/>
                          </w:rPr>
                          <w:t>日、</w:t>
                        </w:r>
                        <w:r>
                          <w:rPr>
                            <w:rFonts w:ascii="宋体" w:hAnsi="宋体" w:cs="宋体" w:eastAsia="宋体" w:hint="default"/>
                            <w:spacing w:val="-5"/>
                            <w:w w:val="100"/>
                            <w:sz w:val="21"/>
                            <w:szCs w:val="21"/>
                          </w:rPr>
                          <w:t>2017</w:t>
                        </w:r>
                        <w:r>
                          <w:rPr>
                            <w:rFonts w:ascii="宋体" w:hAnsi="宋体" w:cs="宋体" w:eastAsia="宋体" w:hint="default"/>
                            <w:spacing w:val="-5"/>
                            <w:w w:val="100"/>
                            <w:sz w:val="21"/>
                            <w:szCs w:val="21"/>
                          </w:rPr>
                          <w:t>年</w:t>
                        </w:r>
                        <w:r>
                          <w:rPr>
                            <w:rFonts w:ascii="宋体" w:hAnsi="宋体" w:cs="宋体" w:eastAsia="宋体" w:hint="default"/>
                            <w:spacing w:val="-5"/>
                            <w:w w:val="100"/>
                            <w:sz w:val="21"/>
                            <w:szCs w:val="21"/>
                          </w:rPr>
                          <w:t>7</w:t>
                        </w:r>
                        <w:r>
                          <w:rPr>
                            <w:rFonts w:ascii="宋体" w:hAnsi="宋体" w:cs="宋体" w:eastAsia="宋体" w:hint="default"/>
                            <w:spacing w:val="-5"/>
                            <w:w w:val="100"/>
                            <w:sz w:val="21"/>
                            <w:szCs w:val="21"/>
                          </w:rPr>
                          <w:t>月</w:t>
                        </w:r>
                        <w:r>
                          <w:rPr>
                            <w:rFonts w:ascii="宋体" w:hAnsi="宋体" w:cs="宋体" w:eastAsia="宋体" w:hint="default"/>
                            <w:spacing w:val="-5"/>
                            <w:w w:val="100"/>
                            <w:sz w:val="21"/>
                            <w:szCs w:val="21"/>
                          </w:rPr>
                          <w:t>24</w:t>
                        </w:r>
                        <w:r>
                          <w:rPr>
                            <w:rFonts w:ascii="宋体" w:hAnsi="宋体" w:cs="宋体" w:eastAsia="宋体" w:hint="default"/>
                            <w:spacing w:val="-5"/>
                            <w:w w:val="100"/>
                            <w:sz w:val="21"/>
                            <w:szCs w:val="21"/>
                          </w:rPr>
                          <w:t>日三次开庭审理本案</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z w:val="21"/>
                            <w:szCs w:val="21"/>
                          </w:rPr>
                          <w:t>目前仍在审理中。</w:t>
                        </w:r>
                        <w:r>
                          <w:rPr>
                            <w:rFonts w:ascii="宋体" w:hAnsi="宋体" w:cs="宋体" w:eastAsia="宋体" w:hint="default"/>
                            <w:w w:val="100"/>
                            <w:sz w:val="21"/>
                            <w:szCs w:val="21"/>
                          </w:rPr>
                          <w:t> </w:t>
                        </w:r>
                        <w:r>
                          <w:rPr>
                            <w:rFonts w:ascii="宋体" w:hAnsi="宋体" w:cs="宋体" w:eastAsia="宋体" w:hint="default"/>
                            <w:spacing w:val="-2"/>
                            <w:sz w:val="21"/>
                            <w:szCs w:val="21"/>
                          </w:rPr>
                          <w:t>鉴于对原告所举证的、本公司对该事项出具的担保</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函之真实性的质疑，及各方和解之意愿，本公司判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断将不会对本公司造成不利影响。</w:t>
                        </w:r>
                        <w:r>
                          <w:rPr>
                            <w:rFonts w:ascii="宋体" w:hAnsi="宋体" w:cs="宋体" w:eastAsia="宋体" w:hint="default"/>
                            <w:w w:val="100"/>
                            <w:sz w:val="21"/>
                            <w:szCs w:val="21"/>
                          </w:rPr>
                          <w:t> </w:t>
                        </w:r>
                        <w:r>
                          <w:rPr>
                            <w:rFonts w:ascii="宋体" w:hAnsi="宋体" w:cs="宋体" w:eastAsia="宋体" w:hint="default"/>
                            <w:spacing w:val="-5"/>
                            <w:w w:val="100"/>
                            <w:sz w:val="21"/>
                            <w:szCs w:val="21"/>
                          </w:rPr>
                          <w:t>2</w:t>
                        </w:r>
                        <w:r>
                          <w:rPr>
                            <w:rFonts w:ascii="宋体" w:hAnsi="宋体" w:cs="宋体" w:eastAsia="宋体" w:hint="default"/>
                            <w:spacing w:val="-5"/>
                            <w:w w:val="100"/>
                            <w:sz w:val="21"/>
                            <w:szCs w:val="21"/>
                          </w:rPr>
                          <w:t>、上海市第一中级人民法院于</w:t>
                        </w:r>
                        <w:r>
                          <w:rPr>
                            <w:rFonts w:ascii="宋体" w:hAnsi="宋体" w:cs="宋体" w:eastAsia="宋体" w:hint="default"/>
                            <w:spacing w:val="-5"/>
                            <w:w w:val="100"/>
                            <w:sz w:val="21"/>
                            <w:szCs w:val="21"/>
                          </w:rPr>
                          <w:t>2016</w:t>
                        </w:r>
                        <w:r>
                          <w:rPr>
                            <w:rFonts w:ascii="宋体" w:hAnsi="宋体" w:cs="宋体" w:eastAsia="宋体" w:hint="default"/>
                            <w:spacing w:val="-5"/>
                            <w:w w:val="100"/>
                            <w:sz w:val="21"/>
                            <w:szCs w:val="21"/>
                          </w:rPr>
                          <w:t>年</w:t>
                        </w:r>
                        <w:r>
                          <w:rPr>
                            <w:rFonts w:ascii="宋体" w:hAnsi="宋体" w:cs="宋体" w:eastAsia="宋体" w:hint="default"/>
                            <w:spacing w:val="-5"/>
                            <w:w w:val="100"/>
                            <w:sz w:val="21"/>
                            <w:szCs w:val="21"/>
                          </w:rPr>
                          <w:t>10</w:t>
                        </w:r>
                        <w:r>
                          <w:rPr>
                            <w:rFonts w:ascii="宋体" w:hAnsi="宋体" w:cs="宋体" w:eastAsia="宋体" w:hint="default"/>
                            <w:spacing w:val="-5"/>
                            <w:w w:val="100"/>
                            <w:sz w:val="21"/>
                            <w:szCs w:val="21"/>
                          </w:rPr>
                          <w:t>月受理了原</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告上海瀚辉投资有限公司诉被告上海斐讯投资有限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公司（第一被告）、顾国平（第二被告）、上海斐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讯数据通信技术有限公司（第三被告）、广西慧球</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sz w:val="21"/>
                            <w:szCs w:val="21"/>
                          </w:rPr>
                          <w:t>科技股份有限公司（第四被告）股权转让纠纷一案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案号为（</w:t>
                        </w:r>
                        <w:r>
                          <w:rPr>
                            <w:rFonts w:ascii="宋体" w:hAnsi="宋体" w:cs="宋体" w:eastAsia="宋体" w:hint="default"/>
                            <w:spacing w:val="-5"/>
                            <w:sz w:val="21"/>
                            <w:szCs w:val="21"/>
                          </w:rPr>
                          <w:t>2016</w:t>
                        </w:r>
                        <w:r>
                          <w:rPr>
                            <w:rFonts w:ascii="宋体" w:hAnsi="宋体" w:cs="宋体" w:eastAsia="宋体" w:hint="default"/>
                            <w:spacing w:val="-5"/>
                            <w:sz w:val="21"/>
                            <w:szCs w:val="21"/>
                          </w:rPr>
                          <w:t>）沪</w:t>
                        </w:r>
                        <w:r>
                          <w:rPr>
                            <w:rFonts w:ascii="宋体" w:hAnsi="宋体" w:cs="宋体" w:eastAsia="宋体" w:hint="default"/>
                            <w:spacing w:val="-5"/>
                            <w:sz w:val="21"/>
                            <w:szCs w:val="21"/>
                          </w:rPr>
                          <w:t>01</w:t>
                        </w:r>
                        <w:r>
                          <w:rPr>
                            <w:rFonts w:ascii="宋体" w:hAnsi="宋体" w:cs="宋体" w:eastAsia="宋体" w:hint="default"/>
                            <w:spacing w:val="-5"/>
                            <w:sz w:val="21"/>
                            <w:szCs w:val="21"/>
                          </w:rPr>
                          <w:t>民初</w:t>
                        </w:r>
                        <w:r>
                          <w:rPr>
                            <w:rFonts w:ascii="宋体" w:hAnsi="宋体" w:cs="宋体" w:eastAsia="宋体" w:hint="default"/>
                            <w:spacing w:val="16"/>
                            <w:sz w:val="21"/>
                            <w:szCs w:val="21"/>
                          </w:rPr>
                          <w:t> </w:t>
                        </w:r>
                        <w:r>
                          <w:rPr>
                            <w:rFonts w:ascii="宋体" w:hAnsi="宋体" w:cs="宋体" w:eastAsia="宋体" w:hint="default"/>
                            <w:sz w:val="21"/>
                            <w:szCs w:val="21"/>
                          </w:rPr>
                          <w:t>806</w:t>
                        </w:r>
                        <w:r>
                          <w:rPr>
                            <w:rFonts w:ascii="宋体" w:hAnsi="宋体" w:cs="宋体" w:eastAsia="宋体" w:hint="default"/>
                            <w:spacing w:val="18"/>
                            <w:sz w:val="21"/>
                            <w:szCs w:val="21"/>
                          </w:rPr>
                          <w:t> </w:t>
                        </w:r>
                        <w:r>
                          <w:rPr>
                            <w:rFonts w:ascii="宋体" w:hAnsi="宋体" w:cs="宋体" w:eastAsia="宋体" w:hint="default"/>
                            <w:spacing w:val="-7"/>
                            <w:sz w:val="21"/>
                            <w:szCs w:val="21"/>
                          </w:rPr>
                          <w:t>号，在诉讼中，原告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要求第一被告偿还借款及违约金合计人民币</w:t>
                        </w:r>
                        <w:r>
                          <w:rPr>
                            <w:rFonts w:ascii="宋体" w:hAnsi="宋体" w:cs="宋体" w:eastAsia="宋体" w:hint="default"/>
                            <w:spacing w:val="-2"/>
                            <w:sz w:val="21"/>
                            <w:szCs w:val="21"/>
                          </w:rPr>
                          <w:t>1.83</w:t>
                        </w:r>
                        <w:r>
                          <w:rPr>
                            <w:rFonts w:ascii="宋体" w:hAnsi="宋体" w:cs="宋体" w:eastAsia="宋体" w:hint="default"/>
                            <w:spacing w:val="-2"/>
                            <w:sz w:val="21"/>
                            <w:szCs w:val="21"/>
                          </w:rPr>
                          <w:t>亿</w:t>
                        </w:r>
                        <w:r>
                          <w:rPr>
                            <w:rFonts w:ascii="宋体" w:hAnsi="宋体" w:cs="宋体" w:eastAsia="宋体" w:hint="default"/>
                            <w:spacing w:val="-59"/>
                            <w:sz w:val="21"/>
                            <w:szCs w:val="21"/>
                          </w:rPr>
                          <w:t> </w:t>
                        </w:r>
                        <w:r>
                          <w:rPr>
                            <w:rFonts w:ascii="宋体" w:hAnsi="宋体" w:cs="宋体" w:eastAsia="宋体" w:hint="default"/>
                            <w:spacing w:val="-2"/>
                            <w:sz w:val="21"/>
                            <w:szCs w:val="21"/>
                          </w:rPr>
                          <w:t>元，请求判令本公司及第二被告、第三被告就上述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讼诉请求的付款义务承担连带清偿责任。</w:t>
                        </w:r>
                        <w:r>
                          <w:rPr>
                            <w:rFonts w:ascii="宋体" w:hAnsi="宋体" w:cs="宋体" w:eastAsia="宋体" w:hint="default"/>
                            <w:w w:val="100"/>
                            <w:sz w:val="21"/>
                            <w:szCs w:val="21"/>
                          </w:rPr>
                          <w:t> </w:t>
                        </w:r>
                        <w:r>
                          <w:rPr>
                            <w:rFonts w:ascii="宋体" w:hAnsi="宋体" w:cs="宋体" w:eastAsia="宋体" w:hint="default"/>
                            <w:sz w:val="21"/>
                            <w:szCs w:val="21"/>
                          </w:rPr>
                          <w:t>本案于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14</w:t>
                        </w:r>
                        <w:r>
                          <w:rPr>
                            <w:rFonts w:ascii="宋体" w:hAnsi="宋体" w:cs="宋体" w:eastAsia="宋体" w:hint="default"/>
                            <w:sz w:val="21"/>
                            <w:szCs w:val="21"/>
                          </w:rPr>
                          <w:t>日开庭审理，目前尚在审理中</w:t>
                        </w:r>
                        <w:r>
                          <w:rPr>
                            <w:rFonts w:ascii="宋体" w:hAnsi="宋体" w:cs="宋体" w:eastAsia="宋体" w:hint="default"/>
                            <w:w w:val="100"/>
                            <w:sz w:val="21"/>
                            <w:szCs w:val="21"/>
                          </w:rPr>
                          <w:t> </w:t>
                        </w:r>
                        <w:r>
                          <w:rPr>
                            <w:rFonts w:ascii="宋体" w:hAnsi="宋体" w:cs="宋体" w:eastAsia="宋体" w:hint="default"/>
                            <w:spacing w:val="-2"/>
                            <w:sz w:val="21"/>
                            <w:szCs w:val="21"/>
                          </w:rPr>
                          <w:t>鉴于本公司对原告提供的于</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2"/>
                            <w:sz w:val="21"/>
                            <w:szCs w:val="21"/>
                          </w:rPr>
                          <w:t>8</w:t>
                        </w:r>
                        <w:r>
                          <w:rPr>
                            <w:rFonts w:ascii="宋体" w:hAnsi="宋体" w:cs="宋体" w:eastAsia="宋体" w:hint="default"/>
                            <w:spacing w:val="-2"/>
                            <w:sz w:val="21"/>
                            <w:szCs w:val="21"/>
                          </w:rPr>
                          <w:t>日与被告一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签订的《合作协议》中本公司公章真实性的质疑，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本公司判断将不会对本公司造成不利影响。</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73" w:lineRule="exact" w:before="36"/>
        <w:ind w:left="0" w:right="139"/>
        <w:jc w:val="right"/>
      </w:pPr>
      <w:r>
        <w:rPr>
          <w:w w:val="100"/>
        </w:rPr>
        <w:t>、</w:t>
      </w:r>
    </w:p>
    <w:p>
      <w:pPr>
        <w:pStyle w:val="BodyText"/>
        <w:spacing w:line="273" w:lineRule="exact"/>
        <w:ind w:left="0" w:right="124"/>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36"/>
        <w:ind w:left="0" w:right="125"/>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6"/>
        <w:ind w:left="0" w:right="141"/>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4"/>
        <w:tabs>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4"/>
        <w:spacing w:line="273" w:lineRule="exact" w:before="14"/>
        <w:ind w:right="0"/>
        <w:jc w:val="left"/>
        <w:rPr>
          <w:b w:val="0"/>
          <w:bCs w:val="0"/>
        </w:rPr>
      </w:pPr>
      <w:r>
        <w:rPr>
          <w:rFonts w:ascii="宋体" w:hAnsi="宋体" w:cs="宋体" w:eastAsia="宋体" w:hint="default"/>
        </w:rPr>
        <w:t>(1).</w:t>
      </w:r>
      <w:r>
        <w:rPr/>
        <w:t>委托理财总体情况</w:t>
      </w:r>
      <w:r>
        <w:rPr>
          <w:b w:val="0"/>
          <w:bCs w:val="0"/>
        </w:rPr>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222" w:space="208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汇添富现金宝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现金管理</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sz w:val="21"/>
              </w:rPr>
              <w:t>2,768.00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Heading4"/>
        <w:spacing w:line="274" w:lineRule="exact" w:before="36"/>
        <w:ind w:right="2465"/>
        <w:jc w:val="left"/>
        <w:rPr>
          <w:b w:val="0"/>
          <w:bCs w:val="0"/>
        </w:rPr>
      </w:pPr>
      <w:r>
        <w:rPr/>
        <w:t>其他情况</w:t>
      </w:r>
      <w:r>
        <w:rPr>
          <w:b w:val="0"/>
          <w:bCs w:val="0"/>
        </w:rPr>
      </w:r>
    </w:p>
    <w:p>
      <w:pPr>
        <w:pStyle w:val="BodyText"/>
        <w:spacing w:line="274" w:lineRule="exact"/>
        <w:ind w:right="2465"/>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Heading4"/>
        <w:spacing w:line="274" w:lineRule="exact"/>
        <w:ind w:right="2465"/>
        <w:jc w:val="left"/>
        <w:rPr>
          <w:b w:val="0"/>
          <w:bCs w:val="0"/>
        </w:rPr>
      </w:pPr>
      <w:r>
        <w:rPr>
          <w:rFonts w:ascii="宋体" w:hAnsi="宋体" w:cs="宋体" w:eastAsia="宋体" w:hint="default"/>
        </w:rPr>
        <w:t>(2).</w:t>
      </w:r>
      <w:r>
        <w:rPr/>
        <w:t>单项委托理财情况</w:t>
      </w:r>
      <w:r>
        <w:rPr>
          <w:b w:val="0"/>
          <w:bCs w:val="0"/>
        </w:rPr>
      </w:r>
    </w:p>
    <w:p>
      <w:pPr>
        <w:spacing w:line="272" w:lineRule="exact" w:before="27"/>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right="2465"/>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4"/>
        <w:spacing w:line="274" w:lineRule="exact" w:before="36"/>
        <w:ind w:left="138" w:right="0"/>
        <w:jc w:val="left"/>
        <w:rPr>
          <w:b w:val="0"/>
          <w:bCs w:val="0"/>
        </w:rPr>
      </w:pPr>
      <w:r>
        <w:rPr>
          <w:rFonts w:ascii="宋体" w:hAnsi="宋体" w:cs="宋体" w:eastAsia="宋体" w:hint="default"/>
        </w:rPr>
        <w:t>(3).</w:t>
      </w:r>
      <w:r>
        <w:rPr/>
        <w:t>委托理财减值准备</w:t>
      </w:r>
      <w:r>
        <w:rPr>
          <w:b w:val="0"/>
          <w:bCs w:val="0"/>
        </w:rPr>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38"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980" w:val="left" w:leader="none"/>
        </w:tabs>
        <w:spacing w:line="228" w:lineRule="exact"/>
        <w:ind w:left="138" w:right="0"/>
        <w:jc w:val="left"/>
      </w:pPr>
      <w:r>
        <w:rPr>
          <w:spacing w:val="-1"/>
        </w:rPr>
        <w:t>□适用</w:t>
        <w:tab/>
      </w:r>
      <w:r>
        <w:rPr>
          <w:spacing w:val="-2"/>
        </w:rPr>
        <w:t>√不适用</w:t>
      </w:r>
    </w:p>
    <w:p>
      <w:pPr>
        <w:pStyle w:val="Heading4"/>
        <w:spacing w:line="272" w:lineRule="exact"/>
        <w:ind w:left="138" w:right="0"/>
        <w:jc w:val="left"/>
        <w:rPr>
          <w:b w:val="0"/>
          <w:bCs w:val="0"/>
        </w:rPr>
      </w:pPr>
      <w:r>
        <w:rPr/>
        <w:t>其他情况</w:t>
      </w:r>
      <w:r>
        <w:rPr>
          <w:b w:val="0"/>
          <w:bCs w:val="0"/>
        </w:rPr>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4"/>
        <w:spacing w:line="273" w:lineRule="exact"/>
        <w:ind w:left="138" w:right="0"/>
        <w:jc w:val="left"/>
        <w:rPr>
          <w:b w:val="0"/>
          <w:bCs w:val="0"/>
        </w:rPr>
      </w:pPr>
      <w:r>
        <w:rPr>
          <w:rFonts w:ascii="宋体" w:hAnsi="宋体" w:cs="宋体" w:eastAsia="宋体" w:hint="default"/>
        </w:rPr>
        <w:t>(2).</w:t>
      </w:r>
      <w:r>
        <w:rPr/>
        <w:t>单项委托贷款情况</w:t>
      </w:r>
      <w:r>
        <w:rPr>
          <w:b w:val="0"/>
          <w:bCs w:val="0"/>
        </w:rPr>
      </w:r>
    </w:p>
    <w:p>
      <w:pPr>
        <w:tabs>
          <w:tab w:pos="980" w:val="left" w:leader="none"/>
        </w:tabs>
        <w:spacing w:before="0"/>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2" w:lineRule="exact"/>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4"/>
        <w:spacing w:line="274" w:lineRule="exact"/>
        <w:ind w:left="138" w:right="0"/>
        <w:jc w:val="left"/>
        <w:rPr>
          <w:b w:val="0"/>
          <w:bCs w:val="0"/>
        </w:rPr>
      </w:pPr>
      <w:r>
        <w:rPr>
          <w:rFonts w:ascii="宋体" w:hAnsi="宋体" w:cs="宋体" w:eastAsia="宋体" w:hint="default"/>
        </w:rPr>
        <w:t>(3).</w:t>
      </w:r>
      <w:r>
        <w:rPr/>
        <w:t>委托贷款减值准备</w:t>
      </w:r>
      <w:r>
        <w:rPr>
          <w:b w:val="0"/>
          <w:bCs w:val="0"/>
        </w:rPr>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十六、其他重大事项的说明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72" w:lineRule="exact" w:before="86"/>
        <w:ind w:left="138" w:right="6652"/>
        <w:jc w:val="left"/>
      </w:pPr>
      <w:r>
        <w:rPr>
          <w:spacing w:val="-1"/>
        </w:rPr>
        <w:t>√适用</w:t>
        <w:tab/>
      </w:r>
      <w:r>
        <w:rPr>
          <w:spacing w:val="-2"/>
        </w:rPr>
        <w:t>□不适用</w:t>
      </w:r>
      <w:r>
        <w:rPr>
          <w:spacing w:val="-99"/>
        </w:rPr>
        <w:t> </w:t>
      </w:r>
      <w:r>
        <w:rPr>
          <w:spacing w:val="-99"/>
        </w:rPr>
      </w:r>
      <w:r>
        <w:rPr>
          <w:spacing w:val="-2"/>
        </w:rPr>
        <w:t>详见社会责任工作报告。</w:t>
      </w:r>
    </w:p>
    <w:p>
      <w:pPr>
        <w:spacing w:line="240" w:lineRule="auto" w:before="4"/>
        <w:rPr>
          <w:rFonts w:ascii="宋体" w:hAnsi="宋体" w:cs="宋体" w:eastAsia="宋体" w:hint="default"/>
          <w:sz w:val="23"/>
          <w:szCs w:val="23"/>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58"/>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4"/>
        <w:tabs>
          <w:tab w:pos="781" w:val="left" w:leader="none"/>
        </w:tabs>
        <w:spacing w:line="240" w:lineRule="auto" w:before="36"/>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十八、可转换公司债券情况</w:t>
      </w:r>
      <w:r>
        <w:rPr>
          <w:b w:val="0"/>
          <w:bCs w:val="0"/>
        </w:rPr>
      </w:r>
    </w:p>
    <w:p>
      <w:pPr>
        <w:pStyle w:val="Heading4"/>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left="138" w:right="0"/>
        <w:jc w:val="left"/>
      </w:pPr>
      <w:r>
        <w:rPr/>
        <w:t>□适用</w:t>
      </w:r>
      <w:r>
        <w:rPr>
          <w:spacing w:val="-1"/>
        </w:rPr>
        <w:t> </w:t>
      </w:r>
      <w:r>
        <w:rPr/>
        <w:t>√不适用</w:t>
      </w:r>
    </w:p>
    <w:p>
      <w:pPr>
        <w:pStyle w:val="Heading4"/>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30"/>
        <w:ind w:left="138" w:right="5169"/>
        <w:jc w:val="left"/>
      </w:pPr>
      <w:r>
        <w:rPr/>
        <w:t>□适用</w:t>
      </w:r>
      <w:r>
        <w:rPr>
          <w:spacing w:val="-2"/>
        </w:rPr>
        <w:t> </w:t>
      </w:r>
      <w:r>
        <w:rPr/>
        <w:t>√不适用</w:t>
      </w:r>
      <w:r>
        <w:rPr>
          <w:w w:val="100"/>
        </w:rPr>
        <w:t> </w:t>
      </w:r>
      <w:r>
        <w:rPr>
          <w:spacing w:val="-2"/>
        </w:rPr>
        <w:t>报告期转债累计转股情况</w:t>
      </w:r>
    </w:p>
    <w:p>
      <w:pPr>
        <w:pStyle w:val="BodyText"/>
        <w:spacing w:line="271" w:lineRule="exact"/>
        <w:ind w:left="138" w:right="0"/>
        <w:jc w:val="left"/>
      </w:pPr>
      <w:r>
        <w:rPr/>
        <w:t>□适用</w:t>
      </w:r>
      <w:r>
        <w:rPr>
          <w:spacing w:val="-1"/>
        </w:rPr>
        <w:t> </w:t>
      </w:r>
      <w:r>
        <w:rPr/>
        <w:t>√不适用</w:t>
      </w:r>
    </w:p>
    <w:p>
      <w:pPr>
        <w:pStyle w:val="Heading4"/>
        <w:spacing w:line="240" w:lineRule="auto" w:before="58"/>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38" w:right="0"/>
        <w:jc w:val="left"/>
      </w:pPr>
      <w:r>
        <w:rPr/>
        <w:t>□适用</w:t>
      </w:r>
      <w:r>
        <w:rPr>
          <w:spacing w:val="-1"/>
        </w:rPr>
        <w:t> </w:t>
      </w:r>
      <w:r>
        <w:rPr/>
        <w:t>√不适用</w:t>
      </w:r>
    </w:p>
    <w:p>
      <w:pPr>
        <w:pStyle w:val="Heading4"/>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pStyle w:val="Heading4"/>
        <w:spacing w:line="240" w:lineRule="auto" w:before="58"/>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0" w:val="left" w:leader="none"/>
        </w:tabs>
        <w:spacing w:line="240" w:lineRule="auto"/>
        <w:ind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4"/>
        <w:tabs>
          <w:tab w:pos="704" w:val="left" w:leader="none"/>
        </w:tabs>
        <w:spacing w:line="278" w:lineRule="auto"/>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5"/>
        <w:ind w:left="138" w:right="347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980" w:val="left" w:leader="none"/>
        </w:tabs>
        <w:spacing w:line="240" w:lineRule="auto" w:before="14"/>
        <w:ind w:left="138" w:right="0"/>
        <w:jc w:val="left"/>
      </w:pPr>
      <w:r>
        <w:rPr>
          <w:spacing w:val="-1"/>
        </w:rPr>
        <w:t>□适用</w:t>
        <w:tab/>
      </w:r>
      <w:r>
        <w:rPr>
          <w:spacing w:val="-2"/>
        </w:rPr>
        <w:t>√不适用</w:t>
      </w:r>
    </w:p>
    <w:p>
      <w:pPr>
        <w:pStyle w:val="Heading4"/>
        <w:spacing w:line="240" w:lineRule="auto" w:before="56"/>
        <w:ind w:left="13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pStyle w:val="Heading4"/>
        <w:spacing w:line="240" w:lineRule="auto" w:before="57"/>
        <w:ind w:left="13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pStyle w:val="Heading4"/>
        <w:tabs>
          <w:tab w:pos="704" w:val="left" w:leader="none"/>
        </w:tabs>
        <w:spacing w:line="240" w:lineRule="auto" w:before="56"/>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left="138" w:right="59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138" w:right="1275"/>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980" w:val="left" w:leader="none"/>
        </w:tabs>
        <w:spacing w:line="246" w:lineRule="exact"/>
        <w:ind w:left="138" w:right="0"/>
        <w:jc w:val="left"/>
      </w:pPr>
      <w:r>
        <w:rPr>
          <w:spacing w:val="-1"/>
        </w:rPr>
        <w:t>□适用</w:t>
        <w:tab/>
      </w:r>
      <w:r>
        <w:rPr>
          <w:spacing w:val="-2"/>
        </w:rPr>
        <w:t>√不适用</w:t>
      </w:r>
    </w:p>
    <w:p>
      <w:pPr>
        <w:spacing w:after="0" w:line="246"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4"/>
        <w:spacing w:line="240" w:lineRule="auto" w:before="36"/>
        <w:ind w:right="9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2465"/>
        <w:jc w:val="left"/>
      </w:pPr>
      <w:r>
        <w:rPr/>
        <w:t>□适用</w:t>
      </w:r>
      <w:r>
        <w:rPr>
          <w:spacing w:val="-1"/>
        </w:rPr>
        <w:t> </w:t>
      </w:r>
      <w:r>
        <w:rPr/>
        <w:t>√不适用</w:t>
      </w:r>
    </w:p>
    <w:p>
      <w:pPr>
        <w:pStyle w:val="Heading4"/>
        <w:spacing w:line="240" w:lineRule="auto" w:before="58"/>
        <w:ind w:right="2465"/>
        <w:jc w:val="left"/>
        <w:rPr>
          <w:b w:val="0"/>
          <w:bCs w:val="0"/>
        </w:rPr>
      </w:pPr>
      <w:r>
        <w:rPr/>
        <w:t>三、</w:t>
      </w:r>
      <w:r>
        <w:rPr>
          <w:spacing w:val="-80"/>
        </w:rPr>
        <w:t> </w:t>
      </w:r>
      <w:r>
        <w:rPr/>
        <w:t>股东和实际控制人情况</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44,245</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42,005</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162"/>
        <w:gridCol w:w="1287"/>
        <w:gridCol w:w="763"/>
        <w:gridCol w:w="636"/>
        <w:gridCol w:w="555"/>
        <w:gridCol w:w="542"/>
        <w:gridCol w:w="1020"/>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7" w:hRule="exact"/>
        </w:trPr>
        <w:tc>
          <w:tcPr>
            <w:tcW w:w="3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64" w:right="151"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533" w:right="108"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218" w:right="16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36" w:type="dxa"/>
            <w:vMerge w:val="restart"/>
            <w:tcBorders>
              <w:top w:val="single" w:sz="4" w:space="0" w:color="000000"/>
              <w:left w:val="single" w:sz="4" w:space="0" w:color="000000"/>
              <w:right w:val="single" w:sz="4" w:space="0" w:color="000000"/>
            </w:tcBorders>
          </w:tcPr>
          <w:p>
            <w:pPr>
              <w:pStyle w:val="TableParagraph"/>
              <w:spacing w:line="272" w:lineRule="exact" w:before="1"/>
              <w:ind w:left="103" w:right="98"/>
              <w:jc w:val="center"/>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w w:val="100"/>
                <w:sz w:val="21"/>
                <w:szCs w:val="21"/>
              </w:rPr>
              <w:t> </w:t>
            </w:r>
            <w:r>
              <w:rPr>
                <w:rFonts w:ascii="宋体" w:hAnsi="宋体" w:cs="宋体" w:eastAsia="宋体" w:hint="default"/>
                <w:sz w:val="21"/>
                <w:szCs w:val="21"/>
              </w:rPr>
              <w:t>有限</w:t>
            </w:r>
          </w:p>
          <w:p>
            <w:pPr>
              <w:pStyle w:val="TableParagraph"/>
              <w:spacing w:line="272" w:lineRule="exact" w:before="1"/>
              <w:ind w:left="103" w:right="98"/>
              <w:jc w:val="center"/>
              <w:rPr>
                <w:rFonts w:ascii="宋体" w:hAnsi="宋体" w:cs="宋体" w:eastAsia="宋体" w:hint="default"/>
                <w:sz w:val="21"/>
                <w:szCs w:val="21"/>
              </w:rPr>
            </w:pPr>
            <w:r>
              <w:rPr>
                <w:rFonts w:ascii="宋体" w:hAnsi="宋体" w:cs="宋体" w:eastAsia="宋体" w:hint="default"/>
                <w:sz w:val="21"/>
                <w:szCs w:val="21"/>
              </w:rPr>
              <w:t>售条</w:t>
            </w:r>
            <w:r>
              <w:rPr>
                <w:rFonts w:ascii="宋体" w:hAnsi="宋体" w:cs="宋体" w:eastAsia="宋体" w:hint="default"/>
                <w:w w:val="100"/>
                <w:sz w:val="21"/>
                <w:szCs w:val="21"/>
              </w:rPr>
              <w:t> </w:t>
            </w:r>
            <w:r>
              <w:rPr>
                <w:rFonts w:ascii="宋体" w:hAnsi="宋体" w:cs="宋体" w:eastAsia="宋体" w:hint="default"/>
                <w:sz w:val="21"/>
                <w:szCs w:val="21"/>
              </w:rPr>
              <w:t>件股</w:t>
            </w:r>
          </w:p>
          <w:p>
            <w:pPr>
              <w:pStyle w:val="TableParagraph"/>
              <w:spacing w:line="272" w:lineRule="exact" w:before="1"/>
              <w:ind w:left="103" w:right="98"/>
              <w:jc w:val="center"/>
              <w:rPr>
                <w:rFonts w:ascii="宋体" w:hAnsi="宋体" w:cs="宋体" w:eastAsia="宋体" w:hint="default"/>
                <w:sz w:val="21"/>
                <w:szCs w:val="21"/>
              </w:rPr>
            </w:pPr>
            <w:r>
              <w:rPr>
                <w:rFonts w:ascii="宋体" w:hAnsi="宋体" w:cs="宋体" w:eastAsia="宋体" w:hint="default"/>
                <w:sz w:val="21"/>
                <w:szCs w:val="21"/>
              </w:rPr>
              <w:t>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结情况</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292" w:right="29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100" w:hRule="exact"/>
        </w:trPr>
        <w:tc>
          <w:tcPr>
            <w:tcW w:w="3085"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1"/>
              <w:ind w:left="165" w:right="166"/>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0" w:right="158"/>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20" w:type="dxa"/>
            <w:vMerge/>
            <w:tcBorders>
              <w:left w:val="single" w:sz="4" w:space="0" w:color="000000"/>
              <w:bottom w:val="single" w:sz="4" w:space="0" w:color="000000"/>
              <w:right w:val="single" w:sz="4" w:space="0" w:color="000000"/>
            </w:tcBorders>
          </w:tcPr>
          <w:p>
            <w:pPr/>
          </w:p>
        </w:tc>
      </w:tr>
      <w:tr>
        <w:trPr>
          <w:trHeight w:val="82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深圳市瑞莱嘉誉投资企业（有限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2,694,410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46,040,052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40" w:lineRule="auto"/>
              <w:ind w:left="100" w:right="275"/>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庄建新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992,000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7,983,475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张运防</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7,690,435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7,690,435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7,048,701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7,048,701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1,483,800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6,360,277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傅立为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3,659,097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3,659,097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张瑞宁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3,610,300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吴振东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3,500,300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3,500,300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0.89</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持有无限售条件流通股的</w:t>
            </w:r>
          </w:p>
        </w:tc>
        <w:tc>
          <w:tcPr>
            <w:tcW w:w="21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46"/>
        <w:gridCol w:w="2686"/>
        <w:gridCol w:w="778"/>
        <w:gridCol w:w="1339"/>
      </w:tblGrid>
      <w:tr>
        <w:trPr>
          <w:trHeight w:val="284" w:hRule="exact"/>
        </w:trPr>
        <w:tc>
          <w:tcPr>
            <w:tcW w:w="4246" w:type="dxa"/>
            <w:tcBorders>
              <w:top w:val="single" w:sz="4" w:space="0" w:color="000000"/>
              <w:left w:val="single" w:sz="4" w:space="0" w:color="000000"/>
              <w:bottom w:val="single" w:sz="4" w:space="0" w:color="000000"/>
              <w:right w:val="single" w:sz="4" w:space="0" w:color="000000"/>
            </w:tcBorders>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828"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深圳市瑞莱嘉誉投资企业（有限合伙）</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46,040,052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46,040,052</w:t>
            </w:r>
          </w:p>
        </w:tc>
      </w:tr>
      <w:tr>
        <w:trPr>
          <w:trHeight w:val="826"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w:t>
            </w:r>
          </w:p>
        </w:tc>
      </w:tr>
      <w:tr>
        <w:trPr>
          <w:trHeight w:val="828"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庄建新</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7,983,475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7,983,475</w:t>
            </w:r>
          </w:p>
        </w:tc>
      </w:tr>
      <w:tr>
        <w:trPr>
          <w:trHeight w:val="826"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张运防</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7,690,435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7,690,435</w:t>
            </w:r>
          </w:p>
        </w:tc>
      </w:tr>
      <w:tr>
        <w:trPr>
          <w:trHeight w:val="828"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陈伟</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7,048,701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7,048,701</w:t>
            </w:r>
          </w:p>
        </w:tc>
      </w:tr>
      <w:tr>
        <w:trPr>
          <w:trHeight w:val="828"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孙伟</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6,360,277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6,360,277</w:t>
            </w:r>
          </w:p>
        </w:tc>
      </w:tr>
      <w:tr>
        <w:trPr>
          <w:trHeight w:val="826"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吴刚</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3,750,000</w:t>
            </w:r>
          </w:p>
        </w:tc>
      </w:tr>
      <w:tr>
        <w:trPr>
          <w:trHeight w:val="828"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傅立为</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3,659,097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3,659,097</w:t>
            </w:r>
          </w:p>
        </w:tc>
      </w:tr>
      <w:tr>
        <w:trPr>
          <w:trHeight w:val="826"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张瑞宁</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3,610,300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3,610,300</w:t>
            </w:r>
          </w:p>
        </w:tc>
      </w:tr>
      <w:tr>
        <w:trPr>
          <w:trHeight w:val="828"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吴振东</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3,500,300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3,500,300</w:t>
            </w:r>
          </w:p>
        </w:tc>
      </w:tr>
      <w:tr>
        <w:trPr>
          <w:trHeight w:val="283"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前十名有限售条件股东持股数量及限售条件</w:t>
      </w:r>
    </w:p>
    <w:p>
      <w:pPr>
        <w:pStyle w:val="BodyText"/>
        <w:spacing w:line="273" w:lineRule="exact"/>
        <w:ind w:right="2465"/>
        <w:jc w:val="left"/>
      </w:pPr>
      <w:r>
        <w:rPr/>
        <w:t>□适用</w:t>
      </w:r>
      <w:r>
        <w:rPr>
          <w:spacing w:val="-1"/>
        </w:rPr>
        <w:t> </w:t>
      </w:r>
      <w:r>
        <w:rPr/>
        <w:t>√不适用</w:t>
      </w:r>
    </w:p>
    <w:p>
      <w:pPr>
        <w:pStyle w:val="Heading4"/>
        <w:tabs>
          <w:tab w:pos="784" w:val="left" w:leader="none"/>
        </w:tabs>
        <w:spacing w:line="240" w:lineRule="auto" w:before="58"/>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2465"/>
        <w:jc w:val="left"/>
      </w:pPr>
      <w:r>
        <w:rPr/>
        <w:t>□适用</w:t>
      </w:r>
      <w:r>
        <w:rPr>
          <w:spacing w:val="-1"/>
        </w:rPr>
        <w:t> </w:t>
      </w:r>
      <w:r>
        <w:rPr/>
        <w:t>√不适用</w:t>
      </w:r>
    </w:p>
    <w:p>
      <w:pPr>
        <w:pStyle w:val="Heading4"/>
        <w:spacing w:line="240" w:lineRule="auto" w:before="58"/>
        <w:ind w:right="2465"/>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6" w:lineRule="auto" w:before="56"/>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深圳市瑞莱嘉誉投资企业（有限合伙）</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投资咨询；企业管理咨询；投资兴办实业（具体项目另行申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637" w:val="left" w:leader="none"/>
        </w:tabs>
        <w:spacing w:line="240" w:lineRule="auto" w:before="36"/>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465"/>
        <w:jc w:val="left"/>
      </w:pPr>
      <w:r>
        <w:rPr/>
        <w:t>□适用</w:t>
      </w:r>
      <w:r>
        <w:rPr>
          <w:spacing w:val="-1"/>
        </w:rPr>
        <w:t> </w:t>
      </w:r>
      <w:r>
        <w:rPr/>
        <w:t>√不适用</w:t>
      </w:r>
    </w:p>
    <w:p>
      <w:pPr>
        <w:pStyle w:val="Heading4"/>
        <w:tabs>
          <w:tab w:pos="637" w:val="left" w:leader="none"/>
        </w:tabs>
        <w:spacing w:line="240" w:lineRule="auto" w:before="58"/>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73" w:lineRule="exact"/>
        <w:ind w:left="638" w:right="97"/>
        <w:jc w:val="left"/>
      </w:pP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25</w:t>
      </w:r>
      <w:r>
        <w:rPr>
          <w:rFonts w:ascii="宋体" w:hAnsi="宋体" w:cs="宋体" w:eastAsia="宋体" w:hint="default"/>
          <w:spacing w:val="-46"/>
        </w:rPr>
        <w:t> </w:t>
      </w:r>
      <w:r>
        <w:rPr>
          <w:spacing w:val="-7"/>
        </w:rPr>
        <w:t>日，公司</w:t>
      </w:r>
      <w:r>
        <w:rPr>
          <w:spacing w:val="-42"/>
        </w:rPr>
        <w:t> </w:t>
      </w:r>
      <w:r>
        <w:rPr>
          <w:rFonts w:ascii="宋体" w:hAnsi="宋体" w:cs="宋体" w:eastAsia="宋体" w:hint="default"/>
        </w:rPr>
        <w:t>2017</w:t>
      </w:r>
      <w:r>
        <w:rPr>
          <w:rFonts w:ascii="宋体" w:hAnsi="宋体" w:cs="宋体" w:eastAsia="宋体" w:hint="default"/>
          <w:spacing w:val="-44"/>
        </w:rPr>
        <w:t> </w:t>
      </w:r>
      <w:r>
        <w:rPr>
          <w:spacing w:val="-3"/>
        </w:rPr>
        <w:t>年第一次临时股东大会决议通过了改选董监事的议案，瑞莱嘉</w:t>
      </w:r>
    </w:p>
    <w:p>
      <w:pPr>
        <w:pStyle w:val="BodyText"/>
        <w:spacing w:line="240" w:lineRule="auto" w:before="133"/>
        <w:ind w:right="97"/>
        <w:jc w:val="left"/>
      </w:pPr>
      <w:r>
        <w:rPr/>
        <w:t>誉的提名人选组成了新的董事会、监事会。自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日起公司第一大股东瑞莱嘉誉对公</w:t>
      </w:r>
    </w:p>
    <w:p>
      <w:pPr>
        <w:pStyle w:val="BodyText"/>
        <w:spacing w:line="240" w:lineRule="auto" w:before="135"/>
        <w:ind w:right="97"/>
        <w:jc w:val="left"/>
      </w:pPr>
      <w:r>
        <w:rPr/>
        <w:t>司有实际控制权。详见《广西慧球科技股份有限公司</w:t>
      </w:r>
      <w:r>
        <w:rPr>
          <w:spacing w:val="-56"/>
        </w:rPr>
        <w:t> </w:t>
      </w:r>
      <w:r>
        <w:rPr>
          <w:rFonts w:ascii="宋体" w:hAnsi="宋体" w:cs="宋体" w:eastAsia="宋体" w:hint="default"/>
        </w:rPr>
        <w:t>2016</w:t>
      </w:r>
      <w:r>
        <w:rPr>
          <w:rFonts w:ascii="宋体" w:hAnsi="宋体" w:cs="宋体" w:eastAsia="宋体" w:hint="default"/>
          <w:spacing w:val="-56"/>
        </w:rPr>
        <w:t> </w:t>
      </w:r>
      <w:r>
        <w:rPr/>
        <w:t>年年度报告》</w:t>
      </w:r>
    </w:p>
    <w:p>
      <w:pPr>
        <w:spacing w:line="240" w:lineRule="auto" w:before="10"/>
        <w:rPr>
          <w:rFonts w:ascii="宋体" w:hAnsi="宋体" w:cs="宋体" w:eastAsia="宋体" w:hint="default"/>
          <w:sz w:val="14"/>
          <w:szCs w:val="14"/>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6"/>
        <w:rPr>
          <w:rFonts w:ascii="宋体" w:hAnsi="宋体" w:cs="宋体" w:eastAsia="宋体" w:hint="default"/>
          <w:sz w:val="2"/>
          <w:szCs w:val="2"/>
        </w:rPr>
      </w:pPr>
    </w:p>
    <w:p>
      <w:pPr>
        <w:spacing w:line="3352" w:lineRule="exact"/>
        <w:ind w:left="121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370842" cy="212864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7" cstate="print"/>
                    <a:stretch>
                      <a:fillRect/>
                    </a:stretch>
                  </pic:blipFill>
                  <pic:spPr>
                    <a:xfrm>
                      <a:off x="0" y="0"/>
                      <a:ext cx="4370842" cy="2128647"/>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22"/>
          <w:szCs w:val="22"/>
        </w:rPr>
      </w:pPr>
    </w:p>
    <w:p>
      <w:pPr>
        <w:pStyle w:val="Heading4"/>
        <w:tabs>
          <w:tab w:pos="642" w:val="left" w:leader="none"/>
        </w:tabs>
        <w:spacing w:line="264"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张琲</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月至今分别担任沈阳特种环保设备制造股份有限</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pacing w:val="-5"/>
                <w:sz w:val="21"/>
                <w:szCs w:val="21"/>
              </w:rPr>
              <w:t>400036</w:t>
            </w:r>
            <w:r>
              <w:rPr>
                <w:rFonts w:ascii="宋体" w:hAnsi="宋体" w:cs="宋体" w:eastAsia="宋体" w:hint="default"/>
                <w:spacing w:val="-5"/>
                <w:sz w:val="21"/>
                <w:szCs w:val="21"/>
              </w:rPr>
              <w:t>）总经理、董事，</w:t>
            </w:r>
            <w:r>
              <w:rPr>
                <w:rFonts w:ascii="宋体" w:hAnsi="宋体" w:cs="宋体" w:eastAsia="宋体" w:hint="default"/>
                <w:spacing w:val="-5"/>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月至今担任深圳市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前海瑞莱基金管理有限公司董事长，</w:t>
            </w:r>
            <w:r>
              <w:rPr>
                <w:rFonts w:ascii="宋体" w:hAnsi="宋体" w:cs="宋体" w:eastAsia="宋体" w:hint="default"/>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月至今在乐</w:t>
            </w:r>
            <w:r>
              <w:rPr>
                <w:rFonts w:ascii="宋体" w:hAnsi="宋体" w:cs="宋体" w:eastAsia="宋体" w:hint="default"/>
                <w:w w:val="100"/>
                <w:sz w:val="21"/>
                <w:szCs w:val="21"/>
              </w:rPr>
              <w:t> </w:t>
            </w:r>
            <w:r>
              <w:rPr>
                <w:rFonts w:ascii="宋体" w:hAnsi="宋体" w:cs="宋体" w:eastAsia="宋体" w:hint="default"/>
                <w:sz w:val="21"/>
                <w:szCs w:val="21"/>
              </w:rPr>
              <w:t>视游戏科技（北京）有限公司担任董事，</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8"/>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至今在广西慧金科技股份有限公司任职董事、董事长。</w:t>
            </w:r>
          </w:p>
        </w:tc>
      </w:tr>
      <w:tr>
        <w:trPr>
          <w:trHeight w:val="555"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77"/>
        <w:ind w:left="138" w:right="106"/>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80" w:val="left" w:leader="none"/>
        </w:tabs>
        <w:spacing w:line="240" w:lineRule="auto" w:before="56"/>
        <w:ind w:left="138" w:right="10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106"/>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980" w:val="left" w:leader="none"/>
        </w:tabs>
        <w:spacing w:line="240" w:lineRule="auto" w:before="58"/>
        <w:ind w:left="138" w:right="106"/>
        <w:jc w:val="left"/>
      </w:pPr>
      <w:r>
        <w:rPr>
          <w:spacing w:val="-1"/>
        </w:rPr>
        <w:t>√适用</w:t>
        <w:tab/>
      </w:r>
      <w:r>
        <w:rPr>
          <w:spacing w:val="-2"/>
        </w:rPr>
        <w:t>□不适用</w:t>
      </w:r>
    </w:p>
    <w:p>
      <w:pPr>
        <w:pStyle w:val="BodyText"/>
        <w:spacing w:line="240" w:lineRule="auto" w:before="116"/>
        <w:ind w:left="558" w:right="106"/>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日开始，深圳市瑞莱嘉誉投资企业</w:t>
      </w:r>
      <w:r>
        <w:rPr>
          <w:rFonts w:ascii="宋体" w:hAnsi="宋体" w:cs="宋体" w:eastAsia="宋体" w:hint="default"/>
        </w:rPr>
        <w:t>(</w:t>
      </w:r>
      <w:r>
        <w:rPr/>
        <w:t>有限合伙</w:t>
      </w:r>
      <w:r>
        <w:rPr>
          <w:rFonts w:ascii="宋体" w:hAnsi="宋体" w:cs="宋体" w:eastAsia="宋体" w:hint="default"/>
        </w:rPr>
        <w:t>)</w:t>
      </w:r>
      <w:r>
        <w:rPr/>
        <w:t>（以下简称“瑞莱嘉誉”）持</w:t>
      </w:r>
    </w:p>
    <w:p>
      <w:pPr>
        <w:pStyle w:val="BodyText"/>
        <w:spacing w:line="240" w:lineRule="auto" w:before="66"/>
        <w:ind w:left="138" w:right="106"/>
        <w:jc w:val="left"/>
      </w:pPr>
      <w:r>
        <w:rPr/>
        <w:t>续买入公司股票。至同年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日，瑞莱嘉誉持有本公司股票</w:t>
      </w:r>
      <w:r>
        <w:rPr>
          <w:spacing w:val="-54"/>
        </w:rPr>
        <w:t> </w:t>
      </w:r>
      <w:r>
        <w:rPr>
          <w:rFonts w:ascii="宋体" w:hAnsi="宋体" w:cs="宋体" w:eastAsia="宋体" w:hint="default"/>
        </w:rPr>
        <w:t>43,345,642</w:t>
      </w:r>
      <w:r>
        <w:rPr>
          <w:rFonts w:ascii="宋体" w:hAnsi="宋体" w:cs="宋体" w:eastAsia="宋体" w:hint="default"/>
          <w:spacing w:val="-56"/>
        </w:rPr>
        <w:t> </w:t>
      </w:r>
      <w:r>
        <w:rPr/>
        <w:t>股，占总股份的</w:t>
      </w:r>
    </w:p>
    <w:p>
      <w:pPr>
        <w:pStyle w:val="BodyText"/>
        <w:spacing w:line="297" w:lineRule="auto" w:before="66"/>
        <w:ind w:left="138" w:right="106"/>
        <w:jc w:val="left"/>
      </w:pPr>
      <w:r>
        <w:rPr>
          <w:rFonts w:ascii="宋体" w:hAnsi="宋体" w:cs="宋体" w:eastAsia="宋体" w:hint="default"/>
          <w:spacing w:val="-3"/>
        </w:rPr>
        <w:t>10.9793%</w:t>
      </w:r>
      <w:r>
        <w:rPr>
          <w:spacing w:val="-3"/>
        </w:rPr>
        <w:t>，成为公司第一大股东。</w:t>
      </w:r>
      <w:r>
        <w:rPr>
          <w:rFonts w:ascii="宋体" w:hAnsi="宋体" w:cs="宋体" w:eastAsia="宋体" w:hint="default"/>
          <w:spacing w:val="-3"/>
        </w:rPr>
        <w:t>2016</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23</w:t>
      </w:r>
      <w:r>
        <w:rPr>
          <w:rFonts w:ascii="宋体" w:hAnsi="宋体" w:cs="宋体" w:eastAsia="宋体" w:hint="default"/>
          <w:spacing w:val="-51"/>
        </w:rPr>
        <w:t> </w:t>
      </w:r>
      <w:r>
        <w:rPr/>
        <w:t>日，瑞莱嘉誉致函上市公司前任董事会要求立</w:t>
      </w:r>
      <w:r>
        <w:rPr>
          <w:spacing w:val="-103"/>
        </w:rPr>
        <w:t> </w:t>
      </w:r>
      <w:r>
        <w:rPr>
          <w:spacing w:val="-103"/>
        </w:rPr>
      </w:r>
      <w:r>
        <w:rPr/>
        <w:t>即召开股东大会，改选董监事。</w:t>
      </w:r>
    </w:p>
    <w:p>
      <w:pPr>
        <w:pStyle w:val="BodyText"/>
        <w:spacing w:line="297" w:lineRule="auto" w:before="136"/>
        <w:ind w:left="138" w:right="217" w:firstLine="419"/>
        <w:jc w:val="both"/>
      </w:pPr>
      <w:r>
        <w:rPr/>
        <w:t>公司于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日公告，公司董事会、监事会分别收到公司董事长董文亮先生、非独</w:t>
      </w:r>
      <w:r>
        <w:rPr>
          <w:w w:val="100"/>
        </w:rPr>
        <w:t> </w:t>
      </w:r>
      <w:r>
        <w:rPr>
          <w:spacing w:val="-2"/>
        </w:rPr>
        <w:t>立董事温利华先生、独立董事刘光如先生、独立董事李占国先生、独立董事刘士林先生、监事潘</w:t>
      </w:r>
      <w:r>
        <w:rPr>
          <w:spacing w:val="-25"/>
        </w:rPr>
        <w:t> </w:t>
      </w:r>
      <w:r>
        <w:rPr>
          <w:spacing w:val="-25"/>
        </w:rPr>
      </w:r>
      <w:r>
        <w:rPr/>
        <w:t>大明先生、监事顾云峰先生提交的书面辞职报告，上述董事、监事因个人原因辞职。</w:t>
      </w:r>
    </w:p>
    <w:p>
      <w:pPr>
        <w:pStyle w:val="BodyText"/>
        <w:spacing w:line="240" w:lineRule="auto" w:before="135"/>
        <w:ind w:left="558" w:right="106"/>
        <w:jc w:val="left"/>
      </w:pP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25</w:t>
      </w:r>
      <w:r>
        <w:rPr>
          <w:rFonts w:ascii="宋体" w:hAnsi="宋体" w:cs="宋体" w:eastAsia="宋体" w:hint="default"/>
          <w:spacing w:val="-46"/>
        </w:rPr>
        <w:t> </w:t>
      </w:r>
      <w:r>
        <w:rPr>
          <w:spacing w:val="-7"/>
        </w:rPr>
        <w:t>日，公司</w:t>
      </w:r>
      <w:r>
        <w:rPr>
          <w:spacing w:val="-42"/>
        </w:rPr>
        <w:t> </w:t>
      </w:r>
      <w:r>
        <w:rPr>
          <w:rFonts w:ascii="宋体" w:hAnsi="宋体" w:cs="宋体" w:eastAsia="宋体" w:hint="default"/>
        </w:rPr>
        <w:t>2017</w:t>
      </w:r>
      <w:r>
        <w:rPr>
          <w:rFonts w:ascii="宋体" w:hAnsi="宋体" w:cs="宋体" w:eastAsia="宋体" w:hint="default"/>
          <w:spacing w:val="-44"/>
        </w:rPr>
        <w:t> </w:t>
      </w:r>
      <w:r>
        <w:rPr>
          <w:spacing w:val="-3"/>
        </w:rPr>
        <w:t>年第一次临时股东大会决议通过了改选董监事的议案，瑞莱嘉</w:t>
      </w:r>
    </w:p>
    <w:p>
      <w:pPr>
        <w:pStyle w:val="BodyText"/>
        <w:spacing w:line="240" w:lineRule="auto" w:before="66"/>
        <w:ind w:left="138" w:right="106"/>
        <w:jc w:val="left"/>
      </w:pPr>
      <w:r>
        <w:rPr/>
        <w:t>誉的提名人选组成了新的董事会、监事会。自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日起公司第一大股东瑞莱嘉誉对公</w:t>
      </w:r>
    </w:p>
    <w:p>
      <w:pPr>
        <w:pStyle w:val="BodyText"/>
        <w:spacing w:line="297" w:lineRule="auto" w:before="66"/>
        <w:ind w:left="138" w:right="106"/>
        <w:jc w:val="left"/>
      </w:pPr>
      <w:r>
        <w:rPr/>
        <w:t>司有实际控制权；根据</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月修订的《上市公司重大资产重组管理办法》相关精神及规定，</w:t>
      </w:r>
      <w:r>
        <w:rPr>
          <w:w w:val="100"/>
        </w:rPr>
        <w:t> </w:t>
      </w:r>
      <w:r>
        <w:rPr/>
        <w:t>张琲先生为深圳市前海瑞莱基金管理有限公司的实际控制人（以下简称瑞莱基金），瑞莱基金为</w:t>
      </w:r>
      <w:r>
        <w:rPr>
          <w:w w:val="100"/>
        </w:rPr>
        <w:t> </w:t>
      </w:r>
      <w:r>
        <w:rPr/>
        <w:t>瑞莱嘉誉普通合伙人，故张琲先生自</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25</w:t>
      </w:r>
      <w:r>
        <w:rPr>
          <w:rFonts w:ascii="宋体" w:hAnsi="宋体" w:cs="宋体" w:eastAsia="宋体" w:hint="default"/>
          <w:spacing w:val="-54"/>
        </w:rPr>
        <w:t> </w:t>
      </w:r>
      <w:r>
        <w:rPr/>
        <w:t>日起为公司的实际控制人。</w:t>
      </w:r>
    </w:p>
    <w:p>
      <w:pPr>
        <w:pStyle w:val="BodyText"/>
        <w:spacing w:line="240" w:lineRule="auto" w:before="133"/>
        <w:ind w:left="558" w:right="106"/>
        <w:jc w:val="left"/>
        <w:rPr>
          <w:rFonts w:ascii="宋体" w:hAnsi="宋体" w:cs="宋体" w:eastAsia="宋体" w:hint="default"/>
        </w:rPr>
      </w:pPr>
      <w:r>
        <w:rPr/>
        <w:t>综上，</w:t>
      </w:r>
      <w:r>
        <w:rPr>
          <w:rFonts w:ascii="宋体" w:hAnsi="宋体" w:cs="宋体" w:eastAsia="宋体" w:hint="default"/>
        </w:rPr>
        <w:t>2016</w:t>
      </w:r>
      <w:r>
        <w:rPr>
          <w:rFonts w:ascii="宋体" w:hAnsi="宋体" w:cs="宋体" w:eastAsia="宋体" w:hint="default"/>
          <w:spacing w:val="-53"/>
        </w:rPr>
        <w:t> </w:t>
      </w:r>
      <w:r>
        <w:rPr/>
        <w:t>年初公司实际控制人为顾国平</w:t>
      </w:r>
      <w:r>
        <w:rPr>
          <w:rFonts w:ascii="宋体" w:hAnsi="宋体" w:cs="宋体" w:eastAsia="宋体" w:hint="default"/>
        </w:rPr>
        <w:t>,</w:t>
      </w:r>
      <w:r>
        <w:rPr/>
        <w:t>自不晚于</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日起至</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10</w:t>
      </w:r>
    </w:p>
    <w:p>
      <w:pPr>
        <w:pStyle w:val="BodyText"/>
        <w:spacing w:line="297" w:lineRule="auto" w:before="66"/>
        <w:ind w:left="138" w:right="266"/>
        <w:jc w:val="left"/>
      </w:pPr>
      <w:r>
        <w:rPr/>
        <w:t>日期间，鲜言是公司的实际控制人，控制公司经营及信息披露事务，张琲先生自</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w w:val="100"/>
        </w:rPr>
        <w:t> </w:t>
      </w:r>
      <w:r>
        <w:rPr/>
        <w:t>日起为公司的实际控制人。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tabs>
          <w:tab w:pos="562" w:val="left" w:leader="none"/>
        </w:tabs>
        <w:spacing w:line="240" w:lineRule="auto"/>
        <w:ind w:left="138" w:right="106"/>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980" w:val="left" w:leader="none"/>
        </w:tabs>
        <w:spacing w:line="240" w:lineRule="auto" w:before="56"/>
        <w:ind w:left="138" w:right="106"/>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3252" w:lineRule="exact"/>
        <w:ind w:left="2446"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675432" cy="206521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2675432" cy="206521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3"/>
        <w:rPr>
          <w:rFonts w:ascii="宋体" w:hAnsi="宋体" w:cs="宋体" w:eastAsia="宋体" w:hint="default"/>
          <w:sz w:val="23"/>
          <w:szCs w:val="23"/>
        </w:rPr>
      </w:pPr>
    </w:p>
    <w:p>
      <w:pPr>
        <w:pStyle w:val="Heading4"/>
        <w:tabs>
          <w:tab w:pos="562" w:val="left" w:leader="none"/>
        </w:tabs>
        <w:spacing w:line="240" w:lineRule="auto"/>
        <w:ind w:left="138" w:right="106"/>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56"/>
        <w:ind w:left="138" w:right="106"/>
        <w:jc w:val="left"/>
      </w:pPr>
      <w:r>
        <w:rPr>
          <w:spacing w:val="-1"/>
        </w:rPr>
        <w:t>□适用</w:t>
        <w:tab/>
      </w:r>
      <w:r>
        <w:rPr>
          <w:spacing w:val="-2"/>
        </w:rPr>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4"/>
        <w:spacing w:line="240" w:lineRule="auto" w:before="3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0"/>
        <w:jc w:val="left"/>
      </w:pPr>
      <w:r>
        <w:rPr/>
        <w:t>□适用</w:t>
      </w:r>
      <w:r>
        <w:rPr>
          <w:spacing w:val="-1"/>
        </w:rPr>
        <w:t> </w:t>
      </w:r>
      <w:r>
        <w:rPr/>
        <w:t>√不适用</w:t>
      </w:r>
    </w:p>
    <w:p>
      <w:pPr>
        <w:pStyle w:val="Heading4"/>
        <w:spacing w:line="240" w:lineRule="auto" w:before="58"/>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9"/>
          <w:footerReference w:type="default" r:id="rId20"/>
          <w:pgSz w:w="16840" w:h="11910" w:orient="landscape"/>
          <w:pgMar w:header="880" w:footer="1195" w:top="1120" w:bottom="1380" w:left="1300" w:right="1200"/>
          <w:pgNumType w:start="40"/>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w w:val="100"/>
                <w:sz w:val="21"/>
                <w:szCs w:val="21"/>
              </w:rPr>
              <w:t>董事</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职工监事</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韦承武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11.664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职工监事</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w w:val="100"/>
                <w:sz w:val="21"/>
                <w:szCs w:val="21"/>
              </w:rPr>
              <w:t>董事</w:t>
            </w:r>
          </w:p>
          <w:p>
            <w:pPr>
              <w:pStyle w:val="TableParagraph"/>
              <w:spacing w:line="273" w:lineRule="exact"/>
              <w:ind w:left="105" w:right="-3"/>
              <w:jc w:val="left"/>
              <w:rPr>
                <w:rFonts w:ascii="宋体" w:hAnsi="宋体" w:cs="宋体" w:eastAsia="宋体" w:hint="default"/>
                <w:sz w:val="21"/>
                <w:szCs w:val="21"/>
              </w:rPr>
            </w:pPr>
            <w:r>
              <w:rPr>
                <w:rFonts w:ascii="宋体" w:hAnsi="宋体" w:cs="宋体" w:eastAsia="宋体" w:hint="default"/>
                <w:sz w:val="21"/>
                <w:szCs w:val="21"/>
              </w:rPr>
              <w:t>长（离任）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温利华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刘光如</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独立董事</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陆俊安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董事会秘</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书（离任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172.764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曾担任上海丰煜投资有限公司副总裁、沈阳公用发展股份有限公司副总裁、深圳市景梅实业有限公司副总经理，</w:t>
            </w:r>
            <w:r>
              <w:rPr>
                <w:rFonts w:ascii="宋体" w:hAnsi="宋体" w:cs="宋体" w:eastAsia="宋体" w:hint="default"/>
                <w:spacing w:val="-3"/>
                <w:sz w:val="21"/>
                <w:szCs w:val="21"/>
              </w:rPr>
              <w:t>2007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70"/>
                <w:sz w:val="21"/>
                <w:szCs w:val="21"/>
              </w:rPr>
              <w:t> </w:t>
            </w:r>
            <w:r>
              <w:rPr>
                <w:rFonts w:ascii="宋体" w:hAnsi="宋体" w:cs="宋体" w:eastAsia="宋体" w:hint="default"/>
                <w:sz w:val="21"/>
                <w:szCs w:val="21"/>
              </w:rPr>
              <w:t>月至今分别担</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任沈阳特种环保设备制造股份有限公司（</w:t>
            </w:r>
            <w:r>
              <w:rPr>
                <w:rFonts w:ascii="宋体" w:hAnsi="宋体" w:cs="宋体" w:eastAsia="宋体" w:hint="default"/>
                <w:sz w:val="21"/>
                <w:szCs w:val="21"/>
              </w:rPr>
              <w:t>400036</w:t>
            </w:r>
            <w:r>
              <w:rPr>
                <w:rFonts w:ascii="宋体" w:hAnsi="宋体" w:cs="宋体" w:eastAsia="宋体" w:hint="default"/>
                <w:sz w:val="21"/>
                <w:szCs w:val="21"/>
              </w:rPr>
              <w:t>）总经理、董事，</w:t>
            </w:r>
            <w:r>
              <w:rPr>
                <w:rFonts w:ascii="宋体" w:hAnsi="宋体" w:cs="宋体" w:eastAsia="宋体" w:hint="default"/>
                <w:sz w:val="21"/>
                <w:szCs w:val="21"/>
              </w:rPr>
              <w:t>2016</w:t>
            </w:r>
            <w:r>
              <w:rPr>
                <w:rFonts w:ascii="宋体" w:hAnsi="宋体" w:cs="宋体" w:eastAsia="宋体"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月至今担任深圳市前海瑞莱基金管理有限公司董事长，</w:t>
            </w:r>
            <w:r>
              <w:rPr>
                <w:rFonts w:ascii="宋体" w:hAnsi="宋体" w:cs="宋体" w:eastAsia="宋体" w:hint="default"/>
                <w:sz w:val="21"/>
                <w:szCs w:val="21"/>
              </w:rPr>
              <w:t>2016</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月至今在乐视游戏科技（北京）有限公司担任董事，</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日至今在广西慧金科技股份有限公司任职董事、董事长。</w:t>
            </w:r>
          </w:p>
        </w:tc>
      </w:tr>
      <w:tr>
        <w:trPr>
          <w:trHeight w:val="218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曾任职于深圳市华士集团、深圳市研创科技有限公司、深圳市优博网络科技有限公司、上海铭创技术有限公司、深圳市优博网络科技有</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z w:val="21"/>
                <w:szCs w:val="21"/>
              </w:rPr>
              <w:t>限公司、吉林省信托有限责任公司；</w:t>
            </w:r>
            <w:r>
              <w:rPr>
                <w:rFonts w:ascii="宋体" w:hAnsi="宋体" w:cs="宋体" w:eastAsia="宋体" w:hint="default"/>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月至今在深圳市前海瑞莱基金管理有限公司任职董事、执行总裁，现同时兼任深圳市新荣</w:t>
            </w:r>
            <w:r>
              <w:rPr>
                <w:rFonts w:ascii="宋体" w:hAnsi="宋体" w:cs="宋体" w:eastAsia="宋体" w:hint="default"/>
                <w:w w:val="100"/>
                <w:sz w:val="21"/>
                <w:szCs w:val="21"/>
              </w:rPr>
              <w:t> </w:t>
            </w:r>
            <w:r>
              <w:rPr>
                <w:rFonts w:ascii="宋体" w:hAnsi="宋体" w:cs="宋体" w:eastAsia="宋体" w:hint="default"/>
                <w:sz w:val="21"/>
                <w:szCs w:val="21"/>
              </w:rPr>
              <w:t>瑞莱教育投资有限公司董事，深圳市前海瑞莱小微金融资产管理有限公司监事，深圳市前海中久瑞莱资产管理有限公司监事，深圳市莱</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盛得贸易有限责任公司监事，深圳市瑞莱创富投资企业（有限合伙）执行事务合伙人委派代表，深圳市瑞莱启德教育企业（有限合伙）</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执行事务合伙人委派代表，深圳市瑞莱远策投资企业（有限合伙）执行事务合伙人委派代表，深圳市瑞莱方德投资企业（有限合伙）执</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行事务合伙人委派代表，深圳市瑞莱卓信投资企业（有限合伙）执行事务合伙人委派代表，深圳市瑞莱纳思投资企业（有限合伙）执行</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3"/>
                <w:sz w:val="21"/>
                <w:szCs w:val="21"/>
              </w:rPr>
              <w:t>事务合伙人委派代表，深圳市瑞莱欣茂投资企业（有限合伙）执行事务合伙人委派代表；</w:t>
            </w:r>
            <w:r>
              <w:rPr>
                <w:rFonts w:ascii="宋体" w:hAnsi="宋体" w:cs="宋体" w:eastAsia="宋体" w:hint="default"/>
                <w:spacing w:val="-3"/>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3"/>
                <w:sz w:val="21"/>
                <w:szCs w:val="21"/>
              </w:rPr>
              <w:t> </w:t>
            </w:r>
            <w:r>
              <w:rPr>
                <w:rFonts w:ascii="宋体" w:hAnsi="宋体" w:cs="宋体" w:eastAsia="宋体" w:hint="default"/>
                <w:sz w:val="21"/>
                <w:szCs w:val="21"/>
              </w:rPr>
              <w:t>日至今担任广西慧金科技股份有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限公司董事。</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曾担任美国思科系统（</w:t>
            </w:r>
            <w:r>
              <w:rPr>
                <w:rFonts w:ascii="宋体" w:hAnsi="宋体" w:cs="宋体" w:eastAsia="宋体" w:hint="default"/>
                <w:spacing w:val="-2"/>
                <w:sz w:val="21"/>
                <w:szCs w:val="21"/>
              </w:rPr>
              <w:t>CiscoSystems</w:t>
            </w:r>
            <w:r>
              <w:rPr>
                <w:rFonts w:ascii="宋体" w:hAnsi="宋体" w:cs="宋体" w:eastAsia="宋体" w:hint="default"/>
                <w:spacing w:val="-2"/>
                <w:sz w:val="21"/>
                <w:szCs w:val="21"/>
              </w:rPr>
              <w:t>）公司</w:t>
            </w:r>
            <w:r>
              <w:rPr>
                <w:rFonts w:ascii="宋体" w:hAnsi="宋体" w:cs="宋体" w:eastAsia="宋体" w:hint="default"/>
                <w:sz w:val="21"/>
                <w:szCs w:val="21"/>
              </w:rPr>
              <w:t> </w:t>
            </w:r>
            <w:r>
              <w:rPr>
                <w:rFonts w:ascii="宋体" w:hAnsi="宋体" w:cs="宋体" w:eastAsia="宋体" w:hint="default"/>
                <w:spacing w:val="14"/>
                <w:sz w:val="21"/>
                <w:szCs w:val="21"/>
              </w:rPr>
              <w:t> </w:t>
            </w:r>
            <w:r>
              <w:rPr>
                <w:rFonts w:ascii="宋体" w:hAnsi="宋体" w:cs="宋体" w:eastAsia="宋体" w:hint="default"/>
                <w:spacing w:val="-2"/>
                <w:sz w:val="21"/>
                <w:szCs w:val="21"/>
              </w:rPr>
              <w:t>研发部组长，美国碧资本（</w:t>
            </w:r>
            <w:r>
              <w:rPr>
                <w:rFonts w:ascii="宋体" w:hAnsi="宋体" w:cs="宋体" w:eastAsia="宋体" w:hint="default"/>
                <w:spacing w:val="-2"/>
                <w:sz w:val="21"/>
                <w:szCs w:val="21"/>
              </w:rPr>
              <w:t>PughCapital</w:t>
            </w:r>
            <w:r>
              <w:rPr>
                <w:rFonts w:ascii="宋体" w:hAnsi="宋体" w:cs="宋体" w:eastAsia="宋体" w:hint="default"/>
                <w:spacing w:val="-2"/>
                <w:sz w:val="21"/>
                <w:szCs w:val="21"/>
              </w:rPr>
              <w:t>）管理公司投资部经理，美国联邦快递（</w:t>
            </w:r>
            <w:r>
              <w:rPr>
                <w:rFonts w:ascii="宋体" w:hAnsi="宋体" w:cs="宋体" w:eastAsia="宋体" w:hint="default"/>
                <w:spacing w:val="-2"/>
                <w:sz w:val="21"/>
                <w:szCs w:val="21"/>
              </w:rPr>
              <w:t>FedEx</w:t>
            </w:r>
            <w:r>
              <w:rPr>
                <w:rFonts w:ascii="宋体" w:hAnsi="宋体" w:cs="宋体" w:eastAsia="宋体" w:hint="default"/>
                <w:spacing w:val="-2"/>
                <w:sz w:val="21"/>
                <w:szCs w:val="21"/>
              </w:rPr>
              <w:t>）公</w:t>
            </w:r>
            <w:r>
              <w:rPr>
                <w:rFonts w:ascii="宋体" w:hAnsi="宋体" w:cs="宋体" w:eastAsia="宋体" w:hint="default"/>
                <w:sz w:val="21"/>
                <w:szCs w:val="21"/>
              </w:rPr>
            </w:r>
          </w:p>
          <w:p>
            <w:pPr>
              <w:pStyle w:val="TableParagraph"/>
              <w:spacing w:line="272" w:lineRule="exact" w:before="27"/>
              <w:ind w:left="103" w:right="94"/>
              <w:jc w:val="both"/>
              <w:rPr>
                <w:rFonts w:ascii="宋体" w:hAnsi="宋体" w:cs="宋体" w:eastAsia="宋体" w:hint="default"/>
                <w:sz w:val="21"/>
                <w:szCs w:val="21"/>
              </w:rPr>
            </w:pPr>
            <w:r>
              <w:rPr>
                <w:rFonts w:ascii="宋体" w:hAnsi="宋体" w:cs="宋体" w:eastAsia="宋体" w:hint="default"/>
                <w:sz w:val="21"/>
                <w:szCs w:val="21"/>
              </w:rPr>
              <w:t>司亚太总部投资经理，赛伦巴斯技术集团市场部副总经理，深圳云鹏塑胶有限公司总经理，</w:t>
            </w:r>
            <w:r>
              <w:rPr>
                <w:rFonts w:ascii="宋体" w:hAnsi="宋体" w:cs="宋体" w:eastAsia="宋体" w:hint="default"/>
                <w:sz w:val="21"/>
                <w:szCs w:val="21"/>
              </w:rPr>
              <w:t>2015</w:t>
            </w:r>
            <w:r>
              <w:rPr>
                <w:rFonts w:ascii="宋体" w:hAnsi="宋体" w:cs="宋体" w:eastAsia="宋体"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月至今担任深圳市前海瑞莱基金管</w:t>
            </w:r>
            <w:r>
              <w:rPr>
                <w:rFonts w:ascii="宋体" w:hAnsi="宋体" w:cs="宋体" w:eastAsia="宋体" w:hint="default"/>
                <w:w w:val="100"/>
                <w:sz w:val="21"/>
                <w:szCs w:val="21"/>
              </w:rPr>
              <w:t> </w:t>
            </w:r>
            <w:r>
              <w:rPr>
                <w:rFonts w:ascii="宋体" w:hAnsi="宋体" w:cs="宋体" w:eastAsia="宋体" w:hint="default"/>
                <w:spacing w:val="-3"/>
                <w:sz w:val="21"/>
                <w:szCs w:val="21"/>
              </w:rPr>
              <w:t>理有限公司首席风控官，现同时兼任广东四象智能制造股份有限公司董事，深圳市新荣瑞莱教育投资有限公司董事，</w:t>
            </w:r>
            <w:r>
              <w:rPr>
                <w:rFonts w:ascii="宋体" w:hAnsi="宋体" w:cs="宋体" w:eastAsia="宋体" w:hint="default"/>
                <w:spacing w:val="-3"/>
                <w:sz w:val="21"/>
                <w:szCs w:val="21"/>
              </w:rPr>
              <w:t>2017</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25</w:t>
            </w:r>
            <w:r>
              <w:rPr>
                <w:rFonts w:ascii="宋体" w:hAnsi="宋体" w:cs="宋体" w:eastAsia="宋体" w:hint="default"/>
                <w:spacing w:val="-38"/>
                <w:sz w:val="21"/>
                <w:szCs w:val="21"/>
              </w:rPr>
              <w:t> </w:t>
            </w:r>
            <w:r>
              <w:rPr>
                <w:rFonts w:ascii="宋体" w:hAnsi="宋体" w:cs="宋体" w:eastAsia="宋体" w:hint="default"/>
                <w:sz w:val="21"/>
                <w:szCs w:val="21"/>
              </w:rPr>
              <w:t>日至</w:t>
            </w:r>
            <w:r>
              <w:rPr>
                <w:rFonts w:ascii="宋体" w:hAnsi="宋体" w:cs="宋体" w:eastAsia="宋体" w:hint="default"/>
                <w:spacing w:val="-94"/>
                <w:sz w:val="21"/>
                <w:szCs w:val="21"/>
              </w:rPr>
              <w:t> </w:t>
            </w:r>
            <w:r>
              <w:rPr>
                <w:rFonts w:ascii="宋体" w:hAnsi="宋体" w:cs="宋体" w:eastAsia="宋体" w:hint="default"/>
                <w:sz w:val="21"/>
                <w:szCs w:val="21"/>
              </w:rPr>
              <w:t>今担任广西慧金科技股份有限公司董事。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pacing w:val="-2"/>
                <w:sz w:val="21"/>
                <w:szCs w:val="21"/>
              </w:rPr>
              <w:t>曾担任烟台大学法学院法学讲师、中美贸易与投资公司法律顾问、新纪元律师事务所律师、国际商业机器公司法律顾问，</w:t>
            </w:r>
            <w:r>
              <w:rPr>
                <w:rFonts w:ascii="宋体" w:hAnsi="宋体" w:cs="宋体" w:eastAsia="宋体" w:hint="default"/>
                <w:spacing w:val="-2"/>
                <w:sz w:val="21"/>
                <w:szCs w:val="21"/>
              </w:rPr>
              <w:t>2015</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pacing w:val="-2"/>
                <w:sz w:val="21"/>
                <w:szCs w:val="21"/>
              </w:rPr>
              <w:t>年至今在</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君泽君律师事务所任职律师；</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日至今担任广西慧金科技股份有限公司独立董事。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曾担任中华工商时报编辑、记者，中国经营报</w:t>
            </w:r>
            <w:r>
              <w:rPr>
                <w:rFonts w:ascii="宋体" w:hAnsi="宋体" w:cs="宋体" w:eastAsia="宋体" w:hint="default"/>
                <w:spacing w:val="-11"/>
                <w:sz w:val="21"/>
                <w:szCs w:val="21"/>
              </w:rPr>
              <w:t> </w:t>
            </w:r>
            <w:r>
              <w:rPr>
                <w:rFonts w:ascii="宋体" w:hAnsi="宋体" w:cs="宋体" w:eastAsia="宋体" w:hint="default"/>
                <w:sz w:val="21"/>
                <w:szCs w:val="21"/>
              </w:rPr>
              <w:t>副总编、副社长，</w:t>
            </w:r>
            <w:r>
              <w:rPr>
                <w:rFonts w:ascii="宋体" w:hAnsi="宋体" w:cs="宋体" w:eastAsia="宋体" w:hint="default"/>
                <w:sz w:val="21"/>
                <w:szCs w:val="21"/>
              </w:rPr>
              <w:t>IDG</w:t>
            </w:r>
            <w:r>
              <w:rPr>
                <w:rFonts w:ascii="宋体" w:hAnsi="宋体" w:cs="宋体" w:eastAsia="宋体" w:hint="default"/>
                <w:spacing w:val="-58"/>
                <w:sz w:val="21"/>
                <w:szCs w:val="21"/>
              </w:rPr>
              <w:t> </w:t>
            </w:r>
            <w:r>
              <w:rPr>
                <w:rFonts w:ascii="宋体" w:hAnsi="宋体" w:cs="宋体" w:eastAsia="宋体" w:hint="default"/>
                <w:sz w:val="21"/>
                <w:szCs w:val="21"/>
              </w:rPr>
              <w:t>中国公司副总裁，证券之星首席运营官，</w:t>
            </w:r>
            <w:r>
              <w:rPr>
                <w:rFonts w:ascii="宋体" w:hAnsi="宋体" w:cs="宋体" w:eastAsia="宋体" w:hint="default"/>
                <w:sz w:val="21"/>
                <w:szCs w:val="21"/>
              </w:rPr>
              <w:t>2002</w:t>
            </w:r>
            <w:r>
              <w:rPr>
                <w:rFonts w:ascii="宋体" w:hAnsi="宋体" w:cs="宋体" w:eastAsia="宋体" w:hint="default"/>
                <w:spacing w:val="-59"/>
                <w:sz w:val="21"/>
                <w:szCs w:val="21"/>
              </w:rPr>
              <w:t> </w:t>
            </w:r>
            <w:r>
              <w:rPr>
                <w:rFonts w:ascii="宋体" w:hAnsi="宋体" w:cs="宋体" w:eastAsia="宋体" w:hint="default"/>
                <w:sz w:val="21"/>
                <w:szCs w:val="21"/>
              </w:rPr>
              <w:t>年至今在北青传媒担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任常务副总裁，</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日至今担任广西慧金科技股份有限公司独立董事。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曾担任山东烟台公共交通公司会计，北京同仁会计师事务所审计经理，北京正则会计师事务所有限公司部门经理，</w:t>
            </w:r>
            <w:r>
              <w:rPr>
                <w:rFonts w:ascii="宋体" w:hAnsi="宋体" w:cs="宋体" w:eastAsia="宋体" w:hint="default"/>
                <w:spacing w:val="-2"/>
                <w:sz w:val="21"/>
                <w:szCs w:val="21"/>
              </w:rPr>
              <w:t>2005.7</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pacing w:val="-2"/>
                <w:sz w:val="21"/>
                <w:szCs w:val="21"/>
              </w:rPr>
              <w:t>至今担任北京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正则通会计师事务所（普通合伙）合伙人，</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日至今担任广西慧金科技股份有限公司独立董事。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曾担任深圳财经学校讲师，创办深圳市傲立思特管理咨询有限公司并任总经理，联合创办深圳市仁仁医疗发展有限公司并任市场部经理，</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联合创办一童数码（深圳）有限公司并任副总裁，任深圳市仁仁医疗发展有限公司副总裁，联合创办玉成有限公司并任常务副总裁；</w:t>
            </w:r>
            <w:r>
              <w:rPr>
                <w:rFonts w:ascii="宋体" w:hAnsi="宋体" w:cs="宋体" w:eastAsia="宋体" w:hint="default"/>
                <w:spacing w:val="-4"/>
                <w:sz w:val="21"/>
                <w:szCs w:val="21"/>
              </w:rPr>
              <w:t>2015</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月至今任深圳市东方富海投资管理股份有限公司投资总监；</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日至今担任广西慧金科技股份有限公司监事。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曾担任万辉药业集团市场信息部经理；</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月至今担任北京太和宝盈投资有限责任公司董事长，；</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日至今担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任广西慧金科技股份有限公司监事会主席。</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曾担任北京亮马河大厦有限公司财务主管，北京鹫峰科技开发股份有限公司财务经理，中国中小企业投资有限公司财务经理，北京广智</w:t>
            </w:r>
          </w:p>
          <w:p>
            <w:pPr>
              <w:pStyle w:val="TableParagraph"/>
              <w:spacing w:line="237" w:lineRule="auto" w:before="2"/>
              <w:ind w:left="103" w:right="95"/>
              <w:jc w:val="both"/>
              <w:rPr>
                <w:rFonts w:ascii="宋体" w:hAnsi="宋体" w:cs="宋体" w:eastAsia="宋体" w:hint="default"/>
                <w:sz w:val="21"/>
                <w:szCs w:val="21"/>
              </w:rPr>
            </w:pPr>
            <w:r>
              <w:rPr>
                <w:rFonts w:ascii="宋体" w:hAnsi="宋体" w:cs="宋体" w:eastAsia="宋体" w:hint="default"/>
                <w:spacing w:val="-3"/>
                <w:sz w:val="21"/>
                <w:szCs w:val="21"/>
              </w:rPr>
              <w:t>慧财务顾问有限公司投资部经理，</w:t>
            </w:r>
            <w:r>
              <w:rPr>
                <w:rFonts w:ascii="宋体" w:hAnsi="宋体" w:cs="宋体" w:eastAsia="宋体" w:hint="default"/>
                <w:spacing w:val="-3"/>
                <w:sz w:val="21"/>
                <w:szCs w:val="21"/>
              </w:rPr>
              <w:t>2012.06-</w:t>
            </w:r>
            <w:r>
              <w:rPr>
                <w:rFonts w:ascii="宋体" w:hAnsi="宋体" w:cs="宋体" w:eastAsia="宋体" w:hint="default"/>
                <w:spacing w:val="-3"/>
                <w:sz w:val="21"/>
                <w:szCs w:val="21"/>
              </w:rPr>
              <w:t>至今担任中企弘瑞达（北京）投资管理有限公司监事；</w:t>
            </w:r>
            <w:r>
              <w:rPr>
                <w:rFonts w:ascii="宋体" w:hAnsi="宋体" w:cs="宋体" w:eastAsia="宋体" w:hint="default"/>
                <w:spacing w:val="-3"/>
                <w:sz w:val="21"/>
                <w:szCs w:val="21"/>
              </w:rPr>
              <w:t>2016.07 </w:t>
            </w:r>
            <w:r>
              <w:rPr>
                <w:rFonts w:ascii="宋体" w:hAnsi="宋体" w:cs="宋体" w:eastAsia="宋体" w:hint="default"/>
                <w:sz w:val="21"/>
                <w:szCs w:val="21"/>
              </w:rPr>
              <w:t>至今担任深圳市瑞莱嘉誉投资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企业（有限合伙）执行事务合伙人委派代表；</w:t>
            </w:r>
            <w:r>
              <w:rPr>
                <w:rFonts w:ascii="宋体" w:hAnsi="宋体" w:cs="宋体" w:eastAsia="宋体" w:hint="default"/>
                <w:sz w:val="21"/>
                <w:szCs w:val="21"/>
              </w:rPr>
              <w:t>2016.12-</w:t>
            </w:r>
            <w:r>
              <w:rPr>
                <w:rFonts w:ascii="宋体" w:hAnsi="宋体" w:cs="宋体" w:eastAsia="宋体" w:hint="default"/>
                <w:sz w:val="21"/>
                <w:szCs w:val="21"/>
              </w:rPr>
              <w:t>至今担任乐视游戏科技（北京）有限公司董事；目前兼任深圳市瑞莱嘉誉投资企</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业（有限合伙）执行事务合伙人委派代表，中企弘瑞达（北京）投资管理有限公司监事，乐视游戏科技（北京）有限公司董事；</w:t>
            </w:r>
            <w:r>
              <w:rPr>
                <w:rFonts w:ascii="宋体" w:hAnsi="宋体" w:cs="宋体" w:eastAsia="宋体" w:hint="default"/>
                <w:sz w:val="21"/>
                <w:szCs w:val="21"/>
              </w:rPr>
              <w:t>2017</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日至今担任广西慧金科技股份有限公司总经理。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月在中国工商银行股份有限公司深圳喜年支行担任客户经理、网点副行长；</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月在上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海银行股份有限公司深圳天安支行担任市场部副经理，</w:t>
            </w:r>
            <w:r>
              <w:rPr>
                <w:rFonts w:ascii="宋体" w:hAnsi="宋体" w:cs="宋体" w:eastAsia="宋体" w:hint="default"/>
                <w:sz w:val="21"/>
                <w:szCs w:val="21"/>
              </w:rPr>
              <w:t>2017</w:t>
            </w:r>
            <w:r>
              <w:rPr>
                <w:rFonts w:ascii="宋体" w:hAnsi="宋体" w:cs="宋体" w:eastAsia="宋体"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月在广西慧金科技股份有限公司任职职工代表监事。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韦承武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r>
              <w:rPr>
                <w:rFonts w:ascii="宋体" w:hAnsi="宋体" w:cs="宋体" w:eastAsia="宋体" w:hint="default"/>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10</w:t>
            </w:r>
            <w:r>
              <w:rPr>
                <w:rFonts w:ascii="宋体" w:hAnsi="宋体" w:cs="宋体" w:eastAsia="宋体" w:hint="default"/>
                <w:spacing w:val="-65"/>
                <w:sz w:val="21"/>
                <w:szCs w:val="21"/>
              </w:rPr>
              <w:t> </w:t>
            </w:r>
            <w:r>
              <w:rPr>
                <w:rFonts w:ascii="宋体" w:hAnsi="宋体" w:cs="宋体" w:eastAsia="宋体" w:hint="default"/>
                <w:w w:val="100"/>
                <w:sz w:val="21"/>
                <w:szCs w:val="21"/>
              </w:rPr>
              <w:t>月至</w:t>
            </w:r>
            <w:r>
              <w:rPr>
                <w:rFonts w:ascii="宋体" w:hAnsi="宋体" w:cs="宋体" w:eastAsia="宋体" w:hint="default"/>
                <w:spacing w:val="-6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012</w:t>
            </w:r>
            <w:r>
              <w:rPr>
                <w:rFonts w:ascii="宋体" w:hAnsi="宋体" w:cs="宋体" w:eastAsia="宋体" w:hint="default"/>
                <w:spacing w:val="-64"/>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w w:val="100"/>
                <w:sz w:val="21"/>
                <w:szCs w:val="21"/>
              </w:rPr>
              <w:t>2</w:t>
            </w:r>
            <w:r>
              <w:rPr>
                <w:rFonts w:ascii="宋体" w:hAnsi="宋体" w:cs="宋体" w:eastAsia="宋体" w:hint="default"/>
                <w:spacing w:val="-62"/>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在</w:t>
            </w:r>
            <w:r>
              <w:rPr>
                <w:rFonts w:ascii="宋体" w:hAnsi="宋体" w:cs="宋体" w:eastAsia="宋体" w:hint="default"/>
                <w:spacing w:val="-3"/>
                <w:w w:val="100"/>
                <w:sz w:val="21"/>
                <w:szCs w:val="21"/>
              </w:rPr>
              <w:t>经</w:t>
            </w:r>
            <w:r>
              <w:rPr>
                <w:rFonts w:ascii="宋体" w:hAnsi="宋体" w:cs="宋体" w:eastAsia="宋体" w:hint="default"/>
                <w:w w:val="100"/>
                <w:sz w:val="21"/>
                <w:szCs w:val="21"/>
              </w:rPr>
              <w:t>济</w:t>
            </w:r>
            <w:r>
              <w:rPr>
                <w:rFonts w:ascii="宋体" w:hAnsi="宋体" w:cs="宋体" w:eastAsia="宋体" w:hint="default"/>
                <w:spacing w:val="-3"/>
                <w:w w:val="100"/>
                <w:sz w:val="21"/>
                <w:szCs w:val="21"/>
              </w:rPr>
              <w:t>观</w:t>
            </w:r>
            <w:r>
              <w:rPr>
                <w:rFonts w:ascii="宋体" w:hAnsi="宋体" w:cs="宋体" w:eastAsia="宋体" w:hint="default"/>
                <w:w w:val="100"/>
                <w:sz w:val="21"/>
                <w:szCs w:val="21"/>
              </w:rPr>
              <w:t>察</w:t>
            </w:r>
            <w:r>
              <w:rPr>
                <w:rFonts w:ascii="宋体" w:hAnsi="宋体" w:cs="宋体" w:eastAsia="宋体" w:hint="default"/>
                <w:spacing w:val="-3"/>
                <w:w w:val="100"/>
                <w:sz w:val="21"/>
                <w:szCs w:val="21"/>
              </w:rPr>
              <w:t>报</w:t>
            </w:r>
            <w:r>
              <w:rPr>
                <w:rFonts w:ascii="宋体" w:hAnsi="宋体" w:cs="宋体" w:eastAsia="宋体" w:hint="default"/>
                <w:w w:val="100"/>
                <w:sz w:val="21"/>
                <w:szCs w:val="21"/>
              </w:rPr>
              <w:t>社</w:t>
            </w:r>
            <w:r>
              <w:rPr>
                <w:rFonts w:ascii="宋体" w:hAnsi="宋体" w:cs="宋体" w:eastAsia="宋体" w:hint="default"/>
                <w:spacing w:val="-3"/>
                <w:w w:val="100"/>
                <w:sz w:val="21"/>
                <w:szCs w:val="21"/>
              </w:rPr>
              <w:t>任</w:t>
            </w:r>
            <w:r>
              <w:rPr>
                <w:rFonts w:ascii="宋体" w:hAnsi="宋体" w:cs="宋体" w:eastAsia="宋体" w:hint="default"/>
                <w:w w:val="100"/>
                <w:sz w:val="21"/>
                <w:szCs w:val="21"/>
              </w:rPr>
              <w:t>编辑</w:t>
            </w:r>
            <w:r>
              <w:rPr>
                <w:rFonts w:ascii="宋体" w:hAnsi="宋体" w:cs="宋体" w:eastAsia="宋体" w:hint="default"/>
                <w:spacing w:val="-108"/>
                <w:w w:val="100"/>
                <w:sz w:val="21"/>
                <w:szCs w:val="21"/>
              </w:rPr>
              <w:t>、</w:t>
            </w:r>
            <w:r>
              <w:rPr>
                <w:rFonts w:ascii="宋体" w:hAnsi="宋体" w:cs="宋体" w:eastAsia="宋体" w:hint="default"/>
                <w:w w:val="100"/>
                <w:sz w:val="21"/>
                <w:szCs w:val="21"/>
              </w:rPr>
              <w:t>记者</w:t>
            </w:r>
            <w:r>
              <w:rPr>
                <w:rFonts w:ascii="宋体" w:hAnsi="宋体" w:cs="宋体" w:eastAsia="宋体" w:hint="default"/>
                <w:spacing w:val="-109"/>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2</w:t>
            </w:r>
            <w:r>
              <w:rPr>
                <w:rFonts w:ascii="宋体" w:hAnsi="宋体" w:cs="宋体" w:eastAsia="宋体" w:hint="default"/>
                <w:spacing w:val="-62"/>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65"/>
                <w:sz w:val="21"/>
                <w:szCs w:val="21"/>
              </w:rPr>
              <w:t> </w:t>
            </w:r>
            <w:r>
              <w:rPr>
                <w:rFonts w:ascii="宋体" w:hAnsi="宋体" w:cs="宋体" w:eastAsia="宋体" w:hint="default"/>
                <w:w w:val="100"/>
                <w:sz w:val="21"/>
                <w:szCs w:val="21"/>
              </w:rPr>
              <w:t>2014</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w w:val="100"/>
                <w:sz w:val="21"/>
                <w:szCs w:val="21"/>
              </w:rPr>
              <w:t>3</w:t>
            </w:r>
            <w:r>
              <w:rPr>
                <w:rFonts w:ascii="宋体" w:hAnsi="宋体" w:cs="宋体" w:eastAsia="宋体" w:hint="default"/>
                <w:spacing w:val="-6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在</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经</w:t>
            </w:r>
            <w:r>
              <w:rPr>
                <w:rFonts w:ascii="宋体" w:hAnsi="宋体" w:cs="宋体" w:eastAsia="宋体" w:hint="default"/>
                <w:spacing w:val="-3"/>
                <w:w w:val="100"/>
                <w:sz w:val="21"/>
                <w:szCs w:val="21"/>
              </w:rPr>
              <w:t>营报</w:t>
            </w:r>
            <w:r>
              <w:rPr>
                <w:rFonts w:ascii="宋体" w:hAnsi="宋体" w:cs="宋体" w:eastAsia="宋体" w:hint="default"/>
                <w:w w:val="100"/>
                <w:sz w:val="21"/>
                <w:szCs w:val="21"/>
              </w:rPr>
              <w:t>社任</w:t>
            </w:r>
            <w:r>
              <w:rPr>
                <w:rFonts w:ascii="宋体" w:hAnsi="宋体" w:cs="宋体" w:eastAsia="宋体" w:hint="default"/>
                <w:spacing w:val="-3"/>
                <w:w w:val="100"/>
                <w:sz w:val="21"/>
                <w:szCs w:val="21"/>
              </w:rPr>
              <w:t>资</w:t>
            </w:r>
            <w:r>
              <w:rPr>
                <w:rFonts w:ascii="宋体" w:hAnsi="宋体" w:cs="宋体" w:eastAsia="宋体" w:hint="default"/>
                <w:w w:val="100"/>
                <w:sz w:val="21"/>
                <w:szCs w:val="21"/>
              </w:rPr>
              <w:t>深</w:t>
            </w:r>
            <w:r>
              <w:rPr>
                <w:rFonts w:ascii="宋体" w:hAnsi="宋体" w:cs="宋体" w:eastAsia="宋体" w:hint="default"/>
                <w:spacing w:val="-3"/>
                <w:w w:val="100"/>
                <w:sz w:val="21"/>
                <w:szCs w:val="21"/>
              </w:rPr>
              <w:t>记</w:t>
            </w:r>
            <w:r>
              <w:rPr>
                <w:rFonts w:ascii="宋体" w:hAnsi="宋体" w:cs="宋体" w:eastAsia="宋体" w:hint="default"/>
                <w:w w:val="100"/>
                <w:sz w:val="21"/>
                <w:szCs w:val="21"/>
              </w:rPr>
              <w:t>者</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4</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3</w:t>
            </w:r>
            <w:r>
              <w:rPr>
                <w:rFonts w:ascii="宋体" w:hAnsi="宋体" w:cs="宋体" w:eastAsia="宋体" w:hint="default"/>
                <w:spacing w:val="-65"/>
                <w:sz w:val="21"/>
                <w:szCs w:val="21"/>
              </w:rPr>
              <w:t> </w:t>
            </w:r>
            <w:r>
              <w:rPr>
                <w:rFonts w:ascii="宋体" w:hAnsi="宋体" w:cs="宋体" w:eastAsia="宋体" w:hint="default"/>
                <w:w w:val="100"/>
                <w:sz w:val="21"/>
                <w:szCs w:val="21"/>
              </w:rPr>
              <w:t>月至</w:t>
            </w:r>
            <w:r>
              <w:rPr>
                <w:rFonts w:ascii="宋体" w:hAnsi="宋体" w:cs="宋体" w:eastAsia="宋体" w:hint="default"/>
                <w:spacing w:val="1"/>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月在上海证券报社任职，</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月加入广西慧金科技股份有限公司任职职工代表监事及证券事务代表。</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日任职广西慧金科技股份有限公司职工监事。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曾就职于上海华尚投资有限公司，</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日在广西慧金科技股份有限公司任职董事、董事长。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温利华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曾任职于保利协鑫集团、南京银行、</w:t>
            </w:r>
            <w:r>
              <w:rPr>
                <w:rFonts w:ascii="宋体" w:hAnsi="宋体" w:cs="宋体" w:eastAsia="宋体" w:hint="default"/>
                <w:spacing w:val="-3"/>
                <w:sz w:val="21"/>
                <w:szCs w:val="21"/>
              </w:rPr>
              <w:t> </w:t>
            </w:r>
            <w:r>
              <w:rPr>
                <w:rFonts w:ascii="宋体" w:hAnsi="宋体" w:cs="宋体" w:eastAsia="宋体" w:hint="default"/>
                <w:sz w:val="21"/>
                <w:szCs w:val="21"/>
              </w:rPr>
              <w:t>平安集团，</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日在广西慧金科技股份有限公司任职董事。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刘光如</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从事律师工作</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年，从事仲裁工作</w:t>
            </w:r>
            <w:r>
              <w:rPr>
                <w:rFonts w:ascii="宋体" w:hAnsi="宋体" w:cs="宋体" w:eastAsia="宋体" w:hint="default"/>
                <w:spacing w:val="-41"/>
                <w:sz w:val="21"/>
                <w:szCs w:val="21"/>
              </w:rPr>
              <w:t> </w:t>
            </w:r>
            <w:r>
              <w:rPr>
                <w:rFonts w:ascii="宋体" w:hAnsi="宋体" w:cs="宋体" w:eastAsia="宋体" w:hint="default"/>
                <w:sz w:val="21"/>
                <w:szCs w:val="21"/>
              </w:rPr>
              <w:t>18</w:t>
            </w:r>
            <w:r>
              <w:rPr>
                <w:rFonts w:ascii="宋体" w:hAnsi="宋体" w:cs="宋体" w:eastAsia="宋体" w:hint="default"/>
                <w:spacing w:val="-42"/>
                <w:sz w:val="21"/>
                <w:szCs w:val="21"/>
              </w:rPr>
              <w:t> </w:t>
            </w:r>
            <w:r>
              <w:rPr>
                <w:rFonts w:ascii="宋体" w:hAnsi="宋体" w:cs="宋体" w:eastAsia="宋体" w:hint="default"/>
                <w:sz w:val="21"/>
                <w:szCs w:val="21"/>
              </w:rPr>
              <w:t>年。现任北京大成（武汉）律师事务所合伙人，金融部副主任；</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日至</w:t>
            </w:r>
            <w:r>
              <w:rPr>
                <w:rFonts w:ascii="宋体" w:hAnsi="宋体" w:cs="宋体" w:eastAsia="宋体" w:hint="default"/>
                <w:spacing w:val="-42"/>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日在广西慧金科技股份有限公司任职独立董事。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陆俊安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曾就职于谨世咨询、绿谷集团；</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日在广西慧金科技股份有限公司任职董事会秘书。</w:t>
            </w:r>
          </w:p>
        </w:tc>
      </w:tr>
    </w:tbl>
    <w:p>
      <w:pPr>
        <w:spacing w:line="240" w:lineRule="auto" w:before="5"/>
        <w:rPr>
          <w:rFonts w:ascii="Times New Roman" w:hAnsi="Times New Roman" w:cs="Times New Roman" w:eastAsia="Times New Roman" w:hint="default"/>
          <w:sz w:val="17"/>
          <w:szCs w:val="17"/>
        </w:rPr>
      </w:pPr>
    </w:p>
    <w:p>
      <w:pPr>
        <w:pStyle w:val="BodyText"/>
        <w:spacing w:line="275" w:lineRule="exact" w:before="36"/>
        <w:ind w:left="224" w:right="0"/>
        <w:jc w:val="left"/>
      </w:pPr>
      <w:r>
        <w:rPr/>
        <w:t>其它情况说明</w:t>
      </w:r>
    </w:p>
    <w:p>
      <w:pPr>
        <w:pStyle w:val="BodyText"/>
        <w:spacing w:line="275" w:lineRule="exact"/>
        <w:ind w:left="224"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pStyle w:val="Heading4"/>
        <w:spacing w:line="240" w:lineRule="auto" w:before="120"/>
        <w:ind w:left="224" w:right="0"/>
        <w:jc w:val="left"/>
        <w:rPr>
          <w:b w:val="0"/>
          <w:bCs w:val="0"/>
        </w:rPr>
      </w:pPr>
      <w:r>
        <w:rPr/>
        <w:t>二、现任及报告期内离任董事、监事和高级管理人员的任职情况</w:t>
      </w:r>
      <w:r>
        <w:rPr>
          <w:b w:val="0"/>
          <w:bCs w:val="0"/>
        </w:rPr>
      </w:r>
    </w:p>
    <w:p>
      <w:pPr>
        <w:pStyle w:val="Heading4"/>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center"/>
              <w:rPr>
                <w:rFonts w:ascii="宋体" w:hAnsi="宋体" w:cs="宋体" w:eastAsia="宋体" w:hint="default"/>
                <w:sz w:val="21"/>
                <w:szCs w:val="21"/>
              </w:rPr>
            </w:pPr>
            <w:r>
              <w:rPr>
                <w:rFonts w:ascii="宋体" w:hAnsi="宋体" w:cs="宋体" w:eastAsia="宋体" w:hint="default"/>
                <w:spacing w:val="-2"/>
                <w:sz w:val="21"/>
                <w:szCs w:val="21"/>
              </w:rPr>
              <w:t>深圳市瑞莱嘉誉投资企业（有限合伙）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执行合伙人委派代表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慧金股权投资基金管理成都有限公司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鲲鹏未来资产管理成都有限公司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深圳市天创瑞莱基金管理管理有限公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沈阳天创信息科技股份有限公司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深圳市前海瑞莱小微金融资产管理有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深圳市兴邦联投资管理有限公司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苏州乐易科技实业有限公司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深圳市企业战略并购促进会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深圳市爱爱宝餐饮有限公司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董事、执行总裁</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深圳市鑫运通创业投资有限公司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深圳市前海瑞莱小微金融资产管理有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深圳市前海中久瑞莱资产管理有限公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深圳市莱盛得贸易有限责任公司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深圳市瑞莱创富投资企业（有限合伙）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深圳市瑞莱启德教育企业（有限合伙）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深圳市瑞莱远策投资企业（有限合伙）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深圳市瑞莱方德投资企业（有限合伙）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深圳市瑞莱卓信投资企业（有限合伙）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深圳市瑞莱纳思投资企业（有限合伙）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深圳市瑞莱欣茂投资企业（有限合伙）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深圳市瑞莱泰和投资企业（有限合伙）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6"/>
              <w:jc w:val="left"/>
              <w:rPr>
                <w:rFonts w:ascii="宋体" w:hAnsi="宋体" w:cs="宋体" w:eastAsia="宋体" w:hint="default"/>
                <w:sz w:val="21"/>
                <w:szCs w:val="21"/>
              </w:rPr>
            </w:pPr>
            <w:r>
              <w:rPr>
                <w:rFonts w:ascii="宋体" w:hAnsi="宋体" w:cs="宋体" w:eastAsia="宋体" w:hint="default"/>
                <w:spacing w:val="-2"/>
                <w:sz w:val="21"/>
                <w:szCs w:val="21"/>
              </w:rPr>
              <w:t>深圳市瑞莱宝信投资企业（有限合伙）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深圳市瑞莱鲲鹏科技投资企业（有限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深圳市瑞莱乐融投资企业（有限合伙）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任董事、首席风控官；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广东四象智能制造股份有限公司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深圳市新坪教育投资顾问有限公司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执行（常务）董事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深圳市瑞莱优胜投资企业（有限合伙）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深圳市瑞莱乐睿投资企业（有限合伙）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珠海市瑞莱欣美投资企业（有限合伙）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南宁市瑞莱晨星投资合伙企业（有限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君泽君律师事务所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北青传媒股份有限公司；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任常务副总裁</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分众传媒信息技术股份有限公司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北京正则通会计师事务所（普通合伙）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任普通合伙人、执行事务合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深圳市东方富海投资管理股份有限公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任投资总监；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玉成有限公司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东莞长联新材料科技股份有限公司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深圳市商德先进陶瓷股份有限公司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北京太和宝盈投资有限公司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深圳市瑞莱嘉誉投资企业（</w:t>
            </w:r>
            <w:r>
              <w:rPr>
                <w:rFonts w:ascii="宋体" w:hAnsi="宋体" w:cs="宋体" w:eastAsia="宋体" w:hint="default"/>
                <w:spacing w:val="-44"/>
                <w:sz w:val="21"/>
                <w:szCs w:val="21"/>
              </w:rPr>
              <w:t> </w:t>
            </w:r>
            <w:r>
              <w:rPr>
                <w:rFonts w:ascii="宋体" w:hAnsi="宋体" w:cs="宋体" w:eastAsia="宋体" w:hint="default"/>
                <w:spacing w:val="12"/>
                <w:sz w:val="21"/>
                <w:szCs w:val="21"/>
              </w:rPr>
              <w:t>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任执行事务合伙人委派代表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中企弘瑞达（北京）投资管理有限公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刘光如</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现任北京大成（武汉）律师事务所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合伙人，金融部副主任</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公司董事、监事的报酬由公司股东大会决定，高级管理人员报酬由公司董事会决定</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除了职工监事王肖（后不再担任监事）、韦承武公司已经按月发放工资外，公司其他董事、监事、高级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管理人员的工资仅计提，尚未发放，待股东大会通过后再发放。</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20.764</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李占国</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刘士林</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顾云峰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潘大明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温利华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刘光如</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陆俊安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温利华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刘光如</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55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年第一次临时股东大会审议通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过</w:t>
            </w:r>
          </w:p>
        </w:tc>
      </w:tr>
      <w:tr>
        <w:trPr>
          <w:trHeight w:val="55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第八届董事会第四十一次会议审议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王肖</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公司另有安排</w:t>
            </w:r>
          </w:p>
        </w:tc>
      </w:tr>
      <w:tr>
        <w:trPr>
          <w:trHeight w:val="55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韦承武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年公司职工代表大会选举职工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代表监事</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4"/>
        <w:spacing w:line="240" w:lineRule="auto" w:before="36"/>
        <w:ind w:left="144" w:right="0"/>
        <w:jc w:val="left"/>
        <w:rPr>
          <w:b w:val="0"/>
          <w:bCs w:val="0"/>
        </w:rPr>
      </w:pPr>
      <w:r>
        <w:rPr/>
        <w:t>五、近三年受证券监管机构处罚的情况说明</w:t>
      </w:r>
      <w:r>
        <w:rPr>
          <w:b w:val="0"/>
          <w:bCs w:val="0"/>
        </w:rPr>
      </w:r>
    </w:p>
    <w:p>
      <w:pPr>
        <w:pStyle w:val="BodyText"/>
        <w:spacing w:line="240" w:lineRule="auto" w:before="56"/>
        <w:ind w:left="144" w:right="0"/>
        <w:jc w:val="left"/>
      </w:pPr>
      <w:r>
        <w:rPr/>
        <w:t>√适用 □不适用</w:t>
      </w:r>
    </w:p>
    <w:p>
      <w:pPr>
        <w:pStyle w:val="BodyText"/>
        <w:spacing w:line="240" w:lineRule="auto" w:before="8"/>
        <w:ind w:left="367" w:right="0"/>
        <w:jc w:val="left"/>
      </w:pP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年</w:t>
      </w:r>
      <w:r>
        <w:rPr>
          <w:spacing w:val="-5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spacing w:val="-8"/>
          <w:w w:val="100"/>
        </w:rPr>
        <w:t>日</w:t>
      </w:r>
      <w:r>
        <w:rPr>
          <w:spacing w:val="-5"/>
          <w:w w:val="100"/>
        </w:rPr>
        <w:t>，</w:t>
      </w:r>
      <w:r>
        <w:rPr>
          <w:spacing w:val="-8"/>
          <w:w w:val="100"/>
        </w:rPr>
        <w:t>广</w:t>
      </w:r>
      <w:r>
        <w:rPr>
          <w:spacing w:val="-5"/>
          <w:w w:val="100"/>
        </w:rPr>
        <w:t>西北生药业股份有</w:t>
      </w:r>
      <w:r>
        <w:rPr>
          <w:spacing w:val="-8"/>
          <w:w w:val="100"/>
        </w:rPr>
        <w:t>限</w:t>
      </w:r>
      <w:r>
        <w:rPr>
          <w:spacing w:val="-5"/>
          <w:w w:val="100"/>
        </w:rPr>
        <w:t>公</w:t>
      </w:r>
      <w:r>
        <w:rPr>
          <w:spacing w:val="-8"/>
          <w:w w:val="100"/>
        </w:rPr>
        <w:t>司</w:t>
      </w:r>
      <w:r>
        <w:rPr>
          <w:spacing w:val="-5"/>
          <w:w w:val="100"/>
        </w:rPr>
        <w:t>公告收到中国证监</w:t>
      </w:r>
      <w:r>
        <w:rPr>
          <w:spacing w:val="-8"/>
          <w:w w:val="100"/>
        </w:rPr>
        <w:t>会</w:t>
      </w:r>
      <w:r>
        <w:rPr>
          <w:spacing w:val="-5"/>
          <w:w w:val="100"/>
        </w:rPr>
        <w:t>《</w:t>
      </w:r>
      <w:r>
        <w:rPr>
          <w:spacing w:val="-8"/>
          <w:w w:val="100"/>
        </w:rPr>
        <w:t>行</w:t>
      </w:r>
      <w:r>
        <w:rPr>
          <w:spacing w:val="-5"/>
          <w:w w:val="100"/>
        </w:rPr>
        <w:t>政处罚决定书</w:t>
      </w:r>
      <w:r>
        <w:rPr>
          <w:spacing w:val="-108"/>
          <w:w w:val="100"/>
        </w:rPr>
        <w:t>》</w:t>
      </w:r>
      <w:r>
        <w:rPr>
          <w:spacing w:val="-3"/>
          <w:w w:val="100"/>
        </w:rPr>
        <w:t>（</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3"/>
          <w:w w:val="100"/>
        </w:rPr>
        <w:t>95</w:t>
      </w:r>
      <w:r>
        <w:rPr>
          <w:rFonts w:ascii="Times New Roman" w:hAnsi="Times New Roman" w:cs="Times New Roman" w:eastAsia="Times New Roman" w:hint="default"/>
          <w:spacing w:val="-4"/>
          <w:w w:val="100"/>
        </w:rPr>
        <w:t>]</w:t>
      </w:r>
      <w:r>
        <w:rPr>
          <w:spacing w:val="-5"/>
          <w:w w:val="100"/>
        </w:rPr>
        <w:t>号）和《市场禁入</w:t>
      </w:r>
      <w:r>
        <w:rPr>
          <w:spacing w:val="-8"/>
          <w:w w:val="100"/>
        </w:rPr>
        <w:t>决</w:t>
      </w:r>
      <w:r>
        <w:rPr>
          <w:spacing w:val="-5"/>
          <w:w w:val="100"/>
        </w:rPr>
        <w:t>定书</w:t>
      </w:r>
      <w:r>
        <w:rPr>
          <w:spacing w:val="-111"/>
          <w:w w:val="100"/>
        </w:rPr>
        <w:t>》</w:t>
      </w:r>
      <w:r>
        <w:rPr>
          <w:spacing w:val="-5"/>
          <w:w w:val="100"/>
        </w:rPr>
        <w:t>（</w:t>
      </w:r>
      <w:r>
        <w:rPr>
          <w:rFonts w:ascii="Times New Roman" w:hAnsi="Times New Roman" w:cs="Times New Roman" w:eastAsia="Times New Roman" w:hint="default"/>
          <w:spacing w:val="-3"/>
          <w:w w:val="100"/>
        </w:rPr>
        <w:t>2014</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3"/>
          <w:w w:val="100"/>
        </w:rPr>
        <w:t>17</w:t>
      </w:r>
      <w:r>
        <w:rPr>
          <w:rFonts w:ascii="Times New Roman" w:hAnsi="Times New Roman" w:cs="Times New Roman" w:eastAsia="Times New Roman" w:hint="default"/>
          <w:spacing w:val="-4"/>
          <w:w w:val="100"/>
        </w:rPr>
        <w:t>]</w:t>
      </w:r>
      <w:r>
        <w:rPr>
          <w:spacing w:val="-5"/>
          <w:w w:val="100"/>
        </w:rPr>
        <w:t>号</w:t>
      </w:r>
      <w:r>
        <w:rPr>
          <w:spacing w:val="-108"/>
          <w:w w:val="100"/>
        </w:rPr>
        <w:t>）</w:t>
      </w:r>
      <w:r>
        <w:rPr>
          <w:w w:val="100"/>
        </w:rPr>
        <w:t>。</w:t>
      </w:r>
    </w:p>
    <w:p>
      <w:pPr>
        <w:pStyle w:val="BodyText"/>
        <w:spacing w:line="240" w:lineRule="auto" w:before="103"/>
        <w:ind w:left="367" w:right="0"/>
        <w:jc w:val="left"/>
      </w:pPr>
      <w:r>
        <w:rPr>
          <w:spacing w:val="-3"/>
        </w:rPr>
        <w:t>（详见公司临</w:t>
      </w:r>
      <w:r>
        <w:rPr>
          <w:spacing w:val="-44"/>
        </w:rPr>
        <w:t> </w:t>
      </w:r>
      <w:r>
        <w:rPr>
          <w:rFonts w:ascii="Times New Roman" w:hAnsi="Times New Roman" w:cs="Times New Roman" w:eastAsia="Times New Roman" w:hint="default"/>
          <w:spacing w:val="-3"/>
        </w:rPr>
        <w:t>2014-071</w:t>
      </w:r>
      <w:r>
        <w:rPr>
          <w:rFonts w:ascii="Times New Roman" w:hAnsi="Times New Roman" w:cs="Times New Roman" w:eastAsia="Times New Roman" w:hint="default"/>
          <w:spacing w:val="8"/>
        </w:rPr>
        <w:t> </w:t>
      </w:r>
      <w:r>
        <w:rPr>
          <w:spacing w:val="-3"/>
        </w:rPr>
        <w:t>号公告）</w:t>
      </w:r>
      <w:r>
        <w:rPr/>
      </w:r>
    </w:p>
    <w:p>
      <w:pPr>
        <w:spacing w:line="240" w:lineRule="auto" w:before="0"/>
        <w:rPr>
          <w:rFonts w:ascii="宋体" w:hAnsi="宋体" w:cs="宋体" w:eastAsia="宋体" w:hint="default"/>
          <w:sz w:val="22"/>
          <w:szCs w:val="22"/>
        </w:rPr>
      </w:pPr>
    </w:p>
    <w:p>
      <w:pPr>
        <w:pStyle w:val="BodyText"/>
        <w:spacing w:line="272" w:lineRule="exact" w:before="196"/>
        <w:ind w:left="367" w:right="0"/>
        <w:jc w:val="left"/>
      </w:pPr>
      <w:r>
        <w:rPr>
          <w:rFonts w:ascii="Times New Roman" w:hAnsi="Times New Roman" w:cs="Times New Roman" w:eastAsia="Times New Roman" w:hint="default"/>
          <w:w w:val="100"/>
        </w:rPr>
        <w:t>2.2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7"/>
        </w:rPr>
        <w:t> </w:t>
      </w:r>
      <w:r>
        <w:rPr>
          <w:w w:val="100"/>
        </w:rPr>
        <w:t>年</w:t>
      </w:r>
      <w:r>
        <w:rPr>
          <w:spacing w:val="-4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7"/>
        </w:rPr>
        <w:t> </w:t>
      </w:r>
      <w:r>
        <w:rPr>
          <w:w w:val="100"/>
        </w:rPr>
        <w:t>月</w:t>
      </w:r>
      <w:r>
        <w:rPr>
          <w:spacing w:val="-45"/>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9"/>
        </w:rPr>
        <w:t> </w:t>
      </w:r>
      <w:r>
        <w:rPr>
          <w:spacing w:val="-3"/>
          <w:w w:val="100"/>
        </w:rPr>
        <w:t>日</w:t>
      </w:r>
      <w:r>
        <w:rPr>
          <w:spacing w:val="-176"/>
          <w:w w:val="100"/>
        </w:rPr>
        <w:t>，</w:t>
      </w:r>
      <w:r>
        <w:rPr>
          <w:spacing w:val="-3"/>
          <w:w w:val="100"/>
        </w:rPr>
        <w:t>广</w:t>
      </w:r>
      <w:r>
        <w:rPr>
          <w:spacing w:val="-5"/>
          <w:w w:val="100"/>
        </w:rPr>
        <w:t>西</w:t>
      </w:r>
      <w:r>
        <w:rPr>
          <w:spacing w:val="-3"/>
          <w:w w:val="100"/>
        </w:rPr>
        <w:t>慧</w:t>
      </w:r>
      <w:r>
        <w:rPr>
          <w:w w:val="100"/>
        </w:rPr>
        <w:t>球</w:t>
      </w:r>
      <w:r>
        <w:rPr>
          <w:spacing w:val="-8"/>
          <w:w w:val="100"/>
        </w:rPr>
        <w:t>科</w:t>
      </w:r>
      <w:r>
        <w:rPr>
          <w:spacing w:val="-3"/>
          <w:w w:val="100"/>
        </w:rPr>
        <w:t>技</w:t>
      </w:r>
      <w:r>
        <w:rPr>
          <w:spacing w:val="-5"/>
          <w:w w:val="100"/>
        </w:rPr>
        <w:t>股</w:t>
      </w:r>
      <w:r>
        <w:rPr>
          <w:spacing w:val="-3"/>
          <w:w w:val="100"/>
        </w:rPr>
        <w:t>份</w:t>
      </w:r>
      <w:r>
        <w:rPr>
          <w:spacing w:val="-8"/>
          <w:w w:val="100"/>
        </w:rPr>
        <w:t>有</w:t>
      </w:r>
      <w:r>
        <w:rPr>
          <w:spacing w:val="-3"/>
          <w:w w:val="100"/>
        </w:rPr>
        <w:t>限</w:t>
      </w:r>
      <w:r>
        <w:rPr>
          <w:spacing w:val="-5"/>
          <w:w w:val="100"/>
        </w:rPr>
        <w:t>公</w:t>
      </w:r>
      <w:r>
        <w:rPr>
          <w:spacing w:val="-3"/>
          <w:w w:val="100"/>
        </w:rPr>
        <w:t>司</w:t>
      </w:r>
      <w:r>
        <w:rPr>
          <w:spacing w:val="-8"/>
          <w:w w:val="100"/>
        </w:rPr>
        <w:t>收</w:t>
      </w:r>
      <w:r>
        <w:rPr>
          <w:spacing w:val="-3"/>
          <w:w w:val="100"/>
        </w:rPr>
        <w:t>到</w:t>
      </w:r>
      <w:r>
        <w:rPr>
          <w:w w:val="100"/>
        </w:rPr>
        <w:t>上</w:t>
      </w:r>
      <w:r>
        <w:rPr>
          <w:spacing w:val="-8"/>
          <w:w w:val="100"/>
        </w:rPr>
        <w:t>海</w:t>
      </w:r>
      <w:r>
        <w:rPr>
          <w:spacing w:val="-3"/>
          <w:w w:val="100"/>
        </w:rPr>
        <w:t>证</w:t>
      </w:r>
      <w:r>
        <w:rPr>
          <w:spacing w:val="-5"/>
          <w:w w:val="100"/>
        </w:rPr>
        <w:t>券</w:t>
      </w:r>
      <w:r>
        <w:rPr>
          <w:spacing w:val="-3"/>
          <w:w w:val="100"/>
        </w:rPr>
        <w:t>交</w:t>
      </w:r>
      <w:r>
        <w:rPr>
          <w:spacing w:val="-8"/>
          <w:w w:val="100"/>
        </w:rPr>
        <w:t>易</w:t>
      </w:r>
      <w:r>
        <w:rPr>
          <w:spacing w:val="-171"/>
          <w:w w:val="100"/>
        </w:rPr>
        <w:t>所</w:t>
      </w:r>
      <w:r>
        <w:rPr>
          <w:spacing w:val="-8"/>
          <w:w w:val="100"/>
        </w:rPr>
        <w:t>《</w:t>
      </w:r>
      <w:r>
        <w:rPr>
          <w:spacing w:val="-3"/>
          <w:w w:val="100"/>
        </w:rPr>
        <w:t>关</w:t>
      </w:r>
      <w:r>
        <w:rPr>
          <w:spacing w:val="-8"/>
          <w:w w:val="100"/>
        </w:rPr>
        <w:t>于</w:t>
      </w:r>
      <w:r>
        <w:rPr>
          <w:spacing w:val="-7"/>
          <w:w w:val="100"/>
        </w:rPr>
        <w:t>对</w:t>
      </w:r>
      <w:r>
        <w:rPr>
          <w:spacing w:val="-5"/>
          <w:w w:val="100"/>
        </w:rPr>
        <w:t>广</w:t>
      </w:r>
      <w:r>
        <w:rPr>
          <w:w w:val="100"/>
        </w:rPr>
        <w:t>西</w:t>
      </w:r>
      <w:r>
        <w:rPr>
          <w:spacing w:val="-8"/>
          <w:w w:val="100"/>
        </w:rPr>
        <w:t>慧</w:t>
      </w:r>
      <w:r>
        <w:rPr>
          <w:spacing w:val="-3"/>
          <w:w w:val="100"/>
        </w:rPr>
        <w:t>球</w:t>
      </w:r>
      <w:r>
        <w:rPr>
          <w:spacing w:val="-5"/>
          <w:w w:val="100"/>
        </w:rPr>
        <w:t>科</w:t>
      </w:r>
      <w:r>
        <w:rPr>
          <w:spacing w:val="-3"/>
          <w:w w:val="100"/>
        </w:rPr>
        <w:t>技</w:t>
      </w:r>
      <w:r>
        <w:rPr>
          <w:spacing w:val="-8"/>
          <w:w w:val="100"/>
        </w:rPr>
        <w:t>股</w:t>
      </w:r>
      <w:r>
        <w:rPr>
          <w:spacing w:val="-3"/>
          <w:w w:val="100"/>
        </w:rPr>
        <w:t>份</w:t>
      </w:r>
      <w:r>
        <w:rPr>
          <w:spacing w:val="-5"/>
          <w:w w:val="100"/>
        </w:rPr>
        <w:t>有</w:t>
      </w:r>
      <w:r>
        <w:rPr>
          <w:spacing w:val="-3"/>
          <w:w w:val="100"/>
        </w:rPr>
        <w:t>限</w:t>
      </w:r>
      <w:r>
        <w:rPr>
          <w:spacing w:val="-8"/>
          <w:w w:val="100"/>
        </w:rPr>
        <w:t>公</w:t>
      </w:r>
      <w:r>
        <w:rPr>
          <w:spacing w:val="-3"/>
          <w:w w:val="100"/>
        </w:rPr>
        <w:t>司</w:t>
      </w:r>
      <w:r>
        <w:rPr>
          <w:w w:val="100"/>
        </w:rPr>
        <w:t>股</w:t>
      </w:r>
      <w:r>
        <w:rPr>
          <w:spacing w:val="-7"/>
          <w:w w:val="100"/>
        </w:rPr>
        <w:t>东</w:t>
      </w:r>
      <w:r>
        <w:rPr>
          <w:spacing w:val="-3"/>
          <w:w w:val="100"/>
        </w:rPr>
        <w:t>顾</w:t>
      </w:r>
      <w:r>
        <w:rPr>
          <w:spacing w:val="-5"/>
          <w:w w:val="100"/>
        </w:rPr>
        <w:t>国</w:t>
      </w:r>
      <w:r>
        <w:rPr>
          <w:spacing w:val="-3"/>
          <w:w w:val="100"/>
        </w:rPr>
        <w:t>平</w:t>
      </w:r>
      <w:r>
        <w:rPr>
          <w:spacing w:val="-8"/>
          <w:w w:val="100"/>
        </w:rPr>
        <w:t>和</w:t>
      </w:r>
      <w:r>
        <w:rPr>
          <w:spacing w:val="-3"/>
          <w:w w:val="100"/>
        </w:rPr>
        <w:t>资</w:t>
      </w:r>
      <w:r>
        <w:rPr>
          <w:spacing w:val="-5"/>
          <w:w w:val="100"/>
        </w:rPr>
        <w:t>产</w:t>
      </w:r>
      <w:r>
        <w:rPr>
          <w:spacing w:val="-3"/>
          <w:w w:val="100"/>
        </w:rPr>
        <w:t>管</w:t>
      </w:r>
      <w:r>
        <w:rPr>
          <w:spacing w:val="-8"/>
          <w:w w:val="100"/>
        </w:rPr>
        <w:t>理</w:t>
      </w:r>
      <w:r>
        <w:rPr>
          <w:spacing w:val="-3"/>
          <w:w w:val="100"/>
        </w:rPr>
        <w:t>人</w:t>
      </w:r>
      <w:r>
        <w:rPr>
          <w:w w:val="100"/>
        </w:rPr>
        <w:t>华</w:t>
      </w:r>
      <w:r>
        <w:rPr>
          <w:spacing w:val="-8"/>
          <w:w w:val="100"/>
        </w:rPr>
        <w:t>安</w:t>
      </w:r>
      <w:r>
        <w:rPr>
          <w:spacing w:val="-3"/>
          <w:w w:val="100"/>
        </w:rPr>
        <w:t>未</w:t>
      </w:r>
      <w:r>
        <w:rPr>
          <w:spacing w:val="-5"/>
          <w:w w:val="100"/>
        </w:rPr>
        <w:t>来</w:t>
      </w:r>
      <w:r>
        <w:rPr>
          <w:spacing w:val="-3"/>
          <w:w w:val="100"/>
        </w:rPr>
        <w:t>资</w:t>
      </w:r>
      <w:r>
        <w:rPr>
          <w:spacing w:val="-8"/>
          <w:w w:val="100"/>
        </w:rPr>
        <w:t>产</w:t>
      </w:r>
      <w:r>
        <w:rPr>
          <w:spacing w:val="-2"/>
          <w:w w:val="100"/>
        </w:rPr>
        <w:t>管</w:t>
      </w:r>
      <w:r>
        <w:rPr>
          <w:spacing w:val="-176"/>
          <w:w w:val="100"/>
        </w:rPr>
        <w:t>理</w:t>
      </w:r>
      <w:r>
        <w:rPr>
          <w:spacing w:val="-5"/>
          <w:w w:val="100"/>
        </w:rPr>
        <w:t>（</w:t>
      </w:r>
      <w:r>
        <w:rPr>
          <w:w w:val="100"/>
        </w:rPr>
        <w:t>上</w:t>
      </w:r>
      <w:r>
        <w:rPr>
          <w:w w:val="100"/>
        </w:rPr>
        <w:t> </w:t>
      </w:r>
      <w:r>
        <w:rPr>
          <w:spacing w:val="-5"/>
          <w:w w:val="100"/>
        </w:rPr>
        <w:t>海）有限公司予以</w:t>
      </w:r>
      <w:r>
        <w:rPr>
          <w:spacing w:val="-8"/>
          <w:w w:val="100"/>
        </w:rPr>
        <w:t>通</w:t>
      </w:r>
      <w:r>
        <w:rPr>
          <w:spacing w:val="-5"/>
          <w:w w:val="100"/>
        </w:rPr>
        <w:t>报</w:t>
      </w:r>
      <w:r>
        <w:rPr>
          <w:spacing w:val="-8"/>
          <w:w w:val="100"/>
        </w:rPr>
        <w:t>批</w:t>
      </w:r>
      <w:r>
        <w:rPr>
          <w:spacing w:val="-5"/>
          <w:w w:val="100"/>
        </w:rPr>
        <w:t>评的决定</w:t>
      </w:r>
      <w:r>
        <w:rPr>
          <w:spacing w:val="-109"/>
          <w:w w:val="100"/>
        </w:rPr>
        <w:t>》</w:t>
      </w:r>
      <w:r>
        <w:rPr>
          <w:spacing w:val="-5"/>
          <w:w w:val="100"/>
        </w:rPr>
        <w:t>（纪律</w:t>
      </w:r>
      <w:r>
        <w:rPr>
          <w:spacing w:val="-8"/>
          <w:w w:val="100"/>
        </w:rPr>
        <w:t>处</w:t>
      </w:r>
      <w:r>
        <w:rPr>
          <w:spacing w:val="-5"/>
          <w:w w:val="100"/>
        </w:rPr>
        <w:t>分决</w:t>
      </w:r>
      <w:r>
        <w:rPr>
          <w:spacing w:val="-8"/>
          <w:w w:val="100"/>
        </w:rPr>
        <w:t>定</w:t>
      </w:r>
      <w:r>
        <w:rPr>
          <w:spacing w:val="-5"/>
          <w:w w:val="100"/>
        </w:rPr>
        <w:t>书〔</w:t>
      </w:r>
      <w:r>
        <w:rPr>
          <w:rFonts w:ascii="Times New Roman" w:hAnsi="Times New Roman" w:cs="Times New Roman" w:eastAsia="Times New Roman" w:hint="default"/>
          <w:spacing w:val="-3"/>
          <w:w w:val="100"/>
        </w:rPr>
        <w:t>2016</w:t>
      </w:r>
      <w:r>
        <w:rPr>
          <w:spacing w:val="-5"/>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rPr>
        <w:t> </w:t>
      </w:r>
      <w:r>
        <w:rPr>
          <w:spacing w:val="-5"/>
          <w:w w:val="100"/>
        </w:rPr>
        <w:t>号</w:t>
      </w:r>
      <w:r>
        <w:rPr>
          <w:spacing w:val="-108"/>
          <w:w w:val="100"/>
        </w:rPr>
        <w:t>）</w:t>
      </w:r>
      <w:r>
        <w:rPr>
          <w:spacing w:val="-5"/>
          <w:w w:val="100"/>
        </w:rPr>
        <w:t>（详见</w:t>
      </w:r>
      <w:r>
        <w:rPr>
          <w:spacing w:val="-8"/>
          <w:w w:val="100"/>
        </w:rPr>
        <w:t>上</w:t>
      </w:r>
      <w:r>
        <w:rPr>
          <w:spacing w:val="-5"/>
          <w:w w:val="100"/>
        </w:rPr>
        <w:t>海证券交易所网站</w:t>
      </w:r>
      <w:r>
        <w:rPr>
          <w:w w:val="100"/>
        </w:rPr>
        <w:t>）</w:t>
      </w:r>
    </w:p>
    <w:p>
      <w:pPr>
        <w:spacing w:line="240" w:lineRule="auto" w:before="0"/>
        <w:rPr>
          <w:rFonts w:ascii="宋体" w:hAnsi="宋体" w:cs="宋体" w:eastAsia="宋体" w:hint="default"/>
          <w:sz w:val="22"/>
          <w:szCs w:val="22"/>
        </w:rPr>
      </w:pPr>
    </w:p>
    <w:p>
      <w:pPr>
        <w:pStyle w:val="BodyText"/>
        <w:spacing w:line="324" w:lineRule="auto" w:before="173"/>
        <w:ind w:left="367" w:right="0"/>
        <w:jc w:val="left"/>
      </w:pPr>
      <w:r>
        <w:rPr>
          <w:rFonts w:ascii="Times New Roman" w:hAnsi="Times New Roman" w:cs="Times New Roman" w:eastAsia="Times New Roman" w:hint="default"/>
        </w:rPr>
        <w:t>3.2016</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spacing w:val="-7"/>
        </w:rPr>
        <w:t>日，广西慧球科技股份有限公司原公司实际控制人顾国平先生收到中国证券监督管理委员会广西监管局【</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9</w:t>
      </w:r>
      <w:r>
        <w:rPr>
          <w:rFonts w:ascii="Times New Roman" w:hAnsi="Times New Roman" w:cs="Times New Roman" w:eastAsia="Times New Roman" w:hint="default"/>
          <w:spacing w:val="9"/>
        </w:rPr>
        <w:t> </w:t>
      </w:r>
      <w:r>
        <w:rPr>
          <w:spacing w:val="-11"/>
        </w:rPr>
        <w:t>号《行政监管措施决</w:t>
      </w:r>
      <w:r>
        <w:rPr>
          <w:spacing w:val="-96"/>
        </w:rPr>
        <w:t> </w:t>
      </w:r>
      <w:r>
        <w:rPr>
          <w:spacing w:val="-96"/>
        </w:rPr>
      </w:r>
      <w:r>
        <w:rPr>
          <w:spacing w:val="-25"/>
          <w:w w:val="100"/>
        </w:rPr>
        <w:t>定书》。（详见公司临</w:t>
      </w:r>
      <w:r>
        <w:rPr>
          <w:spacing w:val="-62"/>
          <w:w w:val="100"/>
        </w:rPr>
        <w:t> </w:t>
      </w:r>
      <w:r>
        <w:rPr>
          <w:rFonts w:ascii="Times New Roman" w:hAnsi="Times New Roman" w:cs="Times New Roman" w:eastAsia="Times New Roman" w:hint="default"/>
          <w:spacing w:val="-3"/>
          <w:w w:val="100"/>
        </w:rPr>
        <w:t>2016-066</w:t>
      </w:r>
      <w:r>
        <w:rPr>
          <w:rFonts w:ascii="Times New Roman" w:hAnsi="Times New Roman" w:cs="Times New Roman" w:eastAsia="Times New Roman" w:hint="default"/>
          <w:spacing w:val="-6"/>
          <w:w w:val="100"/>
        </w:rPr>
        <w:t> </w:t>
      </w:r>
      <w:r>
        <w:rPr>
          <w:spacing w:val="-5"/>
          <w:w w:val="100"/>
        </w:rPr>
        <w:t>号公告）</w:t>
      </w:r>
      <w:r>
        <w:rPr>
          <w:w w:val="100"/>
        </w:rPr>
      </w:r>
    </w:p>
    <w:p>
      <w:pPr>
        <w:spacing w:line="240" w:lineRule="auto" w:before="4"/>
        <w:rPr>
          <w:rFonts w:ascii="宋体" w:hAnsi="宋体" w:cs="宋体" w:eastAsia="宋体" w:hint="default"/>
          <w:sz w:val="29"/>
          <w:szCs w:val="29"/>
        </w:rPr>
      </w:pPr>
    </w:p>
    <w:p>
      <w:pPr>
        <w:pStyle w:val="BodyText"/>
        <w:spacing w:line="240" w:lineRule="auto"/>
        <w:ind w:left="367" w:right="0"/>
        <w:jc w:val="left"/>
      </w:pP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5"/>
          <w:w w:val="100"/>
        </w:rPr>
        <w:t>日</w:t>
      </w:r>
      <w:r>
        <w:rPr>
          <w:spacing w:val="-8"/>
          <w:w w:val="100"/>
        </w:rPr>
        <w:t>，</w:t>
      </w:r>
      <w:r>
        <w:rPr>
          <w:spacing w:val="-5"/>
          <w:w w:val="100"/>
        </w:rPr>
        <w:t>广</w:t>
      </w:r>
      <w:r>
        <w:rPr>
          <w:spacing w:val="-8"/>
          <w:w w:val="100"/>
        </w:rPr>
        <w:t>西</w:t>
      </w:r>
      <w:r>
        <w:rPr>
          <w:spacing w:val="-5"/>
          <w:w w:val="100"/>
        </w:rPr>
        <w:t>慧球科技股份有限</w:t>
      </w:r>
      <w:r>
        <w:rPr>
          <w:spacing w:val="-8"/>
          <w:w w:val="100"/>
        </w:rPr>
        <w:t>公</w:t>
      </w:r>
      <w:r>
        <w:rPr>
          <w:spacing w:val="-5"/>
          <w:w w:val="100"/>
        </w:rPr>
        <w:t>司</w:t>
      </w:r>
      <w:r>
        <w:rPr>
          <w:spacing w:val="-8"/>
          <w:w w:val="100"/>
        </w:rPr>
        <w:t>收</w:t>
      </w:r>
      <w:r>
        <w:rPr>
          <w:spacing w:val="-5"/>
          <w:w w:val="100"/>
        </w:rPr>
        <w:t>到了中国证券监督</w:t>
      </w:r>
      <w:r>
        <w:rPr>
          <w:spacing w:val="-8"/>
          <w:w w:val="100"/>
        </w:rPr>
        <w:t>管</w:t>
      </w:r>
      <w:r>
        <w:rPr>
          <w:spacing w:val="-5"/>
          <w:w w:val="100"/>
        </w:rPr>
        <w:t>理</w:t>
      </w:r>
      <w:r>
        <w:rPr>
          <w:spacing w:val="-8"/>
          <w:w w:val="100"/>
        </w:rPr>
        <w:t>委</w:t>
      </w:r>
      <w:r>
        <w:rPr>
          <w:spacing w:val="-5"/>
          <w:w w:val="100"/>
        </w:rPr>
        <w:t>员会（广西监管局</w:t>
      </w:r>
      <w:r>
        <w:rPr>
          <w:spacing w:val="-8"/>
          <w:w w:val="100"/>
        </w:rPr>
        <w:t>《</w:t>
      </w:r>
      <w:r>
        <w:rPr>
          <w:spacing w:val="-5"/>
          <w:w w:val="100"/>
        </w:rPr>
        <w:t>行</w:t>
      </w:r>
      <w:r>
        <w:rPr>
          <w:spacing w:val="-8"/>
          <w:w w:val="100"/>
        </w:rPr>
        <w:t>政</w:t>
      </w:r>
      <w:r>
        <w:rPr>
          <w:spacing w:val="-5"/>
          <w:w w:val="100"/>
        </w:rPr>
        <w:t>监管措施决定书</w:t>
      </w:r>
      <w:r>
        <w:rPr>
          <w:spacing w:val="-108"/>
          <w:w w:val="100"/>
        </w:rPr>
        <w:t>》（</w:t>
      </w:r>
      <w:r>
        <w:rPr>
          <w:spacing w:val="-4"/>
          <w:w w:val="100"/>
        </w:rPr>
        <w:t>【</w:t>
      </w:r>
      <w:r>
        <w:rPr>
          <w:rFonts w:ascii="Times New Roman" w:hAnsi="Times New Roman" w:cs="Times New Roman" w:eastAsia="Times New Roman" w:hint="default"/>
          <w:spacing w:val="-3"/>
          <w:w w:val="100"/>
        </w:rPr>
        <w:t>201</w:t>
      </w:r>
      <w:r>
        <w:rPr>
          <w:rFonts w:ascii="Times New Roman" w:hAnsi="Times New Roman" w:cs="Times New Roman" w:eastAsia="Times New Roman" w:hint="default"/>
          <w:spacing w:val="-5"/>
          <w:w w:val="100"/>
        </w:rPr>
        <w:t>7</w:t>
      </w:r>
      <w:r>
        <w:rPr>
          <w:spacing w:val="-5"/>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spacing w:val="-5"/>
          <w:w w:val="100"/>
        </w:rPr>
        <w:t>号</w:t>
      </w:r>
      <w:r>
        <w:rPr>
          <w:spacing w:val="-108"/>
          <w:w w:val="100"/>
        </w:rPr>
        <w:t>）。</w:t>
      </w:r>
      <w:r>
        <w:rPr>
          <w:spacing w:val="-5"/>
          <w:w w:val="100"/>
        </w:rPr>
        <w:t>（详见公</w:t>
      </w:r>
      <w:r>
        <w:rPr>
          <w:w w:val="100"/>
        </w:rPr>
        <w:t>司</w:t>
      </w:r>
    </w:p>
    <w:p>
      <w:pPr>
        <w:pStyle w:val="BodyText"/>
        <w:spacing w:line="240" w:lineRule="auto" w:before="103"/>
        <w:ind w:left="367" w:right="0"/>
        <w:jc w:val="left"/>
      </w:pPr>
      <w:r>
        <w:rPr/>
        <w:t>临</w:t>
      </w:r>
      <w:r>
        <w:rPr>
          <w:spacing w:val="-44"/>
        </w:rPr>
        <w:t> </w:t>
      </w:r>
      <w:r>
        <w:rPr>
          <w:rFonts w:ascii="Times New Roman" w:hAnsi="Times New Roman" w:cs="Times New Roman" w:eastAsia="Times New Roman" w:hint="default"/>
          <w:spacing w:val="-3"/>
        </w:rPr>
        <w:t>2017-005</w:t>
      </w:r>
      <w:r>
        <w:rPr>
          <w:rFonts w:ascii="Times New Roman" w:hAnsi="Times New Roman" w:cs="Times New Roman" w:eastAsia="Times New Roman" w:hint="default"/>
          <w:spacing w:val="9"/>
        </w:rPr>
        <w:t> </w:t>
      </w:r>
      <w:r>
        <w:rPr>
          <w:spacing w:val="-5"/>
        </w:rPr>
        <w:t>号公告）</w:t>
      </w:r>
    </w:p>
    <w:p>
      <w:pPr>
        <w:spacing w:line="240" w:lineRule="auto" w:before="0"/>
        <w:rPr>
          <w:rFonts w:ascii="宋体" w:hAnsi="宋体" w:cs="宋体" w:eastAsia="宋体" w:hint="default"/>
          <w:sz w:val="22"/>
          <w:szCs w:val="22"/>
        </w:rPr>
      </w:pPr>
    </w:p>
    <w:p>
      <w:pPr>
        <w:pStyle w:val="BodyText"/>
        <w:spacing w:line="268" w:lineRule="exact" w:before="196"/>
        <w:ind w:left="367" w:right="0"/>
        <w:jc w:val="left"/>
      </w:pP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5"/>
          <w:w w:val="100"/>
        </w:rPr>
        <w:t>日</w:t>
      </w:r>
      <w:r>
        <w:rPr>
          <w:spacing w:val="-20"/>
          <w:w w:val="100"/>
        </w:rPr>
        <w:t>，</w:t>
      </w:r>
      <w:r>
        <w:rPr>
          <w:spacing w:val="-5"/>
          <w:w w:val="100"/>
        </w:rPr>
        <w:t>广</w:t>
      </w:r>
      <w:r>
        <w:rPr>
          <w:spacing w:val="-8"/>
          <w:w w:val="100"/>
        </w:rPr>
        <w:t>西</w:t>
      </w:r>
      <w:r>
        <w:rPr>
          <w:spacing w:val="-5"/>
          <w:w w:val="100"/>
        </w:rPr>
        <w:t>慧球科技股份有限</w:t>
      </w:r>
      <w:r>
        <w:rPr>
          <w:spacing w:val="-8"/>
          <w:w w:val="100"/>
        </w:rPr>
        <w:t>公</w:t>
      </w:r>
      <w:r>
        <w:rPr>
          <w:spacing w:val="-5"/>
          <w:w w:val="100"/>
        </w:rPr>
        <w:t>司</w:t>
      </w:r>
      <w:r>
        <w:rPr>
          <w:spacing w:val="-8"/>
          <w:w w:val="100"/>
        </w:rPr>
        <w:t>收</w:t>
      </w:r>
      <w:r>
        <w:rPr>
          <w:spacing w:val="-5"/>
          <w:w w:val="100"/>
        </w:rPr>
        <w:t>到中国证券监督管</w:t>
      </w:r>
      <w:r>
        <w:rPr>
          <w:spacing w:val="-8"/>
          <w:w w:val="100"/>
        </w:rPr>
        <w:t>理</w:t>
      </w:r>
      <w:r>
        <w:rPr>
          <w:spacing w:val="-5"/>
          <w:w w:val="100"/>
        </w:rPr>
        <w:t>委</w:t>
      </w:r>
      <w:r>
        <w:rPr>
          <w:spacing w:val="-8"/>
          <w:w w:val="100"/>
        </w:rPr>
        <w:t>员</w:t>
      </w:r>
      <w:r>
        <w:rPr>
          <w:spacing w:val="-20"/>
          <w:w w:val="100"/>
        </w:rPr>
        <w:t>会</w:t>
      </w:r>
      <w:r>
        <w:rPr>
          <w:spacing w:val="-5"/>
          <w:w w:val="100"/>
        </w:rPr>
        <w:t>《行政处罚及市场禁</w:t>
      </w:r>
      <w:r>
        <w:rPr>
          <w:spacing w:val="-8"/>
          <w:w w:val="100"/>
        </w:rPr>
        <w:t>入</w:t>
      </w:r>
      <w:r>
        <w:rPr>
          <w:spacing w:val="-5"/>
          <w:w w:val="100"/>
        </w:rPr>
        <w:t>事先告知书</w:t>
      </w:r>
      <w:r>
        <w:rPr>
          <w:spacing w:val="-20"/>
          <w:w w:val="100"/>
        </w:rPr>
        <w:t>》</w:t>
      </w:r>
      <w:r>
        <w:rPr>
          <w:spacing w:val="-5"/>
          <w:w w:val="100"/>
        </w:rPr>
        <w:t>处罚</w:t>
      </w:r>
      <w:r>
        <w:rPr>
          <w:spacing w:val="-20"/>
          <w:w w:val="100"/>
        </w:rPr>
        <w:t>字</w:t>
      </w:r>
      <w:r>
        <w:rPr>
          <w:spacing w:val="-2"/>
          <w:w w:val="100"/>
        </w:rPr>
        <w:t>【</w:t>
      </w:r>
      <w:r>
        <w:rPr>
          <w:rFonts w:ascii="Times New Roman" w:hAnsi="Times New Roman" w:cs="Times New Roman" w:eastAsia="Times New Roman" w:hint="default"/>
          <w:spacing w:val="-3"/>
          <w:w w:val="100"/>
        </w:rPr>
        <w:t>201</w:t>
      </w:r>
      <w:r>
        <w:rPr>
          <w:rFonts w:ascii="Times New Roman" w:hAnsi="Times New Roman" w:cs="Times New Roman" w:eastAsia="Times New Roman" w:hint="default"/>
          <w:spacing w:val="-5"/>
          <w:w w:val="100"/>
        </w:rPr>
        <w:t>7</w:t>
      </w:r>
      <w:r>
        <w:rPr>
          <w:spacing w:val="-20"/>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5"/>
        </w:rPr>
        <w:t> </w:t>
      </w:r>
      <w:r>
        <w:rPr>
          <w:spacing w:val="-5"/>
          <w:w w:val="100"/>
        </w:rPr>
        <w:t>号</w:t>
      </w:r>
      <w:r>
        <w:rPr>
          <w:spacing w:val="-123"/>
          <w:w w:val="100"/>
        </w:rPr>
        <w:t>、</w:t>
      </w:r>
      <w:r>
        <w:rPr>
          <w:spacing w:val="-5"/>
          <w:w w:val="100"/>
        </w:rPr>
        <w:t>《行政处</w:t>
      </w:r>
      <w:r>
        <w:rPr>
          <w:w w:val="100"/>
        </w:rPr>
        <w:t>罚</w:t>
      </w:r>
      <w:r>
        <w:rPr>
          <w:w w:val="100"/>
        </w:rPr>
        <w:t> </w:t>
      </w:r>
      <w:r>
        <w:rPr>
          <w:spacing w:val="-8"/>
          <w:w w:val="100"/>
        </w:rPr>
        <w:t>及市场禁入事先告知书》处罚字</w:t>
      </w:r>
      <w:r>
        <w:rPr>
          <w:spacing w:val="-5"/>
          <w:w w:val="100"/>
        </w:rPr>
        <w:t>【</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5"/>
          <w:w w:val="100"/>
        </w:rPr>
        <w:t>17</w:t>
      </w:r>
      <w:r>
        <w:rPr>
          <w:spacing w:val="-5"/>
          <w:w w:val="100"/>
        </w:rPr>
        <w:t>】</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spacing w:val="-8"/>
          <w:w w:val="100"/>
        </w:rPr>
        <w:t>号</w:t>
      </w:r>
      <w:r>
        <w:rPr>
          <w:spacing w:val="-111"/>
          <w:w w:val="100"/>
        </w:rPr>
        <w:t>、</w:t>
      </w:r>
      <w:r>
        <w:rPr>
          <w:spacing w:val="-8"/>
          <w:w w:val="100"/>
        </w:rPr>
        <w:t>《行政处罚及市场禁入事先告知书》处罚字</w:t>
      </w:r>
      <w:r>
        <w:rPr>
          <w:spacing w:val="-5"/>
          <w:w w:val="100"/>
        </w:rPr>
        <w:t>【</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5"/>
          <w:w w:val="100"/>
        </w:rPr>
        <w:t>17</w:t>
      </w:r>
      <w:r>
        <w:rPr>
          <w:spacing w:val="-5"/>
          <w:w w:val="100"/>
        </w:rPr>
        <w:t>】</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spacing w:val="-8"/>
          <w:w w:val="100"/>
        </w:rPr>
        <w:t>号</w:t>
      </w:r>
      <w:r>
        <w:rPr>
          <w:spacing w:val="-111"/>
          <w:w w:val="100"/>
        </w:rPr>
        <w:t>、</w:t>
      </w:r>
      <w:r>
        <w:rPr>
          <w:spacing w:val="-8"/>
          <w:w w:val="100"/>
        </w:rPr>
        <w:t>《行政处罚及市场禁入事先告知书》处</w:t>
      </w:r>
      <w:r>
        <w:rPr>
          <w:spacing w:val="-7"/>
          <w:w w:val="100"/>
        </w:rPr>
        <w:t>罚</w:t>
      </w:r>
      <w:r>
        <w:rPr>
          <w:w w:val="100"/>
        </w:rPr>
        <w:t>字</w:t>
      </w:r>
    </w:p>
    <w:p>
      <w:pPr>
        <w:pStyle w:val="BodyText"/>
        <w:spacing w:line="261" w:lineRule="exact"/>
        <w:ind w:left="367" w:right="0"/>
        <w:jc w:val="left"/>
      </w:pPr>
      <w:r>
        <w:rPr>
          <w:spacing w:val="-3"/>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17</w:t>
      </w:r>
      <w:r>
        <w:rPr>
          <w:spacing w:val="-3"/>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5"/>
          <w:w w:val="100"/>
        </w:rPr>
        <w:t>号</w:t>
      </w:r>
      <w:r>
        <w:rPr>
          <w:spacing w:val="-108"/>
          <w:w w:val="100"/>
        </w:rPr>
        <w:t>。</w:t>
      </w:r>
      <w:r>
        <w:rPr>
          <w:spacing w:val="-8"/>
          <w:w w:val="100"/>
        </w:rPr>
        <w:t>（</w:t>
      </w:r>
      <w:r>
        <w:rPr>
          <w:spacing w:val="-5"/>
          <w:w w:val="100"/>
        </w:rPr>
        <w:t>详见公</w:t>
      </w:r>
      <w:r>
        <w:rPr>
          <w:spacing w:val="-8"/>
          <w:w w:val="100"/>
        </w:rPr>
        <w:t>司</w:t>
      </w:r>
      <w:r>
        <w:rPr>
          <w:w w:val="100"/>
        </w:rPr>
        <w:t>临</w:t>
      </w:r>
      <w:r>
        <w:rPr>
          <w:spacing w:val="-6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3"/>
          <w:w w:val="100"/>
        </w:rPr>
        <w:t>-02</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5"/>
          <w:w w:val="100"/>
        </w:rPr>
        <w:t>号公</w:t>
      </w:r>
      <w:r>
        <w:rPr>
          <w:spacing w:val="-8"/>
          <w:w w:val="100"/>
        </w:rPr>
        <w:t>告</w:t>
      </w:r>
      <w:r>
        <w:rPr>
          <w:w w:val="100"/>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0"/>
          <w:szCs w:val="30"/>
        </w:rPr>
      </w:pPr>
    </w:p>
    <w:p>
      <w:pPr>
        <w:pStyle w:val="BodyText"/>
        <w:spacing w:line="274" w:lineRule="exact"/>
        <w:ind w:left="367" w:right="0"/>
        <w:jc w:val="left"/>
      </w:pPr>
      <w:r>
        <w:rPr>
          <w:rFonts w:ascii="Times New Roman" w:hAnsi="Times New Roman" w:cs="Times New Roman" w:eastAsia="Times New Roman" w:hint="default"/>
          <w:spacing w:val="-3"/>
          <w:w w:val="100"/>
        </w:rPr>
        <w:t>6.2017</w:t>
      </w:r>
      <w:r>
        <w:rPr>
          <w:rFonts w:ascii="Times New Roman" w:hAnsi="Times New Roman" w:cs="Times New Roman" w:eastAsia="Times New Roman" w:hint="default"/>
          <w:spacing w:val="-4"/>
          <w:w w:val="100"/>
        </w:rPr>
        <w:t> </w:t>
      </w:r>
      <w:r>
        <w:rPr>
          <w:w w:val="100"/>
        </w:rPr>
        <w:t>年</w:t>
      </w:r>
      <w:r>
        <w:rPr>
          <w:spacing w:val="-60"/>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4"/>
          <w:w w:val="100"/>
        </w:rPr>
        <w:t> </w:t>
      </w:r>
      <w:r>
        <w:rPr>
          <w:w w:val="100"/>
        </w:rPr>
        <w:t>月</w:t>
      </w:r>
      <w:r>
        <w:rPr>
          <w:spacing w:val="-60"/>
          <w:w w:val="100"/>
        </w:rPr>
        <w:t> </w:t>
      </w:r>
      <w:r>
        <w:rPr>
          <w:rFonts w:ascii="Times New Roman" w:hAnsi="Times New Roman" w:cs="Times New Roman" w:eastAsia="Times New Roman" w:hint="default"/>
          <w:spacing w:val="-2"/>
          <w:w w:val="100"/>
        </w:rPr>
        <w:t>18</w:t>
      </w:r>
      <w:r>
        <w:rPr>
          <w:rFonts w:ascii="Times New Roman" w:hAnsi="Times New Roman" w:cs="Times New Roman" w:eastAsia="Times New Roman" w:hint="default"/>
          <w:spacing w:val="-4"/>
          <w:w w:val="100"/>
        </w:rPr>
        <w:t> </w:t>
      </w:r>
      <w:r>
        <w:rPr>
          <w:spacing w:val="-6"/>
          <w:w w:val="100"/>
        </w:rPr>
        <w:t>日，公司收到中国证监会《行政处罚决定书》</w:t>
      </w:r>
      <w:r>
        <w:rPr>
          <w:rFonts w:ascii="Times New Roman" w:hAnsi="Times New Roman" w:cs="Times New Roman" w:eastAsia="Times New Roman" w:hint="default"/>
          <w:spacing w:val="-6"/>
          <w:w w:val="100"/>
        </w:rPr>
        <w:t>[2017]47</w:t>
      </w:r>
      <w:r>
        <w:rPr>
          <w:rFonts w:ascii="Times New Roman" w:hAnsi="Times New Roman" w:cs="Times New Roman" w:eastAsia="Times New Roman" w:hint="default"/>
          <w:spacing w:val="-4"/>
          <w:w w:val="100"/>
        </w:rPr>
        <w:t> </w:t>
      </w:r>
      <w:r>
        <w:rPr>
          <w:spacing w:val="-11"/>
          <w:w w:val="100"/>
        </w:rPr>
        <w:t>号、《行政处罚决定书》</w:t>
      </w:r>
      <w:r>
        <w:rPr>
          <w:rFonts w:ascii="Times New Roman" w:hAnsi="Times New Roman" w:cs="Times New Roman" w:eastAsia="Times New Roman" w:hint="default"/>
          <w:spacing w:val="-11"/>
          <w:w w:val="100"/>
        </w:rPr>
        <w:t>[2017]48</w:t>
      </w:r>
      <w:r>
        <w:rPr>
          <w:rFonts w:ascii="Times New Roman" w:hAnsi="Times New Roman" w:cs="Times New Roman" w:eastAsia="Times New Roman" w:hint="default"/>
          <w:spacing w:val="-7"/>
          <w:w w:val="100"/>
        </w:rPr>
        <w:t> </w:t>
      </w:r>
      <w:r>
        <w:rPr>
          <w:spacing w:val="-11"/>
          <w:w w:val="100"/>
        </w:rPr>
        <w:t>号、《行政处罚决定书》</w:t>
      </w:r>
      <w:r>
        <w:rPr>
          <w:rFonts w:ascii="Times New Roman" w:hAnsi="Times New Roman" w:cs="Times New Roman" w:eastAsia="Times New Roman" w:hint="default"/>
          <w:spacing w:val="-11"/>
          <w:w w:val="100"/>
        </w:rPr>
        <w:t>[2017]49</w:t>
      </w:r>
      <w:r>
        <w:rPr>
          <w:rFonts w:ascii="Times New Roman" w:hAnsi="Times New Roman" w:cs="Times New Roman" w:eastAsia="Times New Roman" w:hint="default"/>
          <w:spacing w:val="-4"/>
          <w:w w:val="100"/>
        </w:rPr>
        <w:t> </w:t>
      </w:r>
      <w:r>
        <w:rPr>
          <w:spacing w:val="-21"/>
          <w:w w:val="100"/>
        </w:rPr>
        <w:t>号、《行政处罚</w:t>
      </w:r>
      <w:r>
        <w:rPr>
          <w:w w:val="100"/>
        </w:rPr>
        <w:t> </w:t>
      </w:r>
      <w:r>
        <w:rPr>
          <w:spacing w:val="-4"/>
        </w:rPr>
        <w:t>决定书》</w:t>
      </w:r>
      <w:r>
        <w:rPr>
          <w:rFonts w:ascii="Times New Roman" w:hAnsi="Times New Roman" w:cs="Times New Roman" w:eastAsia="Times New Roman" w:hint="default"/>
          <w:spacing w:val="-4"/>
        </w:rPr>
        <w:t>[2017]50 </w:t>
      </w:r>
      <w:r>
        <w:rPr>
          <w:rFonts w:ascii="Times New Roman" w:hAnsi="Times New Roman" w:cs="Times New Roman" w:eastAsia="Times New Roman" w:hint="default"/>
          <w:spacing w:val="21"/>
        </w:rPr>
        <w:t> </w:t>
      </w:r>
      <w:r>
        <w:rPr>
          <w:spacing w:val="-6"/>
        </w:rPr>
        <w:t>号，就前期违法违规事项对公司以及顾国平、鲜言等相关个人进行处罚。</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367" w:right="0"/>
        <w:jc w:val="left"/>
      </w:pPr>
      <w:r>
        <w:rPr>
          <w:rFonts w:ascii="Times New Roman" w:hAnsi="Times New Roman" w:cs="Times New Roman" w:eastAsia="Times New Roman" w:hint="default"/>
          <w:spacing w:val="-3"/>
        </w:rPr>
        <w:t>7.2017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 </w:t>
      </w:r>
      <w:r>
        <w:rPr>
          <w:spacing w:val="-5"/>
        </w:rPr>
        <w:t>日，公司收到上海证券交易所《纪律处分决定书》</w:t>
      </w:r>
      <w:r>
        <w:rPr>
          <w:rFonts w:ascii="Times New Roman" w:hAnsi="Times New Roman" w:cs="Times New Roman" w:eastAsia="Times New Roman" w:hint="default"/>
          <w:spacing w:val="-5"/>
        </w:rPr>
        <w:t>[2017]26</w:t>
      </w:r>
      <w:r>
        <w:rPr>
          <w:rFonts w:ascii="Times New Roman" w:hAnsi="Times New Roman" w:cs="Times New Roman" w:eastAsia="Times New Roman" w:hint="default"/>
          <w:spacing w:val="-22"/>
        </w:rPr>
        <w:t> </w:t>
      </w:r>
      <w:r>
        <w:rPr>
          <w:spacing w:val="-6"/>
        </w:rPr>
        <w:t>号，就前期违规事项对公司以及顾国平、鲜言等相关个人进行纪律处分。</w:t>
      </w:r>
    </w:p>
    <w:p>
      <w:pPr>
        <w:spacing w:after="0" w:line="240" w:lineRule="auto"/>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ind w:right="2465"/>
        <w:jc w:val="left"/>
        <w:rPr>
          <w:b w:val="0"/>
          <w:bCs w:val="0"/>
        </w:rPr>
      </w:pPr>
      <w:r>
        <w:rPr/>
        <w:t>六、母公司和主要子公司的员工情况</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295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高层管理人员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39" w:hanging="420"/>
        <w:jc w:val="left"/>
      </w:pPr>
      <w:r>
        <w:rPr>
          <w:spacing w:val="-1"/>
        </w:rPr>
        <w:t>√适用</w:t>
        <w:tab/>
      </w:r>
      <w:r>
        <w:rPr>
          <w:spacing w:val="-2"/>
        </w:rPr>
        <w:t>□不适用</w:t>
      </w:r>
      <w:r>
        <w:rPr>
          <w:spacing w:val="-99"/>
        </w:rPr>
        <w:t> </w:t>
      </w:r>
      <w:r>
        <w:rPr>
          <w:spacing w:val="-99"/>
        </w:rPr>
      </w:r>
      <w:r>
        <w:rPr>
          <w:spacing w:val="-2"/>
        </w:rPr>
        <w:t>公司的薪酬政策是在国家法律法规框架内基于公司发展战略和公司组织架构特点而制定，为</w:t>
      </w:r>
    </w:p>
    <w:p>
      <w:pPr>
        <w:pStyle w:val="BodyText"/>
        <w:spacing w:line="355" w:lineRule="auto" w:before="133"/>
        <w:ind w:right="97"/>
        <w:jc w:val="left"/>
      </w:pPr>
      <w:r>
        <w:rPr>
          <w:spacing w:val="-2"/>
        </w:rPr>
        <w:t>了保证公司战略及人才战略的实施，公司实行宽幅薪酬，以员工对组织绩效的支持为主要的衡量</w:t>
      </w:r>
      <w:r>
        <w:rPr>
          <w:spacing w:val="-25"/>
        </w:rPr>
        <w:t> </w:t>
      </w:r>
      <w:r>
        <w:rPr>
          <w:spacing w:val="-25"/>
        </w:rPr>
      </w:r>
      <w:r>
        <w:rPr/>
        <w:t>标准，结合员工个人素质确定其薪酬标准，保证薪酬的牵引性和浮动性。</w:t>
      </w:r>
    </w:p>
    <w:p>
      <w:pPr>
        <w:spacing w:line="240" w:lineRule="auto" w:before="13"/>
        <w:rPr>
          <w:rFonts w:ascii="宋体" w:hAnsi="宋体" w:cs="宋体" w:eastAsia="宋体" w:hint="default"/>
          <w:sz w:val="27"/>
          <w:szCs w:val="27"/>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30"/>
        <w:ind w:left="638" w:right="239" w:hanging="420"/>
        <w:jc w:val="left"/>
      </w:pPr>
      <w:r>
        <w:rPr>
          <w:spacing w:val="-1"/>
        </w:rPr>
        <w:t>√适用</w:t>
        <w:tab/>
      </w:r>
      <w:r>
        <w:rPr>
          <w:spacing w:val="-2"/>
        </w:rPr>
        <w:t>□不适用</w:t>
      </w:r>
      <w:r>
        <w:rPr>
          <w:spacing w:val="-99"/>
        </w:rPr>
        <w:t> </w:t>
      </w:r>
      <w:r>
        <w:rPr>
          <w:spacing w:val="-99"/>
        </w:rPr>
      </w:r>
      <w:r>
        <w:rPr>
          <w:spacing w:val="-2"/>
        </w:rPr>
        <w:t>为了全面提升公司全体员工的专业技术能力，公司建立了培训资源共享平台，每月把当月的</w:t>
      </w:r>
    </w:p>
    <w:p>
      <w:pPr>
        <w:pStyle w:val="BodyText"/>
        <w:spacing w:line="355" w:lineRule="auto" w:before="133"/>
        <w:ind w:left="638" w:right="97" w:hanging="420"/>
        <w:jc w:val="left"/>
      </w:pPr>
      <w:r>
        <w:rPr/>
        <w:t>培训计划共享于平台之上，鼓励公司员工在工作之余积极参与相关培训。</w:t>
      </w:r>
      <w:r>
        <w:rPr>
          <w:w w:val="100"/>
        </w:rPr>
        <w:t> </w:t>
      </w:r>
      <w:r>
        <w:rPr/>
        <w:t>公司的专业技术培训分为“公司级培训”和“部门级培训”两种：</w:t>
      </w:r>
      <w:r>
        <w:rPr>
          <w:w w:val="100"/>
        </w:rPr>
        <w:t> </w:t>
      </w:r>
      <w:r>
        <w:rPr>
          <w:spacing w:val="-2"/>
        </w:rPr>
        <w:t>公司级培训：指由公司组织的各种培训，内容包括特定人员参与的培训课程及全员均可参与</w:t>
      </w:r>
    </w:p>
    <w:p>
      <w:pPr>
        <w:pStyle w:val="BodyText"/>
        <w:spacing w:line="355" w:lineRule="auto" w:before="34"/>
        <w:ind w:right="97"/>
        <w:jc w:val="left"/>
      </w:pPr>
      <w:r>
        <w:rPr>
          <w:spacing w:val="-2"/>
        </w:rPr>
        <w:t>的通用能力课程，前者包括新员工培训、各级别管理者管理能力培训、大型培训项目等，后者主</w:t>
      </w:r>
      <w:r>
        <w:rPr>
          <w:spacing w:val="-25"/>
        </w:rPr>
        <w:t> </w:t>
      </w:r>
      <w:r>
        <w:rPr>
          <w:spacing w:val="-25"/>
        </w:rPr>
      </w:r>
      <w:r>
        <w:rPr/>
        <w:t>要为通用工作方法和工作技巧类培训等；</w:t>
      </w:r>
    </w:p>
    <w:p>
      <w:pPr>
        <w:pStyle w:val="BodyText"/>
        <w:spacing w:line="240" w:lineRule="auto" w:before="32"/>
        <w:ind w:left="638" w:right="2465"/>
        <w:jc w:val="left"/>
      </w:pPr>
      <w:r>
        <w:rPr/>
        <w:t>部门级培训：主要为各部门自行组织的专业培训。</w:t>
      </w:r>
    </w:p>
    <w:p>
      <w:pPr>
        <w:spacing w:after="0" w:line="240" w:lineRule="auto"/>
        <w:jc w:val="left"/>
        <w:sectPr>
          <w:headerReference w:type="default" r:id="rId21"/>
          <w:footerReference w:type="default" r:id="rId22"/>
          <w:pgSz w:w="11910" w:h="16840"/>
          <w:pgMar w:header="877" w:footer="1195" w:top="1100" w:bottom="1380" w:left="1580" w:right="1040"/>
          <w:pgNumType w:start="48"/>
        </w:sectPr>
      </w:pPr>
    </w:p>
    <w:p>
      <w:pPr>
        <w:spacing w:line="240" w:lineRule="auto" w:before="9"/>
        <w:rPr>
          <w:rFonts w:ascii="宋体" w:hAnsi="宋体" w:cs="宋体" w:eastAsia="宋体" w:hint="default"/>
          <w:sz w:val="25"/>
          <w:szCs w:val="25"/>
        </w:rPr>
      </w:pPr>
    </w:p>
    <w:p>
      <w:pPr>
        <w:pStyle w:val="Heading4"/>
        <w:spacing w:line="240" w:lineRule="auto" w:before="36"/>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4"/>
        <w:ind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tabs>
          <w:tab w:pos="1259" w:val="left" w:leader="none"/>
        </w:tabs>
        <w:spacing w:line="240" w:lineRule="auto" w:before="14"/>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ind w:right="2465"/>
        <w:jc w:val="left"/>
        <w:rPr>
          <w:b w:val="0"/>
          <w:bCs w:val="0"/>
        </w:rPr>
      </w:pPr>
      <w:r>
        <w:rPr/>
        <w:t>一、公司治理相关情况说明</w:t>
      </w:r>
      <w:r>
        <w:rPr>
          <w:b w:val="0"/>
          <w:bCs w:val="0"/>
        </w:rPr>
      </w:r>
    </w:p>
    <w:p>
      <w:pPr>
        <w:pStyle w:val="BodyText"/>
        <w:spacing w:line="272" w:lineRule="exact" w:before="86"/>
        <w:ind w:left="638" w:right="117" w:hanging="420"/>
        <w:jc w:val="left"/>
      </w:pPr>
      <w:r>
        <w:rPr/>
        <w:t>√适用</w:t>
      </w:r>
      <w:r>
        <w:rPr>
          <w:spacing w:val="-2"/>
        </w:rPr>
        <w:t> </w:t>
      </w:r>
      <w:r>
        <w:rPr/>
        <w:t>□不适用</w:t>
      </w:r>
      <w:r>
        <w:rPr>
          <w:w w:val="100"/>
        </w:rPr>
        <w:t> </w:t>
      </w:r>
      <w:r>
        <w:rPr>
          <w:spacing w:val="-7"/>
          <w:w w:val="100"/>
        </w:rPr>
        <w:t>公司在前任控制人控制控制期间，因信息披露、公司治理问题被上海证券交易所实施</w:t>
      </w:r>
      <w:r>
        <w:rPr>
          <w:spacing w:val="-47"/>
          <w:w w:val="100"/>
        </w:rPr>
        <w:t> </w:t>
      </w:r>
      <w:r>
        <w:rPr>
          <w:rFonts w:ascii="宋体" w:hAnsi="宋体" w:cs="宋体" w:eastAsia="宋体" w:hint="default"/>
          <w:w w:val="100"/>
        </w:rPr>
        <w:t>ST</w:t>
      </w:r>
      <w:r>
        <w:rPr>
          <w:rFonts w:ascii="宋体" w:hAnsi="宋体" w:cs="宋体" w:eastAsia="宋体" w:hint="default"/>
          <w:spacing w:val="-50"/>
          <w:w w:val="100"/>
        </w:rPr>
        <w:t> </w:t>
      </w:r>
      <w:r>
        <w:rPr>
          <w:spacing w:val="-1"/>
          <w:w w:val="100"/>
        </w:rPr>
        <w:t>处理，</w:t>
      </w:r>
    </w:p>
    <w:p>
      <w:pPr>
        <w:pStyle w:val="BodyText"/>
        <w:spacing w:line="240" w:lineRule="auto" w:before="109"/>
        <w:ind w:right="2465"/>
        <w:jc w:val="left"/>
      </w:pPr>
      <w:r>
        <w:rPr/>
        <w:t>要求公司尽快整改。</w:t>
      </w:r>
    </w:p>
    <w:p>
      <w:pPr>
        <w:pStyle w:val="BodyText"/>
        <w:spacing w:line="355" w:lineRule="auto" w:before="135"/>
        <w:ind w:right="230" w:firstLine="419"/>
        <w:jc w:val="both"/>
      </w:pP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7"/>
        </w:rPr>
        <w:t> </w:t>
      </w:r>
      <w:r>
        <w:rPr/>
        <w:t>月</w:t>
      </w:r>
      <w:r>
        <w:rPr>
          <w:spacing w:val="-45"/>
        </w:rPr>
        <w:t> </w:t>
      </w:r>
      <w:r>
        <w:rPr>
          <w:rFonts w:ascii="宋体" w:hAnsi="宋体" w:cs="宋体" w:eastAsia="宋体" w:hint="default"/>
        </w:rPr>
        <w:t>25</w:t>
      </w:r>
      <w:r>
        <w:rPr>
          <w:rFonts w:ascii="宋体" w:hAnsi="宋体" w:cs="宋体" w:eastAsia="宋体" w:hint="default"/>
          <w:spacing w:val="-47"/>
        </w:rPr>
        <w:t> </w:t>
      </w:r>
      <w:r>
        <w:rPr>
          <w:spacing w:val="-6"/>
        </w:rPr>
        <w:t>日，公司经</w:t>
      </w:r>
      <w:r>
        <w:rPr>
          <w:spacing w:val="-44"/>
        </w:rPr>
        <w:t> </w:t>
      </w:r>
      <w:r>
        <w:rPr>
          <w:rFonts w:ascii="宋体" w:hAnsi="宋体" w:cs="宋体" w:eastAsia="宋体" w:hint="default"/>
        </w:rPr>
        <w:t>2017</w:t>
      </w:r>
      <w:r>
        <w:rPr>
          <w:rFonts w:ascii="宋体" w:hAnsi="宋体" w:cs="宋体" w:eastAsia="宋体" w:hint="default"/>
          <w:spacing w:val="-45"/>
        </w:rPr>
        <w:t> </w:t>
      </w:r>
      <w:r>
        <w:rPr>
          <w:spacing w:val="-3"/>
        </w:rPr>
        <w:t>年第一次临时股东大会选举了新的董事会成员，现任董事会</w:t>
      </w:r>
      <w:r>
        <w:rPr>
          <w:w w:val="100"/>
        </w:rPr>
        <w:t> </w:t>
      </w:r>
      <w:r>
        <w:rPr>
          <w:spacing w:val="-2"/>
        </w:rPr>
        <w:t>对公司存在的信息披露、公司治理问题高度重视，积极根据上交所的要求对公司有关情况进行自</w:t>
      </w:r>
      <w:r>
        <w:rPr>
          <w:spacing w:val="-25"/>
        </w:rPr>
        <w:t> </w:t>
      </w:r>
      <w:r>
        <w:rPr>
          <w:spacing w:val="-25"/>
        </w:rPr>
      </w:r>
      <w:r>
        <w:rPr/>
        <w:t>查，公司新董事会、管理层对相关函件涉及的问题逐项予以梳理，并进行全面整改。</w:t>
      </w:r>
    </w:p>
    <w:p>
      <w:pPr>
        <w:pStyle w:val="BodyText"/>
        <w:spacing w:line="355" w:lineRule="auto" w:before="32"/>
        <w:ind w:left="638" w:right="97"/>
        <w:jc w:val="left"/>
      </w:pPr>
      <w:r>
        <w:rPr/>
        <w:t>公司整改已经完成，并于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日向上交所提交整改报告。</w:t>
      </w:r>
      <w:r>
        <w:rPr>
          <w:spacing w:val="-102"/>
        </w:rPr>
        <w:t> </w:t>
      </w:r>
      <w:r>
        <w:rPr>
          <w:spacing w:val="-102"/>
        </w:rPr>
      </w:r>
      <w:r>
        <w:rPr>
          <w:spacing w:val="-2"/>
        </w:rPr>
        <w:t>后续公司董事会、监事会、管理层将严格依照相关法律法规、《公司章程》的规定，忠实、</w:t>
      </w:r>
    </w:p>
    <w:p>
      <w:pPr>
        <w:pStyle w:val="BodyText"/>
        <w:spacing w:line="355" w:lineRule="auto" w:before="34"/>
        <w:ind w:right="97"/>
        <w:jc w:val="left"/>
      </w:pPr>
      <w:r>
        <w:rPr>
          <w:spacing w:val="-2"/>
        </w:rPr>
        <w:t>勤勉履行职责，保障“三会”规范运作，维护公司治理稳定；持续规范运作，依法、合规履行信</w:t>
      </w:r>
      <w:r>
        <w:rPr>
          <w:spacing w:val="-25"/>
        </w:rPr>
        <w:t> </w:t>
      </w:r>
      <w:r>
        <w:rPr>
          <w:spacing w:val="-25"/>
        </w:rPr>
      </w:r>
      <w:r>
        <w:rPr/>
        <w:t>息披露义务。</w:t>
      </w:r>
    </w:p>
    <w:p>
      <w:pPr>
        <w:spacing w:line="240" w:lineRule="auto" w:before="5"/>
        <w:rPr>
          <w:rFonts w:ascii="宋体" w:hAnsi="宋体" w:cs="宋体" w:eastAsia="宋体" w:hint="default"/>
          <w:sz w:val="23"/>
          <w:szCs w:val="23"/>
        </w:rPr>
      </w:pPr>
    </w:p>
    <w:p>
      <w:pPr>
        <w:pStyle w:val="BodyText"/>
        <w:spacing w:line="273" w:lineRule="exact"/>
        <w:ind w:right="97"/>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658pt;width:453.2pt;height:70.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74" w:lineRule="exact" w:before="171"/>
        <w:ind w:right="2465"/>
        <w:jc w:val="left"/>
      </w:pPr>
      <w:r>
        <w:rPr/>
        <w:t>股东大会情况说明</w:t>
      </w:r>
    </w:p>
    <w:p>
      <w:pPr>
        <w:pStyle w:val="BodyText"/>
        <w:spacing w:line="274" w:lineRule="exact"/>
        <w:ind w:right="246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right="2465"/>
        <w:jc w:val="left"/>
        <w:rPr>
          <w:b w:val="0"/>
          <w:bCs w:val="0"/>
        </w:rPr>
      </w:pPr>
      <w:r>
        <w:rPr/>
        <w:t>三、董事履行职责情况</w:t>
      </w:r>
      <w:r>
        <w:rPr>
          <w:b w:val="0"/>
          <w:bCs w:val="0"/>
        </w:rPr>
      </w:r>
    </w:p>
    <w:p>
      <w:pPr>
        <w:pStyle w:val="Heading4"/>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温利华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刘光如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李占国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刘士林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5"/>
        <w:rPr>
          <w:rFonts w:ascii="宋体" w:hAnsi="宋体" w:cs="宋体" w:eastAsia="宋体" w:hint="default"/>
          <w:b/>
          <w:bCs/>
          <w:sz w:val="15"/>
          <w:szCs w:val="15"/>
        </w:rPr>
      </w:pPr>
    </w:p>
    <w:p>
      <w:pPr>
        <w:pStyle w:val="BodyText"/>
        <w:spacing w:line="274" w:lineRule="exact" w:before="36"/>
        <w:ind w:right="2465"/>
        <w:jc w:val="left"/>
      </w:pPr>
      <w:r>
        <w:rPr/>
        <w:t>连续两次未亲自出席董事会会议的说明</w:t>
      </w:r>
    </w:p>
    <w:p>
      <w:pPr>
        <w:pStyle w:val="BodyText"/>
        <w:spacing w:line="274" w:lineRule="exact"/>
        <w:ind w:right="2465"/>
        <w:jc w:val="left"/>
      </w:pPr>
      <w:r>
        <w:rPr/>
        <w:t>□适用</w:t>
      </w:r>
      <w:r>
        <w:rPr>
          <w:spacing w:val="-1"/>
        </w:rPr>
        <w:t> </w:t>
      </w:r>
      <w:r>
        <w:rPr/>
        <w:t>√不适用</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r>
    </w:tbl>
    <w:p>
      <w:pPr>
        <w:spacing w:line="240" w:lineRule="auto" w:before="2"/>
        <w:rPr>
          <w:rFonts w:ascii="宋体" w:hAnsi="宋体" w:cs="宋体" w:eastAsia="宋体" w:hint="default"/>
          <w:sz w:val="20"/>
          <w:szCs w:val="20"/>
        </w:rPr>
      </w:pPr>
    </w:p>
    <w:p>
      <w:pPr>
        <w:pStyle w:val="Heading4"/>
        <w:spacing w:line="240" w:lineRule="auto" w:before="3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642" w:right="97"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五、监事会发现公司存在风险的说明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4"/>
        <w:spacing w:line="272" w:lineRule="exact"/>
        <w:ind w:left="642" w:right="9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32"/>
        <w:ind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存在同业竞争的，公司相应的解决措施、工作进度及后续工作计划</w:t>
      </w:r>
    </w:p>
    <w:p>
      <w:pPr>
        <w:pStyle w:val="BodyText"/>
        <w:tabs>
          <w:tab w:pos="1060" w:val="left" w:leader="none"/>
        </w:tabs>
        <w:spacing w:line="274"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97"/>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八、是否披露内部控制自我评价报告</w:t>
      </w:r>
      <w:r>
        <w:rPr>
          <w:b w:val="0"/>
          <w:bCs w:val="0"/>
        </w:rPr>
      </w:r>
    </w:p>
    <w:p>
      <w:pPr>
        <w:pStyle w:val="BodyText"/>
        <w:spacing w:line="272" w:lineRule="exact" w:before="86"/>
        <w:ind w:right="7474"/>
        <w:jc w:val="left"/>
      </w:pPr>
      <w:r>
        <w:rPr/>
        <w:t>√适用</w:t>
      </w:r>
      <w:r>
        <w:rPr>
          <w:spacing w:val="-1"/>
        </w:rPr>
        <w:t> </w:t>
      </w:r>
      <w:r>
        <w:rPr/>
        <w:t>□不适用</w:t>
      </w:r>
      <w:r>
        <w:rPr>
          <w:w w:val="100"/>
        </w:rPr>
        <w:t> </w:t>
      </w:r>
      <w:r>
        <w:rPr/>
        <w:t>是</w:t>
      </w:r>
    </w:p>
    <w:p>
      <w:pPr>
        <w:spacing w:line="240" w:lineRule="auto" w:before="10"/>
        <w:rPr>
          <w:rFonts w:ascii="宋体" w:hAnsi="宋体" w:cs="宋体" w:eastAsia="宋体" w:hint="default"/>
          <w:sz w:val="18"/>
          <w:szCs w:val="18"/>
        </w:rPr>
      </w:pPr>
    </w:p>
    <w:p>
      <w:pPr>
        <w:pStyle w:val="BodyText"/>
        <w:spacing w:line="274" w:lineRule="exact"/>
        <w:ind w:right="2465"/>
        <w:jc w:val="left"/>
      </w:pPr>
      <w:r>
        <w:rPr/>
        <w:t>报告期内部控制存在重大缺陷情况的说明</w:t>
      </w:r>
    </w:p>
    <w:p>
      <w:pPr>
        <w:pStyle w:val="BodyText"/>
        <w:spacing w:line="274" w:lineRule="exact"/>
        <w:ind w:right="2465"/>
        <w:jc w:val="left"/>
      </w:pPr>
      <w:r>
        <w:rPr/>
        <w:t>√适用</w:t>
      </w:r>
      <w:r>
        <w:rPr>
          <w:spacing w:val="-1"/>
        </w:rPr>
        <w:t> </w:t>
      </w:r>
      <w:r>
        <w:rPr/>
        <w:t>□不适用</w:t>
      </w:r>
    </w:p>
    <w:p>
      <w:pPr>
        <w:spacing w:after="0" w:line="274" w:lineRule="exact"/>
        <w:jc w:val="left"/>
        <w:sectPr>
          <w:footerReference w:type="default" r:id="rId23"/>
          <w:pgSz w:w="11910" w:h="16840"/>
          <w:pgMar w:footer="1195" w:header="877" w:top="1100" w:bottom="1380" w:left="1580" w:right="1040"/>
        </w:sectPr>
      </w:pPr>
    </w:p>
    <w:p>
      <w:pPr>
        <w:spacing w:line="240" w:lineRule="auto" w:before="13"/>
        <w:rPr>
          <w:rFonts w:ascii="宋体" w:hAnsi="宋体" w:cs="宋体" w:eastAsia="宋体" w:hint="default"/>
          <w:sz w:val="25"/>
          <w:szCs w:val="25"/>
        </w:rPr>
      </w:pPr>
    </w:p>
    <w:p>
      <w:pPr>
        <w:pStyle w:val="Heading3"/>
        <w:spacing w:line="237" w:lineRule="auto" w:before="28"/>
        <w:ind w:right="130" w:firstLine="479"/>
        <w:jc w:val="both"/>
      </w:pPr>
      <w:r>
        <w:rPr>
          <w:rFonts w:ascii="宋体" w:hAnsi="宋体" w:cs="宋体" w:eastAsia="宋体" w:hint="default"/>
        </w:rPr>
        <w:t>2017</w:t>
      </w:r>
      <w:r>
        <w:rPr/>
        <w:t>年</w:t>
      </w:r>
      <w:r>
        <w:rPr>
          <w:rFonts w:ascii="宋体" w:hAnsi="宋体" w:cs="宋体" w:eastAsia="宋体" w:hint="default"/>
        </w:rPr>
        <w:t>1</w:t>
      </w:r>
      <w:r>
        <w:rPr/>
        <w:t>月，在公司前实际控制人鲜言的指使下公司时任董事会秘书陆俊安蓄意 </w:t>
      </w:r>
      <w:r>
        <w:rPr>
          <w:spacing w:val="-8"/>
        </w:rPr>
        <w:t>编造并擅自泄露不符合规定的股东大会议案，违背了《中华人民共和国公司法》、《证</w:t>
      </w:r>
      <w:r>
        <w:rPr>
          <w:spacing w:val="-105"/>
        </w:rPr>
        <w:t> </w:t>
      </w:r>
      <w:r>
        <w:rPr>
          <w:spacing w:val="-105"/>
        </w:rPr>
      </w:r>
      <w:r>
        <w:rPr>
          <w:spacing w:val="-2"/>
        </w:rPr>
        <w:t>券法》、《上市公司信息披露管理办法》《上海证券交易所股票上市规则》等关于公</w:t>
      </w:r>
      <w:r>
        <w:rPr>
          <w:spacing w:val="-94"/>
        </w:rPr>
        <w:t> </w:t>
      </w:r>
      <w:r>
        <w:rPr>
          <w:spacing w:val="-94"/>
        </w:rPr>
      </w:r>
      <w:r>
        <w:rPr/>
        <w:t>司守法义务及董事会相关职权的相关法律法规。</w:t>
      </w:r>
    </w:p>
    <w:p>
      <w:pPr>
        <w:spacing w:line="240" w:lineRule="auto" w:before="11"/>
        <w:rPr>
          <w:rFonts w:ascii="宋体" w:hAnsi="宋体" w:cs="宋体" w:eastAsia="宋体" w:hint="default"/>
          <w:sz w:val="25"/>
          <w:szCs w:val="25"/>
        </w:rPr>
      </w:pPr>
    </w:p>
    <w:p>
      <w:pPr>
        <w:pStyle w:val="Heading4"/>
        <w:spacing w:line="240" w:lineRule="auto"/>
        <w:ind w:left="138" w:right="0"/>
        <w:jc w:val="left"/>
        <w:rPr>
          <w:b w:val="0"/>
          <w:bCs w:val="0"/>
        </w:rPr>
      </w:pPr>
      <w:r>
        <w:rPr/>
        <w:t>九、内部控制审计报告的相关情况说明</w:t>
      </w:r>
      <w:r>
        <w:rPr>
          <w:b w:val="0"/>
          <w:bCs w:val="0"/>
        </w:rPr>
      </w:r>
    </w:p>
    <w:p>
      <w:pPr>
        <w:pStyle w:val="BodyText"/>
        <w:tabs>
          <w:tab w:pos="980" w:val="left" w:leader="none"/>
        </w:tabs>
        <w:spacing w:line="274" w:lineRule="exact" w:before="56"/>
        <w:ind w:left="138" w:right="0"/>
        <w:jc w:val="left"/>
      </w:pPr>
      <w:r>
        <w:rPr>
          <w:spacing w:val="-1"/>
        </w:rPr>
        <w:t>√适用</w:t>
        <w:tab/>
      </w:r>
      <w:r>
        <w:rPr>
          <w:spacing w:val="-2"/>
        </w:rPr>
        <w:t>□不适用</w:t>
      </w:r>
    </w:p>
    <w:p>
      <w:pPr>
        <w:pStyle w:val="BodyText"/>
        <w:spacing w:line="237" w:lineRule="auto" w:before="2"/>
        <w:ind w:left="138" w:right="130" w:firstLine="419"/>
        <w:jc w:val="both"/>
      </w:pPr>
      <w:r>
        <w:rPr>
          <w:spacing w:val="-3"/>
        </w:rPr>
        <w:t>大华会计师事务所（特殊普通合伙）为本公司出具了大华内字</w:t>
      </w:r>
      <w:r>
        <w:rPr>
          <w:rFonts w:ascii="宋体" w:hAnsi="宋体" w:cs="宋体" w:eastAsia="宋体" w:hint="default"/>
          <w:spacing w:val="-3"/>
        </w:rPr>
        <w:t>[2018]000022</w:t>
      </w:r>
      <w:r>
        <w:rPr>
          <w:rFonts w:ascii="宋体" w:hAnsi="宋体" w:cs="宋体" w:eastAsia="宋体" w:hint="default"/>
          <w:spacing w:val="-7"/>
        </w:rPr>
        <w:t> </w:t>
      </w:r>
      <w:r>
        <w:rPr/>
        <w:t>号内部控制审计</w:t>
      </w:r>
      <w:r>
        <w:rPr>
          <w:w w:val="100"/>
        </w:rPr>
        <w:t> </w:t>
      </w:r>
      <w:r>
        <w:rPr>
          <w:spacing w:val="-5"/>
        </w:rPr>
        <w:t>报告，认为公司于</w:t>
      </w:r>
      <w:r>
        <w:rPr>
          <w:spacing w:val="-46"/>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4"/>
        </w:rPr>
        <w:t>日按照《企业内部控制基本规范》和相关规定在所有重大方面</w:t>
      </w:r>
      <w:r>
        <w:rPr>
          <w:spacing w:val="-102"/>
        </w:rPr>
        <w:t> </w:t>
      </w:r>
      <w:r>
        <w:rPr>
          <w:spacing w:val="-102"/>
        </w:rPr>
      </w:r>
      <w:r>
        <w:rPr/>
        <w:t>保持了有效的财务报告内部控制。</w:t>
      </w:r>
    </w:p>
    <w:p>
      <w:pPr>
        <w:pStyle w:val="BodyText"/>
        <w:spacing w:line="271" w:lineRule="exact"/>
        <w:ind w:left="138" w:right="0"/>
        <w:jc w:val="left"/>
      </w:pPr>
      <w:r>
        <w:rPr/>
        <w:t>是否披露内部控制审计报告：是</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footerReference w:type="default" r:id="rId24"/>
          <w:pgSz w:w="11910" w:h="16840"/>
          <w:pgMar w:footer="1195" w:header="877" w:top="1100" w:bottom="1380" w:left="1660" w:right="114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3343" w:right="34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4"/>
        <w:spacing w:line="240" w:lineRule="auto" w:before="36"/>
        <w:ind w:left="138" w:right="0"/>
        <w:jc w:val="left"/>
        <w:rPr>
          <w:b w:val="0"/>
          <w:bCs w:val="0"/>
        </w:rPr>
      </w:pPr>
      <w:r>
        <w:rPr/>
        <w:t>一、审计报告</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4"/>
        <w:rPr>
          <w:rFonts w:ascii="宋体" w:hAnsi="宋体" w:cs="宋体" w:eastAsia="宋体" w:hint="default"/>
          <w:sz w:val="29"/>
          <w:szCs w:val="29"/>
        </w:rPr>
      </w:pPr>
    </w:p>
    <w:p>
      <w:pPr>
        <w:spacing w:before="7"/>
        <w:ind w:left="3343" w:right="2841" w:firstLine="0"/>
        <w:jc w:val="center"/>
        <w:rPr>
          <w:rFonts w:ascii="宋体" w:hAnsi="宋体" w:cs="宋体" w:eastAsia="宋体" w:hint="default"/>
          <w:sz w:val="30"/>
          <w:szCs w:val="30"/>
        </w:rPr>
      </w:pPr>
      <w:r>
        <w:rPr>
          <w:rFonts w:ascii="宋体" w:hAnsi="宋体" w:cs="宋体" w:eastAsia="宋体" w:hint="default"/>
          <w:b/>
          <w:bCs/>
          <w:sz w:val="30"/>
          <w:szCs w:val="30"/>
        </w:rPr>
        <w:t>审计报告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Heading4"/>
        <w:spacing w:line="240" w:lineRule="auto" w:before="36"/>
        <w:ind w:left="0" w:right="230"/>
        <w:jc w:val="right"/>
        <w:rPr>
          <w:b w:val="0"/>
          <w:bCs w:val="0"/>
        </w:rPr>
      </w:pPr>
      <w:r>
        <w:rPr/>
        <w:t>大华审字</w:t>
      </w:r>
      <w:r>
        <w:rPr>
          <w:rFonts w:ascii="宋体" w:hAnsi="宋体" w:cs="宋体" w:eastAsia="宋体" w:hint="default"/>
        </w:rPr>
        <w:t>[2018]001759</w:t>
      </w:r>
      <w:r>
        <w:rPr/>
        <w:t>号</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tabs>
          <w:tab w:pos="1397" w:val="left" w:leader="none"/>
        </w:tabs>
        <w:spacing w:line="357" w:lineRule="auto"/>
        <w:ind w:left="704" w:right="4969" w:hanging="567"/>
        <w:jc w:val="left"/>
        <w:rPr>
          <w:b w:val="0"/>
          <w:bCs w:val="0"/>
        </w:rPr>
      </w:pPr>
      <w:r>
        <w:rPr/>
        <w:t>广西慧金科技股份有限公司全体股东：</w:t>
      </w:r>
      <w:r>
        <w:rPr>
          <w:w w:val="99"/>
        </w:rPr>
        <w:t> </w:t>
      </w:r>
      <w:r>
        <w:rPr/>
        <w:t>一、</w:t>
        <w:tab/>
        <w:t>审计意见</w:t>
      </w:r>
      <w:r>
        <w:rPr>
          <w:b w:val="0"/>
          <w:bCs w:val="0"/>
        </w:rPr>
      </w:r>
    </w:p>
    <w:p>
      <w:pPr>
        <w:pStyle w:val="Heading3"/>
        <w:spacing w:line="240" w:lineRule="auto"/>
        <w:ind w:left="618" w:right="0"/>
        <w:jc w:val="left"/>
        <w:rPr>
          <w:rFonts w:ascii="宋体" w:hAnsi="宋体" w:cs="宋体" w:eastAsia="宋体" w:hint="default"/>
        </w:rPr>
      </w:pPr>
      <w:r>
        <w:rPr/>
        <w:t>我们审计了广西慧金科技股份有限公</w:t>
      </w:r>
      <w:r>
        <w:rPr>
          <w:spacing w:val="1"/>
        </w:rPr>
        <w:t>司</w:t>
      </w:r>
      <w:r>
        <w:rPr>
          <w:rFonts w:ascii="宋体" w:hAnsi="宋体" w:cs="宋体" w:eastAsia="宋体" w:hint="default"/>
        </w:rPr>
        <w:t>(</w:t>
      </w:r>
      <w:r>
        <w:rPr/>
        <w:t>以下简称慧金科技</w:t>
      </w:r>
      <w:r>
        <w:rPr>
          <w:rFonts w:ascii="宋体" w:hAnsi="宋体" w:cs="宋体" w:eastAsia="宋体" w:hint="default"/>
        </w:rPr>
        <w:t>)</w:t>
      </w:r>
      <w:r>
        <w:rPr/>
        <w:t>财务报表</w:t>
      </w:r>
      <w:r>
        <w:rPr>
          <w:spacing w:val="-108"/>
        </w:rPr>
        <w:t>，</w:t>
      </w:r>
      <w:r>
        <w:rPr/>
        <w:t>包括</w:t>
      </w:r>
      <w:r>
        <w:rPr>
          <w:spacing w:val="-60"/>
        </w:rPr>
        <w:t> </w:t>
      </w:r>
      <w:r>
        <w:rPr>
          <w:rFonts w:ascii="宋体" w:hAnsi="宋体" w:cs="宋体" w:eastAsia="宋体" w:hint="default"/>
        </w:rPr>
        <w:t>2017</w:t>
      </w:r>
    </w:p>
    <w:p>
      <w:pPr>
        <w:pStyle w:val="Heading3"/>
        <w:spacing w:line="355" w:lineRule="auto" w:before="154"/>
        <w:ind w:right="217"/>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2017</w:t>
      </w:r>
      <w:r>
        <w:rPr>
          <w:rFonts w:ascii="宋体" w:hAnsi="宋体" w:cs="宋体" w:eastAsia="宋体" w:hint="default"/>
          <w:spacing w:val="-58"/>
        </w:rPr>
        <w:t> </w:t>
      </w:r>
      <w:r>
        <w:rPr>
          <w:spacing w:val="-4"/>
        </w:rPr>
        <w:t>年度的合并及母公司利润表、合并及</w:t>
      </w:r>
      <w:r>
        <w:rPr/>
        <w:t> 母公司现金流量表、合并及母公司股东权益变动表以及相关财务报表附注。</w:t>
      </w:r>
    </w:p>
    <w:p>
      <w:pPr>
        <w:pStyle w:val="Heading3"/>
        <w:spacing w:line="357" w:lineRule="auto" w:before="39"/>
        <w:ind w:right="230" w:firstLine="479"/>
        <w:jc w:val="both"/>
      </w:pPr>
      <w:r>
        <w:rPr>
          <w:spacing w:val="-2"/>
        </w:rPr>
        <w:t>我们认为，后附的财务报表在所有重大方面按照企业会计准则的规定编制，公允</w:t>
      </w:r>
      <w:r>
        <w:rPr/>
        <w:t> 反映了慧金科技</w:t>
      </w:r>
      <w:r>
        <w:rPr>
          <w:spacing w:val="-66"/>
        </w:rPr>
        <w:t> </w:t>
      </w:r>
      <w:r>
        <w:rPr>
          <w:rFonts w:ascii="宋体" w:hAnsi="宋体" w:cs="宋体" w:eastAsia="宋体" w:hint="default"/>
        </w:rPr>
        <w:t>2017</w:t>
      </w:r>
      <w:r>
        <w:rPr>
          <w:rFonts w:ascii="宋体" w:hAnsi="宋体" w:cs="宋体" w:eastAsia="宋体" w:hint="default"/>
          <w:spacing w:val="-68"/>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日的合并及母公司财务状况以及</w:t>
      </w:r>
      <w:r>
        <w:rPr>
          <w:spacing w:val="-66"/>
        </w:rPr>
        <w:t> </w:t>
      </w:r>
      <w:r>
        <w:rPr>
          <w:rFonts w:ascii="宋体" w:hAnsi="宋体" w:cs="宋体" w:eastAsia="宋体" w:hint="default"/>
        </w:rPr>
        <w:t>2017</w:t>
      </w:r>
      <w:r>
        <w:rPr>
          <w:rFonts w:ascii="宋体" w:hAnsi="宋体" w:cs="宋体" w:eastAsia="宋体" w:hint="default"/>
          <w:spacing w:val="-66"/>
        </w:rPr>
        <w:t> </w:t>
      </w:r>
      <w:r>
        <w:rPr/>
        <w:t>年度的合并及 母公司经营成果和现金流量。</w:t>
      </w:r>
    </w:p>
    <w:p>
      <w:pPr>
        <w:tabs>
          <w:tab w:pos="1397" w:val="left" w:leader="none"/>
        </w:tabs>
        <w:spacing w:line="357" w:lineRule="auto" w:before="34"/>
        <w:ind w:left="618" w:right="232" w:firstLine="86"/>
        <w:jc w:val="left"/>
        <w:rPr>
          <w:rFonts w:ascii="宋体" w:hAnsi="宋体" w:cs="宋体" w:eastAsia="宋体" w:hint="default"/>
          <w:sz w:val="24"/>
          <w:szCs w:val="24"/>
        </w:rPr>
      </w:pPr>
      <w:r>
        <w:rPr>
          <w:rFonts w:ascii="宋体" w:hAnsi="宋体" w:cs="宋体" w:eastAsia="宋体" w:hint="default"/>
          <w:b/>
          <w:bCs/>
          <w:sz w:val="24"/>
          <w:szCs w:val="24"/>
        </w:rPr>
        <w:t>二、</w:t>
        <w:tab/>
        <w:t>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我们按照中国注册会计师审计准则的规定执行了审计工作。审计报告的“注册会</w:t>
      </w:r>
    </w:p>
    <w:p>
      <w:pPr>
        <w:pStyle w:val="Heading3"/>
        <w:spacing w:line="357" w:lineRule="auto"/>
        <w:ind w:right="0"/>
        <w:jc w:val="left"/>
      </w:pPr>
      <w:r>
        <w:rPr/>
        <w:t>计师对财务报表审计的责任”部分进一步阐述了我们在这些准则下的责任。按照中国 </w:t>
      </w:r>
      <w:r>
        <w:rPr>
          <w:spacing w:val="-5"/>
        </w:rPr>
        <w:t>注册会计师职业道德守则，我们独立于慧金科技，并履行了职业道德方面的其他责任。</w:t>
      </w:r>
      <w:r>
        <w:rPr>
          <w:spacing w:val="-98"/>
        </w:rPr>
        <w:t> </w:t>
      </w:r>
      <w:r>
        <w:rPr>
          <w:spacing w:val="-98"/>
        </w:rPr>
      </w:r>
      <w:r>
        <w:rPr/>
        <w:t>我们相信，我们获取的审计证据是充分、适当的，为发表审计意见提供了基础。</w:t>
      </w:r>
    </w:p>
    <w:p>
      <w:pPr>
        <w:tabs>
          <w:tab w:pos="1397" w:val="left" w:leader="none"/>
        </w:tabs>
        <w:spacing w:line="357" w:lineRule="auto" w:before="34"/>
        <w:ind w:left="618" w:right="123" w:firstLine="86"/>
        <w:jc w:val="left"/>
        <w:rPr>
          <w:rFonts w:ascii="宋体" w:hAnsi="宋体" w:cs="宋体" w:eastAsia="宋体" w:hint="default"/>
          <w:sz w:val="24"/>
          <w:szCs w:val="24"/>
        </w:rPr>
      </w:pPr>
      <w:r>
        <w:rPr>
          <w:rFonts w:ascii="宋体" w:hAnsi="宋体" w:cs="宋体" w:eastAsia="宋体" w:hint="default"/>
          <w:b/>
          <w:bCs/>
          <w:sz w:val="24"/>
          <w:szCs w:val="24"/>
        </w:rPr>
        <w:t>三、</w:t>
        <w:tab/>
        <w:t>关键审计事项</w:t>
      </w:r>
      <w:r>
        <w:rPr>
          <w:rFonts w:ascii="宋体" w:hAnsi="宋体" w:cs="宋体" w:eastAsia="宋体" w:hint="default"/>
          <w:b/>
          <w:bCs/>
          <w:w w:val="99"/>
          <w:sz w:val="24"/>
          <w:szCs w:val="24"/>
        </w:rPr>
        <w:t> </w:t>
      </w:r>
      <w:r>
        <w:rPr>
          <w:rFonts w:ascii="宋体" w:hAnsi="宋体" w:cs="宋体" w:eastAsia="宋体" w:hint="default"/>
          <w:sz w:val="24"/>
          <w:szCs w:val="24"/>
        </w:rPr>
        <w:t>关键审计事项是我们根据职业判断，认为对本期财务报表审计最为重要的事项。</w:t>
      </w:r>
    </w:p>
    <w:p>
      <w:pPr>
        <w:pStyle w:val="Heading3"/>
        <w:spacing w:line="357" w:lineRule="auto"/>
        <w:ind w:right="0"/>
        <w:jc w:val="left"/>
      </w:pPr>
      <w:r>
        <w:rPr>
          <w:spacing w:val="-2"/>
        </w:rPr>
        <w:t>这些事项的应对以对财务报表整体进行审计并形成审计意见为背景，我们不对这些事</w:t>
      </w:r>
      <w:r>
        <w:rPr>
          <w:spacing w:val="-94"/>
        </w:rPr>
        <w:t> </w:t>
      </w:r>
      <w:r>
        <w:rPr>
          <w:spacing w:val="-94"/>
        </w:rPr>
      </w:r>
      <w:r>
        <w:rPr/>
        <w:t>项单独发表意见。</w:t>
      </w:r>
    </w:p>
    <w:p>
      <w:pPr>
        <w:pStyle w:val="Heading3"/>
        <w:spacing w:line="240" w:lineRule="auto"/>
        <w:ind w:left="618" w:right="0"/>
        <w:jc w:val="left"/>
      </w:pPr>
      <w:r>
        <w:rPr/>
        <w:t>我们在审计中识别的关键审计事项包括：</w:t>
      </w:r>
    </w:p>
    <w:p>
      <w:pPr>
        <w:pStyle w:val="Heading3"/>
        <w:spacing w:line="240" w:lineRule="auto" w:before="154"/>
        <w:ind w:left="618" w:right="0"/>
        <w:jc w:val="left"/>
      </w:pPr>
      <w:r>
        <w:rPr>
          <w:rFonts w:ascii="Times New Roman" w:hAnsi="Times New Roman" w:cs="Times New Roman" w:eastAsia="Times New Roman" w:hint="default"/>
        </w:rPr>
        <w:t>1.</w:t>
      </w:r>
      <w:r>
        <w:rPr/>
        <w:t>关于资产出售</w:t>
      </w:r>
    </w:p>
    <w:p>
      <w:pPr>
        <w:pStyle w:val="Heading3"/>
        <w:spacing w:line="240" w:lineRule="auto" w:before="133"/>
        <w:ind w:left="618" w:right="0"/>
        <w:jc w:val="left"/>
      </w:pPr>
      <w:r>
        <w:rPr>
          <w:rFonts w:ascii="Times New Roman" w:hAnsi="Times New Roman" w:cs="Times New Roman" w:eastAsia="Times New Roman" w:hint="default"/>
        </w:rPr>
        <w:t>2.</w:t>
      </w:r>
      <w:r>
        <w:rPr/>
        <w:t>关于重大未决诉讼</w:t>
      </w:r>
    </w:p>
    <w:p>
      <w:pPr>
        <w:pStyle w:val="Heading3"/>
        <w:spacing w:line="240" w:lineRule="auto" w:before="135"/>
        <w:ind w:left="618" w:right="0"/>
        <w:jc w:val="left"/>
      </w:pPr>
      <w:r>
        <w:rPr>
          <w:rFonts w:ascii="Times New Roman" w:hAnsi="Times New Roman" w:cs="Times New Roman" w:eastAsia="Times New Roman" w:hint="default"/>
        </w:rPr>
        <w:t>3.</w:t>
      </w:r>
      <w:r>
        <w:rPr/>
        <w:t>关于智慧工厂项目及智慧城市集成采购业务收入与成本</w:t>
      </w:r>
    </w:p>
    <w:p>
      <w:pPr>
        <w:spacing w:after="0" w:line="240" w:lineRule="auto"/>
        <w:jc w:val="left"/>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Heading2"/>
        <w:tabs>
          <w:tab w:pos="1817" w:val="left" w:leader="none"/>
        </w:tabs>
        <w:spacing w:line="357" w:lineRule="auto" w:before="26"/>
        <w:ind w:right="5922" w:firstLine="84"/>
        <w:jc w:val="left"/>
        <w:rPr>
          <w:b w:val="0"/>
          <w:bCs w:val="0"/>
        </w:rPr>
      </w:pPr>
      <w:r>
        <w:rPr>
          <w:w w:val="95"/>
        </w:rPr>
        <w:t>（一）</w:t>
        <w:tab/>
      </w:r>
      <w:r>
        <w:rPr/>
        <w:t>关于资产出售</w:t>
      </w:r>
      <w:r>
        <w:rPr>
          <w:w w:val="99"/>
        </w:rPr>
        <w:t> </w:t>
      </w:r>
      <w:r>
        <w:rPr>
          <w:rFonts w:ascii="宋体" w:hAnsi="宋体" w:cs="宋体" w:eastAsia="宋体" w:hint="default"/>
        </w:rPr>
        <w:t>1.</w:t>
      </w:r>
      <w:r>
        <w:rPr/>
        <w:t>事项描述</w:t>
      </w:r>
      <w:r>
        <w:rPr>
          <w:b w:val="0"/>
          <w:bCs w:val="0"/>
        </w:rPr>
      </w:r>
    </w:p>
    <w:p>
      <w:pPr>
        <w:pStyle w:val="Heading3"/>
        <w:spacing w:line="357" w:lineRule="auto"/>
        <w:ind w:right="211" w:firstLine="479"/>
        <w:jc w:val="both"/>
      </w:pPr>
      <w:r>
        <w:rPr/>
        <w:t>如财务报表附注六注释</w:t>
      </w:r>
      <w:r>
        <w:rPr>
          <w:spacing w:val="-60"/>
        </w:rPr>
        <w:t> </w:t>
      </w:r>
      <w:r>
        <w:rPr>
          <w:rFonts w:ascii="宋体" w:hAnsi="宋体" w:cs="宋体" w:eastAsia="宋体" w:hint="default"/>
        </w:rPr>
        <w:t>26</w:t>
      </w:r>
      <w:r>
        <w:rPr>
          <w:rFonts w:ascii="宋体" w:hAnsi="宋体" w:cs="宋体" w:eastAsia="宋体" w:hint="default"/>
          <w:spacing w:val="-60"/>
        </w:rPr>
        <w:t> </w:t>
      </w:r>
      <w:r>
        <w:rPr/>
        <w:t>所述，慧金科技全资子公司杭州郡原物业服务有限公 </w:t>
      </w:r>
      <w:r>
        <w:rPr>
          <w:spacing w:val="-2"/>
        </w:rPr>
        <w:t>司签署《股权转让协议》，向沈阳华凌房地产有限公司转让旗下全资子公司沈阳辽原</w:t>
      </w:r>
      <w:r>
        <w:rPr>
          <w:spacing w:val="-93"/>
        </w:rPr>
        <w:t> </w:t>
      </w:r>
      <w:r>
        <w:rPr>
          <w:spacing w:val="-93"/>
        </w:rPr>
      </w:r>
      <w:r>
        <w:rPr/>
        <w:t>物业管理有限公司 </w:t>
      </w:r>
      <w:r>
        <w:rPr>
          <w:rFonts w:ascii="宋体" w:hAnsi="宋体" w:cs="宋体" w:eastAsia="宋体" w:hint="default"/>
          <w:spacing w:val="-3"/>
        </w:rPr>
        <w:t>100%</w:t>
      </w:r>
      <w:r>
        <w:rPr>
          <w:spacing w:val="-3"/>
        </w:rPr>
        <w:t>股权，转让时公司净资产为人民币</w:t>
      </w:r>
      <w:r>
        <w:rPr>
          <w:rFonts w:ascii="宋体" w:hAnsi="宋体" w:cs="宋体" w:eastAsia="宋体" w:hint="default"/>
          <w:spacing w:val="-3"/>
        </w:rPr>
        <w:t>-933.23</w:t>
      </w:r>
      <w:r>
        <w:rPr>
          <w:rFonts w:ascii="宋体" w:hAnsi="宋体" w:cs="宋体" w:eastAsia="宋体" w:hint="default"/>
          <w:spacing w:val="-34"/>
        </w:rPr>
        <w:t> </w:t>
      </w:r>
      <w:r>
        <w:rPr>
          <w:spacing w:val="-7"/>
        </w:rPr>
        <w:t>万元，转让价格为</w:t>
      </w:r>
      <w:r>
        <w:rPr/>
        <w:t> 人民币</w:t>
      </w:r>
      <w:r>
        <w:rPr>
          <w:spacing w:val="-61"/>
        </w:rPr>
        <w:t> </w:t>
      </w:r>
      <w:r>
        <w:rPr>
          <w:rFonts w:ascii="宋体" w:hAnsi="宋体" w:cs="宋体" w:eastAsia="宋体" w:hint="default"/>
        </w:rPr>
        <w:t>1</w:t>
      </w:r>
      <w:r>
        <w:rPr>
          <w:rFonts w:ascii="宋体" w:hAnsi="宋体" w:cs="宋体" w:eastAsia="宋体" w:hint="default"/>
          <w:spacing w:val="-60"/>
        </w:rPr>
        <w:t> </w:t>
      </w:r>
      <w:r>
        <w:rPr/>
        <w:t>元，差额</w:t>
      </w:r>
      <w:r>
        <w:rPr>
          <w:spacing w:val="-60"/>
        </w:rPr>
        <w:t> </w:t>
      </w:r>
      <w:r>
        <w:rPr>
          <w:rFonts w:ascii="宋体" w:hAnsi="宋体" w:cs="宋体" w:eastAsia="宋体" w:hint="default"/>
        </w:rPr>
        <w:t>933.23</w:t>
      </w:r>
      <w:r>
        <w:rPr>
          <w:rFonts w:ascii="宋体" w:hAnsi="宋体" w:cs="宋体" w:eastAsia="宋体" w:hint="default"/>
          <w:spacing w:val="-60"/>
        </w:rPr>
        <w:t> </w:t>
      </w:r>
      <w:r>
        <w:rPr/>
        <w:t>万元计入投资收益。</w:t>
      </w:r>
    </w:p>
    <w:p>
      <w:pPr>
        <w:pStyle w:val="Heading3"/>
        <w:spacing w:line="355" w:lineRule="auto" w:before="36"/>
        <w:ind w:right="285" w:firstLine="479"/>
        <w:jc w:val="both"/>
      </w:pPr>
      <w:r>
        <w:rPr/>
        <w:t>由于本次资产出售业务对慧金科技</w:t>
      </w:r>
      <w:r>
        <w:rPr>
          <w:spacing w:val="-60"/>
        </w:rPr>
        <w:t> </w:t>
      </w:r>
      <w:r>
        <w:rPr>
          <w:rFonts w:ascii="宋体" w:hAnsi="宋体" w:cs="宋体" w:eastAsia="宋体" w:hint="default"/>
        </w:rPr>
        <w:t>2017</w:t>
      </w:r>
      <w:r>
        <w:rPr>
          <w:rFonts w:ascii="宋体" w:hAnsi="宋体" w:cs="宋体" w:eastAsia="宋体" w:hint="default"/>
          <w:spacing w:val="-60"/>
        </w:rPr>
        <w:t> </w:t>
      </w:r>
      <w:r>
        <w:rPr/>
        <w:t>年度业绩产生重大影响，因此，我们确 定该事项为关键审计事项。</w:t>
      </w:r>
    </w:p>
    <w:p>
      <w:pPr>
        <w:spacing w:line="355" w:lineRule="auto" w:before="38"/>
        <w:ind w:left="618" w:right="3508"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审计应对</w:t>
      </w:r>
      <w:r>
        <w:rPr>
          <w:rFonts w:ascii="宋体" w:hAnsi="宋体" w:cs="宋体" w:eastAsia="宋体" w:hint="default"/>
          <w:b/>
          <w:bCs/>
          <w:w w:val="99"/>
          <w:sz w:val="24"/>
          <w:szCs w:val="24"/>
        </w:rPr>
        <w:t> </w:t>
      </w:r>
      <w:r>
        <w:rPr>
          <w:rFonts w:ascii="宋体" w:hAnsi="宋体" w:cs="宋体" w:eastAsia="宋体" w:hint="default"/>
          <w:sz w:val="24"/>
          <w:szCs w:val="24"/>
        </w:rPr>
        <w:t>我们针对本次交易所实施的主要审计程序包括：</w:t>
      </w:r>
    </w:p>
    <w:p>
      <w:pPr>
        <w:pStyle w:val="Heading3"/>
        <w:spacing w:line="355" w:lineRule="auto" w:before="38"/>
        <w:ind w:right="286" w:firstLine="479"/>
        <w:jc w:val="both"/>
      </w:pPr>
      <w:r>
        <w:rPr/>
        <w:t>（</w:t>
      </w:r>
      <w:r>
        <w:rPr>
          <w:rFonts w:ascii="宋体" w:hAnsi="宋体" w:cs="宋体" w:eastAsia="宋体" w:hint="default"/>
        </w:rPr>
        <w:t>1</w:t>
      </w:r>
      <w:r>
        <w:rPr/>
        <w:t>）对慧金科技与本次交易相关的内部控制的设计和运行有效性进行了评估和 测试，以判断其内部控制是否合规、有效；</w:t>
      </w:r>
    </w:p>
    <w:p>
      <w:pPr>
        <w:pStyle w:val="Heading3"/>
        <w:spacing w:line="355" w:lineRule="auto" w:before="38"/>
        <w:ind w:right="286" w:firstLine="479"/>
        <w:jc w:val="both"/>
      </w:pPr>
      <w:r>
        <w:rPr/>
        <w:t>（</w:t>
      </w:r>
      <w:r>
        <w:rPr>
          <w:rFonts w:ascii="宋体" w:hAnsi="宋体" w:cs="宋体" w:eastAsia="宋体" w:hint="default"/>
        </w:rPr>
        <w:t>2</w:t>
      </w:r>
      <w:r>
        <w:rPr/>
        <w:t>）获取并检查本次交易相关的董事会决议等决策文件，以判断相关决策程序 是否适当；</w:t>
      </w:r>
    </w:p>
    <w:p>
      <w:pPr>
        <w:pStyle w:val="Heading3"/>
        <w:spacing w:line="355" w:lineRule="auto" w:before="39"/>
        <w:ind w:right="286" w:firstLine="479"/>
        <w:jc w:val="both"/>
      </w:pPr>
      <w:r>
        <w:rPr/>
        <w:t>（</w:t>
      </w:r>
      <w:r>
        <w:rPr>
          <w:rFonts w:ascii="宋体" w:hAnsi="宋体" w:cs="宋体" w:eastAsia="宋体" w:hint="default"/>
        </w:rPr>
        <w:t>3</w:t>
      </w:r>
      <w:r>
        <w:rPr/>
        <w:t>）了解本次交易的背景及交易的整体安排，同时检查本次交易合同等文件条 款，分析交易合理性和必要性，以综合判断本次交易的商业实质；</w:t>
      </w:r>
    </w:p>
    <w:p>
      <w:pPr>
        <w:pStyle w:val="Heading3"/>
        <w:spacing w:line="355" w:lineRule="auto" w:before="38"/>
        <w:ind w:right="286" w:firstLine="479"/>
        <w:jc w:val="both"/>
      </w:pPr>
      <w:r>
        <w:rPr/>
        <w:t>（</w:t>
      </w:r>
      <w:r>
        <w:rPr>
          <w:rFonts w:ascii="宋体" w:hAnsi="宋体" w:cs="宋体" w:eastAsia="宋体" w:hint="default"/>
        </w:rPr>
        <w:t>4</w:t>
      </w:r>
      <w:r>
        <w:rPr/>
        <w:t>）实施标的资产出售基准日净资产审计，确定标的资产的数量和账面价值情 况，检查慧金科技相关账务处理是否符合《企业会计准则》相关规定；</w:t>
      </w:r>
    </w:p>
    <w:p>
      <w:pPr>
        <w:pStyle w:val="Heading3"/>
        <w:spacing w:line="357" w:lineRule="auto" w:before="38"/>
        <w:ind w:left="618" w:right="106"/>
        <w:jc w:val="left"/>
      </w:pPr>
      <w:r>
        <w:rPr/>
        <w:t>（</w:t>
      </w:r>
      <w:r>
        <w:rPr>
          <w:rFonts w:ascii="宋体" w:hAnsi="宋体" w:cs="宋体" w:eastAsia="宋体" w:hint="default"/>
        </w:rPr>
        <w:t>5</w:t>
      </w:r>
      <w:r>
        <w:rPr/>
        <w:t>）检查慧金科技对本次交易在财务报告中的列报与披露是否充分、适当。 </w:t>
      </w:r>
      <w:r>
        <w:rPr>
          <w:spacing w:val="-2"/>
        </w:rPr>
        <w:t>基于我们获取的审计证据，我们得出审计结论，慧金科技管理层对本次资产出售</w:t>
      </w:r>
    </w:p>
    <w:p>
      <w:pPr>
        <w:pStyle w:val="Heading3"/>
        <w:spacing w:line="240" w:lineRule="auto"/>
        <w:ind w:right="106"/>
        <w:jc w:val="left"/>
      </w:pPr>
      <w:r>
        <w:rPr/>
        <w:t>业务在财务报告中的列报与披露是适当的。</w:t>
      </w:r>
    </w:p>
    <w:p>
      <w:pPr>
        <w:pStyle w:val="Heading2"/>
        <w:tabs>
          <w:tab w:pos="1817" w:val="left" w:leader="none"/>
        </w:tabs>
        <w:spacing w:line="355" w:lineRule="auto" w:before="154"/>
        <w:ind w:right="5439" w:firstLine="84"/>
        <w:jc w:val="left"/>
        <w:rPr>
          <w:b w:val="0"/>
          <w:bCs w:val="0"/>
        </w:rPr>
      </w:pPr>
      <w:r>
        <w:rPr>
          <w:w w:val="95"/>
        </w:rPr>
        <w:t>（二）</w:t>
        <w:tab/>
      </w:r>
      <w:r>
        <w:rPr/>
        <w:t>关于重大未决诉讼</w:t>
      </w:r>
      <w:r>
        <w:rPr>
          <w:w w:val="99"/>
        </w:rPr>
        <w:t> </w:t>
      </w:r>
      <w:r>
        <w:rPr>
          <w:rFonts w:ascii="宋体" w:hAnsi="宋体" w:cs="宋体" w:eastAsia="宋体" w:hint="default"/>
        </w:rPr>
        <w:t>1.</w:t>
      </w:r>
      <w:r>
        <w:rPr/>
        <w:t>事项描述</w:t>
      </w:r>
      <w:r>
        <w:rPr>
          <w:b w:val="0"/>
          <w:bCs w:val="0"/>
        </w:rPr>
      </w:r>
    </w:p>
    <w:p>
      <w:pPr>
        <w:pStyle w:val="Heading3"/>
        <w:spacing w:line="240" w:lineRule="auto" w:before="38"/>
        <w:ind w:left="618" w:right="106"/>
        <w:jc w:val="left"/>
      </w:pPr>
      <w:r>
        <w:rPr/>
        <w:t>如财务报表附注十二（二）所述，截至</w:t>
      </w:r>
      <w:r>
        <w:rPr>
          <w:spacing w:val="-59"/>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日，慧金科技公司未决</w:t>
      </w:r>
    </w:p>
    <w:p>
      <w:pPr>
        <w:pStyle w:val="Heading3"/>
        <w:spacing w:line="357" w:lineRule="auto" w:before="151"/>
        <w:ind w:left="618" w:right="106" w:hanging="480"/>
        <w:jc w:val="left"/>
      </w:pPr>
      <w:r>
        <w:rPr/>
        <w:t>诉讼标的金额约</w:t>
      </w:r>
      <w:r>
        <w:rPr>
          <w:spacing w:val="-61"/>
        </w:rPr>
        <w:t> </w:t>
      </w:r>
      <w:r>
        <w:rPr>
          <w:rFonts w:ascii="宋体" w:hAnsi="宋体" w:cs="宋体" w:eastAsia="宋体" w:hint="default"/>
        </w:rPr>
        <w:t>19.83</w:t>
      </w:r>
      <w:r>
        <w:rPr>
          <w:rFonts w:ascii="宋体" w:hAnsi="宋体" w:cs="宋体" w:eastAsia="宋体" w:hint="default"/>
          <w:spacing w:val="-60"/>
        </w:rPr>
        <w:t> </w:t>
      </w:r>
      <w:r>
        <w:rPr/>
        <w:t>亿元。 </w:t>
      </w:r>
      <w:r>
        <w:rPr>
          <w:spacing w:val="-2"/>
        </w:rPr>
        <w:t>鉴于在该等案件尚未判决或撤诉之前，对于案件可能的结果进而对财务报表可能</w:t>
      </w:r>
    </w:p>
    <w:p>
      <w:pPr>
        <w:pStyle w:val="Heading3"/>
        <w:spacing w:line="357" w:lineRule="auto"/>
        <w:ind w:left="620" w:right="106" w:hanging="483"/>
        <w:jc w:val="left"/>
        <w:rPr>
          <w:rFonts w:ascii="宋体" w:hAnsi="宋体" w:cs="宋体" w:eastAsia="宋体" w:hint="default"/>
        </w:rPr>
      </w:pPr>
      <w:r>
        <w:rPr/>
        <w:t>的影响涉及管理层所作出的重大判断和估计，因此，我们将其确认为关键审计事项。</w:t>
      </w:r>
      <w:r>
        <w:rPr>
          <w:spacing w:val="-63"/>
        </w:rPr>
        <w:t> </w:t>
      </w:r>
      <w:r>
        <w:rPr>
          <w:spacing w:val="-63"/>
        </w:rPr>
      </w: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rPr>
      </w:r>
    </w:p>
    <w:p>
      <w:pPr>
        <w:pStyle w:val="Heading3"/>
        <w:spacing w:line="240" w:lineRule="auto"/>
        <w:ind w:left="618" w:right="106"/>
        <w:jc w:val="left"/>
      </w:pPr>
      <w:r>
        <w:rPr/>
        <w:t>我们针对诉讼事项所实施的主要审计程序包括：</w:t>
      </w:r>
    </w:p>
    <w:p>
      <w:pPr>
        <w:pStyle w:val="Heading3"/>
        <w:spacing w:line="240" w:lineRule="auto" w:before="154"/>
        <w:ind w:left="618" w:right="106"/>
        <w:jc w:val="left"/>
      </w:pPr>
      <w:r>
        <w:rPr/>
        <w:t>（</w:t>
      </w:r>
      <w:r>
        <w:rPr>
          <w:rFonts w:ascii="宋体" w:hAnsi="宋体" w:cs="宋体" w:eastAsia="宋体" w:hint="default"/>
        </w:rPr>
        <w:t>1</w:t>
      </w:r>
      <w:r>
        <w:rPr/>
        <w:t>）我们了解、评估了管理层对慧金科技与担保、诉讼事项相关的内部控制的</w:t>
      </w:r>
    </w:p>
    <w:p>
      <w:pPr>
        <w:spacing w:after="0" w:line="240" w:lineRule="auto"/>
        <w:jc w:val="left"/>
        <w:sectPr>
          <w:footerReference w:type="default" r:id="rId25"/>
          <w:pgSz w:w="11910" w:h="16840"/>
          <w:pgMar w:footer="1195" w:header="877" w:top="1100" w:bottom="1380" w:left="1660" w:right="1060"/>
          <w:pgNumType w:start="53"/>
        </w:sectPr>
      </w:pPr>
    </w:p>
    <w:p>
      <w:pPr>
        <w:spacing w:line="240" w:lineRule="auto" w:before="13"/>
        <w:rPr>
          <w:rFonts w:ascii="宋体" w:hAnsi="宋体" w:cs="宋体" w:eastAsia="宋体" w:hint="default"/>
          <w:sz w:val="25"/>
          <w:szCs w:val="25"/>
        </w:rPr>
      </w:pPr>
    </w:p>
    <w:p>
      <w:pPr>
        <w:pStyle w:val="Heading3"/>
        <w:spacing w:line="240" w:lineRule="auto" w:before="26"/>
        <w:ind w:right="0"/>
        <w:jc w:val="both"/>
      </w:pPr>
      <w:r>
        <w:rPr/>
        <w:t>设计，并测试了关键控制执行的有效性；</w:t>
      </w:r>
    </w:p>
    <w:p>
      <w:pPr>
        <w:pStyle w:val="Heading3"/>
        <w:spacing w:line="357" w:lineRule="auto" w:before="154"/>
        <w:ind w:right="134" w:firstLine="479"/>
        <w:jc w:val="both"/>
      </w:pPr>
      <w:r>
        <w:rPr/>
        <w:t>（</w:t>
      </w:r>
      <w:r>
        <w:rPr>
          <w:rFonts w:ascii="宋体" w:hAnsi="宋体" w:cs="宋体" w:eastAsia="宋体" w:hint="default"/>
        </w:rPr>
        <w:t>2</w:t>
      </w:r>
      <w:r>
        <w:rPr/>
        <w:t>）我们与公司相关人员和法务部人员讨论诉讼的具体情况，与管理层讨论案 </w:t>
      </w:r>
      <w:r>
        <w:rPr>
          <w:spacing w:val="-2"/>
        </w:rPr>
        <w:t>件可能的结果及判断依据，评估管理层根据律师专业意见而作出的负债的计提或坏账</w:t>
      </w:r>
      <w:r>
        <w:rPr>
          <w:spacing w:val="-94"/>
        </w:rPr>
        <w:t> </w:t>
      </w:r>
      <w:r>
        <w:rPr>
          <w:spacing w:val="-94"/>
        </w:rPr>
      </w:r>
      <w:r>
        <w:rPr/>
        <w:t>准备计提是否恰当；</w:t>
      </w:r>
    </w:p>
    <w:p>
      <w:pPr>
        <w:pStyle w:val="Heading3"/>
        <w:spacing w:line="355" w:lineRule="auto" w:before="36"/>
        <w:ind w:right="206" w:firstLine="479"/>
        <w:jc w:val="both"/>
      </w:pPr>
      <w:r>
        <w:rPr/>
        <w:t>（</w:t>
      </w:r>
      <w:r>
        <w:rPr>
          <w:rFonts w:ascii="宋体" w:hAnsi="宋体" w:cs="宋体" w:eastAsia="宋体" w:hint="default"/>
        </w:rPr>
        <w:t>3</w:t>
      </w:r>
      <w:r>
        <w:rPr/>
        <w:t>）从公司外聘律师事务所取得法律意见书，该意见书中描述了案件的进展情 况，并对每项诉讼的可能结果及潜在风险作业了专业判断；</w:t>
      </w:r>
    </w:p>
    <w:p>
      <w:pPr>
        <w:pStyle w:val="Heading3"/>
        <w:spacing w:line="355" w:lineRule="auto" w:before="38"/>
        <w:ind w:right="206" w:firstLine="479"/>
        <w:jc w:val="both"/>
      </w:pPr>
      <w:r>
        <w:rPr/>
        <w:t>（</w:t>
      </w:r>
      <w:r>
        <w:rPr>
          <w:rFonts w:ascii="宋体" w:hAnsi="宋体" w:cs="宋体" w:eastAsia="宋体" w:hint="default"/>
        </w:rPr>
        <w:t>4</w:t>
      </w:r>
      <w:r>
        <w:rPr/>
        <w:t>）查阅公司关于重大诉讼的信息披露情况，与管理层进行沟通，了解诉讼应 对措施以及诉讼、和解的推进情况，取得相关法律文书并核查执行情况。</w:t>
      </w:r>
    </w:p>
    <w:p>
      <w:pPr>
        <w:pStyle w:val="Heading3"/>
        <w:spacing w:line="355" w:lineRule="auto" w:before="38"/>
        <w:ind w:right="134" w:firstLine="479"/>
        <w:jc w:val="both"/>
      </w:pPr>
      <w:r>
        <w:rPr>
          <w:spacing w:val="-2"/>
        </w:rPr>
        <w:t>基于我们获取的审计证据，我们得出审计结论，慧金科技管理层对重大诉讼事项</w:t>
      </w:r>
      <w:r>
        <w:rPr/>
        <w:t> 在财务报告中的列报与披露是适当的。</w:t>
      </w:r>
    </w:p>
    <w:p>
      <w:pPr>
        <w:pStyle w:val="Heading2"/>
        <w:spacing w:line="355" w:lineRule="auto" w:before="38"/>
        <w:ind w:right="1961"/>
        <w:jc w:val="left"/>
        <w:rPr>
          <w:b w:val="0"/>
          <w:bCs w:val="0"/>
        </w:rPr>
      </w:pPr>
      <w:r>
        <w:rPr/>
        <w:t>（三）关于智慧工厂项目及智慧城市集成采购业务收入与成本</w:t>
      </w:r>
      <w:r>
        <w:rPr>
          <w:w w:val="99"/>
        </w:rPr>
        <w:t> </w:t>
      </w:r>
      <w:r>
        <w:rPr>
          <w:rFonts w:ascii="宋体" w:hAnsi="宋体" w:cs="宋体" w:eastAsia="宋体" w:hint="default"/>
        </w:rPr>
        <w:t>1.</w:t>
      </w:r>
      <w:r>
        <w:rPr/>
        <w:t>事项描述</w:t>
      </w:r>
      <w:r>
        <w:rPr>
          <w:b w:val="0"/>
          <w:bCs w:val="0"/>
        </w:rPr>
      </w:r>
    </w:p>
    <w:p>
      <w:pPr>
        <w:pStyle w:val="Heading3"/>
        <w:spacing w:line="240" w:lineRule="auto" w:before="38"/>
        <w:ind w:left="618" w:right="0"/>
        <w:jc w:val="left"/>
      </w:pPr>
      <w:r>
        <w:rPr/>
        <w:t>如财务报表附注六注释</w:t>
      </w:r>
      <w:r>
        <w:rPr>
          <w:spacing w:val="-60"/>
        </w:rPr>
        <w:t> </w:t>
      </w:r>
      <w:r>
        <w:rPr>
          <w:rFonts w:ascii="宋体" w:hAnsi="宋体" w:cs="宋体" w:eastAsia="宋体" w:hint="default"/>
        </w:rPr>
        <w:t>21</w:t>
      </w:r>
      <w:r>
        <w:rPr>
          <w:rFonts w:ascii="宋体" w:hAnsi="宋体" w:cs="宋体" w:eastAsia="宋体" w:hint="default"/>
          <w:spacing w:val="-60"/>
        </w:rPr>
        <w:t> </w:t>
      </w:r>
      <w:r>
        <w:rPr>
          <w:spacing w:val="-6"/>
        </w:rPr>
        <w:t>所述，慧金科技于</w:t>
      </w:r>
      <w:r>
        <w:rPr>
          <w:spacing w:val="-60"/>
        </w:rPr>
        <w:t> </w:t>
      </w:r>
      <w:r>
        <w:rPr>
          <w:rFonts w:ascii="宋体" w:hAnsi="宋体" w:cs="宋体" w:eastAsia="宋体" w:hint="default"/>
        </w:rPr>
        <w:t>2017</w:t>
      </w:r>
      <w:r>
        <w:rPr>
          <w:rFonts w:ascii="宋体" w:hAnsi="宋体" w:cs="宋体" w:eastAsia="宋体" w:hint="default"/>
          <w:spacing w:val="-60"/>
        </w:rPr>
        <w:t> </w:t>
      </w:r>
      <w:r>
        <w:rPr/>
        <w:t>年度确认智慧工厂项目及智慧</w:t>
      </w:r>
    </w:p>
    <w:p>
      <w:pPr>
        <w:pStyle w:val="Heading3"/>
        <w:spacing w:line="357" w:lineRule="auto" w:before="151"/>
        <w:ind w:left="618" w:right="0" w:hanging="480"/>
        <w:jc w:val="left"/>
      </w:pPr>
      <w:r>
        <w:rPr/>
        <w:t>城市集成采购业务收入</w:t>
      </w:r>
      <w:r>
        <w:rPr>
          <w:spacing w:val="-60"/>
        </w:rPr>
        <w:t> </w:t>
      </w:r>
      <w:r>
        <w:rPr>
          <w:rFonts w:ascii="宋体" w:hAnsi="宋体" w:cs="宋体" w:eastAsia="宋体" w:hint="default"/>
        </w:rPr>
        <w:t>2,506.11</w:t>
      </w:r>
      <w:r>
        <w:rPr>
          <w:rFonts w:ascii="宋体" w:hAnsi="宋体" w:cs="宋体" w:eastAsia="宋体" w:hint="default"/>
          <w:spacing w:val="-60"/>
        </w:rPr>
        <w:t> </w:t>
      </w:r>
      <w:r>
        <w:rPr/>
        <w:t>万元。 </w:t>
      </w:r>
      <w:r>
        <w:rPr>
          <w:spacing w:val="-2"/>
        </w:rPr>
        <w:t>慧金科技在与交易相关的经济利益很可能流入公司，相关收入能够可靠计量且满</w:t>
      </w:r>
    </w:p>
    <w:p>
      <w:pPr>
        <w:pStyle w:val="Heading3"/>
        <w:spacing w:line="357" w:lineRule="auto"/>
        <w:ind w:right="134"/>
        <w:jc w:val="both"/>
      </w:pPr>
      <w:r>
        <w:rPr>
          <w:spacing w:val="-2"/>
        </w:rPr>
        <w:t>足各项经营活动的特定收入确认标准时，确认相关收入，由于单笔交易金额较大，且</w:t>
      </w:r>
      <w:r>
        <w:rPr>
          <w:spacing w:val="-96"/>
        </w:rPr>
        <w:t> </w:t>
      </w:r>
      <w:r>
        <w:rPr>
          <w:spacing w:val="-96"/>
        </w:rPr>
      </w:r>
      <w:r>
        <w:rPr/>
        <w:t>对慧金科技</w:t>
      </w:r>
      <w:r>
        <w:rPr>
          <w:spacing w:val="-61"/>
        </w:rPr>
        <w:t> </w:t>
      </w:r>
      <w:r>
        <w:rPr>
          <w:rFonts w:ascii="宋体" w:hAnsi="宋体" w:cs="宋体" w:eastAsia="宋体" w:hint="default"/>
        </w:rPr>
        <w:t>2017</w:t>
      </w:r>
      <w:r>
        <w:rPr>
          <w:rFonts w:ascii="宋体" w:hAnsi="宋体" w:cs="宋体" w:eastAsia="宋体" w:hint="default"/>
          <w:spacing w:val="-60"/>
        </w:rPr>
        <w:t> </w:t>
      </w:r>
      <w:r>
        <w:rPr/>
        <w:t>年度业绩产生重大影响，其收入确认是否真实、计量是否准确可能 存在潜在错报，因此，我们确定该事项为关键审计事项。</w:t>
      </w:r>
    </w:p>
    <w:p>
      <w:pPr>
        <w:pStyle w:val="Heading3"/>
        <w:spacing w:line="357" w:lineRule="auto" w:before="36"/>
        <w:ind w:left="618" w:right="308" w:firstLine="2"/>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99"/>
        </w:rPr>
        <w:t> </w:t>
      </w:r>
      <w:r>
        <w:rPr/>
        <w:t>我们针对智慧工厂项目及智慧城市集成采购业务所实施的主要审计程序包括：</w:t>
      </w:r>
    </w:p>
    <w:p>
      <w:pPr>
        <w:pStyle w:val="Heading3"/>
        <w:spacing w:line="357" w:lineRule="auto"/>
        <w:ind w:right="134" w:firstLine="479"/>
        <w:jc w:val="both"/>
      </w:pPr>
      <w:r>
        <w:rPr/>
        <w:t>（</w:t>
      </w:r>
      <w:r>
        <w:rPr>
          <w:rFonts w:ascii="宋体" w:hAnsi="宋体" w:cs="宋体" w:eastAsia="宋体" w:hint="default"/>
        </w:rPr>
        <w:t>1</w:t>
      </w:r>
      <w:r>
        <w:rPr/>
        <w:t>）对于智慧工厂项目及智慧城市集成采购业务收入，我们了解、评估了管理 </w:t>
      </w:r>
      <w:r>
        <w:rPr>
          <w:spacing w:val="-2"/>
        </w:rPr>
        <w:t>层对慧金科技自投标至确认收入入账的销售与收款流程中的内部控制的设计，并测试</w:t>
      </w:r>
      <w:r>
        <w:rPr>
          <w:spacing w:val="-94"/>
        </w:rPr>
        <w:t> </w:t>
      </w:r>
      <w:r>
        <w:rPr>
          <w:spacing w:val="-94"/>
        </w:rPr>
      </w:r>
      <w:r>
        <w:rPr/>
        <w:t>了关键控制执行的有效性；</w:t>
      </w:r>
    </w:p>
    <w:p>
      <w:pPr>
        <w:pStyle w:val="Heading3"/>
        <w:spacing w:line="357" w:lineRule="auto" w:before="36"/>
        <w:ind w:right="134" w:firstLine="479"/>
        <w:jc w:val="both"/>
      </w:pPr>
      <w:r>
        <w:rPr/>
        <w:t>（</w:t>
      </w:r>
      <w:r>
        <w:rPr>
          <w:rFonts w:ascii="宋体" w:hAnsi="宋体" w:cs="宋体" w:eastAsia="宋体" w:hint="default"/>
        </w:rPr>
        <w:t>2</w:t>
      </w:r>
      <w:r>
        <w:rPr/>
        <w:t>）通过检查业务合同及与管理层的访谈，对与智慧工厂项目及智慧城市集成 </w:t>
      </w:r>
      <w:r>
        <w:rPr>
          <w:spacing w:val="-2"/>
        </w:rPr>
        <w:t>采购业务收入确认有关的重大风险及报酬转移时点进行了分析评估，进而评估慧金科</w:t>
      </w:r>
      <w:r>
        <w:rPr>
          <w:spacing w:val="-94"/>
        </w:rPr>
        <w:t> </w:t>
      </w:r>
      <w:r>
        <w:rPr>
          <w:spacing w:val="-94"/>
        </w:rPr>
      </w:r>
      <w:r>
        <w:rPr/>
        <w:t>技收入的确认政策；</w:t>
      </w:r>
    </w:p>
    <w:p>
      <w:pPr>
        <w:pStyle w:val="Heading3"/>
        <w:spacing w:line="357" w:lineRule="auto"/>
        <w:ind w:right="134" w:firstLine="479"/>
        <w:jc w:val="both"/>
      </w:pPr>
      <w:r>
        <w:rPr/>
        <w:t>（</w:t>
      </w:r>
      <w:r>
        <w:rPr>
          <w:rFonts w:ascii="宋体" w:hAnsi="宋体" w:cs="宋体" w:eastAsia="宋体" w:hint="default"/>
        </w:rPr>
        <w:t>3</w:t>
      </w:r>
      <w:r>
        <w:rPr/>
        <w:t>）检查与收入确认相关的支持性文件，包括招投标材料、销售合同、订单、 </w:t>
      </w:r>
      <w:r>
        <w:rPr>
          <w:spacing w:val="-2"/>
        </w:rPr>
        <w:t>销售发票、客户签收单、项目采购合同、采购验收与签收单、工程施工合同、工程施</w:t>
      </w:r>
      <w:r>
        <w:rPr>
          <w:spacing w:val="-96"/>
        </w:rPr>
        <w:t> </w:t>
      </w:r>
      <w:r>
        <w:rPr>
          <w:spacing w:val="-96"/>
        </w:rPr>
      </w:r>
      <w:r>
        <w:rPr/>
        <w:t>工验收资料、销售收款、采购付款等；</w:t>
      </w:r>
    </w:p>
    <w:p>
      <w:pPr>
        <w:pStyle w:val="Heading3"/>
        <w:spacing w:line="240" w:lineRule="auto" w:before="36"/>
        <w:ind w:left="618" w:right="0"/>
        <w:jc w:val="left"/>
      </w:pPr>
      <w:r>
        <w:rPr/>
        <w:t>（</w:t>
      </w:r>
      <w:r>
        <w:rPr>
          <w:rFonts w:ascii="宋体" w:hAnsi="宋体" w:cs="宋体" w:eastAsia="宋体" w:hint="default"/>
        </w:rPr>
        <w:t>4</w:t>
      </w:r>
      <w:r>
        <w:rPr/>
        <w:t>）针对资产负债表日前后确认的销售收入核对至客户签收单等支持性文件，</w:t>
      </w:r>
    </w:p>
    <w:p>
      <w:pPr>
        <w:spacing w:after="0" w:line="240" w:lineRule="auto"/>
        <w:jc w:val="left"/>
        <w:sectPr>
          <w:footerReference w:type="default" r:id="rId26"/>
          <w:pgSz w:w="11910" w:h="16840"/>
          <w:pgMar w:footer="1195" w:header="877" w:top="1100" w:bottom="1380" w:left="1660" w:right="1140"/>
          <w:pgNumType w:start="54"/>
        </w:sectPr>
      </w:pPr>
    </w:p>
    <w:p>
      <w:pPr>
        <w:spacing w:line="240" w:lineRule="auto" w:before="13"/>
        <w:rPr>
          <w:rFonts w:ascii="宋体" w:hAnsi="宋体" w:cs="宋体" w:eastAsia="宋体" w:hint="default"/>
          <w:sz w:val="25"/>
          <w:szCs w:val="25"/>
        </w:rPr>
      </w:pPr>
    </w:p>
    <w:p>
      <w:pPr>
        <w:pStyle w:val="Heading3"/>
        <w:spacing w:line="240" w:lineRule="auto" w:before="26"/>
        <w:ind w:right="114"/>
        <w:jc w:val="left"/>
      </w:pPr>
      <w:r>
        <w:rPr/>
        <w:t>以评估销售收入是否在恰当的期间确认；</w:t>
      </w:r>
    </w:p>
    <w:p>
      <w:pPr>
        <w:pStyle w:val="Heading3"/>
        <w:spacing w:line="240" w:lineRule="auto" w:before="154"/>
        <w:ind w:left="618" w:right="114"/>
        <w:jc w:val="left"/>
      </w:pPr>
      <w:r>
        <w:rPr>
          <w:spacing w:val="-5"/>
        </w:rPr>
        <w:t>（</w:t>
      </w:r>
      <w:r>
        <w:rPr>
          <w:rFonts w:ascii="宋体" w:hAnsi="宋体" w:cs="宋体" w:eastAsia="宋体" w:hint="default"/>
          <w:spacing w:val="-5"/>
        </w:rPr>
        <w:t>5</w:t>
      </w:r>
      <w:r>
        <w:rPr>
          <w:spacing w:val="-5"/>
        </w:rPr>
        <w:t>）对项目毛利率进行分析，与同行业进行比对，以评估毛利率水平的合理性；</w:t>
      </w:r>
    </w:p>
    <w:p>
      <w:pPr>
        <w:pStyle w:val="Heading3"/>
        <w:spacing w:line="240" w:lineRule="auto" w:before="151"/>
        <w:ind w:left="618" w:right="114"/>
        <w:jc w:val="left"/>
      </w:pPr>
      <w:r>
        <w:rPr/>
        <w:t>（</w:t>
      </w:r>
      <w:r>
        <w:rPr>
          <w:rFonts w:ascii="宋体" w:hAnsi="宋体" w:cs="宋体" w:eastAsia="宋体" w:hint="default"/>
        </w:rPr>
        <w:t>6</w:t>
      </w:r>
      <w:r>
        <w:rPr/>
        <w:t>）结合往来款检查对客户及供应商进行函证；</w:t>
      </w:r>
    </w:p>
    <w:p>
      <w:pPr>
        <w:pStyle w:val="Heading3"/>
        <w:spacing w:line="357" w:lineRule="auto" w:before="154"/>
        <w:ind w:right="409" w:firstLine="479"/>
        <w:jc w:val="left"/>
      </w:pPr>
      <w:r>
        <w:rPr/>
        <w:t>（</w:t>
      </w:r>
      <w:r>
        <w:rPr>
          <w:rFonts w:ascii="宋体" w:hAnsi="宋体" w:cs="宋体" w:eastAsia="宋体" w:hint="default"/>
        </w:rPr>
        <w:t>7</w:t>
      </w:r>
      <w:r>
        <w:rPr/>
        <w:t>）穿透核查公司实际控制人银行流水账户，以评估存在大股东利益输送的可 能性；</w:t>
      </w:r>
    </w:p>
    <w:p>
      <w:pPr>
        <w:pStyle w:val="Heading3"/>
        <w:spacing w:line="357" w:lineRule="auto"/>
        <w:ind w:left="618" w:right="114"/>
        <w:jc w:val="left"/>
      </w:pPr>
      <w:r>
        <w:rPr/>
        <w:t>（</w:t>
      </w:r>
      <w:r>
        <w:rPr>
          <w:rFonts w:ascii="宋体" w:hAnsi="宋体" w:cs="宋体" w:eastAsia="宋体" w:hint="default"/>
        </w:rPr>
        <w:t>8</w:t>
      </w:r>
      <w:r>
        <w:rPr/>
        <w:t>）现场查看智慧工厂项目实施情况，与客户进行访谈。 </w:t>
      </w:r>
      <w:r>
        <w:rPr>
          <w:spacing w:val="-2"/>
        </w:rPr>
        <w:t>基于我们获取的审计证据，我们得出审计结论，慧金科技管理层对智慧工厂项目</w:t>
      </w:r>
    </w:p>
    <w:p>
      <w:pPr>
        <w:pStyle w:val="Heading3"/>
        <w:tabs>
          <w:tab w:pos="1397" w:val="left" w:leader="none"/>
        </w:tabs>
        <w:spacing w:line="357" w:lineRule="auto"/>
        <w:ind w:left="704" w:right="2466" w:hanging="567"/>
        <w:jc w:val="left"/>
        <w:rPr>
          <w:rFonts w:ascii="宋体" w:hAnsi="宋体" w:cs="宋体" w:eastAsia="宋体" w:hint="default"/>
        </w:rPr>
      </w:pPr>
      <w:r>
        <w:rPr/>
        <w:t>及智慧城市集成采购业务在财务报告中的列报与披露是适当的。 </w:t>
      </w:r>
      <w:r>
        <w:rPr>
          <w:rFonts w:ascii="宋体" w:hAnsi="宋体" w:cs="宋体" w:eastAsia="宋体" w:hint="default"/>
          <w:b/>
          <w:bCs/>
        </w:rPr>
        <w:t>四、</w:t>
        <w:tab/>
        <w:t>其他信息</w:t>
      </w:r>
      <w:r>
        <w:rPr>
          <w:rFonts w:ascii="宋体" w:hAnsi="宋体" w:cs="宋体" w:eastAsia="宋体" w:hint="default"/>
        </w:rPr>
      </w:r>
    </w:p>
    <w:p>
      <w:pPr>
        <w:pStyle w:val="Heading3"/>
        <w:spacing w:line="357" w:lineRule="auto"/>
        <w:ind w:right="338" w:firstLine="479"/>
        <w:jc w:val="left"/>
      </w:pPr>
      <w:r>
        <w:rPr>
          <w:spacing w:val="-6"/>
        </w:rPr>
        <w:t>慧金科技管理层对其他信息负责。其他信息包括</w:t>
      </w:r>
      <w:r>
        <w:rPr>
          <w:spacing w:val="-81"/>
        </w:rPr>
        <w:t> </w:t>
      </w:r>
      <w:r>
        <w:rPr>
          <w:rFonts w:ascii="宋体" w:hAnsi="宋体" w:cs="宋体" w:eastAsia="宋体" w:hint="default"/>
        </w:rPr>
        <w:t>2017</w:t>
      </w:r>
      <w:r>
        <w:rPr>
          <w:rFonts w:ascii="宋体" w:hAnsi="宋体" w:cs="宋体" w:eastAsia="宋体" w:hint="default"/>
          <w:spacing w:val="-82"/>
        </w:rPr>
        <w:t> </w:t>
      </w:r>
      <w:r>
        <w:rPr/>
        <w:t>年年度报告中涵盖的信息， 但不包括财务报表和我们的审计报告。</w:t>
      </w:r>
    </w:p>
    <w:p>
      <w:pPr>
        <w:pStyle w:val="Heading3"/>
        <w:spacing w:line="357" w:lineRule="auto"/>
        <w:ind w:right="114" w:firstLine="479"/>
        <w:jc w:val="left"/>
      </w:pPr>
      <w:r>
        <w:rPr>
          <w:spacing w:val="-2"/>
        </w:rPr>
        <w:t>我们对财务报表发表的审计意见不涵盖其他信息，我们也不对其他信息发表任何</w:t>
      </w:r>
      <w:r>
        <w:rPr/>
        <w:t> 形式的鉴证结论。</w:t>
      </w:r>
    </w:p>
    <w:p>
      <w:pPr>
        <w:pStyle w:val="Heading3"/>
        <w:spacing w:line="357" w:lineRule="auto"/>
        <w:ind w:right="114" w:firstLine="479"/>
        <w:jc w:val="left"/>
      </w:pPr>
      <w:r>
        <w:rPr>
          <w:spacing w:val="-2"/>
        </w:rPr>
        <w:t>结合我们对财务报表的审计，我们的责任是阅读其他信息，在此过程中，考虑其</w:t>
      </w:r>
      <w:r>
        <w:rPr/>
        <w:t> 他信息是否与财务报表或我们在审计过程中了解的情况存在重大不一致或者似乎存 在重大错报。</w:t>
      </w:r>
    </w:p>
    <w:p>
      <w:pPr>
        <w:pStyle w:val="Heading3"/>
        <w:spacing w:line="355" w:lineRule="auto" w:before="36"/>
        <w:ind w:right="114" w:firstLine="479"/>
        <w:jc w:val="left"/>
      </w:pPr>
      <w:r>
        <w:rPr>
          <w:spacing w:val="-2"/>
        </w:rPr>
        <w:t>基于我们已执行的工作，如果我们确定其他信息存在重大错报，我们应当报告该</w:t>
      </w:r>
      <w:r>
        <w:rPr/>
        <w:t> 事实。在这方面，我们无任何事项需要报告。</w:t>
      </w:r>
    </w:p>
    <w:p>
      <w:pPr>
        <w:tabs>
          <w:tab w:pos="1397" w:val="left" w:leader="none"/>
        </w:tabs>
        <w:spacing w:line="357" w:lineRule="auto" w:before="38"/>
        <w:ind w:left="618" w:right="114" w:firstLine="86"/>
        <w:jc w:val="left"/>
        <w:rPr>
          <w:rFonts w:ascii="宋体" w:hAnsi="宋体" w:cs="宋体" w:eastAsia="宋体" w:hint="default"/>
          <w:sz w:val="24"/>
          <w:szCs w:val="24"/>
        </w:rPr>
      </w:pPr>
      <w:r>
        <w:rPr>
          <w:rFonts w:ascii="宋体" w:hAnsi="宋体" w:cs="宋体" w:eastAsia="宋体" w:hint="default"/>
          <w:b/>
          <w:bCs/>
          <w:sz w:val="24"/>
          <w:szCs w:val="24"/>
        </w:rPr>
        <w:t>五、</w:t>
        <w:tab/>
        <w:t>管理层和治理层对财务报表的责任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慧金科技管理层负责按照企业会计准则的规定编制财务报表，使其实现公允反映，</w:t>
      </w:r>
    </w:p>
    <w:p>
      <w:pPr>
        <w:pStyle w:val="Heading3"/>
        <w:spacing w:line="357" w:lineRule="auto"/>
        <w:ind w:right="114"/>
        <w:jc w:val="left"/>
      </w:pPr>
      <w:r>
        <w:rPr>
          <w:spacing w:val="-2"/>
        </w:rPr>
        <w:t>并设计、执行和维护必要的内部控制，以使财务报表不存在由于舞弊或错误导致的重</w:t>
      </w:r>
      <w:r>
        <w:rPr>
          <w:spacing w:val="-94"/>
        </w:rPr>
        <w:t> </w:t>
      </w:r>
      <w:r>
        <w:rPr>
          <w:spacing w:val="-94"/>
        </w:rPr>
      </w:r>
      <w:r>
        <w:rPr/>
        <w:t>大错报。</w:t>
      </w:r>
    </w:p>
    <w:p>
      <w:pPr>
        <w:pStyle w:val="Heading3"/>
        <w:spacing w:line="357" w:lineRule="auto"/>
        <w:ind w:right="114" w:firstLine="479"/>
        <w:jc w:val="left"/>
      </w:pPr>
      <w:r>
        <w:rPr>
          <w:spacing w:val="-2"/>
        </w:rPr>
        <w:t>在编制财务报表时，慧金科技管理层负责评估慧金科技的持续经营能力，并运用</w:t>
      </w:r>
      <w:r>
        <w:rPr/>
        <w:t> 持续经营假设，除非管理层计划清算慧金科技、终止运营或别无其他现实的选择。</w:t>
      </w:r>
    </w:p>
    <w:p>
      <w:pPr>
        <w:tabs>
          <w:tab w:pos="1397" w:val="left" w:leader="none"/>
        </w:tabs>
        <w:spacing w:line="357" w:lineRule="auto" w:before="34"/>
        <w:ind w:left="704" w:right="4146" w:hanging="87"/>
        <w:jc w:val="left"/>
        <w:rPr>
          <w:rFonts w:ascii="宋体" w:hAnsi="宋体" w:cs="宋体" w:eastAsia="宋体" w:hint="default"/>
          <w:sz w:val="24"/>
          <w:szCs w:val="24"/>
        </w:rPr>
      </w:pPr>
      <w:r>
        <w:rPr>
          <w:rFonts w:ascii="宋体" w:hAnsi="宋体" w:cs="宋体" w:eastAsia="宋体" w:hint="default"/>
          <w:sz w:val="24"/>
          <w:szCs w:val="24"/>
        </w:rPr>
        <w:t>治理层负责监督慧金科技的财务报告过程。 </w:t>
      </w:r>
      <w:r>
        <w:rPr>
          <w:rFonts w:ascii="宋体" w:hAnsi="宋体" w:cs="宋体" w:eastAsia="宋体" w:hint="default"/>
          <w:b/>
          <w:bCs/>
          <w:sz w:val="24"/>
          <w:szCs w:val="24"/>
        </w:rPr>
        <w:t>六、</w:t>
        <w:tab/>
        <w:t>注册会计师对财务报表审计的责任</w:t>
      </w:r>
      <w:r>
        <w:rPr>
          <w:rFonts w:ascii="宋体" w:hAnsi="宋体" w:cs="宋体" w:eastAsia="宋体" w:hint="default"/>
          <w:sz w:val="24"/>
          <w:szCs w:val="24"/>
        </w:rPr>
      </w:r>
    </w:p>
    <w:p>
      <w:pPr>
        <w:pStyle w:val="Heading3"/>
        <w:spacing w:line="357" w:lineRule="auto"/>
        <w:ind w:right="114" w:firstLine="479"/>
        <w:jc w:val="left"/>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p>
    <w:p>
      <w:pPr>
        <w:pStyle w:val="Heading3"/>
        <w:spacing w:line="240" w:lineRule="auto" w:before="36"/>
        <w:ind w:right="114"/>
        <w:jc w:val="left"/>
      </w:pPr>
      <w:r>
        <w:rPr/>
        <w:t>误导致，如果合理预期错报单独或汇总起来可能影响财务报表使用者依据财务报表作</w:t>
      </w:r>
    </w:p>
    <w:p>
      <w:pPr>
        <w:spacing w:after="0" w:line="240" w:lineRule="auto"/>
        <w:jc w:val="left"/>
        <w:sectPr>
          <w:footerReference w:type="default" r:id="rId27"/>
          <w:pgSz w:w="11910" w:h="16840"/>
          <w:pgMar w:footer="1195" w:header="877" w:top="1100" w:bottom="1380" w:left="1660" w:right="920"/>
          <w:pgNumType w:start="55"/>
        </w:sectPr>
      </w:pPr>
    </w:p>
    <w:p>
      <w:pPr>
        <w:spacing w:line="240" w:lineRule="auto" w:before="13"/>
        <w:rPr>
          <w:rFonts w:ascii="宋体" w:hAnsi="宋体" w:cs="宋体" w:eastAsia="宋体" w:hint="default"/>
          <w:sz w:val="25"/>
          <w:szCs w:val="25"/>
        </w:rPr>
      </w:pPr>
    </w:p>
    <w:p>
      <w:pPr>
        <w:pStyle w:val="Heading3"/>
        <w:spacing w:line="357" w:lineRule="auto" w:before="26"/>
        <w:ind w:left="618" w:right="0" w:hanging="480"/>
        <w:jc w:val="left"/>
      </w:pPr>
      <w:r>
        <w:rPr/>
        <w:t>出的经济决策，则通常认为错报是重大的。 在按照审计准则执行审计工作的过程中，我们运用职业判断，并保持职业怀疑。</w:t>
      </w:r>
    </w:p>
    <w:p>
      <w:pPr>
        <w:pStyle w:val="Heading3"/>
        <w:spacing w:line="357" w:lineRule="auto"/>
        <w:ind w:left="622" w:right="284" w:hanging="485"/>
        <w:jc w:val="left"/>
      </w:pPr>
      <w:r>
        <w:rPr/>
        <w:t>同时，我们也执行以下工作： </w:t>
      </w:r>
      <w:r>
        <w:rPr>
          <w:rFonts w:ascii="宋体" w:hAnsi="宋体" w:cs="宋体" w:eastAsia="宋体" w:hint="default"/>
        </w:rPr>
        <w:t>1</w:t>
      </w:r>
      <w:r>
        <w:rPr/>
        <w:t>．识别和评估由于舞弊或错误导致的财务报表重大错报风险，设计和实施审计</w:t>
      </w:r>
    </w:p>
    <w:p>
      <w:pPr>
        <w:pStyle w:val="Heading3"/>
        <w:spacing w:line="357" w:lineRule="auto" w:before="36"/>
        <w:ind w:right="233"/>
        <w:jc w:val="both"/>
      </w:pPr>
      <w:r>
        <w:rPr>
          <w:spacing w:val="-2"/>
        </w:rPr>
        <w:t>程序以应对这些风险，并获取充分、适当的审计证据，作为发表审计意见的基础。由</w:t>
      </w:r>
      <w:r>
        <w:rPr>
          <w:spacing w:val="-95"/>
        </w:rPr>
        <w:t> </w:t>
      </w:r>
      <w:r>
        <w:rPr>
          <w:spacing w:val="-95"/>
        </w:rPr>
      </w:r>
      <w:r>
        <w:rPr>
          <w:spacing w:val="-2"/>
        </w:rPr>
        <w:t>于舞弊可能涉及串通、伪造、故意遗漏、虚假陈述或凌驾于内部控制之上，未能发现</w:t>
      </w:r>
      <w:r>
        <w:rPr>
          <w:spacing w:val="-94"/>
        </w:rPr>
        <w:t> </w:t>
      </w:r>
      <w:r>
        <w:rPr>
          <w:spacing w:val="-94"/>
        </w:rPr>
      </w:r>
      <w:r>
        <w:rPr/>
        <w:t>由于舞弊导致的重大错报的风险高于未能发现由于错误导致的重大错报的风险。</w:t>
      </w:r>
    </w:p>
    <w:p>
      <w:pPr>
        <w:pStyle w:val="Heading3"/>
        <w:spacing w:line="240" w:lineRule="auto"/>
        <w:ind w:left="622" w:right="0"/>
        <w:jc w:val="left"/>
      </w:pPr>
      <w:r>
        <w:rPr>
          <w:rFonts w:ascii="宋体" w:hAnsi="宋体" w:cs="宋体" w:eastAsia="宋体" w:hint="default"/>
        </w:rPr>
        <w:t>2</w:t>
      </w:r>
      <w:r>
        <w:rPr/>
        <w:t>．了解与审计相关的内部控制，以设计恰当的审计程序。</w:t>
      </w:r>
    </w:p>
    <w:p>
      <w:pPr>
        <w:pStyle w:val="Heading3"/>
        <w:spacing w:line="240" w:lineRule="auto" w:before="154"/>
        <w:ind w:left="622" w:right="0"/>
        <w:jc w:val="left"/>
      </w:pPr>
      <w:r>
        <w:rPr>
          <w:rFonts w:ascii="宋体" w:hAnsi="宋体" w:cs="宋体" w:eastAsia="宋体" w:hint="default"/>
        </w:rPr>
        <w:t>3</w:t>
      </w:r>
      <w:r>
        <w:rPr/>
        <w:t>．评价管理层选用会计政策的恰当性和作出会计估计及相关披露的合理性。</w:t>
      </w:r>
    </w:p>
    <w:p>
      <w:pPr>
        <w:pStyle w:val="Heading3"/>
        <w:spacing w:line="357" w:lineRule="auto" w:before="151"/>
        <w:ind w:right="224" w:firstLine="484"/>
        <w:jc w:val="left"/>
      </w:pPr>
      <w:r>
        <w:rPr>
          <w:rFonts w:ascii="宋体" w:hAnsi="宋体" w:cs="宋体" w:eastAsia="宋体" w:hint="default"/>
          <w:spacing w:val="-5"/>
        </w:rPr>
        <w:t>4</w:t>
      </w:r>
      <w:r>
        <w:rPr>
          <w:spacing w:val="-5"/>
        </w:rPr>
        <w:t>．对管理层使用持续经营假设的恰当性得出结论。同时，根据获取的审计证据，</w:t>
      </w:r>
      <w:r>
        <w:rPr/>
        <w:t> 就可能导致对慧金科技持续经营能力产生重大疑虑的事项或情况是否存在重大不确 </w:t>
      </w:r>
      <w:r>
        <w:rPr>
          <w:spacing w:val="-2"/>
        </w:rPr>
        <w:t>定性得出结论。如果我们得出结论认为存在重大不确定性，审计准则要求我们在审计</w:t>
      </w:r>
      <w:r>
        <w:rPr>
          <w:spacing w:val="-94"/>
        </w:rPr>
        <w:t> </w:t>
      </w:r>
      <w:r>
        <w:rPr>
          <w:spacing w:val="-94"/>
        </w:rPr>
      </w:r>
      <w:r>
        <w:rPr>
          <w:spacing w:val="-2"/>
        </w:rPr>
        <w:t>报告中提请报告使用者注意财务报表中的相关披露；如果披露不充分，我们应当发表</w:t>
      </w:r>
      <w:r>
        <w:rPr>
          <w:spacing w:val="-94"/>
        </w:rPr>
        <w:t> </w:t>
      </w:r>
      <w:r>
        <w:rPr>
          <w:spacing w:val="-94"/>
        </w:rPr>
      </w:r>
      <w:r>
        <w:rPr>
          <w:spacing w:val="-2"/>
        </w:rPr>
        <w:t>非无保留意见。我们的结论基于截至审计报告日可获得的信息。然而，未来的事项或</w:t>
      </w:r>
      <w:r>
        <w:rPr>
          <w:spacing w:val="-96"/>
        </w:rPr>
        <w:t> </w:t>
      </w:r>
      <w:r>
        <w:rPr>
          <w:spacing w:val="-96"/>
        </w:rPr>
      </w:r>
      <w:r>
        <w:rPr/>
        <w:t>情况可能导致慧金科技不能持续经营。</w:t>
      </w:r>
    </w:p>
    <w:p>
      <w:pPr>
        <w:pStyle w:val="Heading3"/>
        <w:spacing w:line="357" w:lineRule="auto"/>
        <w:ind w:right="224" w:firstLine="484"/>
        <w:jc w:val="left"/>
      </w:pPr>
      <w:r>
        <w:rPr>
          <w:rFonts w:ascii="宋体" w:hAnsi="宋体" w:cs="宋体" w:eastAsia="宋体" w:hint="default"/>
          <w:spacing w:val="-5"/>
        </w:rPr>
        <w:t>5</w:t>
      </w:r>
      <w:r>
        <w:rPr>
          <w:spacing w:val="-5"/>
        </w:rPr>
        <w:t>．评价财务报表的总体列报、结构和内容（包括披露），并评价财务报表是否公</w:t>
      </w:r>
      <w:r>
        <w:rPr/>
        <w:t> 允反映相关交易和事项。</w:t>
      </w:r>
    </w:p>
    <w:p>
      <w:pPr>
        <w:pStyle w:val="Heading3"/>
        <w:spacing w:line="357" w:lineRule="auto"/>
        <w:ind w:right="232" w:firstLine="484"/>
        <w:jc w:val="both"/>
      </w:pPr>
      <w:r>
        <w:rPr>
          <w:rFonts w:ascii="宋体" w:hAnsi="宋体" w:cs="宋体" w:eastAsia="宋体" w:hint="default"/>
        </w:rPr>
        <w:t>6</w:t>
      </w:r>
      <w:r>
        <w:rPr/>
        <w:t>．就慧金科技中实体或业务活动的财务信息获取充分、适当的审计证据，以对 </w:t>
      </w:r>
      <w:r>
        <w:rPr>
          <w:spacing w:val="-2"/>
        </w:rPr>
        <w:t>财务报表发表意见。我们负责指导、监督和执行集团审计。我们对审计意见承担全部</w:t>
      </w:r>
      <w:r>
        <w:rPr>
          <w:spacing w:val="-94"/>
        </w:rPr>
        <w:t> </w:t>
      </w:r>
      <w:r>
        <w:rPr>
          <w:spacing w:val="-94"/>
        </w:rPr>
      </w:r>
      <w:r>
        <w:rPr/>
        <w:t>责任。</w:t>
      </w:r>
    </w:p>
    <w:p>
      <w:pPr>
        <w:pStyle w:val="Heading3"/>
        <w:spacing w:line="357" w:lineRule="auto"/>
        <w:ind w:right="0" w:firstLine="479"/>
        <w:jc w:val="left"/>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ind w:right="0" w:firstLine="479"/>
        <w:jc w:val="left"/>
      </w:pPr>
      <w:r>
        <w:rPr>
          <w:spacing w:val="-2"/>
        </w:rPr>
        <w:t>我们还就已遵守与独立性相关的职业道德要求向治理层提供声明，并与治理层沟</w:t>
      </w:r>
      <w:r>
        <w:rPr/>
        <w:t> 通可能被合理认为影响我们独立性的所有关系和其他事项，以及相关的防范措施。</w:t>
      </w:r>
    </w:p>
    <w:p>
      <w:pPr>
        <w:pStyle w:val="Heading3"/>
        <w:spacing w:line="357" w:lineRule="auto"/>
        <w:ind w:right="0" w:firstLine="47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pStyle w:val="Heading3"/>
        <w:spacing w:line="240" w:lineRule="auto" w:before="188"/>
        <w:ind w:left="618" w:right="0"/>
        <w:jc w:val="left"/>
      </w:pPr>
      <w:r>
        <w:rPr/>
        <w:t>大华会计师事务所</w:t>
      </w:r>
      <w:r>
        <w:rPr>
          <w:rFonts w:ascii="宋体" w:hAnsi="宋体" w:cs="宋体" w:eastAsia="宋体" w:hint="default"/>
        </w:rPr>
        <w:t>(</w:t>
      </w:r>
      <w:r>
        <w:rPr/>
        <w:t>特殊普通合伙</w:t>
      </w:r>
      <w:r>
        <w:rPr>
          <w:rFonts w:ascii="宋体" w:hAnsi="宋体" w:cs="宋体" w:eastAsia="宋体" w:hint="default"/>
        </w:rPr>
        <w:t>)</w:t>
      </w:r>
      <w:r>
        <w:rPr/>
        <w:t>中国注册会计师：张晓义</w:t>
      </w:r>
    </w:p>
    <w:p>
      <w:pPr>
        <w:spacing w:after="0" w:line="240" w:lineRule="auto"/>
        <w:jc w:val="left"/>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Heading3"/>
        <w:spacing w:line="240" w:lineRule="auto" w:before="26"/>
        <w:ind w:left="0" w:right="232"/>
        <w:jc w:val="right"/>
      </w:pPr>
      <w:r>
        <w:rPr/>
        <w:t>（项目合伙人）</w:t>
      </w:r>
    </w:p>
    <w:p>
      <w:pPr>
        <w:pStyle w:val="Heading3"/>
        <w:spacing w:line="240" w:lineRule="auto" w:before="154"/>
        <w:ind w:left="1298" w:right="2465"/>
        <w:jc w:val="left"/>
      </w:pPr>
      <w:r>
        <w:rPr/>
        <w:t>中国</w:t>
      </w:r>
      <w:r>
        <w:rPr>
          <w:rFonts w:ascii="宋体" w:hAnsi="宋体" w:cs="宋体" w:eastAsia="宋体" w:hint="default"/>
          <w:b/>
          <w:bCs/>
        </w:rPr>
        <w:t>·</w:t>
      </w:r>
      <w:r>
        <w:rPr/>
        <w:t>北京中国注册会计师：秦睿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95" w:top="1100" w:bottom="1380" w:left="1580" w:right="1040"/>
        </w:sectPr>
      </w:pPr>
    </w:p>
    <w:p>
      <w:pPr>
        <w:pStyle w:val="Heading4"/>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right="2465"/>
        <w:jc w:val="left"/>
      </w:pPr>
      <w:r>
        <w:rPr/>
        <w:t>编制单位</w:t>
      </w:r>
      <w:r>
        <w:rPr>
          <w:rFonts w:ascii="宋体" w:hAnsi="宋体" w:cs="宋体" w:eastAsia="宋体" w:hint="default"/>
        </w:rPr>
        <w:t>:</w:t>
      </w:r>
      <w:r>
        <w:rPr>
          <w:rFonts w:ascii="宋体" w:hAnsi="宋体" w:cs="宋体" w:eastAsia="宋体" w:hint="default"/>
          <w:spacing w:val="-2"/>
        </w:rPr>
        <w:t> </w:t>
      </w:r>
      <w:r>
        <w:rPr/>
        <w:t>广西慧金科技股份有限公司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85,593,709.73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30,643,573.18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10,286,939.4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14,577,956.79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1,576,542.53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1,296,018.88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12,608,469.33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228,493,532.04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172,633.3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169,054.35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631.34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110,238,925.63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275,180,135.24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14,454,675.01</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490,111.01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3,532,697.50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189,325.27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210,930.62</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395,640.56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265,877.48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15,529,751.85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13,009,505.60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125,768,677.48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288,189,640.84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1,314,407.00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3,007,686.33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1,277,404.03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2,232,587.11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5,074,183.24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3,164,581.21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437,094.27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1,587,675.62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1,373,582.35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34,261,136.93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200,841,744.38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44,253,667.20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210,318,415.27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3,435,143.69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3,064,451.86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3,435,143.69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3,064,451.86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47,688,810.89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213,382,867.13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pacing w:val="-1"/>
                <w:sz w:val="18"/>
              </w:rPr>
              <w:t>394,793,708.00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394,793,708.00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455,886,012.27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455,886,012.27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38,483,861.71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38,483,861.71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-811,537,308.71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-814,706,315.12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77,626,273.27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74,457,266.86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453,593.32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349,506.85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78,079,866.59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74,806,773.71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125,768,677.48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288,189,640.84</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465"/>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广西慧金科技股份有限公司</w:t>
      </w:r>
    </w:p>
    <w:p>
      <w:pPr>
        <w:spacing w:line="272" w:lineRule="exact" w:before="64"/>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2,654,911.72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245,094.05</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24,593.16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353,707.24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41,228,884.68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215,347,496.83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631.34</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43,909,020.90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220,346,298.12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14,454,675.01</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140,547,253.24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140,547,253.24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35,655.04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2,609,910.09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189,325.27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210,930.62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155,226,908.56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143,368,093.95</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199,135,929.46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363,714,392.07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1,879,350.29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-61,739.15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35,695.47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135,896,248.26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286,905,332.82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137,775,598.55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286,879,289.14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137,775,598.55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286,879,289.14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394,793,708.00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394,793,708.00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8"/>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455,886,012.27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455,886,012.27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38,483,861.71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38,483,861.71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-827,803,251.07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-812,328,479.05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61,360,330.91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76,835,102.93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199,135,929.46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363,714,392.07</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465"/>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9"/>
          <w:pgSz w:w="11910" w:h="16840"/>
          <w:pgMar w:footer="1195" w:header="877" w:top="1100" w:bottom="1380" w:left="1580" w:right="1040"/>
          <w:pgNumType w:start="61"/>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819"/>
        <w:gridCol w:w="2137"/>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65,825,072.43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46,882,092.53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65,825,072.43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46,882,092.53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69,220,041.61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71,809,471.89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50,475,696.6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40,202,881.18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551,617.52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862,218.11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1,010,607.21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16,797,979.86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20,602,286.24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-25,202.83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788,120.08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1,419,950.46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8,343,359.07</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9,332,339.05</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-52,246.57</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5,885,123.30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-24,927,379.36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1,062,637.33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133,968.98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2,921,838.89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278,305.95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4,025,921.74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-25,071,716.33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752,828.86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1,432,233.83</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819"/>
        <w:gridCol w:w="2137"/>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3,273,092.88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-26,503,950.16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6,996,217.67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-21,347,992.82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-3,723,124.79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-5,155,957.34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104,086.47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-145,079.52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3,169,006.41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-26,358,870.64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3,273,092.88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-26,503,950.16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3,169,006.41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-26,358,870.64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104,086.47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-145,079.52</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-0.07</w:t>
            </w:r>
          </w:p>
        </w:tc>
      </w:tr>
    </w:tbl>
    <w:p>
      <w:pPr>
        <w:spacing w:line="240" w:lineRule="auto" w:before="5"/>
        <w:rPr>
          <w:rFonts w:ascii="宋体" w:hAnsi="宋体" w:cs="宋体" w:eastAsia="宋体" w:hint="default"/>
          <w:sz w:val="15"/>
          <w:szCs w:val="15"/>
        </w:rPr>
      </w:pPr>
    </w:p>
    <w:p>
      <w:pPr>
        <w:pStyle w:val="BodyText"/>
        <w:spacing w:line="240" w:lineRule="auto" w:before="36"/>
        <w:ind w:right="9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spacing w:line="271" w:lineRule="exact"/>
        <w:ind w:right="2465"/>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41,361.55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234,429.98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3,362.00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7,675,420.06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3,859,967.28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90,739.43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870,455.81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194,239.57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6,800,131.01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-5,545,324.99</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-52,246.57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-13,599,332.17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-11,768,346.08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1,036,014.8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2,911,454.65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219.36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-15,474,772.02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-11,768,565.44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-15,474,772.02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-11,768,565.44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-15,474,772.02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-11,768,565.44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-15,474,772.02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-11,768,565.44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法定代表人：张琲主管会计工作负责人：李洁会计机构负责人：徐波</w:t>
      </w:r>
    </w:p>
    <w:p>
      <w:pPr>
        <w:spacing w:line="240" w:lineRule="auto" w:before="9"/>
        <w:rPr>
          <w:rFonts w:ascii="宋体" w:hAnsi="宋体" w:cs="宋体" w:eastAsia="宋体" w:hint="default"/>
          <w:sz w:val="20"/>
          <w:szCs w:val="20"/>
        </w:rPr>
      </w:pPr>
    </w:p>
    <w:p>
      <w:pPr>
        <w:spacing w:before="0"/>
        <w:ind w:left="3873" w:right="3886" w:hanging="3"/>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after="0"/>
        <w:jc w:val="center"/>
        <w:rPr>
          <w:rFonts w:ascii="宋体" w:hAnsi="宋体" w:cs="宋体" w:eastAsia="宋体" w:hint="default"/>
          <w:sz w:val="21"/>
          <w:szCs w:val="21"/>
        </w:rPr>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66,010,073.37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47,339,542.84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234,004,116.16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239,314,521.51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300,014,189.53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286,654,064.35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32,185,901.13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32,120,644.88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25,588,716.04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23,772,009.31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4,636,026.00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3,267,211.33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192,064,996.38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219,587,508.43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254,475,639.55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278,747,373.95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45,538,549.98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7,906,690.40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2,562,552.16</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36,719,536.00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39,282,088.16</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158,143.00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12,152,704.51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29,712,358.59</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29,870,501.59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12,152,704.51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9,411,586.57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-12,152,704.51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1,322,241.00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1,322,241.00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1,322,241.00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54,950,136.55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-2,923,773.11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30,643,573.18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33,567,346.29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85,593,709.73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30,643,573.18</w:t>
            </w: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法定代表人：张琲主管会计工作负责人：李洁会计机构负责人：徐波</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260,946,863.81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260,968,443.68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260,946,863.81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260,968,443.68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1,014,214.47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798,616.34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2,131,573.33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193,390.35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656,913.29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240,107,591.61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209,564,407.62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241,099,598.3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213,367,108.71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19,847,265.51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47,601,334.97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2,562,552.16</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2,562,552.16</w:t>
            </w: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2,535,090.00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45,400,000.00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pacing w:val="-1"/>
                <w:sz w:val="18"/>
              </w:rPr>
              <w:t>20,000,000.00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47,935,090.00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-17,437,447.84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-47,935,090.00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2,409,817.67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-333,755.03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245,094.05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578,849.08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2,654,911.72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245,094.05</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法定代表人：张琲主管会计工作负责人：李洁会计机构负责人：徐波</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0"/>
          <w:footerReference w:type="default" r:id="rId31"/>
          <w:pgSz w:w="16840" w:h="11910" w:orient="landscape"/>
          <w:pgMar w:header="882" w:footer="1195" w:top="1120" w:bottom="1380" w:left="1360" w:right="1220"/>
          <w:pgNumType w:start="67"/>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394,793</w:t>
            </w:r>
          </w:p>
          <w:p>
            <w:pPr>
              <w:pStyle w:val="TableParagraph"/>
              <w:spacing w:line="234" w:lineRule="exact"/>
              <w:ind w:left="381" w:right="0"/>
              <w:jc w:val="left"/>
              <w:rPr>
                <w:rFonts w:ascii="宋体" w:hAnsi="宋体" w:cs="宋体" w:eastAsia="宋体" w:hint="default"/>
                <w:sz w:val="18"/>
                <w:szCs w:val="18"/>
              </w:rPr>
            </w:pPr>
            <w:r>
              <w:rPr>
                <w:rFonts w:ascii="宋体"/>
                <w:sz w:val="18"/>
              </w:rPr>
              <w:t>,708</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455,886</w:t>
            </w:r>
          </w:p>
          <w:p>
            <w:pPr>
              <w:pStyle w:val="TableParagraph"/>
              <w:spacing w:line="234" w:lineRule="exact"/>
              <w:ind w:left="124" w:right="0"/>
              <w:jc w:val="left"/>
              <w:rPr>
                <w:rFonts w:ascii="宋体" w:hAnsi="宋体" w:cs="宋体" w:eastAsia="宋体" w:hint="default"/>
                <w:sz w:val="18"/>
                <w:szCs w:val="18"/>
              </w:rPr>
            </w:pPr>
            <w:r>
              <w:rPr>
                <w:rFonts w:ascii="宋体"/>
                <w:sz w:val="18"/>
              </w:rPr>
              <w:t>,012.27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38,483,</w:t>
            </w:r>
          </w:p>
          <w:p>
            <w:pPr>
              <w:pStyle w:val="TableParagraph"/>
              <w:spacing w:line="234" w:lineRule="exact"/>
              <w:ind w:left="220" w:right="0"/>
              <w:jc w:val="left"/>
              <w:rPr>
                <w:rFonts w:ascii="宋体" w:hAnsi="宋体" w:cs="宋体" w:eastAsia="宋体" w:hint="default"/>
                <w:sz w:val="18"/>
                <w:szCs w:val="18"/>
              </w:rPr>
            </w:pPr>
            <w:r>
              <w:rPr>
                <w:rFonts w:ascii="宋体"/>
                <w:sz w:val="18"/>
              </w:rPr>
              <w:t>861.71</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-814,70</w:t>
            </w:r>
          </w:p>
          <w:p>
            <w:pPr>
              <w:pStyle w:val="TableParagraph"/>
              <w:spacing w:line="233" w:lineRule="exact"/>
              <w:ind w:right="100"/>
              <w:jc w:val="right"/>
              <w:rPr>
                <w:rFonts w:ascii="宋体" w:hAnsi="宋体" w:cs="宋体" w:eastAsia="宋体" w:hint="default"/>
                <w:sz w:val="18"/>
                <w:szCs w:val="18"/>
              </w:rPr>
            </w:pPr>
            <w:r>
              <w:rPr>
                <w:rFonts w:ascii="宋体"/>
                <w:sz w:val="18"/>
              </w:rPr>
              <w:t>6,315.1</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349,506.8</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74,806,77</w:t>
            </w:r>
          </w:p>
          <w:p>
            <w:pPr>
              <w:pStyle w:val="TableParagraph"/>
              <w:spacing w:line="234" w:lineRule="exact"/>
              <w:ind w:left="622" w:right="0"/>
              <w:jc w:val="left"/>
              <w:rPr>
                <w:rFonts w:ascii="宋体" w:hAnsi="宋体" w:cs="宋体" w:eastAsia="宋体" w:hint="default"/>
                <w:sz w:val="18"/>
                <w:szCs w:val="18"/>
              </w:rPr>
            </w:pPr>
            <w:r>
              <w:rPr>
                <w:rFonts w:ascii="宋体"/>
                <w:sz w:val="18"/>
              </w:rPr>
              <w:t>3.71</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394,793</w:t>
            </w:r>
          </w:p>
          <w:p>
            <w:pPr>
              <w:pStyle w:val="TableParagraph"/>
              <w:spacing w:line="234" w:lineRule="exact"/>
              <w:ind w:left="381" w:right="0"/>
              <w:jc w:val="left"/>
              <w:rPr>
                <w:rFonts w:ascii="宋体" w:hAnsi="宋体" w:cs="宋体" w:eastAsia="宋体" w:hint="default"/>
                <w:sz w:val="18"/>
                <w:szCs w:val="18"/>
              </w:rPr>
            </w:pPr>
            <w:r>
              <w:rPr>
                <w:rFonts w:ascii="宋体"/>
                <w:sz w:val="18"/>
              </w:rPr>
              <w:t>,708</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455,886</w:t>
            </w:r>
          </w:p>
          <w:p>
            <w:pPr>
              <w:pStyle w:val="TableParagraph"/>
              <w:spacing w:line="234" w:lineRule="exact"/>
              <w:ind w:left="124" w:right="0"/>
              <w:jc w:val="left"/>
              <w:rPr>
                <w:rFonts w:ascii="宋体" w:hAnsi="宋体" w:cs="宋体" w:eastAsia="宋体" w:hint="default"/>
                <w:sz w:val="18"/>
                <w:szCs w:val="18"/>
              </w:rPr>
            </w:pPr>
            <w:r>
              <w:rPr>
                <w:rFonts w:ascii="宋体"/>
                <w:sz w:val="18"/>
              </w:rPr>
              <w:t>,012.27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38,483,</w:t>
            </w:r>
          </w:p>
          <w:p>
            <w:pPr>
              <w:pStyle w:val="TableParagraph"/>
              <w:spacing w:line="234" w:lineRule="exact"/>
              <w:ind w:left="220" w:right="0"/>
              <w:jc w:val="left"/>
              <w:rPr>
                <w:rFonts w:ascii="宋体" w:hAnsi="宋体" w:cs="宋体" w:eastAsia="宋体" w:hint="default"/>
                <w:sz w:val="18"/>
                <w:szCs w:val="18"/>
              </w:rPr>
            </w:pPr>
            <w:r>
              <w:rPr>
                <w:rFonts w:ascii="宋体"/>
                <w:sz w:val="18"/>
              </w:rPr>
              <w:t>861.71</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-814,70</w:t>
            </w:r>
          </w:p>
          <w:p>
            <w:pPr>
              <w:pStyle w:val="TableParagraph"/>
              <w:spacing w:line="233" w:lineRule="exact"/>
              <w:ind w:right="100"/>
              <w:jc w:val="right"/>
              <w:rPr>
                <w:rFonts w:ascii="宋体" w:hAnsi="宋体" w:cs="宋体" w:eastAsia="宋体" w:hint="default"/>
                <w:sz w:val="18"/>
                <w:szCs w:val="18"/>
              </w:rPr>
            </w:pPr>
            <w:r>
              <w:rPr>
                <w:rFonts w:ascii="宋体"/>
                <w:sz w:val="18"/>
              </w:rPr>
              <w:t>6,315.1</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349,506.8</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74,806,77</w:t>
            </w:r>
          </w:p>
          <w:p>
            <w:pPr>
              <w:pStyle w:val="TableParagraph"/>
              <w:spacing w:line="234" w:lineRule="exact"/>
              <w:ind w:left="622" w:right="0"/>
              <w:jc w:val="left"/>
              <w:rPr>
                <w:rFonts w:ascii="宋体" w:hAnsi="宋体" w:cs="宋体" w:eastAsia="宋体" w:hint="default"/>
                <w:sz w:val="18"/>
                <w:szCs w:val="18"/>
              </w:rPr>
            </w:pPr>
            <w:r>
              <w:rPr>
                <w:rFonts w:ascii="宋体"/>
                <w:sz w:val="18"/>
              </w:rPr>
              <w:t>3.71</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7" w:right="0"/>
              <w:jc w:val="center"/>
              <w:rPr>
                <w:rFonts w:ascii="宋体" w:hAnsi="宋体" w:cs="宋体" w:eastAsia="宋体" w:hint="default"/>
                <w:sz w:val="18"/>
                <w:szCs w:val="18"/>
              </w:rPr>
            </w:pPr>
            <w:r>
              <w:rPr>
                <w:rFonts w:ascii="宋体"/>
                <w:sz w:val="18"/>
              </w:rPr>
              <w:t>3,169,0</w:t>
            </w:r>
          </w:p>
          <w:p>
            <w:pPr>
              <w:pStyle w:val="TableParagraph"/>
              <w:spacing w:line="240" w:lineRule="auto"/>
              <w:ind w:left="207" w:right="0"/>
              <w:jc w:val="center"/>
              <w:rPr>
                <w:rFonts w:ascii="宋体" w:hAnsi="宋体" w:cs="宋体" w:eastAsia="宋体" w:hint="default"/>
                <w:sz w:val="18"/>
                <w:szCs w:val="18"/>
              </w:rPr>
            </w:pPr>
            <w:r>
              <w:rPr>
                <w:rFonts w:ascii="宋体"/>
                <w:sz w:val="18"/>
              </w:rPr>
              <w:t>06.41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104,086.4</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3,273,092</w:t>
            </w:r>
          </w:p>
          <w:p>
            <w:pPr>
              <w:pStyle w:val="TableParagraph"/>
              <w:spacing w:line="240" w:lineRule="auto"/>
              <w:ind w:left="710" w:right="0"/>
              <w:jc w:val="left"/>
              <w:rPr>
                <w:rFonts w:ascii="宋体" w:hAnsi="宋体" w:cs="宋体" w:eastAsia="宋体" w:hint="default"/>
                <w:sz w:val="18"/>
                <w:szCs w:val="18"/>
              </w:rPr>
            </w:pPr>
            <w:r>
              <w:rPr>
                <w:rFonts w:ascii="宋体"/>
                <w:sz w:val="18"/>
              </w:rPr>
              <w:t>.88</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 w:right="0"/>
              <w:jc w:val="center"/>
              <w:rPr>
                <w:rFonts w:ascii="宋体" w:hAnsi="宋体" w:cs="宋体" w:eastAsia="宋体" w:hint="default"/>
                <w:sz w:val="18"/>
                <w:szCs w:val="18"/>
              </w:rPr>
            </w:pPr>
            <w:r>
              <w:rPr>
                <w:rFonts w:ascii="宋体"/>
                <w:sz w:val="18"/>
              </w:rPr>
              <w:t>3,169,0</w:t>
            </w:r>
          </w:p>
          <w:p>
            <w:pPr>
              <w:pStyle w:val="TableParagraph"/>
              <w:spacing w:line="234" w:lineRule="exact"/>
              <w:ind w:left="207" w:right="0"/>
              <w:jc w:val="center"/>
              <w:rPr>
                <w:rFonts w:ascii="宋体" w:hAnsi="宋体" w:cs="宋体" w:eastAsia="宋体" w:hint="default"/>
                <w:sz w:val="18"/>
                <w:szCs w:val="18"/>
              </w:rPr>
            </w:pPr>
            <w:r>
              <w:rPr>
                <w:rFonts w:ascii="宋体"/>
                <w:sz w:val="18"/>
              </w:rPr>
              <w:t>06.41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104,086.4</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3,273,092</w:t>
            </w:r>
          </w:p>
          <w:p>
            <w:pPr>
              <w:pStyle w:val="TableParagraph"/>
              <w:spacing w:line="234" w:lineRule="exact"/>
              <w:ind w:left="710" w:right="0"/>
              <w:jc w:val="left"/>
              <w:rPr>
                <w:rFonts w:ascii="宋体" w:hAnsi="宋体" w:cs="宋体" w:eastAsia="宋体" w:hint="default"/>
                <w:sz w:val="18"/>
                <w:szCs w:val="18"/>
              </w:rPr>
            </w:pPr>
            <w:r>
              <w:rPr>
                <w:rFonts w:ascii="宋体"/>
                <w:sz w:val="18"/>
              </w:rPr>
              <w:t>.88</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394,793</w:t>
            </w:r>
          </w:p>
          <w:p>
            <w:pPr>
              <w:pStyle w:val="TableParagraph"/>
              <w:spacing w:line="240" w:lineRule="auto"/>
              <w:ind w:left="381" w:right="0"/>
              <w:jc w:val="left"/>
              <w:rPr>
                <w:rFonts w:ascii="宋体" w:hAnsi="宋体" w:cs="宋体" w:eastAsia="宋体" w:hint="default"/>
                <w:sz w:val="18"/>
                <w:szCs w:val="18"/>
              </w:rPr>
            </w:pPr>
            <w:r>
              <w:rPr>
                <w:rFonts w:ascii="宋体"/>
                <w:sz w:val="18"/>
              </w:rPr>
              <w:t>,708</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455,886</w:t>
            </w:r>
          </w:p>
          <w:p>
            <w:pPr>
              <w:pStyle w:val="TableParagraph"/>
              <w:spacing w:line="240" w:lineRule="auto"/>
              <w:ind w:left="124" w:right="0"/>
              <w:jc w:val="left"/>
              <w:rPr>
                <w:rFonts w:ascii="宋体" w:hAnsi="宋体" w:cs="宋体" w:eastAsia="宋体" w:hint="default"/>
                <w:sz w:val="18"/>
                <w:szCs w:val="18"/>
              </w:rPr>
            </w:pPr>
            <w:r>
              <w:rPr>
                <w:rFonts w:ascii="宋体"/>
                <w:sz w:val="18"/>
              </w:rPr>
              <w:t>,012.27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38,483,</w:t>
            </w:r>
          </w:p>
          <w:p>
            <w:pPr>
              <w:pStyle w:val="TableParagraph"/>
              <w:spacing w:line="240" w:lineRule="auto"/>
              <w:ind w:left="220" w:right="0"/>
              <w:jc w:val="left"/>
              <w:rPr>
                <w:rFonts w:ascii="宋体" w:hAnsi="宋体" w:cs="宋体" w:eastAsia="宋体" w:hint="default"/>
                <w:sz w:val="18"/>
                <w:szCs w:val="18"/>
              </w:rPr>
            </w:pPr>
            <w:r>
              <w:rPr>
                <w:rFonts w:ascii="宋体"/>
                <w:sz w:val="18"/>
              </w:rPr>
              <w:t>861.71</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-811,53</w:t>
            </w:r>
          </w:p>
          <w:p>
            <w:pPr>
              <w:pStyle w:val="TableParagraph"/>
              <w:spacing w:line="234" w:lineRule="exact"/>
              <w:ind w:right="100"/>
              <w:jc w:val="right"/>
              <w:rPr>
                <w:rFonts w:ascii="宋体" w:hAnsi="宋体" w:cs="宋体" w:eastAsia="宋体" w:hint="default"/>
                <w:sz w:val="18"/>
                <w:szCs w:val="18"/>
              </w:rPr>
            </w:pPr>
            <w:r>
              <w:rPr>
                <w:rFonts w:ascii="宋体"/>
                <w:sz w:val="18"/>
              </w:rPr>
              <w:t>7,308.7</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453,593.3</w:t>
            </w:r>
          </w:p>
          <w:p>
            <w:pPr>
              <w:pStyle w:val="TableParagraph"/>
              <w:spacing w:line="240" w:lineRule="auto"/>
              <w:ind w:right="102"/>
              <w:jc w:val="right"/>
              <w:rPr>
                <w:rFonts w:ascii="宋体" w:hAnsi="宋体" w:cs="宋体" w:eastAsia="宋体" w:hint="default"/>
                <w:sz w:val="18"/>
                <w:szCs w:val="18"/>
              </w:rPr>
            </w:pPr>
            <w:r>
              <w:rPr>
                <w:rFonts w:ascii="宋体"/>
                <w:sz w:val="18"/>
              </w:rPr>
              <w:t>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78,079,86</w:t>
            </w:r>
          </w:p>
          <w:p>
            <w:pPr>
              <w:pStyle w:val="TableParagraph"/>
              <w:spacing w:line="240" w:lineRule="auto"/>
              <w:ind w:left="622" w:right="0"/>
              <w:jc w:val="left"/>
              <w:rPr>
                <w:rFonts w:ascii="宋体" w:hAnsi="宋体" w:cs="宋体" w:eastAsia="宋体" w:hint="default"/>
                <w:sz w:val="18"/>
                <w:szCs w:val="18"/>
              </w:rPr>
            </w:pPr>
            <w:r>
              <w:rPr>
                <w:rFonts w:ascii="宋体"/>
                <w:sz w:val="18"/>
              </w:rPr>
              <w:t>6.59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3"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394,793</w:t>
            </w:r>
          </w:p>
          <w:p>
            <w:pPr>
              <w:pStyle w:val="TableParagraph"/>
              <w:spacing w:line="234" w:lineRule="exact"/>
              <w:ind w:left="395" w:right="0"/>
              <w:jc w:val="left"/>
              <w:rPr>
                <w:rFonts w:ascii="宋体" w:hAnsi="宋体" w:cs="宋体" w:eastAsia="宋体" w:hint="default"/>
                <w:sz w:val="18"/>
                <w:szCs w:val="18"/>
              </w:rPr>
            </w:pPr>
            <w:r>
              <w:rPr>
                <w:rFonts w:ascii="宋体"/>
                <w:sz w:val="18"/>
              </w:rPr>
              <w:t>,708</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388,023</w:t>
            </w:r>
          </w:p>
          <w:p>
            <w:pPr>
              <w:pStyle w:val="TableParagraph"/>
              <w:spacing w:line="234" w:lineRule="exact"/>
              <w:ind w:left="127" w:right="0"/>
              <w:jc w:val="left"/>
              <w:rPr>
                <w:rFonts w:ascii="宋体" w:hAnsi="宋体" w:cs="宋体" w:eastAsia="宋体" w:hint="default"/>
                <w:sz w:val="18"/>
                <w:szCs w:val="18"/>
              </w:rPr>
            </w:pPr>
            <w:r>
              <w:rPr>
                <w:rFonts w:ascii="宋体"/>
                <w:sz w:val="18"/>
              </w:rPr>
              <w:t>,103.37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38,483,</w:t>
            </w:r>
          </w:p>
          <w:p>
            <w:pPr>
              <w:pStyle w:val="TableParagraph"/>
              <w:spacing w:line="234" w:lineRule="exact"/>
              <w:ind w:left="218" w:right="0"/>
              <w:jc w:val="left"/>
              <w:rPr>
                <w:rFonts w:ascii="宋体" w:hAnsi="宋体" w:cs="宋体" w:eastAsia="宋体" w:hint="default"/>
                <w:sz w:val="18"/>
                <w:szCs w:val="18"/>
              </w:rPr>
            </w:pPr>
            <w:r>
              <w:rPr>
                <w:rFonts w:ascii="宋体"/>
                <w:sz w:val="18"/>
              </w:rPr>
              <w:t>861.71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-788,34</w:t>
            </w:r>
          </w:p>
          <w:p>
            <w:pPr>
              <w:pStyle w:val="TableParagraph"/>
              <w:spacing w:line="234" w:lineRule="exact"/>
              <w:ind w:right="98"/>
              <w:jc w:val="right"/>
              <w:rPr>
                <w:rFonts w:ascii="宋体" w:hAnsi="宋体" w:cs="宋体" w:eastAsia="宋体" w:hint="default"/>
                <w:sz w:val="18"/>
                <w:szCs w:val="18"/>
              </w:rPr>
            </w:pPr>
            <w:r>
              <w:rPr>
                <w:rFonts w:ascii="宋体"/>
                <w:sz w:val="18"/>
              </w:rPr>
              <w:t>7,444.4</w:t>
            </w:r>
          </w:p>
          <w:p>
            <w:pPr>
              <w:pStyle w:val="TableParagraph"/>
              <w:spacing w:line="240" w:lineRule="auto"/>
              <w:ind w:right="101"/>
              <w:jc w:val="right"/>
              <w:rPr>
                <w:rFonts w:ascii="宋体" w:hAnsi="宋体" w:cs="宋体" w:eastAsia="宋体" w:hint="default"/>
                <w:sz w:val="18"/>
                <w:szCs w:val="18"/>
              </w:rPr>
            </w:pPr>
            <w:r>
              <w:rPr>
                <w:rFonts w:ascii="宋体"/>
                <w:sz w:val="18"/>
              </w:rPr>
              <w:t>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494,586.3</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33,447,81</w:t>
            </w:r>
          </w:p>
          <w:p>
            <w:pPr>
              <w:pStyle w:val="TableParagraph"/>
              <w:spacing w:line="234" w:lineRule="exact"/>
              <w:ind w:left="636" w:right="0"/>
              <w:jc w:val="left"/>
              <w:rPr>
                <w:rFonts w:ascii="宋体" w:hAnsi="宋体" w:cs="宋体" w:eastAsia="宋体" w:hint="default"/>
                <w:sz w:val="18"/>
                <w:szCs w:val="18"/>
              </w:rPr>
            </w:pPr>
            <w:r>
              <w:rPr>
                <w:rFonts w:ascii="宋体"/>
                <w:sz w:val="18"/>
              </w:rPr>
              <w:t>4.97</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394,793</w:t>
            </w:r>
          </w:p>
          <w:p>
            <w:pPr>
              <w:pStyle w:val="TableParagraph"/>
              <w:spacing w:line="234" w:lineRule="exact"/>
              <w:ind w:left="395" w:right="0"/>
              <w:jc w:val="left"/>
              <w:rPr>
                <w:rFonts w:ascii="宋体" w:hAnsi="宋体" w:cs="宋体" w:eastAsia="宋体" w:hint="default"/>
                <w:sz w:val="18"/>
                <w:szCs w:val="18"/>
              </w:rPr>
            </w:pPr>
            <w:r>
              <w:rPr>
                <w:rFonts w:ascii="宋体"/>
                <w:sz w:val="18"/>
              </w:rPr>
              <w:t>,708</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388,023</w:t>
            </w:r>
          </w:p>
          <w:p>
            <w:pPr>
              <w:pStyle w:val="TableParagraph"/>
              <w:spacing w:line="234" w:lineRule="exact"/>
              <w:ind w:left="127" w:right="0"/>
              <w:jc w:val="left"/>
              <w:rPr>
                <w:rFonts w:ascii="宋体" w:hAnsi="宋体" w:cs="宋体" w:eastAsia="宋体" w:hint="default"/>
                <w:sz w:val="18"/>
                <w:szCs w:val="18"/>
              </w:rPr>
            </w:pPr>
            <w:r>
              <w:rPr>
                <w:rFonts w:ascii="宋体"/>
                <w:sz w:val="18"/>
              </w:rPr>
              <w:t>,103.37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38,483,</w:t>
            </w:r>
          </w:p>
          <w:p>
            <w:pPr>
              <w:pStyle w:val="TableParagraph"/>
              <w:spacing w:line="234" w:lineRule="exact"/>
              <w:ind w:left="218" w:right="0"/>
              <w:jc w:val="left"/>
              <w:rPr>
                <w:rFonts w:ascii="宋体" w:hAnsi="宋体" w:cs="宋体" w:eastAsia="宋体" w:hint="default"/>
                <w:sz w:val="18"/>
                <w:szCs w:val="18"/>
              </w:rPr>
            </w:pPr>
            <w:r>
              <w:rPr>
                <w:rFonts w:ascii="宋体"/>
                <w:sz w:val="18"/>
              </w:rPr>
              <w:t>861.71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-788,34</w:t>
            </w:r>
          </w:p>
          <w:p>
            <w:pPr>
              <w:pStyle w:val="TableParagraph"/>
              <w:spacing w:line="233" w:lineRule="exact"/>
              <w:ind w:right="98"/>
              <w:jc w:val="right"/>
              <w:rPr>
                <w:rFonts w:ascii="宋体" w:hAnsi="宋体" w:cs="宋体" w:eastAsia="宋体" w:hint="default"/>
                <w:sz w:val="18"/>
                <w:szCs w:val="18"/>
              </w:rPr>
            </w:pPr>
            <w:r>
              <w:rPr>
                <w:rFonts w:ascii="宋体"/>
                <w:sz w:val="18"/>
              </w:rPr>
              <w:t>7,444.4</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494,586.3</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33,447,81</w:t>
            </w:r>
          </w:p>
          <w:p>
            <w:pPr>
              <w:pStyle w:val="TableParagraph"/>
              <w:spacing w:line="234" w:lineRule="exact"/>
              <w:ind w:left="636" w:right="0"/>
              <w:jc w:val="left"/>
              <w:rPr>
                <w:rFonts w:ascii="宋体" w:hAnsi="宋体" w:cs="宋体" w:eastAsia="宋体" w:hint="default"/>
                <w:sz w:val="18"/>
                <w:szCs w:val="18"/>
              </w:rPr>
            </w:pPr>
            <w:r>
              <w:rPr>
                <w:rFonts w:ascii="宋体"/>
                <w:sz w:val="18"/>
              </w:rPr>
              <w:t>4.97</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67,862,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-26,358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-145,079.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41,358,95</w:t>
            </w:r>
          </w:p>
        </w:tc>
      </w:tr>
    </w:tbl>
    <w:p>
      <w:pPr>
        <w:spacing w:after="0" w:line="205" w:lineRule="exact"/>
        <w:jc w:val="left"/>
        <w:rPr>
          <w:rFonts w:ascii="宋体" w:hAnsi="宋体" w:cs="宋体" w:eastAsia="宋体" w:hint="default"/>
          <w:sz w:val="18"/>
          <w:szCs w:val="18"/>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sz w:val="18"/>
              </w:rPr>
              <w:t>908.9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,870.64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6" w:right="0"/>
              <w:jc w:val="left"/>
              <w:rPr>
                <w:rFonts w:ascii="宋体" w:hAnsi="宋体" w:cs="宋体" w:eastAsia="宋体" w:hint="default"/>
                <w:sz w:val="18"/>
                <w:szCs w:val="18"/>
              </w:rPr>
            </w:pPr>
            <w:r>
              <w:rPr>
                <w:rFonts w:ascii="宋体"/>
                <w:sz w:val="18"/>
              </w:rPr>
              <w:t>8.74</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-26,358</w:t>
            </w:r>
          </w:p>
          <w:p>
            <w:pPr>
              <w:pStyle w:val="TableParagraph"/>
              <w:spacing w:line="240" w:lineRule="auto"/>
              <w:ind w:left="129" w:right="0"/>
              <w:jc w:val="left"/>
              <w:rPr>
                <w:rFonts w:ascii="宋体" w:hAnsi="宋体" w:cs="宋体" w:eastAsia="宋体" w:hint="default"/>
                <w:sz w:val="18"/>
                <w:szCs w:val="18"/>
              </w:rPr>
            </w:pPr>
            <w:r>
              <w:rPr>
                <w:rFonts w:ascii="宋体"/>
                <w:sz w:val="18"/>
              </w:rPr>
              <w:t>,870.64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-145,079.</w:t>
            </w:r>
          </w:p>
          <w:p>
            <w:pPr>
              <w:pStyle w:val="TableParagraph"/>
              <w:spacing w:line="240" w:lineRule="auto"/>
              <w:ind w:right="98"/>
              <w:jc w:val="right"/>
              <w:rPr>
                <w:rFonts w:ascii="宋体" w:hAnsi="宋体" w:cs="宋体" w:eastAsia="宋体" w:hint="default"/>
                <w:sz w:val="18"/>
                <w:szCs w:val="18"/>
              </w:rPr>
            </w:pPr>
            <w:r>
              <w:rPr>
                <w:rFonts w:ascii="宋体"/>
                <w:sz w:val="18"/>
              </w:rPr>
              <w:t>52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-26,503,9</w:t>
            </w:r>
          </w:p>
          <w:p>
            <w:pPr>
              <w:pStyle w:val="TableParagraph"/>
              <w:spacing w:line="240" w:lineRule="auto"/>
              <w:ind w:left="545" w:right="0"/>
              <w:jc w:val="left"/>
              <w:rPr>
                <w:rFonts w:ascii="宋体" w:hAnsi="宋体" w:cs="宋体" w:eastAsia="宋体" w:hint="default"/>
                <w:sz w:val="18"/>
                <w:szCs w:val="18"/>
              </w:rPr>
            </w:pPr>
            <w:r>
              <w:rPr>
                <w:rFonts w:ascii="宋体"/>
                <w:sz w:val="18"/>
              </w:rPr>
              <w:t>50.16</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67,862,</w:t>
            </w:r>
          </w:p>
          <w:p>
            <w:pPr>
              <w:pStyle w:val="TableParagraph"/>
              <w:spacing w:line="234" w:lineRule="exact"/>
              <w:ind w:left="204" w:right="0"/>
              <w:jc w:val="center"/>
              <w:rPr>
                <w:rFonts w:ascii="宋体" w:hAnsi="宋体" w:cs="宋体" w:eastAsia="宋体" w:hint="default"/>
                <w:sz w:val="18"/>
                <w:szCs w:val="18"/>
              </w:rPr>
            </w:pPr>
            <w:r>
              <w:rPr>
                <w:rFonts w:ascii="宋体"/>
                <w:sz w:val="18"/>
              </w:rPr>
              <w:t>908.9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67,862,90</w:t>
            </w:r>
          </w:p>
          <w:p>
            <w:pPr>
              <w:pStyle w:val="TableParagraph"/>
              <w:spacing w:line="234" w:lineRule="exact"/>
              <w:ind w:left="725" w:right="0"/>
              <w:jc w:val="left"/>
              <w:rPr>
                <w:rFonts w:ascii="宋体" w:hAnsi="宋体" w:cs="宋体" w:eastAsia="宋体" w:hint="default"/>
                <w:sz w:val="18"/>
                <w:szCs w:val="18"/>
              </w:rPr>
            </w:pPr>
            <w:r>
              <w:rPr>
                <w:rFonts w:ascii="宋体"/>
                <w:sz w:val="18"/>
              </w:rPr>
              <w:t>8.9</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center"/>
              <w:rPr>
                <w:rFonts w:ascii="宋体" w:hAnsi="宋体" w:cs="宋体" w:eastAsia="宋体" w:hint="default"/>
                <w:sz w:val="18"/>
                <w:szCs w:val="18"/>
              </w:rPr>
            </w:pPr>
            <w:r>
              <w:rPr>
                <w:rFonts w:ascii="宋体"/>
                <w:sz w:val="18"/>
              </w:rPr>
              <w:t>67,862,</w:t>
            </w:r>
          </w:p>
          <w:p>
            <w:pPr>
              <w:pStyle w:val="TableParagraph"/>
              <w:spacing w:line="240" w:lineRule="auto"/>
              <w:ind w:left="204" w:right="0"/>
              <w:jc w:val="center"/>
              <w:rPr>
                <w:rFonts w:ascii="宋体" w:hAnsi="宋体" w:cs="宋体" w:eastAsia="宋体" w:hint="default"/>
                <w:sz w:val="18"/>
                <w:szCs w:val="18"/>
              </w:rPr>
            </w:pPr>
            <w:r>
              <w:rPr>
                <w:rFonts w:ascii="宋体"/>
                <w:sz w:val="18"/>
              </w:rPr>
              <w:t>908.9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67,862,90</w:t>
            </w:r>
          </w:p>
          <w:p>
            <w:pPr>
              <w:pStyle w:val="TableParagraph"/>
              <w:spacing w:line="240" w:lineRule="auto"/>
              <w:ind w:left="725" w:right="0"/>
              <w:jc w:val="left"/>
              <w:rPr>
                <w:rFonts w:ascii="宋体" w:hAnsi="宋体" w:cs="宋体" w:eastAsia="宋体" w:hint="default"/>
                <w:sz w:val="18"/>
                <w:szCs w:val="18"/>
              </w:rPr>
            </w:pPr>
            <w:r>
              <w:rPr>
                <w:rFonts w:ascii="宋体"/>
                <w:sz w:val="18"/>
              </w:rPr>
              <w:t>8.9</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394,793</w:t>
            </w:r>
          </w:p>
          <w:p>
            <w:pPr>
              <w:pStyle w:val="TableParagraph"/>
              <w:spacing w:line="240" w:lineRule="auto"/>
              <w:ind w:left="395" w:right="0"/>
              <w:jc w:val="left"/>
              <w:rPr>
                <w:rFonts w:ascii="宋体" w:hAnsi="宋体" w:cs="宋体" w:eastAsia="宋体" w:hint="default"/>
                <w:sz w:val="18"/>
                <w:szCs w:val="18"/>
              </w:rPr>
            </w:pPr>
            <w:r>
              <w:rPr>
                <w:rFonts w:ascii="宋体"/>
                <w:sz w:val="18"/>
              </w:rPr>
              <w:t>,708</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455,886</w:t>
            </w:r>
          </w:p>
          <w:p>
            <w:pPr>
              <w:pStyle w:val="TableParagraph"/>
              <w:spacing w:line="240" w:lineRule="auto"/>
              <w:ind w:left="127" w:right="0"/>
              <w:jc w:val="left"/>
              <w:rPr>
                <w:rFonts w:ascii="宋体" w:hAnsi="宋体" w:cs="宋体" w:eastAsia="宋体" w:hint="default"/>
                <w:sz w:val="18"/>
                <w:szCs w:val="18"/>
              </w:rPr>
            </w:pPr>
            <w:r>
              <w:rPr>
                <w:rFonts w:ascii="宋体"/>
                <w:sz w:val="18"/>
              </w:rPr>
              <w:t>,012.27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38,483,</w:t>
            </w:r>
          </w:p>
          <w:p>
            <w:pPr>
              <w:pStyle w:val="TableParagraph"/>
              <w:spacing w:line="240" w:lineRule="auto"/>
              <w:ind w:left="218" w:right="0"/>
              <w:jc w:val="left"/>
              <w:rPr>
                <w:rFonts w:ascii="宋体" w:hAnsi="宋体" w:cs="宋体" w:eastAsia="宋体" w:hint="default"/>
                <w:sz w:val="18"/>
                <w:szCs w:val="18"/>
              </w:rPr>
            </w:pPr>
            <w:r>
              <w:rPr>
                <w:rFonts w:ascii="宋体"/>
                <w:sz w:val="18"/>
              </w:rPr>
              <w:t>861.71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-814,70</w:t>
            </w:r>
          </w:p>
          <w:p>
            <w:pPr>
              <w:pStyle w:val="TableParagraph"/>
              <w:spacing w:line="234" w:lineRule="exact"/>
              <w:ind w:right="98"/>
              <w:jc w:val="right"/>
              <w:rPr>
                <w:rFonts w:ascii="宋体" w:hAnsi="宋体" w:cs="宋体" w:eastAsia="宋体" w:hint="default"/>
                <w:sz w:val="18"/>
                <w:szCs w:val="18"/>
              </w:rPr>
            </w:pPr>
            <w:r>
              <w:rPr>
                <w:rFonts w:ascii="宋体"/>
                <w:sz w:val="18"/>
              </w:rPr>
              <w:t>6,315.1</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349,506.8</w:t>
            </w:r>
          </w:p>
          <w:p>
            <w:pPr>
              <w:pStyle w:val="TableParagraph"/>
              <w:spacing w:line="240" w:lineRule="auto"/>
              <w:ind w:right="102"/>
              <w:jc w:val="right"/>
              <w:rPr>
                <w:rFonts w:ascii="宋体" w:hAnsi="宋体" w:cs="宋体" w:eastAsia="宋体" w:hint="default"/>
                <w:sz w:val="18"/>
                <w:szCs w:val="18"/>
              </w:rPr>
            </w:pPr>
            <w:r>
              <w:rPr>
                <w:rFonts w:ascii="宋体"/>
                <w:sz w:val="18"/>
              </w:rPr>
              <w:t>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74,806,77</w:t>
            </w:r>
          </w:p>
          <w:p>
            <w:pPr>
              <w:pStyle w:val="TableParagraph"/>
              <w:spacing w:line="240" w:lineRule="auto"/>
              <w:ind w:left="636" w:right="0"/>
              <w:jc w:val="left"/>
              <w:rPr>
                <w:rFonts w:ascii="宋体" w:hAnsi="宋体" w:cs="宋体" w:eastAsia="宋体" w:hint="default"/>
                <w:sz w:val="18"/>
                <w:szCs w:val="18"/>
              </w:rPr>
            </w:pPr>
            <w:r>
              <w:rPr>
                <w:rFonts w:ascii="宋体"/>
                <w:sz w:val="18"/>
              </w:rPr>
              <w:t>3.71</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184" w:right="0"/>
        <w:jc w:val="left"/>
      </w:pPr>
      <w:r>
        <w:rPr/>
        <w:t>法定代表人：张琲主管会计工作负责人：李洁会计机构负责人：徐波</w:t>
      </w:r>
    </w:p>
    <w:p>
      <w:pPr>
        <w:spacing w:after="0" w:line="240" w:lineRule="auto"/>
        <w:jc w:val="left"/>
        <w:sectPr>
          <w:pgSz w:w="16840" w:h="11910" w:orient="landscape"/>
          <w:pgMar w:header="882" w:footer="1195" w:top="1120" w:bottom="1380" w:left="1340" w:right="122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2"/>
          <w:pgSz w:w="16840" w:h="11910" w:orient="landscape"/>
          <w:pgMar w:footer="1195" w:header="882" w:top="1120" w:bottom="1380" w:left="1360" w:right="1280"/>
        </w:sectPr>
      </w:pPr>
    </w:p>
    <w:p>
      <w:pPr>
        <w:spacing w:before="36"/>
        <w:ind w:left="632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80"/>
          <w:cols w:num="2" w:equalWidth="0">
            <w:col w:w="8251" w:space="40"/>
            <w:col w:w="590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0"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394,793,7</w:t>
            </w:r>
          </w:p>
          <w:p>
            <w:pPr>
              <w:pStyle w:val="TableParagraph"/>
              <w:spacing w:line="234" w:lineRule="exact"/>
              <w:ind w:right="99"/>
              <w:jc w:val="right"/>
              <w:rPr>
                <w:rFonts w:ascii="宋体" w:hAnsi="宋体" w:cs="宋体" w:eastAsia="宋体" w:hint="default"/>
                <w:sz w:val="18"/>
                <w:szCs w:val="18"/>
              </w:rPr>
            </w:pPr>
            <w:r>
              <w:rPr>
                <w:rFonts w:ascii="宋体"/>
                <w:sz w:val="18"/>
              </w:rPr>
              <w:t>08</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455,886,0</w:t>
            </w:r>
          </w:p>
          <w:p>
            <w:pPr>
              <w:pStyle w:val="TableParagraph"/>
              <w:spacing w:line="234" w:lineRule="exact"/>
              <w:ind w:left="472" w:right="0"/>
              <w:jc w:val="left"/>
              <w:rPr>
                <w:rFonts w:ascii="宋体" w:hAnsi="宋体" w:cs="宋体" w:eastAsia="宋体" w:hint="default"/>
                <w:sz w:val="18"/>
                <w:szCs w:val="18"/>
              </w:rPr>
            </w:pPr>
            <w:r>
              <w:rPr>
                <w:rFonts w:ascii="宋体"/>
                <w:sz w:val="18"/>
              </w:rPr>
              <w:t>12.27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-812,328</w:t>
            </w:r>
          </w:p>
          <w:p>
            <w:pPr>
              <w:pStyle w:val="TableParagraph"/>
              <w:spacing w:line="234" w:lineRule="exact"/>
              <w:ind w:left="261" w:right="0"/>
              <w:jc w:val="left"/>
              <w:rPr>
                <w:rFonts w:ascii="宋体" w:hAnsi="宋体" w:cs="宋体" w:eastAsia="宋体" w:hint="default"/>
                <w:sz w:val="18"/>
                <w:szCs w:val="18"/>
              </w:rPr>
            </w:pPr>
            <w:r>
              <w:rPr>
                <w:rFonts w:ascii="宋体"/>
                <w:sz w:val="18"/>
              </w:rPr>
              <w:t>,479.05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76,835,10</w:t>
            </w:r>
          </w:p>
          <w:p>
            <w:pPr>
              <w:pStyle w:val="TableParagraph"/>
              <w:spacing w:line="234" w:lineRule="exact"/>
              <w:ind w:left="552" w:right="0"/>
              <w:jc w:val="left"/>
              <w:rPr>
                <w:rFonts w:ascii="宋体" w:hAnsi="宋体" w:cs="宋体" w:eastAsia="宋体" w:hint="default"/>
                <w:sz w:val="18"/>
                <w:szCs w:val="18"/>
              </w:rPr>
            </w:pPr>
            <w:r>
              <w:rPr>
                <w:rFonts w:ascii="宋体"/>
                <w:sz w:val="18"/>
              </w:rPr>
              <w:t>2.93</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394,793,7</w:t>
            </w:r>
          </w:p>
          <w:p>
            <w:pPr>
              <w:pStyle w:val="TableParagraph"/>
              <w:spacing w:line="234" w:lineRule="exact"/>
              <w:ind w:right="99"/>
              <w:jc w:val="right"/>
              <w:rPr>
                <w:rFonts w:ascii="宋体" w:hAnsi="宋体" w:cs="宋体" w:eastAsia="宋体" w:hint="default"/>
                <w:sz w:val="18"/>
                <w:szCs w:val="18"/>
              </w:rPr>
            </w:pPr>
            <w:r>
              <w:rPr>
                <w:rFonts w:ascii="宋体"/>
                <w:sz w:val="18"/>
              </w:rPr>
              <w:t>08</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455,886,0</w:t>
            </w:r>
          </w:p>
          <w:p>
            <w:pPr>
              <w:pStyle w:val="TableParagraph"/>
              <w:spacing w:line="234" w:lineRule="exact"/>
              <w:ind w:left="472" w:right="0"/>
              <w:jc w:val="left"/>
              <w:rPr>
                <w:rFonts w:ascii="宋体" w:hAnsi="宋体" w:cs="宋体" w:eastAsia="宋体" w:hint="default"/>
                <w:sz w:val="18"/>
                <w:szCs w:val="18"/>
              </w:rPr>
            </w:pPr>
            <w:r>
              <w:rPr>
                <w:rFonts w:ascii="宋体"/>
                <w:sz w:val="18"/>
              </w:rPr>
              <w:t>12.27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-812,328</w:t>
            </w:r>
          </w:p>
          <w:p>
            <w:pPr>
              <w:pStyle w:val="TableParagraph"/>
              <w:spacing w:line="234" w:lineRule="exact"/>
              <w:ind w:left="261" w:right="0"/>
              <w:jc w:val="left"/>
              <w:rPr>
                <w:rFonts w:ascii="宋体" w:hAnsi="宋体" w:cs="宋体" w:eastAsia="宋体" w:hint="default"/>
                <w:sz w:val="18"/>
                <w:szCs w:val="18"/>
              </w:rPr>
            </w:pPr>
            <w:r>
              <w:rPr>
                <w:rFonts w:ascii="宋体"/>
                <w:sz w:val="18"/>
              </w:rPr>
              <w:t>,479.05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76,835,10</w:t>
            </w:r>
          </w:p>
          <w:p>
            <w:pPr>
              <w:pStyle w:val="TableParagraph"/>
              <w:spacing w:line="234" w:lineRule="exact"/>
              <w:ind w:left="552" w:right="0"/>
              <w:jc w:val="left"/>
              <w:rPr>
                <w:rFonts w:ascii="宋体" w:hAnsi="宋体" w:cs="宋体" w:eastAsia="宋体" w:hint="default"/>
                <w:sz w:val="18"/>
                <w:szCs w:val="18"/>
              </w:rPr>
            </w:pPr>
            <w:r>
              <w:rPr>
                <w:rFonts w:ascii="宋体"/>
                <w:sz w:val="18"/>
              </w:rPr>
              <w:t>2.93</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-15,474,</w:t>
            </w:r>
          </w:p>
          <w:p>
            <w:pPr>
              <w:pStyle w:val="TableParagraph"/>
              <w:spacing w:line="234" w:lineRule="exact"/>
              <w:ind w:left="252" w:right="0"/>
              <w:jc w:val="center"/>
              <w:rPr>
                <w:rFonts w:ascii="宋体" w:hAnsi="宋体" w:cs="宋体" w:eastAsia="宋体" w:hint="default"/>
                <w:sz w:val="18"/>
                <w:szCs w:val="18"/>
              </w:rPr>
            </w:pPr>
            <w:r>
              <w:rPr>
                <w:rFonts w:ascii="宋体"/>
                <w:sz w:val="18"/>
              </w:rPr>
              <w:t>772.02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-15,474,7</w:t>
            </w:r>
          </w:p>
          <w:p>
            <w:pPr>
              <w:pStyle w:val="TableParagraph"/>
              <w:spacing w:line="234" w:lineRule="exact"/>
              <w:ind w:left="461" w:right="0"/>
              <w:jc w:val="left"/>
              <w:rPr>
                <w:rFonts w:ascii="宋体" w:hAnsi="宋体" w:cs="宋体" w:eastAsia="宋体" w:hint="default"/>
                <w:sz w:val="18"/>
                <w:szCs w:val="18"/>
              </w:rPr>
            </w:pPr>
            <w:r>
              <w:rPr>
                <w:rFonts w:ascii="宋体"/>
                <w:sz w:val="18"/>
              </w:rPr>
              <w:t>72.02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-15,474,</w:t>
            </w:r>
          </w:p>
          <w:p>
            <w:pPr>
              <w:pStyle w:val="TableParagraph"/>
              <w:spacing w:line="240" w:lineRule="auto"/>
              <w:ind w:left="252" w:right="0"/>
              <w:jc w:val="center"/>
              <w:rPr>
                <w:rFonts w:ascii="宋体" w:hAnsi="宋体" w:cs="宋体" w:eastAsia="宋体" w:hint="default"/>
                <w:sz w:val="18"/>
                <w:szCs w:val="18"/>
              </w:rPr>
            </w:pPr>
            <w:r>
              <w:rPr>
                <w:rFonts w:ascii="宋体"/>
                <w:sz w:val="18"/>
              </w:rPr>
              <w:t>772.02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-15,474,7</w:t>
            </w:r>
          </w:p>
          <w:p>
            <w:pPr>
              <w:pStyle w:val="TableParagraph"/>
              <w:spacing w:line="240" w:lineRule="auto"/>
              <w:ind w:left="461" w:right="0"/>
              <w:jc w:val="left"/>
              <w:rPr>
                <w:rFonts w:ascii="宋体" w:hAnsi="宋体" w:cs="宋体" w:eastAsia="宋体" w:hint="default"/>
                <w:sz w:val="18"/>
                <w:szCs w:val="18"/>
              </w:rPr>
            </w:pPr>
            <w:r>
              <w:rPr>
                <w:rFonts w:ascii="宋体"/>
                <w:sz w:val="18"/>
              </w:rPr>
              <w:t>72.02</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60" w:right="1280"/>
        </w:sectPr>
      </w:pP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394,793,7</w:t>
            </w:r>
          </w:p>
          <w:p>
            <w:pPr>
              <w:pStyle w:val="TableParagraph"/>
              <w:spacing w:line="234" w:lineRule="exact"/>
              <w:ind w:right="99"/>
              <w:jc w:val="right"/>
              <w:rPr>
                <w:rFonts w:ascii="宋体" w:hAnsi="宋体" w:cs="宋体" w:eastAsia="宋体" w:hint="default"/>
                <w:sz w:val="18"/>
                <w:szCs w:val="18"/>
              </w:rPr>
            </w:pPr>
            <w:r>
              <w:rPr>
                <w:rFonts w:ascii="宋体"/>
                <w:sz w:val="18"/>
              </w:rPr>
              <w:t>08</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455,886,0</w:t>
            </w:r>
          </w:p>
          <w:p>
            <w:pPr>
              <w:pStyle w:val="TableParagraph"/>
              <w:spacing w:line="234" w:lineRule="exact"/>
              <w:ind w:left="470" w:right="0"/>
              <w:jc w:val="left"/>
              <w:rPr>
                <w:rFonts w:ascii="宋体" w:hAnsi="宋体" w:cs="宋体" w:eastAsia="宋体" w:hint="default"/>
                <w:sz w:val="18"/>
                <w:szCs w:val="18"/>
              </w:rPr>
            </w:pPr>
            <w:r>
              <w:rPr>
                <w:rFonts w:ascii="宋体"/>
                <w:sz w:val="18"/>
              </w:rPr>
              <w:t>12.27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-827,803</w:t>
            </w:r>
          </w:p>
          <w:p>
            <w:pPr>
              <w:pStyle w:val="TableParagraph"/>
              <w:spacing w:line="234" w:lineRule="exact"/>
              <w:ind w:left="261" w:right="0"/>
              <w:jc w:val="left"/>
              <w:rPr>
                <w:rFonts w:ascii="宋体" w:hAnsi="宋体" w:cs="宋体" w:eastAsia="宋体" w:hint="default"/>
                <w:sz w:val="18"/>
                <w:szCs w:val="18"/>
              </w:rPr>
            </w:pPr>
            <w:r>
              <w:rPr>
                <w:rFonts w:ascii="宋体"/>
                <w:sz w:val="18"/>
              </w:rPr>
              <w:t>,251.07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61,360,33</w:t>
            </w:r>
          </w:p>
          <w:p>
            <w:pPr>
              <w:pStyle w:val="TableParagraph"/>
              <w:spacing w:line="234" w:lineRule="exact"/>
              <w:ind w:left="552" w:right="0"/>
              <w:jc w:val="left"/>
              <w:rPr>
                <w:rFonts w:ascii="宋体" w:hAnsi="宋体" w:cs="宋体" w:eastAsia="宋体" w:hint="default"/>
                <w:sz w:val="18"/>
                <w:szCs w:val="18"/>
              </w:rPr>
            </w:pPr>
            <w:r>
              <w:rPr>
                <w:rFonts w:ascii="宋体"/>
                <w:sz w:val="18"/>
              </w:rPr>
              <w:t>0.91</w:t>
            </w:r>
          </w:p>
        </w:tc>
      </w:tr>
    </w:tbl>
    <w:p>
      <w:pPr>
        <w:spacing w:line="240" w:lineRule="auto" w:before="8"/>
        <w:rPr>
          <w:rFonts w:ascii="宋体" w:hAnsi="宋体" w:cs="宋体" w:eastAsia="宋体" w:hint="default"/>
          <w:sz w:val="15"/>
          <w:szCs w:val="15"/>
        </w:rPr>
      </w:pPr>
    </w:p>
    <w:p>
      <w:pPr>
        <w:pStyle w:val="BodyText"/>
        <w:spacing w:line="240" w:lineRule="auto" w:before="36"/>
        <w:ind w:left="164" w:right="0"/>
        <w:jc w:val="left"/>
        <w:rPr>
          <w:rFonts w:ascii="宋体" w:hAnsi="宋体" w:cs="宋体" w:eastAsia="宋体" w:hint="default"/>
        </w:rPr>
      </w:pPr>
      <w:r>
        <w:rPr>
          <w:rFonts w:ascii="宋体"/>
        </w:rPr>
        <w:t>61360330.91</w:t>
      </w:r>
    </w:p>
    <w:p>
      <w:pPr>
        <w:spacing w:line="240" w:lineRule="auto" w:before="4"/>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394,793,7</w:t>
            </w:r>
          </w:p>
          <w:p>
            <w:pPr>
              <w:pStyle w:val="TableParagraph"/>
              <w:spacing w:line="240" w:lineRule="auto"/>
              <w:ind w:right="99"/>
              <w:jc w:val="right"/>
              <w:rPr>
                <w:rFonts w:ascii="宋体" w:hAnsi="宋体" w:cs="宋体" w:eastAsia="宋体" w:hint="default"/>
                <w:sz w:val="18"/>
                <w:szCs w:val="18"/>
              </w:rPr>
            </w:pPr>
            <w:r>
              <w:rPr>
                <w:rFonts w:ascii="宋体"/>
                <w:sz w:val="18"/>
              </w:rPr>
              <w:t>08</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388,023,1</w:t>
            </w:r>
          </w:p>
          <w:p>
            <w:pPr>
              <w:pStyle w:val="TableParagraph"/>
              <w:spacing w:line="240" w:lineRule="auto"/>
              <w:ind w:left="472" w:right="0"/>
              <w:jc w:val="left"/>
              <w:rPr>
                <w:rFonts w:ascii="宋体" w:hAnsi="宋体" w:cs="宋体" w:eastAsia="宋体" w:hint="default"/>
                <w:sz w:val="18"/>
                <w:szCs w:val="18"/>
              </w:rPr>
            </w:pPr>
            <w:r>
              <w:rPr>
                <w:rFonts w:ascii="宋体"/>
                <w:sz w:val="18"/>
              </w:rPr>
              <w:t>03.37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38,483,8</w:t>
            </w:r>
          </w:p>
          <w:p>
            <w:pPr>
              <w:pStyle w:val="TableParagraph"/>
              <w:spacing w:line="240" w:lineRule="auto"/>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-800,559</w:t>
            </w:r>
          </w:p>
          <w:p>
            <w:pPr>
              <w:pStyle w:val="TableParagraph"/>
              <w:spacing w:line="240" w:lineRule="auto"/>
              <w:ind w:left="261" w:right="0"/>
              <w:jc w:val="left"/>
              <w:rPr>
                <w:rFonts w:ascii="宋体" w:hAnsi="宋体" w:cs="宋体" w:eastAsia="宋体" w:hint="default"/>
                <w:sz w:val="18"/>
                <w:szCs w:val="18"/>
              </w:rPr>
            </w:pPr>
            <w:r>
              <w:rPr>
                <w:rFonts w:ascii="宋体"/>
                <w:sz w:val="18"/>
              </w:rPr>
              <w:t>,913.61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20,740,75</w:t>
            </w:r>
          </w:p>
          <w:p>
            <w:pPr>
              <w:pStyle w:val="TableParagraph"/>
              <w:spacing w:line="240" w:lineRule="auto"/>
              <w:ind w:left="552" w:right="0"/>
              <w:jc w:val="left"/>
              <w:rPr>
                <w:rFonts w:ascii="宋体" w:hAnsi="宋体" w:cs="宋体" w:eastAsia="宋体" w:hint="default"/>
                <w:sz w:val="18"/>
                <w:szCs w:val="18"/>
              </w:rPr>
            </w:pPr>
            <w:r>
              <w:rPr>
                <w:rFonts w:ascii="宋体"/>
                <w:sz w:val="18"/>
              </w:rPr>
              <w:t>9.47</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394,793,7</w:t>
            </w:r>
          </w:p>
          <w:p>
            <w:pPr>
              <w:pStyle w:val="TableParagraph"/>
              <w:spacing w:line="234" w:lineRule="exact"/>
              <w:ind w:right="99"/>
              <w:jc w:val="right"/>
              <w:rPr>
                <w:rFonts w:ascii="宋体" w:hAnsi="宋体" w:cs="宋体" w:eastAsia="宋体" w:hint="default"/>
                <w:sz w:val="18"/>
                <w:szCs w:val="18"/>
              </w:rPr>
            </w:pPr>
            <w:r>
              <w:rPr>
                <w:rFonts w:ascii="宋体"/>
                <w:sz w:val="18"/>
              </w:rPr>
              <w:t>08</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sz w:val="18"/>
              </w:rPr>
              <w:t>388,023,1</w:t>
            </w:r>
          </w:p>
          <w:p>
            <w:pPr>
              <w:pStyle w:val="TableParagraph"/>
              <w:spacing w:line="234" w:lineRule="exact"/>
              <w:ind w:left="472" w:right="0"/>
              <w:jc w:val="left"/>
              <w:rPr>
                <w:rFonts w:ascii="宋体" w:hAnsi="宋体" w:cs="宋体" w:eastAsia="宋体" w:hint="default"/>
                <w:sz w:val="18"/>
                <w:szCs w:val="18"/>
              </w:rPr>
            </w:pPr>
            <w:r>
              <w:rPr>
                <w:rFonts w:ascii="宋体"/>
                <w:sz w:val="18"/>
              </w:rPr>
              <w:t>03.37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sz w:val="18"/>
              </w:rPr>
              <w:t>-800,559</w:t>
            </w:r>
          </w:p>
          <w:p>
            <w:pPr>
              <w:pStyle w:val="TableParagraph"/>
              <w:spacing w:line="234" w:lineRule="exact"/>
              <w:ind w:left="261" w:right="0"/>
              <w:jc w:val="left"/>
              <w:rPr>
                <w:rFonts w:ascii="宋体" w:hAnsi="宋体" w:cs="宋体" w:eastAsia="宋体" w:hint="default"/>
                <w:sz w:val="18"/>
                <w:szCs w:val="18"/>
              </w:rPr>
            </w:pPr>
            <w:r>
              <w:rPr>
                <w:rFonts w:ascii="宋体"/>
                <w:sz w:val="18"/>
              </w:rPr>
              <w:t>,913.61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20,740,75</w:t>
            </w:r>
          </w:p>
          <w:p>
            <w:pPr>
              <w:pStyle w:val="TableParagraph"/>
              <w:spacing w:line="234" w:lineRule="exact"/>
              <w:ind w:left="552" w:right="0"/>
              <w:jc w:val="left"/>
              <w:rPr>
                <w:rFonts w:ascii="宋体" w:hAnsi="宋体" w:cs="宋体" w:eastAsia="宋体" w:hint="default"/>
                <w:sz w:val="18"/>
                <w:szCs w:val="18"/>
              </w:rPr>
            </w:pPr>
            <w:r>
              <w:rPr>
                <w:rFonts w:ascii="宋体"/>
                <w:sz w:val="18"/>
              </w:rPr>
              <w:t>9.47</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67,862,90</w:t>
            </w:r>
          </w:p>
          <w:p>
            <w:pPr>
              <w:pStyle w:val="TableParagraph"/>
              <w:spacing w:line="240" w:lineRule="auto"/>
              <w:ind w:left="650" w:right="0"/>
              <w:jc w:val="left"/>
              <w:rPr>
                <w:rFonts w:ascii="宋体" w:hAnsi="宋体" w:cs="宋体" w:eastAsia="宋体" w:hint="default"/>
                <w:sz w:val="18"/>
                <w:szCs w:val="18"/>
              </w:rPr>
            </w:pPr>
            <w:r>
              <w:rPr>
                <w:rFonts w:ascii="宋体"/>
                <w:sz w:val="18"/>
              </w:rPr>
              <w:t>8.9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-11,768,</w:t>
            </w:r>
          </w:p>
          <w:p>
            <w:pPr>
              <w:pStyle w:val="TableParagraph"/>
              <w:spacing w:line="240" w:lineRule="auto"/>
              <w:ind w:left="252" w:right="0"/>
              <w:jc w:val="center"/>
              <w:rPr>
                <w:rFonts w:ascii="宋体" w:hAnsi="宋体" w:cs="宋体" w:eastAsia="宋体" w:hint="default"/>
                <w:sz w:val="18"/>
                <w:szCs w:val="18"/>
              </w:rPr>
            </w:pPr>
            <w:r>
              <w:rPr>
                <w:rFonts w:ascii="宋体"/>
                <w:sz w:val="18"/>
              </w:rPr>
              <w:t>565.44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56,094,34</w:t>
            </w:r>
          </w:p>
          <w:p>
            <w:pPr>
              <w:pStyle w:val="TableParagraph"/>
              <w:spacing w:line="240" w:lineRule="auto"/>
              <w:ind w:left="552" w:right="0"/>
              <w:jc w:val="left"/>
              <w:rPr>
                <w:rFonts w:ascii="宋体" w:hAnsi="宋体" w:cs="宋体" w:eastAsia="宋体" w:hint="default"/>
                <w:sz w:val="18"/>
                <w:szCs w:val="18"/>
              </w:rPr>
            </w:pPr>
            <w:r>
              <w:rPr>
                <w:rFonts w:ascii="宋体"/>
                <w:sz w:val="18"/>
              </w:rPr>
              <w:t>3.46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-11,768,</w:t>
            </w:r>
          </w:p>
          <w:p>
            <w:pPr>
              <w:pStyle w:val="TableParagraph"/>
              <w:spacing w:line="234" w:lineRule="exact"/>
              <w:ind w:left="252" w:right="0"/>
              <w:jc w:val="center"/>
              <w:rPr>
                <w:rFonts w:ascii="宋体" w:hAnsi="宋体" w:cs="宋体" w:eastAsia="宋体" w:hint="default"/>
                <w:sz w:val="18"/>
                <w:szCs w:val="18"/>
              </w:rPr>
            </w:pPr>
            <w:r>
              <w:rPr>
                <w:rFonts w:ascii="宋体"/>
                <w:sz w:val="18"/>
              </w:rPr>
              <w:t>565.44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-11,768,5</w:t>
            </w:r>
          </w:p>
          <w:p>
            <w:pPr>
              <w:pStyle w:val="TableParagraph"/>
              <w:spacing w:line="234" w:lineRule="exact"/>
              <w:ind w:left="461" w:right="0"/>
              <w:jc w:val="left"/>
              <w:rPr>
                <w:rFonts w:ascii="宋体" w:hAnsi="宋体" w:cs="宋体" w:eastAsia="宋体" w:hint="default"/>
                <w:sz w:val="18"/>
                <w:szCs w:val="18"/>
              </w:rPr>
            </w:pPr>
            <w:r>
              <w:rPr>
                <w:rFonts w:ascii="宋体"/>
                <w:sz w:val="18"/>
              </w:rPr>
              <w:t>65.44</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67,862,90</w:t>
            </w:r>
          </w:p>
          <w:p>
            <w:pPr>
              <w:pStyle w:val="TableParagraph"/>
              <w:spacing w:line="234" w:lineRule="exact"/>
              <w:ind w:left="650" w:right="0"/>
              <w:jc w:val="left"/>
              <w:rPr>
                <w:rFonts w:ascii="宋体" w:hAnsi="宋体" w:cs="宋体" w:eastAsia="宋体" w:hint="default"/>
                <w:sz w:val="18"/>
                <w:szCs w:val="18"/>
              </w:rPr>
            </w:pPr>
            <w:r>
              <w:rPr>
                <w:rFonts w:ascii="宋体"/>
                <w:sz w:val="18"/>
              </w:rPr>
              <w:t>8.9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67,862,90</w:t>
            </w:r>
          </w:p>
          <w:p>
            <w:pPr>
              <w:pStyle w:val="TableParagraph"/>
              <w:spacing w:line="234" w:lineRule="exact"/>
              <w:ind w:left="641" w:right="0"/>
              <w:jc w:val="left"/>
              <w:rPr>
                <w:rFonts w:ascii="宋体" w:hAnsi="宋体" w:cs="宋体" w:eastAsia="宋体" w:hint="default"/>
                <w:sz w:val="18"/>
                <w:szCs w:val="18"/>
              </w:rPr>
            </w:pPr>
            <w:r>
              <w:rPr>
                <w:rFonts w:ascii="宋体"/>
                <w:sz w:val="18"/>
              </w:rPr>
              <w:t>8.9</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67,862,90</w:t>
            </w:r>
          </w:p>
          <w:p>
            <w:pPr>
              <w:pStyle w:val="TableParagraph"/>
              <w:spacing w:line="234" w:lineRule="exact"/>
              <w:ind w:left="650" w:right="0"/>
              <w:jc w:val="left"/>
              <w:rPr>
                <w:rFonts w:ascii="宋体" w:hAnsi="宋体" w:cs="宋体" w:eastAsia="宋体" w:hint="default"/>
                <w:sz w:val="18"/>
                <w:szCs w:val="18"/>
              </w:rPr>
            </w:pPr>
            <w:r>
              <w:rPr>
                <w:rFonts w:ascii="宋体"/>
                <w:sz w:val="18"/>
              </w:rPr>
              <w:t>8.9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67,862,90</w:t>
            </w:r>
          </w:p>
          <w:p>
            <w:pPr>
              <w:pStyle w:val="TableParagraph"/>
              <w:spacing w:line="234" w:lineRule="exact"/>
              <w:ind w:left="641" w:right="0"/>
              <w:jc w:val="left"/>
              <w:rPr>
                <w:rFonts w:ascii="宋体" w:hAnsi="宋体" w:cs="宋体" w:eastAsia="宋体" w:hint="default"/>
                <w:sz w:val="18"/>
                <w:szCs w:val="18"/>
              </w:rPr>
            </w:pPr>
            <w:r>
              <w:rPr>
                <w:rFonts w:ascii="宋体"/>
                <w:sz w:val="18"/>
              </w:rPr>
              <w:t>8.9</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3"/>
          <w:pgSz w:w="16840" w:h="11910" w:orient="landscape"/>
          <w:pgMar w:footer="1195" w:header="882" w:top="1120" w:bottom="1380" w:left="1360" w:right="1280"/>
          <w:pgNumType w:start="71"/>
        </w:sectPr>
      </w:pPr>
    </w:p>
    <w:p>
      <w:pPr>
        <w:spacing w:line="240" w:lineRule="auto" w:before="8"/>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394,793,7</w:t>
            </w:r>
          </w:p>
          <w:p>
            <w:pPr>
              <w:pStyle w:val="TableParagraph"/>
              <w:spacing w:line="234" w:lineRule="exact"/>
              <w:ind w:right="99"/>
              <w:jc w:val="right"/>
              <w:rPr>
                <w:rFonts w:ascii="宋体" w:hAnsi="宋体" w:cs="宋体" w:eastAsia="宋体" w:hint="default"/>
                <w:sz w:val="18"/>
                <w:szCs w:val="18"/>
              </w:rPr>
            </w:pPr>
            <w:r>
              <w:rPr>
                <w:rFonts w:ascii="宋体"/>
                <w:sz w:val="18"/>
              </w:rPr>
              <w:t>08</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455,886,0</w:t>
            </w:r>
          </w:p>
          <w:p>
            <w:pPr>
              <w:pStyle w:val="TableParagraph"/>
              <w:spacing w:line="234" w:lineRule="exact"/>
              <w:ind w:left="470" w:right="0"/>
              <w:jc w:val="left"/>
              <w:rPr>
                <w:rFonts w:ascii="宋体" w:hAnsi="宋体" w:cs="宋体" w:eastAsia="宋体" w:hint="default"/>
                <w:sz w:val="18"/>
                <w:szCs w:val="18"/>
              </w:rPr>
            </w:pPr>
            <w:r>
              <w:rPr>
                <w:rFonts w:ascii="宋体"/>
                <w:sz w:val="18"/>
              </w:rPr>
              <w:t>12.27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38,483,8</w:t>
            </w:r>
          </w:p>
          <w:p>
            <w:pPr>
              <w:pStyle w:val="TableParagraph"/>
              <w:spacing w:line="234" w:lineRule="exact"/>
              <w:ind w:left="455"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-812,328</w:t>
            </w:r>
          </w:p>
          <w:p>
            <w:pPr>
              <w:pStyle w:val="TableParagraph"/>
              <w:spacing w:line="234" w:lineRule="exact"/>
              <w:ind w:left="261" w:right="0"/>
              <w:jc w:val="left"/>
              <w:rPr>
                <w:rFonts w:ascii="宋体" w:hAnsi="宋体" w:cs="宋体" w:eastAsia="宋体" w:hint="default"/>
                <w:sz w:val="18"/>
                <w:szCs w:val="18"/>
              </w:rPr>
            </w:pPr>
            <w:r>
              <w:rPr>
                <w:rFonts w:ascii="宋体"/>
                <w:sz w:val="18"/>
              </w:rPr>
              <w:t>,479.05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76,835,10</w:t>
            </w:r>
          </w:p>
          <w:p>
            <w:pPr>
              <w:pStyle w:val="TableParagraph"/>
              <w:spacing w:line="234" w:lineRule="exact"/>
              <w:ind w:left="552" w:right="0"/>
              <w:jc w:val="left"/>
              <w:rPr>
                <w:rFonts w:ascii="宋体" w:hAnsi="宋体" w:cs="宋体" w:eastAsia="宋体" w:hint="default"/>
                <w:sz w:val="18"/>
                <w:szCs w:val="18"/>
              </w:rPr>
            </w:pPr>
            <w:r>
              <w:rPr>
                <w:rFonts w:ascii="宋体"/>
                <w:sz w:val="18"/>
              </w:rPr>
              <w:t>2.93</w:t>
            </w:r>
          </w:p>
        </w:tc>
      </w:tr>
    </w:tbl>
    <w:p>
      <w:pPr>
        <w:spacing w:line="240" w:lineRule="auto" w:before="5"/>
        <w:rPr>
          <w:rFonts w:ascii="宋体" w:hAnsi="宋体" w:cs="宋体" w:eastAsia="宋体" w:hint="default"/>
          <w:sz w:val="15"/>
          <w:szCs w:val="15"/>
        </w:rPr>
      </w:pPr>
    </w:p>
    <w:p>
      <w:pPr>
        <w:pStyle w:val="BodyText"/>
        <w:spacing w:line="240" w:lineRule="auto" w:before="36"/>
        <w:ind w:left="144" w:right="0"/>
        <w:jc w:val="left"/>
      </w:pPr>
      <w:r>
        <w:rPr/>
        <w:t>法定代表人：张琲主管会计工作负责人：李洁会计机构负责人：徐波</w:t>
      </w:r>
    </w:p>
    <w:p>
      <w:pPr>
        <w:spacing w:after="0" w:line="240" w:lineRule="auto"/>
        <w:jc w:val="left"/>
        <w:sectPr>
          <w:pgSz w:w="16840" w:h="11910" w:orient="landscape"/>
          <w:pgMar w:header="882" w:footer="1195" w:top="1120" w:bottom="1380" w:left="13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557" w:val="left" w:leader="none"/>
        </w:tabs>
        <w:spacing w:line="290" w:lineRule="auto" w:before="175"/>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3" w:lineRule="exact" w:before="14"/>
        <w:ind w:left="138" w:right="0"/>
        <w:jc w:val="left"/>
      </w:pPr>
      <w:r>
        <w:rPr/>
        <w:t>√适用</w:t>
      </w:r>
      <w:r>
        <w:rPr>
          <w:spacing w:val="-1"/>
        </w:rPr>
        <w:t> </w:t>
      </w:r>
      <w:r>
        <w:rPr/>
        <w:t>□不适用</w:t>
      </w:r>
    </w:p>
    <w:p>
      <w:pPr>
        <w:pStyle w:val="BodyText"/>
        <w:spacing w:line="357" w:lineRule="auto"/>
        <w:ind w:left="138" w:right="127" w:firstLine="419"/>
        <w:jc w:val="both"/>
      </w:pPr>
      <w:r>
        <w:rPr>
          <w:spacing w:val="-5"/>
        </w:rPr>
        <w:t>广西慧金科技股份有限公司（以下简称“公司”或“本公司”）</w:t>
      </w:r>
      <w:r>
        <w:rPr>
          <w:spacing w:val="30"/>
        </w:rPr>
        <w:t> </w:t>
      </w:r>
      <w:r>
        <w:rPr/>
        <w:t>原名广西北生药业股份有限</w:t>
      </w:r>
      <w:r>
        <w:rPr>
          <w:w w:val="100"/>
        </w:rPr>
        <w:t> </w:t>
      </w:r>
      <w:r>
        <w:rPr>
          <w:spacing w:val="-2"/>
        </w:rPr>
        <w:t>公司</w:t>
      </w:r>
      <w:r>
        <w:rPr>
          <w:rFonts w:ascii="宋体" w:hAnsi="宋体" w:cs="宋体" w:eastAsia="宋体" w:hint="default"/>
          <w:spacing w:val="-2"/>
        </w:rPr>
        <w:t>(</w:t>
      </w:r>
      <w:r>
        <w:rPr>
          <w:spacing w:val="-2"/>
        </w:rPr>
        <w:t>以下简称“北生药业”)。公司的前身是北海通发实业股份有限公司，是经广西壮族自治区</w:t>
      </w:r>
      <w:r>
        <w:rPr>
          <w:spacing w:val="-29"/>
        </w:rPr>
        <w:t> </w:t>
      </w:r>
      <w:r>
        <w:rPr>
          <w:spacing w:val="-29"/>
        </w:rPr>
      </w:r>
      <w:r>
        <w:rPr/>
        <w:t>人民政府以“桂体改股字</w:t>
      </w:r>
      <w:r>
        <w:rPr>
          <w:rFonts w:ascii="宋体" w:hAnsi="宋体" w:cs="宋体" w:eastAsia="宋体" w:hint="default"/>
        </w:rPr>
        <w:t>(1993)106</w:t>
      </w:r>
      <w:r>
        <w:rPr>
          <w:rFonts w:ascii="宋体" w:hAnsi="宋体" w:cs="宋体" w:eastAsia="宋体" w:hint="default"/>
          <w:spacing w:val="-54"/>
        </w:rPr>
        <w:t> </w:t>
      </w:r>
      <w:r>
        <w:rPr>
          <w:spacing w:val="-7"/>
        </w:rPr>
        <w:t>号”文批准，于</w:t>
      </w:r>
      <w:r>
        <w:rPr>
          <w:spacing w:val="-54"/>
        </w:rPr>
        <w:t> </w:t>
      </w:r>
      <w:r>
        <w:rPr>
          <w:rFonts w:ascii="宋体" w:hAnsi="宋体" w:cs="宋体" w:eastAsia="宋体" w:hint="default"/>
        </w:rPr>
        <w:t>1993</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2"/>
        </w:rPr>
        <w:t> </w:t>
      </w:r>
      <w:r>
        <w:rPr/>
        <w:t>日以定向募集方式设立的股</w:t>
      </w:r>
      <w:r>
        <w:rPr>
          <w:w w:val="100"/>
        </w:rPr>
        <w:t> </w:t>
      </w:r>
      <w:r>
        <w:rPr/>
        <w:t>份有限公司。</w:t>
      </w:r>
      <w:r>
        <w:rPr>
          <w:rFonts w:ascii="宋体" w:hAnsi="宋体" w:cs="宋体" w:eastAsia="宋体" w:hint="default"/>
        </w:rPr>
        <w:t>1996</w:t>
      </w:r>
      <w:r>
        <w:rPr>
          <w:rFonts w:ascii="宋体" w:hAnsi="宋体" w:cs="宋体" w:eastAsia="宋体" w:hint="default"/>
          <w:spacing w:val="-20"/>
        </w:rPr>
        <w:t> </w:t>
      </w:r>
      <w:r>
        <w:rPr>
          <w:spacing w:val="-3"/>
        </w:rPr>
        <w:t>年本公司按《公司法》进行了规范，经广西壮族自治区人民政府以“桂体改股</w:t>
      </w:r>
      <w:r>
        <w:rPr>
          <w:spacing w:val="-88"/>
        </w:rPr>
        <w:t> </w:t>
      </w:r>
      <w:r>
        <w:rPr>
          <w:spacing w:val="-88"/>
        </w:rPr>
      </w:r>
      <w:r>
        <w:rPr/>
        <w:t>字</w:t>
      </w:r>
      <w:r>
        <w:rPr>
          <w:rFonts w:ascii="宋体" w:hAnsi="宋体" w:cs="宋体" w:eastAsia="宋体" w:hint="default"/>
        </w:rPr>
        <w:t>(1996)83</w:t>
      </w:r>
      <w:r>
        <w:rPr>
          <w:rFonts w:ascii="宋体" w:hAnsi="宋体" w:cs="宋体" w:eastAsia="宋体" w:hint="default"/>
          <w:spacing w:val="-44"/>
        </w:rPr>
        <w:t> </w:t>
      </w:r>
      <w:r>
        <w:rPr>
          <w:spacing w:val="-3"/>
        </w:rPr>
        <w:t>号”文批准，公司总股本</w:t>
      </w:r>
      <w:r>
        <w:rPr>
          <w:spacing w:val="-42"/>
        </w:rPr>
        <w:t> </w:t>
      </w:r>
      <w:r>
        <w:rPr>
          <w:rFonts w:ascii="宋体" w:hAnsi="宋体" w:cs="宋体" w:eastAsia="宋体" w:hint="default"/>
        </w:rPr>
        <w:t>1,158.5</w:t>
      </w:r>
      <w:r>
        <w:rPr>
          <w:rFonts w:ascii="宋体" w:hAnsi="宋体" w:cs="宋体" w:eastAsia="宋体" w:hint="default"/>
          <w:spacing w:val="-46"/>
        </w:rPr>
        <w:t> </w:t>
      </w:r>
      <w:r>
        <w:rPr>
          <w:spacing w:val="-3"/>
        </w:rPr>
        <w:t>万人民币元，其中法人股</w:t>
      </w:r>
      <w:r>
        <w:rPr>
          <w:spacing w:val="-44"/>
        </w:rPr>
        <w:t> </w:t>
      </w:r>
      <w:r>
        <w:rPr>
          <w:rFonts w:ascii="宋体" w:hAnsi="宋体" w:cs="宋体" w:eastAsia="宋体" w:hint="default"/>
        </w:rPr>
        <w:t>1,150</w:t>
      </w:r>
      <w:r>
        <w:rPr>
          <w:rFonts w:ascii="宋体" w:hAnsi="宋体" w:cs="宋体" w:eastAsia="宋体" w:hint="default"/>
          <w:spacing w:val="-42"/>
        </w:rPr>
        <w:t> </w:t>
      </w:r>
      <w:r>
        <w:rPr>
          <w:spacing w:val="-4"/>
        </w:rPr>
        <w:t>万人民币元，内部</w:t>
      </w:r>
    </w:p>
    <w:p>
      <w:pPr>
        <w:pStyle w:val="BodyText"/>
        <w:spacing w:line="240" w:lineRule="auto" w:before="31"/>
        <w:ind w:left="138" w:right="0"/>
        <w:jc w:val="left"/>
      </w:pPr>
      <w:r>
        <w:rPr/>
        <w:t>职工股</w:t>
      </w:r>
      <w:r>
        <w:rPr>
          <w:spacing w:val="-53"/>
        </w:rPr>
        <w:t> </w:t>
      </w:r>
      <w:r>
        <w:rPr>
          <w:rFonts w:ascii="宋体" w:hAnsi="宋体" w:cs="宋体" w:eastAsia="宋体" w:hint="default"/>
        </w:rPr>
        <w:t>8.5</w:t>
      </w:r>
      <w:r>
        <w:rPr>
          <w:rFonts w:ascii="宋体" w:hAnsi="宋体" w:cs="宋体" w:eastAsia="宋体" w:hint="default"/>
          <w:spacing w:val="-55"/>
        </w:rPr>
        <w:t> </w:t>
      </w:r>
      <w:r>
        <w:rPr/>
        <w:t>万人民币元，并在广西壮族自治区工商行政管理局进行了登记。</w:t>
      </w:r>
    </w:p>
    <w:p>
      <w:pPr>
        <w:pStyle w:val="BodyText"/>
        <w:spacing w:line="355" w:lineRule="auto" w:before="135"/>
        <w:ind w:left="138" w:right="130" w:firstLine="419"/>
        <w:jc w:val="both"/>
      </w:pPr>
      <w:r>
        <w:rPr/>
        <w:t>截至</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0"/>
        </w:rPr>
        <w:t> </w:t>
      </w:r>
      <w:r>
        <w:rPr>
          <w:spacing w:val="-6"/>
        </w:rPr>
        <w:t>日，本公司累计股本总数</w:t>
      </w:r>
      <w:r>
        <w:rPr>
          <w:spacing w:val="-49"/>
        </w:rPr>
        <w:t> </w:t>
      </w:r>
      <w:r>
        <w:rPr>
          <w:rFonts w:ascii="宋体" w:hAnsi="宋体" w:cs="宋体" w:eastAsia="宋体" w:hint="default"/>
        </w:rPr>
        <w:t>39,479.37</w:t>
      </w:r>
      <w:r>
        <w:rPr>
          <w:rFonts w:ascii="宋体" w:hAnsi="宋体" w:cs="宋体" w:eastAsia="宋体" w:hint="default"/>
          <w:spacing w:val="-52"/>
        </w:rPr>
        <w:t> </w:t>
      </w:r>
      <w:r>
        <w:rPr>
          <w:spacing w:val="-8"/>
        </w:rPr>
        <w:t>万股，注册资本为</w:t>
      </w:r>
      <w:r>
        <w:rPr>
          <w:spacing w:val="-49"/>
        </w:rPr>
        <w:t> </w:t>
      </w:r>
      <w:r>
        <w:rPr>
          <w:rFonts w:ascii="宋体" w:hAnsi="宋体" w:cs="宋体" w:eastAsia="宋体" w:hint="default"/>
        </w:rPr>
        <w:t>39,479.37</w:t>
      </w:r>
      <w:r>
        <w:rPr>
          <w:rFonts w:ascii="宋体" w:hAnsi="宋体" w:cs="宋体" w:eastAsia="宋体" w:hint="default"/>
          <w:spacing w:val="-52"/>
        </w:rPr>
        <w:t> </w:t>
      </w:r>
      <w:r>
        <w:rPr/>
        <w:t>万元</w:t>
      </w:r>
      <w:r>
        <w:rPr>
          <w:w w:val="100"/>
        </w:rPr>
        <w:t> </w:t>
      </w:r>
      <w:r>
        <w:rPr/>
        <w:t>公司注册地为广西北海市，总部地址位于广西北海市。</w:t>
      </w:r>
    </w:p>
    <w:p>
      <w:pPr>
        <w:pStyle w:val="BodyText"/>
        <w:spacing w:line="355" w:lineRule="auto" w:before="32"/>
        <w:ind w:left="138" w:right="137" w:firstLine="419"/>
        <w:jc w:val="both"/>
      </w:pPr>
      <w:r>
        <w:rPr>
          <w:spacing w:val="-2"/>
        </w:rPr>
        <w:t>经营范围：通信技术、信息科技、计算机、电子科技的技术开发、技术服务、技术咨询，计</w:t>
      </w:r>
      <w:r>
        <w:rPr>
          <w:w w:val="100"/>
        </w:rPr>
        <w:t> </w:t>
      </w:r>
      <w:r>
        <w:rPr>
          <w:spacing w:val="-2"/>
        </w:rPr>
        <w:t>算机网络工程，计算机软硬件开发，通讯器材、自动化控制系统的销售、设计、安装及售后服务</w:t>
      </w:r>
    </w:p>
    <w:p>
      <w:pPr>
        <w:pStyle w:val="BodyText"/>
        <w:spacing w:line="357" w:lineRule="auto" w:before="32"/>
        <w:ind w:left="138" w:right="0"/>
        <w:jc w:val="left"/>
      </w:pPr>
      <w:r>
        <w:rPr/>
        <w:t>（以上项目不含互联网上网服务）。</w:t>
      </w:r>
      <w:r>
        <w:rPr>
          <w:w w:val="100"/>
        </w:rPr>
        <w:t> </w:t>
      </w:r>
      <w:r>
        <w:rPr>
          <w:spacing w:val="-2"/>
        </w:rPr>
        <w:t>本公司属电信、广播电视和卫星传输服务行业，主要产品或服务为智慧城市建设相关业务。</w:t>
      </w:r>
    </w:p>
    <w:p>
      <w:pPr>
        <w:spacing w:line="240" w:lineRule="auto" w:before="9"/>
        <w:rPr>
          <w:rFonts w:ascii="宋体" w:hAnsi="宋体" w:cs="宋体" w:eastAsia="宋体" w:hint="default"/>
          <w:sz w:val="27"/>
          <w:szCs w:val="27"/>
        </w:rPr>
      </w:pPr>
    </w:p>
    <w:p>
      <w:pPr>
        <w:pStyle w:val="Heading4"/>
        <w:tabs>
          <w:tab w:pos="557" w:val="left" w:leader="none"/>
        </w:tabs>
        <w:spacing w:line="240" w:lineRule="auto"/>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3" w:lineRule="exact" w:before="58"/>
        <w:ind w:left="138" w:right="0"/>
        <w:jc w:val="left"/>
      </w:pPr>
      <w:r>
        <w:rPr/>
        <w:t>√适用</w:t>
      </w:r>
      <w:r>
        <w:rPr>
          <w:spacing w:val="-1"/>
        </w:rPr>
        <w:t> </w:t>
      </w:r>
      <w:r>
        <w:rPr/>
        <w:t>□不适用</w:t>
      </w:r>
    </w:p>
    <w:p>
      <w:pPr>
        <w:pStyle w:val="BodyText"/>
        <w:spacing w:line="273" w:lineRule="exact"/>
        <w:ind w:left="558" w:right="0"/>
        <w:jc w:val="left"/>
      </w:pPr>
      <w:r>
        <w:rPr/>
        <w:pict>
          <v:shape style="position:absolute;margin-left:274.010010pt;margin-top:23.573547pt;width:.48001pt;height:.12pt;mso-position-horizontal-relative:page;mso-position-vertical-relative:paragraph;z-index:-719920" type="#_x0000_t75" stroked="false">
            <v:imagedata r:id="rId36" o:title=""/>
          </v:shape>
        </w:pict>
      </w:r>
      <w:r>
        <w:rPr/>
        <w:pict>
          <v:shape style="position:absolute;margin-left:337.869995pt;margin-top:23.573547pt;width:.47998pt;height:.12pt;mso-position-horizontal-relative:page;mso-position-vertical-relative:paragraph;z-index:-719896" type="#_x0000_t75" stroked="false">
            <v:imagedata r:id="rId36" o:title=""/>
          </v:shape>
        </w:pict>
      </w:r>
      <w:r>
        <w:rPr/>
        <w:pict>
          <v:shape style="position:absolute;margin-left:373.269989pt;margin-top:23.573547pt;width:.48001pt;height:.12pt;mso-position-horizontal-relative:page;mso-position-vertical-relative:paragraph;z-index:-719872" type="#_x0000_t75" stroked="false">
            <v:imagedata r:id="rId36" o:title=""/>
          </v:shape>
        </w:pict>
      </w:r>
      <w:r>
        <w:rPr/>
        <w:pict>
          <v:shape style="position:absolute;margin-left:440.230011pt;margin-top:23.573547pt;width:.48001pt;height:.12pt;mso-position-horizontal-relative:page;mso-position-vertical-relative:paragraph;z-index:-719848" type="#_x0000_t75" stroked="false">
            <v:imagedata r:id="rId36" o:title=""/>
          </v:shape>
        </w:pict>
      </w:r>
      <w:r>
        <w:rPr/>
        <w:pict>
          <v:group style="position:absolute;margin-left:89.903999pt;margin-top:36.173557pt;width:426.45pt;height:5.4pt;mso-position-horizontal-relative:page;mso-position-vertical-relative:paragraph;z-index:-719824" coordorigin="1798,723" coordsize="8529,108">
            <v:shape style="position:absolute;left:1798;top:723;width:3701;height:108" type="#_x0000_t75" stroked="false">
              <v:imagedata r:id="rId37" o:title=""/>
            </v:shape>
            <v:shape style="position:absolute;left:5475;top:819;width:1292;height:12" type="#_x0000_t75" stroked="false">
              <v:imagedata r:id="rId38" o:title=""/>
            </v:shape>
            <v:shape style="position:absolute;left:6753;top:819;width:722;height:12" type="#_x0000_t75" stroked="false">
              <v:imagedata r:id="rId39" o:title=""/>
            </v:shape>
            <v:shape style="position:absolute;left:7461;top:819;width:1354;height:12" type="#_x0000_t75" stroked="false">
              <v:imagedata r:id="rId40" o:title=""/>
            </v:shape>
            <v:shape style="position:absolute;left:8800;top:822;width:1527;height:10" type="#_x0000_t75" stroked="false">
              <v:imagedata r:id="rId41" o:title=""/>
            </v:shape>
            <w10:wrap type="none"/>
          </v:group>
        </w:pict>
      </w:r>
      <w:r>
        <w:rPr/>
        <w:pict>
          <v:group style="position:absolute;margin-left:89.903999pt;margin-top:54.053558pt;width:426.45pt;height:5.55pt;mso-position-horizontal-relative:page;mso-position-vertical-relative:paragraph;z-index:-719800" coordorigin="1798,1081" coordsize="8529,111">
            <v:shape style="position:absolute;left:1798;top:1081;width:3701;height:110" type="#_x0000_t75" stroked="false">
              <v:imagedata r:id="rId42" o:title=""/>
            </v:shape>
            <v:shape style="position:absolute;left:5475;top:1177;width:1292;height:14" type="#_x0000_t75" stroked="false">
              <v:imagedata r:id="rId43" o:title=""/>
            </v:shape>
            <v:shape style="position:absolute;left:6753;top:1177;width:722;height:14" type="#_x0000_t75" stroked="false">
              <v:imagedata r:id="rId44" o:title=""/>
            </v:shape>
            <v:shape style="position:absolute;left:7461;top:1177;width:1354;height:14" type="#_x0000_t75" stroked="false">
              <v:imagedata r:id="rId45" o:title=""/>
            </v:shape>
            <v:shape style="position:absolute;left:8800;top:1182;width:1527;height:10" type="#_x0000_t75" stroked="false">
              <v:imagedata r:id="rId41" o:title=""/>
            </v:shape>
            <w10:wrap type="none"/>
          </v:group>
        </w:pict>
      </w:r>
      <w:r>
        <w:rPr/>
        <w:pict>
          <v:group style="position:absolute;margin-left:89.903999pt;margin-top:72.053558pt;width:426.45pt;height:5.55pt;mso-position-horizontal-relative:page;mso-position-vertical-relative:paragraph;z-index:-719776" coordorigin="1798,1441" coordsize="8529,111">
            <v:shape style="position:absolute;left:1798;top:1441;width:3701;height:110" type="#_x0000_t75" stroked="false">
              <v:imagedata r:id="rId42" o:title=""/>
            </v:shape>
            <v:shape style="position:absolute;left:5475;top:1537;width:1292;height:14" type="#_x0000_t75" stroked="false">
              <v:imagedata r:id="rId43" o:title=""/>
            </v:shape>
            <v:shape style="position:absolute;left:6753;top:1537;width:722;height:14" type="#_x0000_t75" stroked="false">
              <v:imagedata r:id="rId46" o:title=""/>
            </v:shape>
            <v:shape style="position:absolute;left:7461;top:1537;width:1354;height:14" type="#_x0000_t75" stroked="false">
              <v:imagedata r:id="rId45" o:title=""/>
            </v:shape>
            <v:shape style="position:absolute;left:8800;top:1542;width:1527;height:10" type="#_x0000_t75" stroked="false">
              <v:imagedata r:id="rId41" o:title=""/>
            </v:shape>
            <w10:wrap type="none"/>
          </v:group>
        </w:pict>
      </w:r>
      <w:r>
        <w:rPr/>
        <w:pict>
          <v:group style="position:absolute;margin-left:89.903999pt;margin-top:90.053528pt;width:426.45pt;height:5.55pt;mso-position-horizontal-relative:page;mso-position-vertical-relative:paragraph;z-index:-719752" coordorigin="1798,1801" coordsize="8529,111">
            <v:shape style="position:absolute;left:1798;top:1801;width:3701;height:110" type="#_x0000_t75" stroked="false">
              <v:imagedata r:id="rId42" o:title=""/>
            </v:shape>
            <v:shape style="position:absolute;left:5475;top:1897;width:1292;height:14" type="#_x0000_t75" stroked="false">
              <v:imagedata r:id="rId43" o:title=""/>
            </v:shape>
            <v:shape style="position:absolute;left:6753;top:1897;width:722;height:14" type="#_x0000_t75" stroked="false">
              <v:imagedata r:id="rId47" o:title=""/>
            </v:shape>
            <v:shape style="position:absolute;left:7461;top:1897;width:1354;height:14" type="#_x0000_t75" stroked="false">
              <v:imagedata r:id="rId48" o:title=""/>
            </v:shape>
            <v:shape style="position:absolute;left:8800;top:1902;width:1527;height:10" type="#_x0000_t75" stroked="false">
              <v:imagedata r:id="rId41" o:title=""/>
            </v:shape>
            <w10:wrap type="none"/>
          </v:group>
        </w:pict>
      </w:r>
      <w:r>
        <w:rPr/>
        <w:pict>
          <v:group style="position:absolute;margin-left:89.903999pt;margin-top:108.053528pt;width:426.45pt;height:5.55pt;mso-position-horizontal-relative:page;mso-position-vertical-relative:paragraph;z-index:-719728" coordorigin="1798,2161" coordsize="8529,111">
            <v:shape style="position:absolute;left:1798;top:2161;width:3701;height:110" type="#_x0000_t75" stroked="false">
              <v:imagedata r:id="rId42" o:title=""/>
            </v:shape>
            <v:shape style="position:absolute;left:5475;top:2257;width:1292;height:14" type="#_x0000_t75" stroked="false">
              <v:imagedata r:id="rId49" o:title=""/>
            </v:shape>
            <v:shape style="position:absolute;left:6753;top:2257;width:722;height:14" type="#_x0000_t75" stroked="false">
              <v:imagedata r:id="rId50" o:title=""/>
            </v:shape>
            <v:shape style="position:absolute;left:7461;top:2257;width:1354;height:14" type="#_x0000_t75" stroked="false">
              <v:imagedata r:id="rId51" o:title=""/>
            </v:shape>
            <v:shape style="position:absolute;left:8800;top:2262;width:1527;height:10" type="#_x0000_t75" stroked="false">
              <v:imagedata r:id="rId41" o:title=""/>
            </v:shape>
            <w10:wrap type="none"/>
          </v:group>
        </w:pict>
      </w:r>
      <w:r>
        <w:rPr/>
        <w:pict>
          <v:group style="position:absolute;margin-left:89.903999pt;margin-top:126.053528pt;width:426.45pt;height:5.55pt;mso-position-horizontal-relative:page;mso-position-vertical-relative:paragraph;z-index:-719704" coordorigin="1798,2521" coordsize="8529,111">
            <v:shape style="position:absolute;left:1798;top:2521;width:3701;height:110" type="#_x0000_t75" stroked="false">
              <v:imagedata r:id="rId42" o:title=""/>
            </v:shape>
            <v:shape style="position:absolute;left:5475;top:2617;width:1292;height:14" type="#_x0000_t75" stroked="false">
              <v:imagedata r:id="rId52" o:title=""/>
            </v:shape>
            <v:shape style="position:absolute;left:6753;top:2617;width:722;height:14" type="#_x0000_t75" stroked="false">
              <v:imagedata r:id="rId50" o:title=""/>
            </v:shape>
            <v:shape style="position:absolute;left:7461;top:2617;width:1354;height:14" type="#_x0000_t75" stroked="false">
              <v:imagedata r:id="rId45" o:title=""/>
            </v:shape>
            <v:shape style="position:absolute;left:8800;top:2622;width:1527;height:10" type="#_x0000_t75" stroked="false">
              <v:imagedata r:id="rId41" o:title=""/>
            </v:shape>
            <w10:wrap type="none"/>
          </v:group>
        </w:pict>
      </w:r>
      <w:r>
        <w:rPr/>
        <w:pict>
          <v:group style="position:absolute;margin-left:89.903999pt;margin-top:144.083588pt;width:426.45pt;height:5.55pt;mso-position-horizontal-relative:page;mso-position-vertical-relative:paragraph;z-index:-719680" coordorigin="1798,2882" coordsize="8529,111">
            <v:shape style="position:absolute;left:1798;top:2882;width:3701;height:110" type="#_x0000_t75" stroked="false">
              <v:imagedata r:id="rId42" o:title=""/>
            </v:shape>
            <v:shape style="position:absolute;left:5475;top:2978;width:1292;height:14" type="#_x0000_t75" stroked="false">
              <v:imagedata r:id="rId53" o:title=""/>
            </v:shape>
            <v:shape style="position:absolute;left:6753;top:2978;width:722;height:14" type="#_x0000_t75" stroked="false">
              <v:imagedata r:id="rId54" o:title=""/>
            </v:shape>
            <v:shape style="position:absolute;left:7461;top:2978;width:1354;height:14" type="#_x0000_t75" stroked="false">
              <v:imagedata r:id="rId48" o:title=""/>
            </v:shape>
            <v:shape style="position:absolute;left:8800;top:2982;width:1527;height:10" type="#_x0000_t75" stroked="false">
              <v:imagedata r:id="rId41" o:title=""/>
            </v:shape>
            <w10:wrap type="none"/>
          </v:group>
        </w:pict>
      </w:r>
      <w:r>
        <w:rPr/>
        <w:pict>
          <v:group style="position:absolute;margin-left:89.903999pt;margin-top:162.083588pt;width:426.45pt;height:5.55pt;mso-position-horizontal-relative:page;mso-position-vertical-relative:paragraph;z-index:-719656" coordorigin="1798,3242" coordsize="8529,111">
            <v:shape style="position:absolute;left:1798;top:3242;width:3701;height:110" type="#_x0000_t75" stroked="false">
              <v:imagedata r:id="rId42" o:title=""/>
            </v:shape>
            <v:shape style="position:absolute;left:5475;top:3342;width:1282;height:10" type="#_x0000_t75" stroked="false">
              <v:imagedata r:id="rId55" o:title=""/>
            </v:shape>
            <v:shape style="position:absolute;left:6753;top:3338;width:722;height:14" type="#_x0000_t75" stroked="false">
              <v:imagedata r:id="rId50" o:title=""/>
            </v:shape>
            <v:shape style="position:absolute;left:7461;top:3338;width:1354;height:14" type="#_x0000_t75" stroked="false">
              <v:imagedata r:id="rId45" o:title=""/>
            </v:shape>
            <v:shape style="position:absolute;left:8800;top:3342;width:1527;height:10" type="#_x0000_t75" stroked="false">
              <v:imagedata r:id="rId41" o:title=""/>
            </v:shape>
            <w10:wrap type="none"/>
          </v:group>
        </w:pict>
      </w:r>
      <w:r>
        <w:rPr/>
        <w:t>本期纳入合并财务报表范围的主体共</w:t>
      </w:r>
      <w:r>
        <w:rPr>
          <w:spacing w:val="-54"/>
        </w:rPr>
        <w:t> </w:t>
      </w:r>
      <w:r>
        <w:rPr>
          <w:rFonts w:ascii="宋体" w:hAnsi="宋体" w:cs="宋体" w:eastAsia="宋体" w:hint="default"/>
          <w:color w:val="0000CC"/>
        </w:rPr>
        <w:t>15</w:t>
      </w:r>
      <w:r>
        <w:rPr>
          <w:rFonts w:ascii="宋体" w:hAnsi="宋体" w:cs="宋体" w:eastAsia="宋体" w:hint="default"/>
          <w:color w:val="0000CC"/>
          <w:spacing w:val="-56"/>
        </w:rPr>
        <w:t> </w:t>
      </w:r>
      <w:r>
        <w:rPr/>
        <w:t>户，具体包括</w:t>
      </w:r>
      <w:r>
        <w:rPr>
          <w:color w:val="0000CC"/>
        </w:rPr>
        <w:t>：</w:t>
      </w:r>
      <w:r>
        <w:rPr/>
      </w:r>
    </w:p>
    <w:p>
      <w:pPr>
        <w:spacing w:line="240" w:lineRule="auto" w:before="13"/>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701"/>
        <w:gridCol w:w="1277"/>
        <w:gridCol w:w="708"/>
        <w:gridCol w:w="1339"/>
        <w:gridCol w:w="1517"/>
      </w:tblGrid>
      <w:tr>
        <w:trPr>
          <w:trHeight w:val="266" w:hRule="exact"/>
        </w:trPr>
        <w:tc>
          <w:tcPr>
            <w:tcW w:w="3701" w:type="dxa"/>
            <w:tcBorders>
              <w:top w:val="single" w:sz="12" w:space="0" w:color="000000"/>
              <w:left w:val="nil" w:sz="6" w:space="0" w:color="auto"/>
              <w:bottom w:val="nil" w:sz="6" w:space="0" w:color="auto"/>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03" w:lineRule="exact"/>
              <w:ind w:left="18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08" w:type="dxa"/>
            <w:tcBorders>
              <w:top w:val="single" w:sz="12" w:space="0" w:color="000000"/>
              <w:left w:val="single" w:sz="4" w:space="0" w:color="000000"/>
              <w:bottom w:val="nil" w:sz="6" w:space="0" w:color="auto"/>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级次</w:t>
            </w:r>
          </w:p>
        </w:tc>
        <w:tc>
          <w:tcPr>
            <w:tcW w:w="1339" w:type="dxa"/>
            <w:tcBorders>
              <w:top w:val="single" w:sz="12" w:space="0" w:color="000000"/>
              <w:left w:val="single" w:sz="4" w:space="0" w:color="000000"/>
              <w:bottom w:val="nil" w:sz="6" w:space="0" w:color="auto"/>
              <w:right w:val="single" w:sz="4" w:space="0" w:color="000000"/>
            </w:tcBorders>
          </w:tcPr>
          <w:p>
            <w:pPr>
              <w:pStyle w:val="TableParagraph"/>
              <w:spacing w:line="215" w:lineRule="exact"/>
              <w:ind w:left="81"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17" w:type="dxa"/>
            <w:tcBorders>
              <w:top w:val="single" w:sz="12" w:space="0" w:color="000000"/>
              <w:left w:val="single" w:sz="4" w:space="0" w:color="000000"/>
              <w:bottom w:val="nil" w:sz="6" w:space="0" w:color="auto"/>
              <w:right w:val="nil" w:sz="6" w:space="0" w:color="auto"/>
            </w:tcBorders>
          </w:tcPr>
          <w:p>
            <w:pPr>
              <w:pStyle w:val="TableParagraph"/>
              <w:spacing w:line="215" w:lineRule="exact"/>
              <w:ind w:left="84"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358"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南宁市智诚合讯信息技术有限公司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智诚合讯信息技术（徐州）有限公司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二级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慧球科技（重庆）有限公司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84" w:right="0"/>
              <w:jc w:val="center"/>
              <w:rPr>
                <w:rFonts w:ascii="Arial Narrow" w:hAnsi="Arial Narrow" w:cs="Arial Narrow" w:eastAsia="Arial Narrow" w:hint="default"/>
                <w:sz w:val="18"/>
                <w:szCs w:val="18"/>
              </w:rPr>
            </w:pPr>
            <w:r>
              <w:rPr>
                <w:rFonts w:ascii="Arial Narrow"/>
                <w:sz w:val="18"/>
              </w:rPr>
              <w:t>80.00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0" w:right="0"/>
              <w:jc w:val="center"/>
              <w:rPr>
                <w:rFonts w:ascii="Arial Narrow" w:hAnsi="Arial Narrow" w:cs="Arial Narrow" w:eastAsia="Arial Narrow" w:hint="default"/>
                <w:sz w:val="18"/>
                <w:szCs w:val="18"/>
              </w:rPr>
            </w:pPr>
            <w:r>
              <w:rPr>
                <w:rFonts w:ascii="Arial Narrow"/>
                <w:sz w:val="18"/>
              </w:rPr>
              <w:t>85.71</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湖北科赛威供应链管理有限公司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慧金科技（深圳）有限公司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淮南市慧球科技有限公司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慧球科技（靖江）有限公司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
              <w:jc w:val="center"/>
              <w:rPr>
                <w:rFonts w:ascii="Arial Narrow" w:hAnsi="Arial Narrow" w:cs="Arial Narrow" w:eastAsia="Arial Narrow" w:hint="default"/>
                <w:sz w:val="18"/>
                <w:szCs w:val="18"/>
              </w:rPr>
            </w:pPr>
            <w:r>
              <w:rPr>
                <w:rFonts w:ascii="Arial Narrow"/>
                <w:sz w:val="18"/>
              </w:rPr>
              <w:t>90.00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0" w:right="0"/>
              <w:jc w:val="center"/>
              <w:rPr>
                <w:rFonts w:ascii="Arial Narrow" w:hAnsi="Arial Narrow" w:cs="Arial Narrow" w:eastAsia="Arial Narrow" w:hint="default"/>
                <w:sz w:val="18"/>
                <w:szCs w:val="18"/>
              </w:rPr>
            </w:pPr>
            <w:r>
              <w:rPr>
                <w:rFonts w:ascii="Arial Narrow"/>
                <w:sz w:val="18"/>
              </w:rPr>
              <w:t>90.00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沈阳慧球科技有限公司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
              <w:jc w:val="center"/>
              <w:rPr>
                <w:rFonts w:ascii="Arial Narrow" w:hAnsi="Arial Narrow" w:cs="Arial Narrow" w:eastAsia="Arial Narrow" w:hint="default"/>
                <w:sz w:val="18"/>
                <w:szCs w:val="18"/>
              </w:rPr>
            </w:pPr>
            <w:r>
              <w:rPr>
                <w:rFonts w:ascii="Arial Narrow"/>
                <w:sz w:val="18"/>
              </w:rPr>
              <w:t>90.00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3"/>
              <w:jc w:val="center"/>
              <w:rPr>
                <w:rFonts w:ascii="Arial Narrow" w:hAnsi="Arial Narrow" w:cs="Arial Narrow" w:eastAsia="Arial Narrow" w:hint="default"/>
                <w:sz w:val="18"/>
                <w:szCs w:val="18"/>
              </w:rPr>
            </w:pPr>
            <w:r>
              <w:rPr>
                <w:rFonts w:ascii="Arial Narrow"/>
                <w:sz w:val="18"/>
              </w:rPr>
              <w:t>90.00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慧球科技（华容）有限公司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7" w:right="0"/>
              <w:jc w:val="center"/>
              <w:rPr>
                <w:rFonts w:ascii="Arial Narrow" w:hAnsi="Arial Narrow" w:cs="Arial Narrow" w:eastAsia="Arial Narrow" w:hint="default"/>
                <w:sz w:val="22"/>
                <w:szCs w:val="22"/>
              </w:rPr>
            </w:pPr>
            <w:r>
              <w:rPr>
                <w:rFonts w:ascii="Arial Narrow"/>
                <w:sz w:val="22"/>
              </w:rPr>
              <w:t>93.75</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50" w:lineRule="exact"/>
              <w:ind w:left="103" w:right="0"/>
              <w:jc w:val="center"/>
              <w:rPr>
                <w:rFonts w:ascii="Arial Narrow" w:hAnsi="Arial Narrow" w:cs="Arial Narrow" w:eastAsia="Arial Narrow" w:hint="default"/>
                <w:sz w:val="22"/>
                <w:szCs w:val="22"/>
              </w:rPr>
            </w:pPr>
            <w:r>
              <w:rPr>
                <w:rFonts w:ascii="Arial Narrow"/>
                <w:sz w:val="22"/>
              </w:rPr>
              <w:t>93.75</w:t>
            </w:r>
          </w:p>
        </w:tc>
      </w:tr>
      <w:tr>
        <w:trPr>
          <w:trHeight w:val="101"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杭州郡原物业服务有限公司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一级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304"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建德郡原物业服务有限公司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二级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82" w:right="0"/>
              <w:jc w:val="center"/>
              <w:rPr>
                <w:rFonts w:ascii="Arial Narrow" w:hAnsi="Arial Narrow" w:cs="Arial Narrow" w:eastAsia="Arial Narrow" w:hint="default"/>
                <w:sz w:val="18"/>
                <w:szCs w:val="18"/>
              </w:rPr>
            </w:pPr>
            <w:r>
              <w:rPr>
                <w:rFonts w:ascii="Arial Narrow"/>
                <w:sz w:val="18"/>
              </w:rPr>
              <w:t>100.00</w:t>
            </w:r>
          </w:p>
        </w:tc>
      </w:tr>
      <w:tr>
        <w:trPr>
          <w:trHeight w:val="308"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成都山外山物业管理有限公司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二级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湖南郡原物业服务有限公司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二级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left="82" w:right="0"/>
              <w:jc w:val="center"/>
              <w:rPr>
                <w:rFonts w:ascii="Arial Narrow" w:hAnsi="Arial Narrow" w:cs="Arial Narrow" w:eastAsia="Arial Narrow" w:hint="default"/>
                <w:sz w:val="18"/>
                <w:szCs w:val="18"/>
              </w:rPr>
            </w:pPr>
            <w:r>
              <w:rPr>
                <w:rFonts w:ascii="Arial Narrow"/>
                <w:sz w:val="18"/>
              </w:rPr>
              <w:t>100.00</w:t>
            </w:r>
          </w:p>
        </w:tc>
      </w:tr>
      <w:tr>
        <w:trPr>
          <w:trHeight w:val="110" w:hRule="exact"/>
        </w:trPr>
        <w:tc>
          <w:tcPr>
            <w:tcW w:w="370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慧金股权投资基金管理成都有限公司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二级</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left="82" w:right="0"/>
              <w:jc w:val="center"/>
              <w:rPr>
                <w:rFonts w:ascii="Arial Narrow" w:hAnsi="Arial Narrow" w:cs="Arial Narrow" w:eastAsia="Arial Narrow" w:hint="default"/>
                <w:sz w:val="18"/>
                <w:szCs w:val="18"/>
              </w:rPr>
            </w:pPr>
            <w:r>
              <w:rPr>
                <w:rFonts w:ascii="Arial Narrow"/>
                <w:sz w:val="18"/>
              </w:rPr>
              <w:t>100.00</w:t>
            </w:r>
          </w:p>
        </w:tc>
      </w:tr>
      <w:tr>
        <w:trPr>
          <w:trHeight w:val="365" w:hRule="exact"/>
        </w:trPr>
        <w:tc>
          <w:tcPr>
            <w:tcW w:w="3701" w:type="dxa"/>
            <w:tcBorders>
              <w:top w:val="nil" w:sz="6" w:space="0" w:color="auto"/>
              <w:left w:val="nil" w:sz="6" w:space="0" w:color="auto"/>
              <w:bottom w:val="single" w:sz="12"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鲲鹏未来资产管理成都有限公司</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8" w:type="dxa"/>
            <w:tcBorders>
              <w:top w:val="nil" w:sz="6" w:space="0" w:color="auto"/>
              <w:left w:val="single" w:sz="4" w:space="0" w:color="000000"/>
              <w:bottom w:val="single" w:sz="12"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二级</w:t>
            </w:r>
          </w:p>
        </w:tc>
        <w:tc>
          <w:tcPr>
            <w:tcW w:w="133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9"/>
              <w:ind w:left="86" w:right="0"/>
              <w:jc w:val="center"/>
              <w:rPr>
                <w:rFonts w:ascii="Arial Narrow" w:hAnsi="Arial Narrow" w:cs="Arial Narrow" w:eastAsia="Arial Narrow" w:hint="default"/>
                <w:sz w:val="18"/>
                <w:szCs w:val="18"/>
              </w:rPr>
            </w:pPr>
            <w:r>
              <w:rPr>
                <w:rFonts w:ascii="Arial Narrow"/>
                <w:sz w:val="18"/>
              </w:rPr>
              <w:t>100.00</w:t>
            </w:r>
          </w:p>
        </w:tc>
        <w:tc>
          <w:tcPr>
            <w:tcW w:w="1517" w:type="dxa"/>
            <w:tcBorders>
              <w:top w:val="nil" w:sz="6" w:space="0" w:color="auto"/>
              <w:left w:val="single" w:sz="4" w:space="0" w:color="000000"/>
              <w:bottom w:val="single" w:sz="12" w:space="0" w:color="000000"/>
              <w:right w:val="nil" w:sz="6" w:space="0" w:color="auto"/>
            </w:tcBorders>
          </w:tcPr>
          <w:p>
            <w:pPr>
              <w:pStyle w:val="TableParagraph"/>
              <w:spacing w:line="240" w:lineRule="auto" w:before="19"/>
              <w:ind w:left="82" w:right="0"/>
              <w:jc w:val="center"/>
              <w:rPr>
                <w:rFonts w:ascii="Arial Narrow" w:hAnsi="Arial Narrow" w:cs="Arial Narrow" w:eastAsia="Arial Narrow" w:hint="default"/>
                <w:sz w:val="18"/>
                <w:szCs w:val="18"/>
              </w:rPr>
            </w:pPr>
            <w:r>
              <w:rPr>
                <w:rFonts w:ascii="Arial Narrow"/>
                <w:sz w:val="18"/>
              </w:rPr>
              <w:t>100.00</w:t>
            </w:r>
          </w:p>
        </w:tc>
      </w:tr>
    </w:tbl>
    <w:p>
      <w:pPr>
        <w:pStyle w:val="BodyText"/>
        <w:spacing w:line="240" w:lineRule="auto" w:before="102"/>
        <w:ind w:left="558" w:right="0"/>
        <w:jc w:val="left"/>
      </w:pPr>
      <w:r>
        <w:rPr/>
        <w:pict>
          <v:group style="position:absolute;margin-left:89.903999pt;margin-top:-134.096283pt;width:426.45pt;height:5.55pt;mso-position-horizontal-relative:page;mso-position-vertical-relative:paragraph;z-index:-719632" coordorigin="1798,-2682" coordsize="8529,111">
            <v:shape style="position:absolute;left:1798;top:-2682;width:3701;height:110" type="#_x0000_t75" stroked="false">
              <v:imagedata r:id="rId42" o:title=""/>
            </v:shape>
            <v:shape style="position:absolute;left:5475;top:-2581;width:1282;height:10" type="#_x0000_t75" stroked="false">
              <v:imagedata r:id="rId55" o:title=""/>
            </v:shape>
            <v:shape style="position:absolute;left:6753;top:-2586;width:722;height:14" type="#_x0000_t75" stroked="false">
              <v:imagedata r:id="rId50" o:title=""/>
            </v:shape>
            <v:shape style="position:absolute;left:7461;top:-2586;width:1354;height:14" type="#_x0000_t75" stroked="false">
              <v:imagedata r:id="rId45" o:title=""/>
            </v:shape>
            <v:shape style="position:absolute;left:8800;top:-2581;width:1527;height:10" type="#_x0000_t75" stroked="false">
              <v:imagedata r:id="rId41" o:title=""/>
            </v:shape>
            <w10:wrap type="none"/>
          </v:group>
        </w:pict>
      </w:r>
      <w:r>
        <w:rPr/>
        <w:pict>
          <v:group style="position:absolute;margin-left:89.903999pt;margin-top:-114.176346pt;width:426.45pt;height:5.05pt;mso-position-horizontal-relative:page;mso-position-vertical-relative:paragraph;z-index:-719608" coordorigin="1798,-2284" coordsize="8529,101">
            <v:shape style="position:absolute;left:1798;top:-2284;width:3701;height:101" type="#_x0000_t75" stroked="false">
              <v:imagedata r:id="rId56" o:title=""/>
            </v:shape>
            <v:shape style="position:absolute;left:5475;top:-2192;width:1282;height:10" type="#_x0000_t75" stroked="false">
              <v:imagedata r:id="rId55" o:title=""/>
            </v:shape>
            <v:shape style="position:absolute;left:6753;top:-2192;width:713;height:10" type="#_x0000_t75" stroked="false">
              <v:imagedata r:id="rId57" o:title=""/>
            </v:shape>
            <v:shape style="position:absolute;left:7461;top:-2192;width:2866;height:10" type="#_x0000_t75" stroked="false">
              <v:imagedata r:id="rId58" o:title=""/>
            </v:shape>
            <w10:wrap type="none"/>
          </v:group>
        </w:pict>
      </w:r>
      <w:r>
        <w:rPr/>
        <w:pict>
          <v:group style="position:absolute;margin-left:89.903999pt;margin-top:-96.656288pt;width:426.45pt;height:5.55pt;mso-position-horizontal-relative:page;mso-position-vertical-relative:paragraph;z-index:-719584" coordorigin="1798,-1933" coordsize="8529,111">
            <v:shape style="position:absolute;left:1798;top:-1933;width:3701;height:110" type="#_x0000_t75" stroked="false">
              <v:imagedata r:id="rId42" o:title=""/>
            </v:shape>
            <v:shape style="position:absolute;left:5475;top:-1832;width:1282;height:10" type="#_x0000_t75" stroked="false">
              <v:imagedata r:id="rId55" o:title=""/>
            </v:shape>
            <v:shape style="position:absolute;left:6753;top:-1837;width:722;height:14" type="#_x0000_t75" stroked="false">
              <v:imagedata r:id="rId59" o:title=""/>
            </v:shape>
            <v:shape style="position:absolute;left:7461;top:-1837;width:1354;height:14" type="#_x0000_t75" stroked="false">
              <v:imagedata r:id="rId60" o:title=""/>
            </v:shape>
            <v:shape style="position:absolute;left:8800;top:-1832;width:1527;height:10" type="#_x0000_t75" stroked="false">
              <v:imagedata r:id="rId41" o:title=""/>
            </v:shape>
            <w10:wrap type="none"/>
          </v:group>
        </w:pict>
      </w:r>
      <w:r>
        <w:rPr/>
        <w:pict>
          <v:group style="position:absolute;margin-left:89.903999pt;margin-top:-73.496307pt;width:426.45pt;height:.5pt;mso-position-horizontal-relative:page;mso-position-vertical-relative:paragraph;z-index:-719560" coordorigin="1798,-1470" coordsize="8529,10">
            <v:shape style="position:absolute;left:1798;top:-1470;width:3682;height:10" type="#_x0000_t75" stroked="false">
              <v:imagedata r:id="rId61" o:title=""/>
            </v:shape>
            <v:shape style="position:absolute;left:5475;top:-1470;width:1282;height:10" type="#_x0000_t75" stroked="false">
              <v:imagedata r:id="rId62" o:title=""/>
            </v:shape>
            <v:shape style="position:absolute;left:6753;top:-1470;width:713;height:10" type="#_x0000_t75" stroked="false">
              <v:imagedata r:id="rId63" o:title=""/>
            </v:shape>
            <v:shape style="position:absolute;left:7461;top:-1470;width:2866;height:10" type="#_x0000_t75" stroked="false">
              <v:imagedata r:id="rId64" o:title=""/>
            </v:shape>
            <w10:wrap type="none"/>
          </v:group>
        </w:pict>
      </w:r>
      <w:r>
        <w:rPr/>
        <w:pict>
          <v:group style="position:absolute;margin-left:89.903999pt;margin-top:-60.536289pt;width:426.45pt;height:5.55pt;mso-position-horizontal-relative:page;mso-position-vertical-relative:paragraph;z-index:-719536" coordorigin="1798,-1211" coordsize="8529,111">
            <v:shape style="position:absolute;left:1798;top:-1211;width:3701;height:110" type="#_x0000_t75" stroked="false">
              <v:imagedata r:id="rId42" o:title=""/>
            </v:shape>
            <v:shape style="position:absolute;left:5475;top:-1110;width:1282;height:10" type="#_x0000_t75" stroked="false">
              <v:imagedata r:id="rId62" o:title=""/>
            </v:shape>
            <v:shape style="position:absolute;left:6753;top:-1115;width:722;height:14" type="#_x0000_t75" stroked="false">
              <v:imagedata r:id="rId65" o:title=""/>
            </v:shape>
            <v:shape style="position:absolute;left:7461;top:-1115;width:1354;height:14" type="#_x0000_t75" stroked="false">
              <v:imagedata r:id="rId48" o:title=""/>
            </v:shape>
            <v:shape style="position:absolute;left:8800;top:-1110;width:1527;height:10" type="#_x0000_t75" stroked="false">
              <v:imagedata r:id="rId66" o:title=""/>
            </v:shape>
            <w10:wrap type="none"/>
          </v:group>
        </w:pict>
      </w:r>
      <w:r>
        <w:rPr/>
        <w:pict>
          <v:group style="position:absolute;margin-left:89.903999pt;margin-top:-42.536289pt;width:426.45pt;height:5.55pt;mso-position-horizontal-relative:page;mso-position-vertical-relative:paragraph;z-index:-719512" coordorigin="1798,-851" coordsize="8529,111">
            <v:shape style="position:absolute;left:1798;top:-851;width:3701;height:110" type="#_x0000_t75" stroked="false">
              <v:imagedata r:id="rId42" o:title=""/>
            </v:shape>
            <v:shape style="position:absolute;left:5475;top:-750;width:1282;height:10" type="#_x0000_t75" stroked="false">
              <v:imagedata r:id="rId62" o:title=""/>
            </v:shape>
            <v:shape style="position:absolute;left:6753;top:-755;width:722;height:14" type="#_x0000_t75" stroked="false">
              <v:imagedata r:id="rId44" o:title=""/>
            </v:shape>
            <v:shape style="position:absolute;left:7461;top:-755;width:1354;height:14" type="#_x0000_t75" stroked="false">
              <v:imagedata r:id="rId48" o:title=""/>
            </v:shape>
            <v:shape style="position:absolute;left:8800;top:-750;width:1527;height:10" type="#_x0000_t75" stroked="false">
              <v:imagedata r:id="rId66" o:title=""/>
            </v:shape>
            <w10:wrap type="none"/>
          </v:group>
        </w:pict>
      </w:r>
      <w:r>
        <w:rPr/>
        <w:pict>
          <v:group style="position:absolute;margin-left:89.903999pt;margin-top:-24.536289pt;width:426.45pt;height:5.55pt;mso-position-horizontal-relative:page;mso-position-vertical-relative:paragraph;z-index:-719488" coordorigin="1798,-491" coordsize="8529,111">
            <v:shape style="position:absolute;left:1798;top:-491;width:3701;height:110" type="#_x0000_t75" stroked="false">
              <v:imagedata r:id="rId42" o:title=""/>
            </v:shape>
            <v:shape style="position:absolute;left:5475;top:-390;width:1282;height:10" type="#_x0000_t75" stroked="false">
              <v:imagedata r:id="rId62" o:title=""/>
            </v:shape>
            <v:shape style="position:absolute;left:6753;top:-395;width:722;height:14" type="#_x0000_t75" stroked="false">
              <v:imagedata r:id="rId44" o:title=""/>
            </v:shape>
            <v:shape style="position:absolute;left:7461;top:-395;width:1354;height:14" type="#_x0000_t75" stroked="false">
              <v:imagedata r:id="rId67" o:title=""/>
            </v:shape>
            <v:shape style="position:absolute;left:8800;top:-390;width:1527;height:10" type="#_x0000_t75" stroked="false">
              <v:imagedata r:id="rId66" o:title=""/>
            </v:shape>
            <w10:wrap type="none"/>
          </v:group>
        </w:pict>
      </w:r>
      <w:r>
        <w:rPr/>
        <w:pict>
          <v:shape style="position:absolute;margin-left:274.010010pt;margin-top:-1.716319pt;width:.48003pt;height:.24pt;mso-position-horizontal-relative:page;mso-position-vertical-relative:paragraph;z-index:-719464" type="#_x0000_t75" stroked="false">
            <v:imagedata r:id="rId36" o:title=""/>
          </v:shape>
        </w:pict>
      </w:r>
      <w:r>
        <w:rPr/>
        <w:pict>
          <v:shape style="position:absolute;margin-left:373.269989pt;margin-top:-1.716319pt;width:.48003pt;height:.24pt;mso-position-horizontal-relative:page;mso-position-vertical-relative:paragraph;z-index:-719440" type="#_x0000_t75" stroked="false">
            <v:imagedata r:id="rId36" o:title=""/>
          </v:shape>
        </w:pict>
      </w:r>
      <w:r>
        <w:rPr/>
        <w:pict>
          <v:shape style="position:absolute;margin-left:440.230011pt;margin-top:-1.716319pt;width:.48003pt;height:.24pt;mso-position-horizontal-relative:page;mso-position-vertical-relative:paragraph;z-index:-719416" type="#_x0000_t75" stroked="false">
            <v:imagedata r:id="rId36" o:title=""/>
          </v:shape>
        </w:pict>
      </w:r>
      <w:r>
        <w:rPr/>
        <w:t>子公司的持股比例不同于表决权比例的原因、以及持有半数或以下表决权但仍控制被投资单</w:t>
      </w:r>
    </w:p>
    <w:p>
      <w:pPr>
        <w:spacing w:after="0" w:line="240" w:lineRule="auto"/>
        <w:jc w:val="left"/>
        <w:sectPr>
          <w:headerReference w:type="default" r:id="rId34"/>
          <w:footerReference w:type="default" r:id="rId35"/>
          <w:pgSz w:w="11910" w:h="16840"/>
          <w:pgMar w:header="882" w:footer="1195" w:top="1120" w:bottom="1380" w:left="1660" w:right="1140"/>
          <w:pgNumType w:start="73"/>
        </w:sectPr>
      </w:pPr>
    </w:p>
    <w:p>
      <w:pPr>
        <w:spacing w:line="240" w:lineRule="auto" w:before="1"/>
        <w:rPr>
          <w:rFonts w:ascii="宋体" w:hAnsi="宋体" w:cs="宋体" w:eastAsia="宋体" w:hint="default"/>
          <w:sz w:val="25"/>
          <w:szCs w:val="25"/>
        </w:rPr>
      </w:pPr>
    </w:p>
    <w:p>
      <w:pPr>
        <w:pStyle w:val="BodyText"/>
        <w:spacing w:line="357" w:lineRule="auto" w:before="36"/>
        <w:ind w:left="638" w:right="0" w:hanging="420"/>
        <w:jc w:val="left"/>
      </w:pPr>
      <w:r>
        <w:rPr>
          <w:spacing w:val="-6"/>
          <w:w w:val="100"/>
        </w:rPr>
        <w:t>位的依据说明详见“附注九、在其他主体中的权益”。</w:t>
      </w:r>
      <w:r>
        <w:rPr>
          <w:spacing w:val="-100"/>
          <w:w w:val="100"/>
        </w:rPr>
        <w:t> </w:t>
      </w:r>
      <w:r>
        <w:rPr>
          <w:spacing w:val="-100"/>
          <w:w w:val="100"/>
        </w:rPr>
      </w:r>
      <w:r>
        <w:rPr/>
        <w:t>本期纳入合并财务报表范围的主体较上期相比，增加</w:t>
      </w:r>
      <w:r>
        <w:rPr>
          <w:spacing w:val="-53"/>
        </w:rPr>
        <w:t> </w:t>
      </w:r>
      <w:r>
        <w:rPr>
          <w:rFonts w:ascii="宋体" w:hAnsi="宋体" w:cs="宋体" w:eastAsia="宋体" w:hint="default"/>
        </w:rPr>
        <w:t>2</w:t>
      </w:r>
      <w:r>
        <w:rPr>
          <w:rFonts w:ascii="宋体" w:hAnsi="宋体" w:cs="宋体" w:eastAsia="宋体" w:hint="default"/>
          <w:spacing w:val="-54"/>
        </w:rPr>
        <w:t> </w:t>
      </w:r>
      <w:r>
        <w:rPr/>
        <w:t>户，减少</w:t>
      </w:r>
      <w:r>
        <w:rPr>
          <w:spacing w:val="-54"/>
        </w:rPr>
        <w:t> </w:t>
      </w:r>
      <w:r>
        <w:rPr>
          <w:rFonts w:ascii="宋体" w:hAnsi="宋体" w:cs="宋体" w:eastAsia="宋体" w:hint="default"/>
        </w:rPr>
        <w:t>3</w:t>
      </w:r>
      <w:r>
        <w:rPr>
          <w:rFonts w:ascii="宋体" w:hAnsi="宋体" w:cs="宋体" w:eastAsia="宋体" w:hint="default"/>
          <w:spacing w:val="-56"/>
        </w:rPr>
        <w:t> </w:t>
      </w:r>
      <w:r>
        <w:rPr/>
        <w:t>户，其中：</w:t>
      </w:r>
      <w:r>
        <w:rPr>
          <w:w w:val="100"/>
        </w:rPr>
        <w:t> </w:t>
      </w:r>
      <w:r>
        <w:rPr>
          <w:rFonts w:ascii="宋体" w:hAnsi="宋体" w:cs="宋体" w:eastAsia="宋体" w:hint="default"/>
          <w:spacing w:val="-4"/>
        </w:rPr>
        <w:t>1</w:t>
      </w:r>
      <w:r>
        <w:rPr>
          <w:spacing w:val="-4"/>
        </w:rPr>
        <w:t>、本期新纳入合并范围的子公司、特殊目的主体、通过受托经营或承租等方式形成控制权的</w:t>
      </w:r>
    </w:p>
    <w:p>
      <w:pPr>
        <w:pStyle w:val="BodyText"/>
        <w:spacing w:line="240" w:lineRule="auto" w:before="30"/>
        <w:ind w:right="0"/>
        <w:jc w:val="left"/>
      </w:pPr>
      <w:r>
        <w:rPr/>
        <w:pict>
          <v:group style="position:absolute;margin-left:274.010010pt;margin-top:25.043678pt;width:.5pt;height:52pt;mso-position-horizontal-relative:page;mso-position-vertical-relative:paragraph;z-index:-719392" coordorigin="5480,501" coordsize="10,1040">
            <v:shape style="position:absolute;left:5480;top:501;width:10;height:2" type="#_x0000_t75" stroked="false">
              <v:imagedata r:id="rId36" o:title=""/>
            </v:shape>
            <v:group style="position:absolute;left:5480;top:522;width:10;height:20" coordorigin="5480,522" coordsize="10,20">
              <v:shape style="position:absolute;left:5480;top:522;width:10;height:20" coordorigin="5480,522" coordsize="10,20" path="m5480,542l5490,542,5490,522,5480,522,5480,542xe" filled="true" fillcolor="#000000" stroked="false">
                <v:path arrowok="t"/>
                <v:fill type="solid"/>
              </v:shape>
            </v:group>
            <v:group style="position:absolute;left:5480;top:542;width:10;height:20" coordorigin="5480,542" coordsize="10,20">
              <v:shape style="position:absolute;left:5480;top:542;width:10;height:20" coordorigin="5480,542" coordsize="10,20" path="m5480,561l5490,561,5490,542,5480,542,5480,561xe" filled="true" fillcolor="#000000" stroked="false">
                <v:path arrowok="t"/>
                <v:fill type="solid"/>
              </v:shape>
            </v:group>
            <v:group style="position:absolute;left:5480;top:561;width:10;height:20" coordorigin="5480,561" coordsize="10,20">
              <v:shape style="position:absolute;left:5480;top:561;width:10;height:20" coordorigin="5480,561" coordsize="10,20" path="m5480,580l5490,580,5490,561,5480,561,5480,580xe" filled="true" fillcolor="#000000" stroked="false">
                <v:path arrowok="t"/>
                <v:fill type="solid"/>
              </v:shape>
            </v:group>
            <v:group style="position:absolute;left:5480;top:580;width:10;height:20" coordorigin="5480,580" coordsize="10,20">
              <v:shape style="position:absolute;left:5480;top:580;width:10;height:20" coordorigin="5480,580" coordsize="10,20" path="m5480,599l5490,599,5490,580,5480,580,5480,599xe" filled="true" fillcolor="#000000" stroked="false">
                <v:path arrowok="t"/>
                <v:fill type="solid"/>
              </v:shape>
            </v:group>
            <v:group style="position:absolute;left:5480;top:599;width:10;height:20" coordorigin="5480,599" coordsize="10,20">
              <v:shape style="position:absolute;left:5480;top:599;width:10;height:20" coordorigin="5480,599" coordsize="10,20" path="m5480,618l5490,618,5490,599,5480,599,5480,618xe" filled="true" fillcolor="#000000" stroked="false">
                <v:path arrowok="t"/>
                <v:fill type="solid"/>
              </v:shape>
            </v:group>
            <v:group style="position:absolute;left:5480;top:618;width:10;height:20" coordorigin="5480,618" coordsize="10,20">
              <v:shape style="position:absolute;left:5480;top:618;width:10;height:20" coordorigin="5480,618" coordsize="10,20" path="m5480,638l5490,638,5490,618,5480,618,5480,638xe" filled="true" fillcolor="#000000" stroked="false">
                <v:path arrowok="t"/>
                <v:fill type="solid"/>
              </v:shape>
            </v:group>
            <v:group style="position:absolute;left:5480;top:638;width:10;height:20" coordorigin="5480,638" coordsize="10,20">
              <v:shape style="position:absolute;left:5480;top:638;width:10;height:20" coordorigin="5480,638" coordsize="10,20" path="m5480,657l5490,657,5490,638,5480,638,5480,657xe" filled="true" fillcolor="#000000" stroked="false">
                <v:path arrowok="t"/>
                <v:fill type="solid"/>
              </v:shape>
            </v:group>
            <v:group style="position:absolute;left:5480;top:657;width:10;height:20" coordorigin="5480,657" coordsize="10,20">
              <v:shape style="position:absolute;left:5480;top:657;width:10;height:20" coordorigin="5480,657" coordsize="10,20" path="m5480,676l5490,676,5490,657,5480,657,5480,676xe" filled="true" fillcolor="#000000" stroked="false">
                <v:path arrowok="t"/>
                <v:fill type="solid"/>
              </v:shape>
            </v:group>
            <v:group style="position:absolute;left:5480;top:676;width:10;height:20" coordorigin="5480,676" coordsize="10,20">
              <v:shape style="position:absolute;left:5480;top:676;width:10;height:20" coordorigin="5480,676" coordsize="10,20" path="m5480,695l5490,695,5490,676,5480,676,5480,695xe" filled="true" fillcolor="#000000" stroked="false">
                <v:path arrowok="t"/>
                <v:fill type="solid"/>
              </v:shape>
            </v:group>
            <v:group style="position:absolute;left:5480;top:695;width:10;height:20" coordorigin="5480,695" coordsize="10,20">
              <v:shape style="position:absolute;left:5480;top:695;width:10;height:20" coordorigin="5480,695" coordsize="10,20" path="m5480,714l5490,714,5490,695,5480,695,5480,714xe" filled="true" fillcolor="#000000" stroked="false">
                <v:path arrowok="t"/>
                <v:fill type="solid"/>
              </v:shape>
            </v:group>
            <v:group style="position:absolute;left:5480;top:714;width:10;height:20" coordorigin="5480,714" coordsize="10,20">
              <v:shape style="position:absolute;left:5480;top:714;width:10;height:20" coordorigin="5480,714" coordsize="10,20" path="m5480,734l5490,734,5490,714,5480,714,5480,734xe" filled="true" fillcolor="#000000" stroked="false">
                <v:path arrowok="t"/>
                <v:fill type="solid"/>
              </v:shape>
            </v:group>
            <v:group style="position:absolute;left:5480;top:734;width:10;height:20" coordorigin="5480,734" coordsize="10,20">
              <v:shape style="position:absolute;left:5480;top:734;width:10;height:20" coordorigin="5480,734" coordsize="10,20" path="m5480,753l5490,753,5490,734,5480,734,5480,753xe" filled="true" fillcolor="#000000" stroked="false">
                <v:path arrowok="t"/>
                <v:fill type="solid"/>
              </v:shape>
            </v:group>
            <v:group style="position:absolute;left:5480;top:753;width:10;height:20" coordorigin="5480,753" coordsize="10,20">
              <v:shape style="position:absolute;left:5480;top:753;width:10;height:20" coordorigin="5480,753" coordsize="10,20" path="m5480,772l5490,772,5490,753,5480,753,5480,772xe" filled="true" fillcolor="#000000" stroked="false">
                <v:path arrowok="t"/>
                <v:fill type="solid"/>
              </v:shape>
            </v:group>
            <v:group style="position:absolute;left:5480;top:772;width:10;height:20" coordorigin="5480,772" coordsize="10,20">
              <v:shape style="position:absolute;left:5480;top:772;width:10;height:20" coordorigin="5480,772" coordsize="10,20" path="m5480,791l5490,791,5490,772,5480,772,5480,791xe" filled="true" fillcolor="#000000" stroked="false">
                <v:path arrowok="t"/>
                <v:fill type="solid"/>
              </v:shape>
            </v:group>
            <v:group style="position:absolute;left:5480;top:791;width:10;height:20" coordorigin="5480,791" coordsize="10,20">
              <v:shape style="position:absolute;left:5480;top:791;width:10;height:20" coordorigin="5480,791" coordsize="10,20" path="m5480,810l5490,810,5490,791,5480,791,5480,810xe" filled="true" fillcolor="#000000" stroked="false">
                <v:path arrowok="t"/>
                <v:fill type="solid"/>
              </v:shape>
            </v:group>
            <v:group style="position:absolute;left:5480;top:870;width:10;height:20" coordorigin="5480,870" coordsize="10,20">
              <v:shape style="position:absolute;left:5480;top:870;width:10;height:20" coordorigin="5480,870" coordsize="10,20" path="m5480,890l5490,890,5490,870,5480,870,5480,890xe" filled="true" fillcolor="#000000" stroked="false">
                <v:path arrowok="t"/>
                <v:fill type="solid"/>
              </v:shape>
            </v:group>
            <v:group style="position:absolute;left:5480;top:890;width:10;height:20" coordorigin="5480,890" coordsize="10,20">
              <v:shape style="position:absolute;left:5480;top:890;width:10;height:20" coordorigin="5480,890" coordsize="10,20" path="m5480,909l5490,909,5490,890,5480,890,5480,909xe" filled="true" fillcolor="#000000" stroked="false">
                <v:path arrowok="t"/>
                <v:fill type="solid"/>
              </v:shape>
            </v:group>
            <v:group style="position:absolute;left:5480;top:909;width:10;height:20" coordorigin="5480,909" coordsize="10,20">
              <v:shape style="position:absolute;left:5480;top:909;width:10;height:20" coordorigin="5480,909" coordsize="10,20" path="m5480,928l5490,928,5490,909,5480,909,5480,928xe" filled="true" fillcolor="#000000" stroked="false">
                <v:path arrowok="t"/>
                <v:fill type="solid"/>
              </v:shape>
            </v:group>
            <v:group style="position:absolute;left:5480;top:928;width:10;height:20" coordorigin="5480,928" coordsize="10,20">
              <v:shape style="position:absolute;left:5480;top:928;width:10;height:20" coordorigin="5480,928" coordsize="10,20" path="m5480,947l5490,947,5490,928,5480,928,5480,947xe" filled="true" fillcolor="#000000" stroked="false">
                <v:path arrowok="t"/>
                <v:fill type="solid"/>
              </v:shape>
            </v:group>
            <v:group style="position:absolute;left:5480;top:947;width:10;height:20" coordorigin="5480,947" coordsize="10,20">
              <v:shape style="position:absolute;left:5480;top:947;width:10;height:20" coordorigin="5480,947" coordsize="10,20" path="m5480,966l5490,966,5490,947,5480,947,5480,966xe" filled="true" fillcolor="#000000" stroked="false">
                <v:path arrowok="t"/>
                <v:fill type="solid"/>
              </v:shape>
            </v:group>
            <v:group style="position:absolute;left:5480;top:966;width:10;height:20" coordorigin="5480,966" coordsize="10,20">
              <v:shape style="position:absolute;left:5480;top:966;width:10;height:20" coordorigin="5480,966" coordsize="10,20" path="m5480,986l5490,986,5490,966,5480,966,5480,986xe" filled="true" fillcolor="#000000" stroked="false">
                <v:path arrowok="t"/>
                <v:fill type="solid"/>
              </v:shape>
            </v:group>
            <v:group style="position:absolute;left:5480;top:986;width:10;height:20" coordorigin="5480,986" coordsize="10,20">
              <v:shape style="position:absolute;left:5480;top:986;width:10;height:20" coordorigin="5480,986" coordsize="10,20" path="m5480,1005l5490,1005,5490,986,5480,986,5480,1005xe" filled="true" fillcolor="#000000" stroked="false">
                <v:path arrowok="t"/>
                <v:fill type="solid"/>
              </v:shape>
            </v:group>
            <v:group style="position:absolute;left:5480;top:1005;width:10;height:20" coordorigin="5480,1005" coordsize="10,20">
              <v:shape style="position:absolute;left:5480;top:1005;width:10;height:20" coordorigin="5480,1005" coordsize="10,20" path="m5480,1024l5490,1024,5490,1005,5480,1005,5480,1024xe" filled="true" fillcolor="#000000" stroked="false">
                <v:path arrowok="t"/>
                <v:fill type="solid"/>
              </v:shape>
            </v:group>
            <v:group style="position:absolute;left:5480;top:1024;width:10;height:20" coordorigin="5480,1024" coordsize="10,20">
              <v:shape style="position:absolute;left:5480;top:1024;width:10;height:20" coordorigin="5480,1024" coordsize="10,20" path="m5480,1043l5490,1043,5490,1024,5480,1024,5480,1043xe" filled="true" fillcolor="#000000" stroked="false">
                <v:path arrowok="t"/>
                <v:fill type="solid"/>
              </v:shape>
            </v:group>
            <v:group style="position:absolute;left:5480;top:1043;width:10;height:20" coordorigin="5480,1043" coordsize="10,20">
              <v:shape style="position:absolute;left:5480;top:1043;width:10;height:20" coordorigin="5480,1043" coordsize="10,20" path="m5480,1062l5490,1062,5490,1043,5480,1043,5480,1062xe" filled="true" fillcolor="#000000" stroked="false">
                <v:path arrowok="t"/>
                <v:fill type="solid"/>
              </v:shape>
            </v:group>
            <v:group style="position:absolute;left:5480;top:1062;width:10;height:20" coordorigin="5480,1062" coordsize="10,20">
              <v:shape style="position:absolute;left:5480;top:1062;width:10;height:20" coordorigin="5480,1062" coordsize="10,20" path="m5480,1082l5490,1082,5490,1062,5480,1062,5480,1082xe" filled="true" fillcolor="#000000" stroked="false">
                <v:path arrowok="t"/>
                <v:fill type="solid"/>
              </v:shape>
            </v:group>
            <v:group style="position:absolute;left:5480;top:1082;width:10;height:20" coordorigin="5480,1082" coordsize="10,20">
              <v:shape style="position:absolute;left:5480;top:1082;width:10;height:20" coordorigin="5480,1082" coordsize="10,20" path="m5480,1101l5490,1101,5490,1082,5480,1082,5480,1101xe" filled="true" fillcolor="#000000" stroked="false">
                <v:path arrowok="t"/>
                <v:fill type="solid"/>
              </v:shape>
            </v:group>
            <v:group style="position:absolute;left:5480;top:1101;width:10;height:20" coordorigin="5480,1101" coordsize="10,20">
              <v:shape style="position:absolute;left:5480;top:1101;width:10;height:20" coordorigin="5480,1101" coordsize="10,20" path="m5480,1120l5490,1120,5490,1101,5480,1101,5480,1120xe" filled="true" fillcolor="#000000" stroked="false">
                <v:path arrowok="t"/>
                <v:fill type="solid"/>
              </v:shape>
            </v:group>
            <v:group style="position:absolute;left:5480;top:1120;width:10;height:20" coordorigin="5480,1120" coordsize="10,20">
              <v:shape style="position:absolute;left:5480;top:1120;width:10;height:20" coordorigin="5480,1120" coordsize="10,20" path="m5480,1139l5490,1139,5490,1120,5480,1120,5480,1139xe" filled="true" fillcolor="#000000" stroked="false">
                <v:path arrowok="t"/>
                <v:fill type="solid"/>
              </v:shape>
            </v:group>
            <v:group style="position:absolute;left:5480;top:1139;width:10;height:20" coordorigin="5480,1139" coordsize="10,20">
              <v:shape style="position:absolute;left:5480;top:1139;width:10;height:20" coordorigin="5480,1139" coordsize="10,20" path="m5480,1158l5490,1158,5490,1139,5480,1139,5480,1158xe" filled="true" fillcolor="#000000" stroked="false">
                <v:path arrowok="t"/>
                <v:fill type="solid"/>
              </v:shape>
            </v:group>
            <v:group style="position:absolute;left:5480;top:1158;width:10;height:20" coordorigin="5480,1158" coordsize="10,20">
              <v:shape style="position:absolute;left:5480;top:1158;width:10;height:20" coordorigin="5480,1158" coordsize="10,20" path="m5480,1178l5490,1178,5490,1158,5480,1158,5480,1178xe" filled="true" fillcolor="#000000" stroked="false">
                <v:path arrowok="t"/>
                <v:fill type="solid"/>
              </v:shape>
            </v:group>
            <v:group style="position:absolute;left:5480;top:1233;width:10;height:20" coordorigin="5480,1233" coordsize="10,20">
              <v:shape style="position:absolute;left:5480;top:1233;width:10;height:20" coordorigin="5480,1233" coordsize="10,20" path="m5480,1252l5490,1252,5490,1233,5480,1233,5480,1252xe" filled="true" fillcolor="#000000" stroked="false">
                <v:path arrowok="t"/>
                <v:fill type="solid"/>
              </v:shape>
            </v:group>
            <v:group style="position:absolute;left:5480;top:1252;width:10;height:20" coordorigin="5480,1252" coordsize="10,20">
              <v:shape style="position:absolute;left:5480;top:1252;width:10;height:20" coordorigin="5480,1252" coordsize="10,20" path="m5480,1271l5490,1271,5490,1252,5480,1252,5480,1271xe" filled="true" fillcolor="#000000" stroked="false">
                <v:path arrowok="t"/>
                <v:fill type="solid"/>
              </v:shape>
            </v:group>
            <v:group style="position:absolute;left:5480;top:1271;width:10;height:20" coordorigin="5480,1271" coordsize="10,20">
              <v:shape style="position:absolute;left:5480;top:1271;width:10;height:20" coordorigin="5480,1271" coordsize="10,20" path="m5480,1290l5490,1290,5490,1271,5480,1271,5480,1290xe" filled="true" fillcolor="#000000" stroked="false">
                <v:path arrowok="t"/>
                <v:fill type="solid"/>
              </v:shape>
            </v:group>
            <v:group style="position:absolute;left:5480;top:1290;width:10;height:20" coordorigin="5480,1290" coordsize="10,20">
              <v:shape style="position:absolute;left:5480;top:1290;width:10;height:20" coordorigin="5480,1290" coordsize="10,20" path="m5480,1310l5490,1310,5490,1290,5480,1290,5480,1310xe" filled="true" fillcolor="#000000" stroked="false">
                <v:path arrowok="t"/>
                <v:fill type="solid"/>
              </v:shape>
            </v:group>
            <v:group style="position:absolute;left:5480;top:1310;width:10;height:20" coordorigin="5480,1310" coordsize="10,20">
              <v:shape style="position:absolute;left:5480;top:1310;width:10;height:20" coordorigin="5480,1310" coordsize="10,20" path="m5480,1329l5490,1329,5490,1310,5480,1310,5480,1329xe" filled="true" fillcolor="#000000" stroked="false">
                <v:path arrowok="t"/>
                <v:fill type="solid"/>
              </v:shape>
            </v:group>
            <v:group style="position:absolute;left:5480;top:1329;width:10;height:20" coordorigin="5480,1329" coordsize="10,20">
              <v:shape style="position:absolute;left:5480;top:1329;width:10;height:20" coordorigin="5480,1329" coordsize="10,20" path="m5480,1348l5490,1348,5490,1329,5480,1329,5480,1348xe" filled="true" fillcolor="#000000" stroked="false">
                <v:path arrowok="t"/>
                <v:fill type="solid"/>
              </v:shape>
            </v:group>
            <v:group style="position:absolute;left:5480;top:1348;width:10;height:20" coordorigin="5480,1348" coordsize="10,20">
              <v:shape style="position:absolute;left:5480;top:1348;width:10;height:20" coordorigin="5480,1348" coordsize="10,20" path="m5480,1367l5490,1367,5490,1348,5480,1348,5480,1367xe" filled="true" fillcolor="#000000" stroked="false">
                <v:path arrowok="t"/>
                <v:fill type="solid"/>
              </v:shape>
            </v:group>
            <v:group style="position:absolute;left:5480;top:1367;width:10;height:20" coordorigin="5480,1367" coordsize="10,20">
              <v:shape style="position:absolute;left:5480;top:1367;width:10;height:20" coordorigin="5480,1367" coordsize="10,20" path="m5480,1386l5490,1386,5490,1367,5480,1367,5480,1386xe" filled="true" fillcolor="#000000" stroked="false">
                <v:path arrowok="t"/>
                <v:fill type="solid"/>
              </v:shape>
            </v:group>
            <v:group style="position:absolute;left:5480;top:1386;width:10;height:20" coordorigin="5480,1386" coordsize="10,20">
              <v:shape style="position:absolute;left:5480;top:1386;width:10;height:20" coordorigin="5480,1386" coordsize="10,20" path="m5480,1406l5490,1406,5490,1386,5480,1386,5480,1406xe" filled="true" fillcolor="#000000" stroked="false">
                <v:path arrowok="t"/>
                <v:fill type="solid"/>
              </v:shape>
            </v:group>
            <v:group style="position:absolute;left:5480;top:1406;width:10;height:20" coordorigin="5480,1406" coordsize="10,20">
              <v:shape style="position:absolute;left:5480;top:1406;width:10;height:20" coordorigin="5480,1406" coordsize="10,20" path="m5480,1425l5490,1425,5490,1406,5480,1406,5480,1425xe" filled="true" fillcolor="#000000" stroked="false">
                <v:path arrowok="t"/>
                <v:fill type="solid"/>
              </v:shape>
            </v:group>
            <v:group style="position:absolute;left:5480;top:1425;width:10;height:20" coordorigin="5480,1425" coordsize="10,20">
              <v:shape style="position:absolute;left:5480;top:1425;width:10;height:20" coordorigin="5480,1425" coordsize="10,20" path="m5480,1444l5490,1444,5490,1425,5480,1425,5480,1444xe" filled="true" fillcolor="#000000" stroked="false">
                <v:path arrowok="t"/>
                <v:fill type="solid"/>
              </v:shape>
            </v:group>
            <v:group style="position:absolute;left:5480;top:1444;width:10;height:20" coordorigin="5480,1444" coordsize="10,20">
              <v:shape style="position:absolute;left:5480;top:1444;width:10;height:20" coordorigin="5480,1444" coordsize="10,20" path="m5480,1463l5490,1463,5490,1444,5480,1444,5480,1463xe" filled="true" fillcolor="#000000" stroked="false">
                <v:path arrowok="t"/>
                <v:fill type="solid"/>
              </v:shape>
            </v:group>
            <v:group style="position:absolute;left:5480;top:1463;width:10;height:20" coordorigin="5480,1463" coordsize="10,20">
              <v:shape style="position:absolute;left:5480;top:1463;width:10;height:20" coordorigin="5480,1463" coordsize="10,20" path="m5480,1482l5490,1482,5490,1463,5480,1463,5480,1482xe" filled="true" fillcolor="#000000" stroked="false">
                <v:path arrowok="t"/>
                <v:fill type="solid"/>
              </v:shape>
            </v:group>
            <v:group style="position:absolute;left:5480;top:1482;width:10;height:20" coordorigin="5480,1482" coordsize="10,20">
              <v:shape style="position:absolute;left:5480;top:1482;width:10;height:20" coordorigin="5480,1482" coordsize="10,20" path="m5480,1502l5490,1502,5490,1482,5480,1482,5480,1502xe" filled="true" fillcolor="#000000" stroked="false">
                <v:path arrowok="t"/>
                <v:fill type="solid"/>
              </v:shape>
            </v:group>
            <v:group style="position:absolute;left:5480;top:1502;width:10;height:20" coordorigin="5480,1502" coordsize="10,20">
              <v:shape style="position:absolute;left:5480;top:1502;width:10;height:20" coordorigin="5480,1502" coordsize="10,20" path="m5480,1521l5490,1521,5490,1502,5480,1502,5480,1521xe" filled="true" fillcolor="#000000" stroked="false">
                <v:path arrowok="t"/>
                <v:fill type="solid"/>
              </v:shape>
            </v:group>
            <v:group style="position:absolute;left:5480;top:1521;width:10;height:20" coordorigin="5480,1521" coordsize="10,20">
              <v:shape style="position:absolute;left:5480;top:1521;width:10;height:20" coordorigin="5480,1521" coordsize="10,20" path="m5480,1540l5490,1540,5490,1521,5480,1521,5480,1540xe" filled="true" fillcolor="#000000" stroked="false">
                <v:path arrowok="t"/>
                <v:fill type="solid"/>
              </v:shape>
            </v:group>
            <w10:wrap type="none"/>
          </v:group>
        </w:pict>
      </w:r>
      <w:r>
        <w:rPr/>
        <w:t>经营实体</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395"/>
        <w:gridCol w:w="4134"/>
      </w:tblGrid>
      <w:tr>
        <w:trPr>
          <w:trHeight w:val="360" w:hRule="exact"/>
        </w:trPr>
        <w:tc>
          <w:tcPr>
            <w:tcW w:w="4395" w:type="dxa"/>
            <w:tcBorders>
              <w:top w:val="single" w:sz="12" w:space="0" w:color="000000"/>
              <w:left w:val="nil" w:sz="6" w:space="0" w:color="auto"/>
              <w:bottom w:val="single" w:sz="8" w:space="0" w:color="000000"/>
              <w:right w:val="nil" w:sz="6" w:space="0" w:color="auto"/>
            </w:tcBorders>
          </w:tcPr>
          <w:p>
            <w:pPr>
              <w:pStyle w:val="TableParagraph"/>
              <w:spacing w:line="240" w:lineRule="auto" w:before="25"/>
              <w:ind w:right="601"/>
              <w:jc w:val="center"/>
              <w:rPr>
                <w:rFonts w:ascii="宋体" w:hAnsi="宋体" w:cs="宋体" w:eastAsia="宋体" w:hint="default"/>
                <w:sz w:val="18"/>
                <w:szCs w:val="18"/>
              </w:rPr>
            </w:pPr>
            <w:r>
              <w:rPr>
                <w:rFonts w:ascii="宋体" w:hAnsi="宋体" w:cs="宋体" w:eastAsia="宋体" w:hint="default"/>
                <w:sz w:val="18"/>
                <w:szCs w:val="18"/>
              </w:rPr>
              <w:t>名称</w:t>
            </w:r>
          </w:p>
        </w:tc>
        <w:tc>
          <w:tcPr>
            <w:tcW w:w="4134"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right="598"/>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4395" w:type="dxa"/>
            <w:tcBorders>
              <w:top w:val="single" w:sz="8" w:space="0" w:color="000000"/>
              <w:left w:val="nil" w:sz="6" w:space="0" w:color="auto"/>
              <w:bottom w:val="single" w:sz="8" w:space="0" w:color="000000"/>
              <w:right w:val="nil" w:sz="6" w:space="0" w:color="auto"/>
            </w:tcBorders>
          </w:tcPr>
          <w:p>
            <w:pPr>
              <w:pStyle w:val="TableParagraph"/>
              <w:spacing w:line="201" w:lineRule="exact"/>
              <w:ind w:left="107" w:right="0"/>
              <w:jc w:val="left"/>
              <w:rPr>
                <w:rFonts w:ascii="宋体" w:hAnsi="宋体" w:cs="宋体" w:eastAsia="宋体" w:hint="default"/>
                <w:sz w:val="18"/>
                <w:szCs w:val="18"/>
              </w:rPr>
            </w:pPr>
            <w:r>
              <w:rPr>
                <w:rFonts w:ascii="宋体" w:hAnsi="宋体" w:cs="宋体" w:eastAsia="宋体" w:hint="default"/>
                <w:sz w:val="18"/>
                <w:szCs w:val="18"/>
              </w:rPr>
              <w:t>慧金股权投资基金管理成都有限公司</w:t>
            </w:r>
          </w:p>
        </w:tc>
        <w:tc>
          <w:tcPr>
            <w:tcW w:w="4134"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598"/>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70" w:hRule="exact"/>
        </w:trPr>
        <w:tc>
          <w:tcPr>
            <w:tcW w:w="4395" w:type="dxa"/>
            <w:tcBorders>
              <w:top w:val="single" w:sz="8" w:space="0" w:color="000000"/>
              <w:left w:val="nil" w:sz="6" w:space="0" w:color="auto"/>
              <w:bottom w:val="single" w:sz="12" w:space="0" w:color="000000"/>
              <w:right w:val="nil" w:sz="6" w:space="0" w:color="auto"/>
            </w:tcBorders>
          </w:tcPr>
          <w:p>
            <w:pPr>
              <w:pStyle w:val="TableParagraph"/>
              <w:spacing w:line="198" w:lineRule="exact"/>
              <w:ind w:left="107" w:right="0"/>
              <w:jc w:val="left"/>
              <w:rPr>
                <w:rFonts w:ascii="宋体" w:hAnsi="宋体" w:cs="宋体" w:eastAsia="宋体" w:hint="default"/>
                <w:sz w:val="18"/>
                <w:szCs w:val="18"/>
              </w:rPr>
            </w:pPr>
            <w:r>
              <w:rPr>
                <w:rFonts w:ascii="宋体" w:hAnsi="宋体" w:cs="宋体" w:eastAsia="宋体" w:hint="default"/>
                <w:sz w:val="18"/>
                <w:szCs w:val="18"/>
              </w:rPr>
              <w:t>鲲鹏未来资产管理成都有限公司</w:t>
            </w:r>
          </w:p>
        </w:tc>
        <w:tc>
          <w:tcPr>
            <w:tcW w:w="4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598"/>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38" w:lineRule="auto" w:before="86"/>
        <w:ind w:right="0" w:firstLine="419"/>
        <w:jc w:val="left"/>
      </w:pPr>
      <w:r>
        <w:rPr/>
        <w:pict>
          <v:group style="position:absolute;margin-left:274.010010pt;margin-top:48.393677pt;width:.5pt;height:69.4pt;mso-position-horizontal-relative:page;mso-position-vertical-relative:paragraph;z-index:-719368" coordorigin="5480,968" coordsize="10,1388">
            <v:shape style="position:absolute;left:5480;top:968;width:10;height:2" type="#_x0000_t75" stroked="false">
              <v:imagedata r:id="rId36" o:title=""/>
            </v:shape>
            <v:group style="position:absolute;left:5480;top:989;width:10;height:20" coordorigin="5480,989" coordsize="10,20">
              <v:shape style="position:absolute;left:5480;top:989;width:10;height:20" coordorigin="5480,989" coordsize="10,20" path="m5480,1009l5490,1009,5490,989,5480,989,5480,1009xe" filled="true" fillcolor="#000000" stroked="false">
                <v:path arrowok="t"/>
                <v:fill type="solid"/>
              </v:shape>
            </v:group>
            <v:group style="position:absolute;left:5480;top:1009;width:10;height:20" coordorigin="5480,1009" coordsize="10,20">
              <v:shape style="position:absolute;left:5480;top:1009;width:10;height:20" coordorigin="5480,1009" coordsize="10,20" path="m5480,1028l5490,1028,5490,1009,5480,1009,5480,1028xe" filled="true" fillcolor="#000000" stroked="false">
                <v:path arrowok="t"/>
                <v:fill type="solid"/>
              </v:shape>
            </v:group>
            <v:group style="position:absolute;left:5480;top:1028;width:10;height:20" coordorigin="5480,1028" coordsize="10,20">
              <v:shape style="position:absolute;left:5480;top:1028;width:10;height:20" coordorigin="5480,1028" coordsize="10,20" path="m5480,1047l5490,1047,5490,1028,5480,1028,5480,1047xe" filled="true" fillcolor="#000000" stroked="false">
                <v:path arrowok="t"/>
                <v:fill type="solid"/>
              </v:shape>
            </v:group>
            <v:group style="position:absolute;left:5480;top:1047;width:10;height:20" coordorigin="5480,1047" coordsize="10,20">
              <v:shape style="position:absolute;left:5480;top:1047;width:10;height:20" coordorigin="5480,1047" coordsize="10,20" path="m5480,1066l5490,1066,5490,1047,5480,1047,5480,1066xe" filled="true" fillcolor="#000000" stroked="false">
                <v:path arrowok="t"/>
                <v:fill type="solid"/>
              </v:shape>
            </v:group>
            <v:group style="position:absolute;left:5480;top:1066;width:10;height:20" coordorigin="5480,1066" coordsize="10,20">
              <v:shape style="position:absolute;left:5480;top:1066;width:10;height:20" coordorigin="5480,1066" coordsize="10,20" path="m5480,1085l5490,1085,5490,1066,5480,1066,5480,1085xe" filled="true" fillcolor="#000000" stroked="false">
                <v:path arrowok="t"/>
                <v:fill type="solid"/>
              </v:shape>
            </v:group>
            <v:group style="position:absolute;left:5480;top:1085;width:10;height:20" coordorigin="5480,1085" coordsize="10,20">
              <v:shape style="position:absolute;left:5480;top:1085;width:10;height:20" coordorigin="5480,1085" coordsize="10,20" path="m5480,1105l5490,1105,5490,1085,5480,1085,5480,1105xe" filled="true" fillcolor="#000000" stroked="false">
                <v:path arrowok="t"/>
                <v:fill type="solid"/>
              </v:shape>
            </v:group>
            <v:group style="position:absolute;left:5480;top:1105;width:10;height:20" coordorigin="5480,1105" coordsize="10,20">
              <v:shape style="position:absolute;left:5480;top:1105;width:10;height:20" coordorigin="5480,1105" coordsize="10,20" path="m5480,1124l5490,1124,5490,1105,5480,1105,5480,1124xe" filled="true" fillcolor="#000000" stroked="false">
                <v:path arrowok="t"/>
                <v:fill type="solid"/>
              </v:shape>
            </v:group>
            <v:group style="position:absolute;left:5480;top:1124;width:10;height:20" coordorigin="5480,1124" coordsize="10,20">
              <v:shape style="position:absolute;left:5480;top:1124;width:10;height:20" coordorigin="5480,1124" coordsize="10,20" path="m5480,1143l5490,1143,5490,1124,5480,1124,5480,1143xe" filled="true" fillcolor="#000000" stroked="false">
                <v:path arrowok="t"/>
                <v:fill type="solid"/>
              </v:shape>
            </v:group>
            <v:group style="position:absolute;left:5480;top:1143;width:10;height:20" coordorigin="5480,1143" coordsize="10,20">
              <v:shape style="position:absolute;left:5480;top:1143;width:10;height:20" coordorigin="5480,1143" coordsize="10,20" path="m5480,1162l5490,1162,5490,1143,5480,1143,5480,1162xe" filled="true" fillcolor="#000000" stroked="false">
                <v:path arrowok="t"/>
                <v:fill type="solid"/>
              </v:shape>
            </v:group>
            <v:group style="position:absolute;left:5480;top:1162;width:10;height:20" coordorigin="5480,1162" coordsize="10,20">
              <v:shape style="position:absolute;left:5480;top:1162;width:10;height:20" coordorigin="5480,1162" coordsize="10,20" path="m5480,1181l5490,1181,5490,1162,5480,1162,5480,1181xe" filled="true" fillcolor="#000000" stroked="false">
                <v:path arrowok="t"/>
                <v:fill type="solid"/>
              </v:shape>
            </v:group>
            <v:group style="position:absolute;left:5480;top:1181;width:10;height:20" coordorigin="5480,1181" coordsize="10,20">
              <v:shape style="position:absolute;left:5480;top:1181;width:10;height:20" coordorigin="5480,1181" coordsize="10,20" path="m5480,1201l5490,1201,5490,1181,5480,1181,5480,1201xe" filled="true" fillcolor="#000000" stroked="false">
                <v:path arrowok="t"/>
                <v:fill type="solid"/>
              </v:shape>
            </v:group>
            <v:group style="position:absolute;left:5480;top:1201;width:10;height:20" coordorigin="5480,1201" coordsize="10,20">
              <v:shape style="position:absolute;left:5480;top:1201;width:10;height:20" coordorigin="5480,1201" coordsize="10,20" path="m5480,1220l5490,1220,5490,1201,5480,1201,5480,1220xe" filled="true" fillcolor="#000000" stroked="false">
                <v:path arrowok="t"/>
                <v:fill type="solid"/>
              </v:shape>
            </v:group>
            <v:group style="position:absolute;left:5480;top:1220;width:10;height:20" coordorigin="5480,1220" coordsize="10,20">
              <v:shape style="position:absolute;left:5480;top:1220;width:10;height:20" coordorigin="5480,1220" coordsize="10,20" path="m5480,1239l5490,1239,5490,1220,5480,1220,5480,1239xe" filled="true" fillcolor="#000000" stroked="false">
                <v:path arrowok="t"/>
                <v:fill type="solid"/>
              </v:shape>
            </v:group>
            <v:group style="position:absolute;left:5480;top:1239;width:10;height:20" coordorigin="5480,1239" coordsize="10,20">
              <v:shape style="position:absolute;left:5480;top:1239;width:10;height:20" coordorigin="5480,1239" coordsize="10,20" path="m5480,1258l5490,1258,5490,1239,5480,1239,5480,1258xe" filled="true" fillcolor="#000000" stroked="false">
                <v:path arrowok="t"/>
                <v:fill type="solid"/>
              </v:shape>
            </v:group>
            <v:group style="position:absolute;left:5480;top:1258;width:10;height:20" coordorigin="5480,1258" coordsize="10,20">
              <v:shape style="position:absolute;left:5480;top:1258;width:10;height:20" coordorigin="5480,1258" coordsize="10,20" path="m5480,1277l5490,1277,5490,1258,5480,1258,5480,1277xe" filled="true" fillcolor="#000000" stroked="false">
                <v:path arrowok="t"/>
                <v:fill type="solid"/>
              </v:shape>
            </v:group>
            <v:group style="position:absolute;left:5480;top:1337;width:10;height:20" coordorigin="5480,1337" coordsize="10,20">
              <v:shape style="position:absolute;left:5480;top:1337;width:10;height:20" coordorigin="5480,1337" coordsize="10,20" path="m5480,1357l5490,1357,5490,1337,5480,1337,5480,1357xe" filled="true" fillcolor="#000000" stroked="false">
                <v:path arrowok="t"/>
                <v:fill type="solid"/>
              </v:shape>
            </v:group>
            <v:group style="position:absolute;left:5480;top:1357;width:10;height:20" coordorigin="5480,1357" coordsize="10,20">
              <v:shape style="position:absolute;left:5480;top:1357;width:10;height:20" coordorigin="5480,1357" coordsize="10,20" path="m5480,1376l5490,1376,5490,1357,5480,1357,5480,1376xe" filled="true" fillcolor="#000000" stroked="false">
                <v:path arrowok="t"/>
                <v:fill type="solid"/>
              </v:shape>
            </v:group>
            <v:group style="position:absolute;left:5480;top:1376;width:10;height:20" coordorigin="5480,1376" coordsize="10,20">
              <v:shape style="position:absolute;left:5480;top:1376;width:10;height:20" coordorigin="5480,1376" coordsize="10,20" path="m5480,1395l5490,1395,5490,1376,5480,1376,5480,1395xe" filled="true" fillcolor="#000000" stroked="false">
                <v:path arrowok="t"/>
                <v:fill type="solid"/>
              </v:shape>
            </v:group>
            <v:group style="position:absolute;left:5480;top:1395;width:10;height:20" coordorigin="5480,1395" coordsize="10,20">
              <v:shape style="position:absolute;left:5480;top:1395;width:10;height:20" coordorigin="5480,1395" coordsize="10,20" path="m5480,1414l5490,1414,5490,1395,5480,1395,5480,1414xe" filled="true" fillcolor="#000000" stroked="false">
                <v:path arrowok="t"/>
                <v:fill type="solid"/>
              </v:shape>
            </v:group>
            <v:group style="position:absolute;left:5480;top:1414;width:10;height:20" coordorigin="5480,1414" coordsize="10,20">
              <v:shape style="position:absolute;left:5480;top:1414;width:10;height:20" coordorigin="5480,1414" coordsize="10,20" path="m5480,1433l5490,1433,5490,1414,5480,1414,5480,1433xe" filled="true" fillcolor="#000000" stroked="false">
                <v:path arrowok="t"/>
                <v:fill type="solid"/>
              </v:shape>
            </v:group>
            <v:group style="position:absolute;left:5480;top:1433;width:10;height:20" coordorigin="5480,1433" coordsize="10,20">
              <v:shape style="position:absolute;left:5480;top:1433;width:10;height:20" coordorigin="5480,1433" coordsize="10,20" path="m5480,1453l5490,1453,5490,1433,5480,1433,5480,1453xe" filled="true" fillcolor="#000000" stroked="false">
                <v:path arrowok="t"/>
                <v:fill type="solid"/>
              </v:shape>
            </v:group>
            <v:group style="position:absolute;left:5480;top:1453;width:10;height:20" coordorigin="5480,1453" coordsize="10,20">
              <v:shape style="position:absolute;left:5480;top:1453;width:10;height:20" coordorigin="5480,1453" coordsize="10,20" path="m5480,1472l5490,1472,5490,1453,5480,1453,5480,1472xe" filled="true" fillcolor="#000000" stroked="false">
                <v:path arrowok="t"/>
                <v:fill type="solid"/>
              </v:shape>
            </v:group>
            <v:group style="position:absolute;left:5480;top:1472;width:10;height:20" coordorigin="5480,1472" coordsize="10,20">
              <v:shape style="position:absolute;left:5480;top:1472;width:10;height:20" coordorigin="5480,1472" coordsize="10,20" path="m5480,1491l5490,1491,5490,1472,5480,1472,5480,1491xe" filled="true" fillcolor="#000000" stroked="false">
                <v:path arrowok="t"/>
                <v:fill type="solid"/>
              </v:shape>
            </v:group>
            <v:group style="position:absolute;left:5480;top:1491;width:10;height:20" coordorigin="5480,1491" coordsize="10,20">
              <v:shape style="position:absolute;left:5480;top:1491;width:10;height:20" coordorigin="5480,1491" coordsize="10,20" path="m5480,1510l5490,1510,5490,1491,5480,1491,5480,1510xe" filled="true" fillcolor="#000000" stroked="false">
                <v:path arrowok="t"/>
                <v:fill type="solid"/>
              </v:shape>
            </v:group>
            <v:group style="position:absolute;left:5480;top:1510;width:10;height:20" coordorigin="5480,1510" coordsize="10,20">
              <v:shape style="position:absolute;left:5480;top:1510;width:10;height:20" coordorigin="5480,1510" coordsize="10,20" path="m5480,1529l5490,1529,5490,1510,5480,1510,5480,1529xe" filled="true" fillcolor="#000000" stroked="false">
                <v:path arrowok="t"/>
                <v:fill type="solid"/>
              </v:shape>
            </v:group>
            <v:group style="position:absolute;left:5480;top:1529;width:10;height:20" coordorigin="5480,1529" coordsize="10,20">
              <v:shape style="position:absolute;left:5480;top:1529;width:10;height:20" coordorigin="5480,1529" coordsize="10,20" path="m5480,1549l5490,1549,5490,1529,5480,1529,5480,1549xe" filled="true" fillcolor="#000000" stroked="false">
                <v:path arrowok="t"/>
                <v:fill type="solid"/>
              </v:shape>
            </v:group>
            <v:group style="position:absolute;left:5480;top:1549;width:10;height:20" coordorigin="5480,1549" coordsize="10,20">
              <v:shape style="position:absolute;left:5480;top:1549;width:10;height:20" coordorigin="5480,1549" coordsize="10,20" path="m5480,1568l5490,1568,5490,1549,5480,1549,5480,1568xe" filled="true" fillcolor="#000000" stroked="false">
                <v:path arrowok="t"/>
                <v:fill type="solid"/>
              </v:shape>
            </v:group>
            <v:group style="position:absolute;left:5480;top:1568;width:10;height:20" coordorigin="5480,1568" coordsize="10,20">
              <v:shape style="position:absolute;left:5480;top:1568;width:10;height:20" coordorigin="5480,1568" coordsize="10,20" path="m5480,1587l5490,1587,5490,1568,5480,1568,5480,1587xe" filled="true" fillcolor="#000000" stroked="false">
                <v:path arrowok="t"/>
                <v:fill type="solid"/>
              </v:shape>
            </v:group>
            <v:group style="position:absolute;left:5480;top:1587;width:10;height:20" coordorigin="5480,1587" coordsize="10,20">
              <v:shape style="position:absolute;left:5480;top:1587;width:10;height:20" coordorigin="5480,1587" coordsize="10,20" path="m5480,1606l5490,1606,5490,1587,5480,1587,5480,1606xe" filled="true" fillcolor="#000000" stroked="false">
                <v:path arrowok="t"/>
                <v:fill type="solid"/>
              </v:shape>
            </v:group>
            <v:group style="position:absolute;left:5480;top:1606;width:10;height:20" coordorigin="5480,1606" coordsize="10,20">
              <v:shape style="position:absolute;left:5480;top:1606;width:10;height:20" coordorigin="5480,1606" coordsize="10,20" path="m5480,1625l5490,1625,5490,1606,5480,1606,5480,1625xe" filled="true" fillcolor="#000000" stroked="false">
                <v:path arrowok="t"/>
                <v:fill type="solid"/>
              </v:shape>
            </v:group>
            <v:group style="position:absolute;left:5480;top:1625;width:10;height:20" coordorigin="5480,1625" coordsize="10,20">
              <v:shape style="position:absolute;left:5480;top:1625;width:10;height:20" coordorigin="5480,1625" coordsize="10,20" path="m5480,1645l5490,1645,5490,1625,5480,1625,5480,1645xe" filled="true" fillcolor="#000000" stroked="false">
                <v:path arrowok="t"/>
                <v:fill type="solid"/>
              </v:shape>
              <v:shape style="position:absolute;left:5480;top:1664;width:10;height:5" type="#_x0000_t75" stroked="false">
                <v:imagedata r:id="rId36" o:title=""/>
              </v:shape>
            </v:group>
            <v:group style="position:absolute;left:5480;top:1697;width:10;height:20" coordorigin="5480,1697" coordsize="10,20">
              <v:shape style="position:absolute;left:5480;top:1697;width:10;height:20" coordorigin="5480,1697" coordsize="10,20" path="m5480,1717l5490,1717,5490,1697,5480,1697,5480,1717xe" filled="true" fillcolor="#000000" stroked="false">
                <v:path arrowok="t"/>
                <v:fill type="solid"/>
              </v:shape>
            </v:group>
            <v:group style="position:absolute;left:5480;top:1717;width:10;height:20" coordorigin="5480,1717" coordsize="10,20">
              <v:shape style="position:absolute;left:5480;top:1717;width:10;height:20" coordorigin="5480,1717" coordsize="10,20" path="m5480,1736l5490,1736,5490,1717,5480,1717,5480,1736xe" filled="true" fillcolor="#000000" stroked="false">
                <v:path arrowok="t"/>
                <v:fill type="solid"/>
              </v:shape>
            </v:group>
            <v:group style="position:absolute;left:5480;top:1736;width:10;height:20" coordorigin="5480,1736" coordsize="10,20">
              <v:shape style="position:absolute;left:5480;top:1736;width:10;height:20" coordorigin="5480,1736" coordsize="10,20" path="m5480,1755l5490,1755,5490,1736,5480,1736,5480,1755xe" filled="true" fillcolor="#000000" stroked="false">
                <v:path arrowok="t"/>
                <v:fill type="solid"/>
              </v:shape>
            </v:group>
            <v:group style="position:absolute;left:5480;top:1755;width:10;height:20" coordorigin="5480,1755" coordsize="10,20">
              <v:shape style="position:absolute;left:5480;top:1755;width:10;height:20" coordorigin="5480,1755" coordsize="10,20" path="m5480,1774l5490,1774,5490,1755,5480,1755,5480,1774xe" filled="true" fillcolor="#000000" stroked="false">
                <v:path arrowok="t"/>
                <v:fill type="solid"/>
              </v:shape>
            </v:group>
            <v:group style="position:absolute;left:5480;top:1774;width:10;height:20" coordorigin="5480,1774" coordsize="10,20">
              <v:shape style="position:absolute;left:5480;top:1774;width:10;height:20" coordorigin="5480,1774" coordsize="10,20" path="m5480,1793l5490,1793,5490,1774,5480,1774,5480,1793xe" filled="true" fillcolor="#000000" stroked="false">
                <v:path arrowok="t"/>
                <v:fill type="solid"/>
              </v:shape>
            </v:group>
            <v:group style="position:absolute;left:5480;top:1793;width:10;height:20" coordorigin="5480,1793" coordsize="10,20">
              <v:shape style="position:absolute;left:5480;top:1793;width:10;height:20" coordorigin="5480,1793" coordsize="10,20" path="m5480,1813l5490,1813,5490,1793,5480,1793,5480,1813xe" filled="true" fillcolor="#000000" stroked="false">
                <v:path arrowok="t"/>
                <v:fill type="solid"/>
              </v:shape>
            </v:group>
            <v:group style="position:absolute;left:5480;top:1813;width:10;height:20" coordorigin="5480,1813" coordsize="10,20">
              <v:shape style="position:absolute;left:5480;top:1813;width:10;height:20" coordorigin="5480,1813" coordsize="10,20" path="m5480,1832l5490,1832,5490,1813,5480,1813,5480,1832xe" filled="true" fillcolor="#000000" stroked="false">
                <v:path arrowok="t"/>
                <v:fill type="solid"/>
              </v:shape>
            </v:group>
            <v:group style="position:absolute;left:5480;top:1832;width:10;height:20" coordorigin="5480,1832" coordsize="10,20">
              <v:shape style="position:absolute;left:5480;top:1832;width:10;height:20" coordorigin="5480,1832" coordsize="10,20" path="m5480,1851l5490,1851,5490,1832,5480,1832,5480,1851xe" filled="true" fillcolor="#000000" stroked="false">
                <v:path arrowok="t"/>
                <v:fill type="solid"/>
              </v:shape>
            </v:group>
            <v:group style="position:absolute;left:5480;top:1851;width:10;height:20" coordorigin="5480,1851" coordsize="10,20">
              <v:shape style="position:absolute;left:5480;top:1851;width:10;height:20" coordorigin="5480,1851" coordsize="10,20" path="m5480,1870l5490,1870,5490,1851,5480,1851,5480,1870xe" filled="true" fillcolor="#000000" stroked="false">
                <v:path arrowok="t"/>
                <v:fill type="solid"/>
              </v:shape>
            </v:group>
            <v:group style="position:absolute;left:5480;top:1870;width:10;height:20" coordorigin="5480,1870" coordsize="10,20">
              <v:shape style="position:absolute;left:5480;top:1870;width:10;height:20" coordorigin="5480,1870" coordsize="10,20" path="m5480,1889l5490,1889,5490,1870,5480,1870,5480,1889xe" filled="true" fillcolor="#000000" stroked="false">
                <v:path arrowok="t"/>
                <v:fill type="solid"/>
              </v:shape>
            </v:group>
            <v:group style="position:absolute;left:5480;top:1889;width:10;height:20" coordorigin="5480,1889" coordsize="10,20">
              <v:shape style="position:absolute;left:5480;top:1889;width:10;height:20" coordorigin="5480,1889" coordsize="10,20" path="m5480,1909l5490,1909,5490,1889,5480,1889,5480,1909xe" filled="true" fillcolor="#000000" stroked="false">
                <v:path arrowok="t"/>
                <v:fill type="solid"/>
              </v:shape>
            </v:group>
            <v:group style="position:absolute;left:5480;top:1909;width:10;height:20" coordorigin="5480,1909" coordsize="10,20">
              <v:shape style="position:absolute;left:5480;top:1909;width:10;height:20" coordorigin="5480,1909" coordsize="10,20" path="m5480,1928l5490,1928,5490,1909,5480,1909,5480,1928xe" filled="true" fillcolor="#000000" stroked="false">
                <v:path arrowok="t"/>
                <v:fill type="solid"/>
              </v:shape>
            </v:group>
            <v:group style="position:absolute;left:5480;top:1928;width:10;height:20" coordorigin="5480,1928" coordsize="10,20">
              <v:shape style="position:absolute;left:5480;top:1928;width:10;height:20" coordorigin="5480,1928" coordsize="10,20" path="m5480,1947l5490,1947,5490,1928,5480,1928,5480,1947xe" filled="true" fillcolor="#000000" stroked="false">
                <v:path arrowok="t"/>
                <v:fill type="solid"/>
              </v:shape>
            </v:group>
            <v:group style="position:absolute;left:5480;top:1947;width:10;height:20" coordorigin="5480,1947" coordsize="10,20">
              <v:shape style="position:absolute;left:5480;top:1947;width:10;height:20" coordorigin="5480,1947" coordsize="10,20" path="m5480,1966l5490,1966,5490,1947,5480,1947,5480,1966xe" filled="true" fillcolor="#000000" stroked="false">
                <v:path arrowok="t"/>
                <v:fill type="solid"/>
              </v:shape>
            </v:group>
            <v:group style="position:absolute;left:5480;top:1966;width:10;height:20" coordorigin="5480,1966" coordsize="10,20">
              <v:shape style="position:absolute;left:5480;top:1966;width:10;height:20" coordorigin="5480,1966" coordsize="10,20" path="m5480,1985l5490,1985,5490,1966,5480,1966,5480,1985xe" filled="true" fillcolor="#000000" stroked="false">
                <v:path arrowok="t"/>
                <v:fill type="solid"/>
              </v:shape>
            </v:group>
            <v:group style="position:absolute;left:5480;top:2048;width:10;height:20" coordorigin="5480,2048" coordsize="10,20">
              <v:shape style="position:absolute;left:5480;top:2048;width:10;height:20" coordorigin="5480,2048" coordsize="10,20" path="m5480,2067l5490,2067,5490,2048,5480,2048,5480,2067xe" filled="true" fillcolor="#000000" stroked="false">
                <v:path arrowok="t"/>
                <v:fill type="solid"/>
              </v:shape>
            </v:group>
            <v:group style="position:absolute;left:5480;top:2067;width:10;height:20" coordorigin="5480,2067" coordsize="10,20">
              <v:shape style="position:absolute;left:5480;top:2067;width:10;height:20" coordorigin="5480,2067" coordsize="10,20" path="m5480,2086l5490,2086,5490,2067,5480,2067,5480,2086xe" filled="true" fillcolor="#000000" stroked="false">
                <v:path arrowok="t"/>
                <v:fill type="solid"/>
              </v:shape>
            </v:group>
            <v:group style="position:absolute;left:5480;top:2086;width:10;height:20" coordorigin="5480,2086" coordsize="10,20">
              <v:shape style="position:absolute;left:5480;top:2086;width:10;height:20" coordorigin="5480,2086" coordsize="10,20" path="m5480,2105l5490,2105,5490,2086,5480,2086,5480,2105xe" filled="true" fillcolor="#000000" stroked="false">
                <v:path arrowok="t"/>
                <v:fill type="solid"/>
              </v:shape>
            </v:group>
            <v:group style="position:absolute;left:5480;top:2105;width:10;height:20" coordorigin="5480,2105" coordsize="10,20">
              <v:shape style="position:absolute;left:5480;top:2105;width:10;height:20" coordorigin="5480,2105" coordsize="10,20" path="m5480,2125l5490,2125,5490,2105,5480,2105,5480,2125xe" filled="true" fillcolor="#000000" stroked="false">
                <v:path arrowok="t"/>
                <v:fill type="solid"/>
              </v:shape>
            </v:group>
            <v:group style="position:absolute;left:5480;top:2125;width:10;height:20" coordorigin="5480,2125" coordsize="10,20">
              <v:shape style="position:absolute;left:5480;top:2125;width:10;height:20" coordorigin="5480,2125" coordsize="10,20" path="m5480,2144l5490,2144,5490,2125,5480,2125,5480,2144xe" filled="true" fillcolor="#000000" stroked="false">
                <v:path arrowok="t"/>
                <v:fill type="solid"/>
              </v:shape>
            </v:group>
            <v:group style="position:absolute;left:5480;top:2144;width:10;height:20" coordorigin="5480,2144" coordsize="10,20">
              <v:shape style="position:absolute;left:5480;top:2144;width:10;height:20" coordorigin="5480,2144" coordsize="10,20" path="m5480,2163l5490,2163,5490,2144,5480,2144,5480,2163xe" filled="true" fillcolor="#000000" stroked="false">
                <v:path arrowok="t"/>
                <v:fill type="solid"/>
              </v:shape>
            </v:group>
            <v:group style="position:absolute;left:5480;top:2163;width:10;height:20" coordorigin="5480,2163" coordsize="10,20">
              <v:shape style="position:absolute;left:5480;top:2163;width:10;height:20" coordorigin="5480,2163" coordsize="10,20" path="m5480,2182l5490,2182,5490,2163,5480,2163,5480,2182xe" filled="true" fillcolor="#000000" stroked="false">
                <v:path arrowok="t"/>
                <v:fill type="solid"/>
              </v:shape>
            </v:group>
            <v:group style="position:absolute;left:5480;top:2182;width:10;height:20" coordorigin="5480,2182" coordsize="10,20">
              <v:shape style="position:absolute;left:5480;top:2182;width:10;height:20" coordorigin="5480,2182" coordsize="10,20" path="m5480,2201l5490,2201,5490,2182,5480,2182,5480,2201xe" filled="true" fillcolor="#000000" stroked="false">
                <v:path arrowok="t"/>
                <v:fill type="solid"/>
              </v:shape>
            </v:group>
            <v:group style="position:absolute;left:5480;top:2201;width:10;height:20" coordorigin="5480,2201" coordsize="10,20">
              <v:shape style="position:absolute;left:5480;top:2201;width:10;height:20" coordorigin="5480,2201" coordsize="10,20" path="m5480,2221l5490,2221,5490,2201,5480,2201,5480,2221xe" filled="true" fillcolor="#000000" stroked="false">
                <v:path arrowok="t"/>
                <v:fill type="solid"/>
              </v:shape>
            </v:group>
            <v:group style="position:absolute;left:5480;top:2221;width:10;height:20" coordorigin="5480,2221" coordsize="10,20">
              <v:shape style="position:absolute;left:5480;top:2221;width:10;height:20" coordorigin="5480,2221" coordsize="10,20" path="m5480,2240l5490,2240,5490,2221,5480,2221,5480,2240xe" filled="true" fillcolor="#000000" stroked="false">
                <v:path arrowok="t"/>
                <v:fill type="solid"/>
              </v:shape>
            </v:group>
            <v:group style="position:absolute;left:5480;top:2240;width:10;height:20" coordorigin="5480,2240" coordsize="10,20">
              <v:shape style="position:absolute;left:5480;top:2240;width:10;height:20" coordorigin="5480,2240" coordsize="10,20" path="m5480,2259l5490,2259,5490,2240,5480,2240,5480,2259xe" filled="true" fillcolor="#000000" stroked="false">
                <v:path arrowok="t"/>
                <v:fill type="solid"/>
              </v:shape>
            </v:group>
            <v:group style="position:absolute;left:5480;top:2259;width:10;height:20" coordorigin="5480,2259" coordsize="10,20">
              <v:shape style="position:absolute;left:5480;top:2259;width:10;height:20" coordorigin="5480,2259" coordsize="10,20" path="m5480,2278l5490,2278,5490,2259,5480,2259,5480,2278xe" filled="true" fillcolor="#000000" stroked="false">
                <v:path arrowok="t"/>
                <v:fill type="solid"/>
              </v:shape>
            </v:group>
            <v:group style="position:absolute;left:5480;top:2278;width:10;height:20" coordorigin="5480,2278" coordsize="10,20">
              <v:shape style="position:absolute;left:5480;top:2278;width:10;height:20" coordorigin="5480,2278" coordsize="10,20" path="m5480,2297l5490,2297,5490,2278,5480,2278,5480,2297xe" filled="true" fillcolor="#000000" stroked="false">
                <v:path arrowok="t"/>
                <v:fill type="solid"/>
              </v:shape>
            </v:group>
            <v:group style="position:absolute;left:5480;top:2297;width:10;height:20" coordorigin="5480,2297" coordsize="10,20">
              <v:shape style="position:absolute;left:5480;top:2297;width:10;height:20" coordorigin="5480,2297" coordsize="10,20" path="m5480,2317l5490,2317,5490,2297,5480,2297,5480,2317xe" filled="true" fillcolor="#000000" stroked="false">
                <v:path arrowok="t"/>
                <v:fill type="solid"/>
              </v:shape>
            </v:group>
            <v:group style="position:absolute;left:5480;top:2317;width:10;height:20" coordorigin="5480,2317" coordsize="10,20">
              <v:shape style="position:absolute;left:5480;top:2317;width:10;height:20" coordorigin="5480,2317" coordsize="10,20" path="m5480,2336l5490,2336,5490,2317,5480,2317,5480,2336xe" filled="true" fillcolor="#000000" stroked="false">
                <v:path arrowok="t"/>
                <v:fill type="solid"/>
              </v:shape>
            </v:group>
            <v:group style="position:absolute;left:5480;top:2336;width:10;height:20" coordorigin="5480,2336" coordsize="10,20">
              <v:shape style="position:absolute;left:5480;top:2336;width:10;height:20" coordorigin="5480,2336" coordsize="10,20" path="m5480,2355l5490,2355,5490,2336,5480,2336,5480,2355xe" filled="true" fillcolor="#000000" stroked="false">
                <v:path arrowok="t"/>
                <v:fill type="solid"/>
              </v:shape>
            </v:group>
            <w10:wrap type="none"/>
          </v:group>
        </w:pict>
      </w:r>
      <w:r>
        <w:rPr>
          <w:rFonts w:ascii="Arial Narrow" w:hAnsi="Arial Narrow" w:cs="Arial Narrow" w:eastAsia="Arial Narrow" w:hint="default"/>
          <w:spacing w:val="-4"/>
        </w:rPr>
        <w:t>2</w:t>
      </w:r>
      <w:r>
        <w:rPr>
          <w:spacing w:val="-4"/>
        </w:rPr>
        <w:t>、本期不再纳入合并范围的子公司、特殊目的主体、通过委托经营或出租等方式丧失控制权</w:t>
      </w:r>
      <w:r>
        <w:rPr>
          <w:w w:val="100"/>
        </w:rPr>
        <w:t> </w:t>
      </w:r>
      <w:r>
        <w:rPr/>
        <w:t>的经营实体</w:t>
      </w:r>
    </w:p>
    <w:p>
      <w:pPr>
        <w:spacing w:line="240" w:lineRule="auto" w:before="5"/>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3265"/>
        <w:gridCol w:w="5263"/>
      </w:tblGrid>
      <w:tr>
        <w:trPr>
          <w:trHeight w:val="360" w:hRule="exact"/>
        </w:trPr>
        <w:tc>
          <w:tcPr>
            <w:tcW w:w="3265"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52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263"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529"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0" w:hRule="exact"/>
        </w:trPr>
        <w:tc>
          <w:tcPr>
            <w:tcW w:w="3265" w:type="dxa"/>
            <w:tcBorders>
              <w:top w:val="single" w:sz="4" w:space="0" w:color="000000"/>
              <w:left w:val="nil" w:sz="6" w:space="0" w:color="auto"/>
              <w:bottom w:val="single" w:sz="4" w:space="0" w:color="000000"/>
              <w:right w:val="nil" w:sz="6" w:space="0" w:color="auto"/>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上海慧球通信科技有限公司</w:t>
            </w:r>
          </w:p>
        </w:tc>
        <w:tc>
          <w:tcPr>
            <w:tcW w:w="526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637" w:right="0"/>
              <w:jc w:val="left"/>
              <w:rPr>
                <w:rFonts w:ascii="宋体" w:hAnsi="宋体" w:cs="宋体" w:eastAsia="宋体" w:hint="default"/>
                <w:sz w:val="18"/>
                <w:szCs w:val="18"/>
              </w:rPr>
            </w:pPr>
            <w:r>
              <w:rPr>
                <w:rFonts w:ascii="宋体" w:hAnsi="宋体" w:cs="宋体" w:eastAsia="宋体" w:hint="default"/>
                <w:sz w:val="18"/>
                <w:szCs w:val="18"/>
              </w:rPr>
              <w:t>持股比例下降，不再实施控制，转为可供出售金融资产</w:t>
            </w:r>
          </w:p>
        </w:tc>
      </w:tr>
      <w:tr>
        <w:trPr>
          <w:trHeight w:val="350" w:hRule="exact"/>
        </w:trPr>
        <w:tc>
          <w:tcPr>
            <w:tcW w:w="32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慧球智慧科技（宁波）有限公司</w:t>
            </w:r>
          </w:p>
        </w:tc>
        <w:tc>
          <w:tcPr>
            <w:tcW w:w="5263"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637"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60" w:hRule="exact"/>
        </w:trPr>
        <w:tc>
          <w:tcPr>
            <w:tcW w:w="3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沈阳辽原物业管理有限公司</w:t>
            </w:r>
          </w:p>
        </w:tc>
        <w:tc>
          <w:tcPr>
            <w:tcW w:w="5263" w:type="dxa"/>
            <w:tcBorders>
              <w:top w:val="single" w:sz="8" w:space="0" w:color="000000"/>
              <w:left w:val="nil" w:sz="6" w:space="0" w:color="auto"/>
              <w:bottom w:val="single" w:sz="12" w:space="0" w:color="000000"/>
              <w:right w:val="nil" w:sz="6" w:space="0" w:color="auto"/>
            </w:tcBorders>
          </w:tcPr>
          <w:p>
            <w:pPr>
              <w:pStyle w:val="TableParagraph"/>
              <w:spacing w:line="240" w:lineRule="auto" w:before="17"/>
              <w:ind w:left="637" w:right="0"/>
              <w:jc w:val="left"/>
              <w:rPr>
                <w:rFonts w:ascii="宋体" w:hAnsi="宋体" w:cs="宋体" w:eastAsia="宋体" w:hint="default"/>
                <w:sz w:val="18"/>
                <w:szCs w:val="18"/>
              </w:rPr>
            </w:pPr>
            <w:r>
              <w:rPr>
                <w:rFonts w:ascii="宋体" w:hAnsi="宋体" w:cs="宋体" w:eastAsia="宋体" w:hint="default"/>
                <w:sz w:val="18"/>
                <w:szCs w:val="18"/>
              </w:rPr>
              <w:t>转让</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642" w:val="left" w:leader="none"/>
        </w:tabs>
        <w:spacing w:line="290" w:lineRule="auto" w:before="36"/>
        <w:ind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5" w:lineRule="auto" w:before="15"/>
        <w:ind w:right="114" w:firstLine="419"/>
        <w:jc w:val="both"/>
      </w:pPr>
      <w:r>
        <w:rPr/>
        <w:t>本公司财务报表以持续经营为编制基础。本公司根据实际发生的交易和事项，按照财政部颁</w:t>
      </w:r>
      <w:r>
        <w:rPr>
          <w:w w:val="100"/>
        </w:rPr>
        <w:t> </w:t>
      </w:r>
      <w:r>
        <w:rPr/>
        <w:t>布的《企业会计准则——基本准则》和具体企业会计准则、企业会计准则应用指南、企业会计准</w:t>
      </w:r>
      <w:r>
        <w:rPr>
          <w:w w:val="100"/>
        </w:rPr>
        <w:t> </w:t>
      </w:r>
      <w:r>
        <w:rPr/>
        <w:t>则解释及其他相关规定（以下合称“企业会计准则”）进行确认和计量，在此基础上，结合中国</w:t>
      </w:r>
      <w:r>
        <w:rPr>
          <w:w w:val="100"/>
        </w:rPr>
        <w:t> </w:t>
      </w:r>
      <w:r>
        <w:rPr/>
        <w:t>证券监督管理委员会《公开发行证券的公司信息披露编报规则第</w:t>
      </w:r>
      <w:r>
        <w:rPr>
          <w:spacing w:val="-57"/>
        </w:rPr>
        <w:t> </w:t>
      </w:r>
      <w:r>
        <w:rPr>
          <w:rFonts w:ascii="宋体" w:hAnsi="宋体" w:cs="宋体" w:eastAsia="宋体" w:hint="default"/>
        </w:rPr>
        <w:t>15</w:t>
      </w:r>
      <w:r>
        <w:rPr>
          <w:rFonts w:ascii="宋体" w:hAnsi="宋体" w:cs="宋体" w:eastAsia="宋体" w:hint="default"/>
          <w:spacing w:val="-57"/>
        </w:rPr>
        <w:t> </w:t>
      </w:r>
      <w:r>
        <w:rPr/>
        <w:t>号——财务报告的一般规定》</w:t>
      </w:r>
    </w:p>
    <w:p>
      <w:pPr>
        <w:pStyle w:val="BodyText"/>
        <w:spacing w:line="240" w:lineRule="auto" w:before="34"/>
        <w:ind w:right="0"/>
        <w:jc w:val="left"/>
      </w:pPr>
      <w:r>
        <w:rPr/>
        <w:t>（</w:t>
      </w:r>
      <w:r>
        <w:rPr>
          <w:rFonts w:ascii="宋体" w:hAnsi="宋体" w:cs="宋体" w:eastAsia="宋体" w:hint="default"/>
        </w:rPr>
        <w:t>2014</w:t>
      </w:r>
      <w:r>
        <w:rPr>
          <w:rFonts w:ascii="宋体" w:hAnsi="宋体" w:cs="宋体" w:eastAsia="宋体" w:hint="default"/>
          <w:spacing w:val="-56"/>
        </w:rPr>
        <w:t> </w:t>
      </w:r>
      <w:r>
        <w:rPr/>
        <w:t>年修订）的规定，编制财务报表。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tabs>
          <w:tab w:pos="642" w:val="left" w:leader="none"/>
        </w:tabs>
        <w:spacing w:line="240" w:lineRule="auto"/>
        <w:ind w:right="0"/>
        <w:jc w:val="left"/>
        <w:rPr>
          <w:b w:val="0"/>
          <w:bCs w:val="0"/>
        </w:rPr>
      </w:pPr>
      <w:r>
        <w:rPr>
          <w:rFonts w:ascii="宋体" w:hAnsi="宋体" w:cs="宋体" w:eastAsia="宋体" w:hint="default"/>
          <w:w w:val="95"/>
        </w:rPr>
        <w:t>2.</w:t>
        <w:tab/>
      </w:r>
      <w:r>
        <w:rPr/>
        <w:t>持续经营</w:t>
      </w:r>
      <w:r>
        <w:rPr>
          <w:b w:val="0"/>
          <w:bCs w:val="0"/>
        </w:rPr>
      </w:r>
    </w:p>
    <w:p>
      <w:pPr>
        <w:pStyle w:val="BodyText"/>
        <w:tabs>
          <w:tab w:pos="1060" w:val="left" w:leader="none"/>
        </w:tabs>
        <w:spacing w:line="273" w:lineRule="exact" w:before="58"/>
        <w:ind w:right="0"/>
        <w:jc w:val="left"/>
      </w:pPr>
      <w:r>
        <w:rPr>
          <w:spacing w:val="-1"/>
        </w:rPr>
        <w:t>√适用</w:t>
        <w:tab/>
      </w:r>
      <w:r>
        <w:rPr>
          <w:spacing w:val="-2"/>
        </w:rPr>
        <w:t>□不适用</w:t>
      </w:r>
    </w:p>
    <w:p>
      <w:pPr>
        <w:pStyle w:val="BodyText"/>
        <w:spacing w:line="360" w:lineRule="auto"/>
        <w:ind w:right="207" w:firstLine="419"/>
        <w:jc w:val="both"/>
      </w:pPr>
      <w:r>
        <w:rPr>
          <w:spacing w:val="-2"/>
          <w:w w:val="100"/>
        </w:rPr>
        <w:t>本公司对报告期末起</w:t>
      </w:r>
      <w:r>
        <w:rPr>
          <w:spacing w:val="-44"/>
          <w:w w:val="100"/>
        </w:rPr>
        <w:t> </w:t>
      </w:r>
      <w:r>
        <w:rPr>
          <w:rFonts w:ascii="宋体" w:hAnsi="宋体" w:cs="宋体" w:eastAsia="宋体" w:hint="default"/>
          <w:w w:val="100"/>
        </w:rPr>
        <w:t>12</w:t>
      </w:r>
      <w:r>
        <w:rPr>
          <w:rFonts w:ascii="宋体" w:hAnsi="宋体" w:cs="宋体" w:eastAsia="宋体" w:hint="default"/>
          <w:spacing w:val="-47"/>
          <w:w w:val="100"/>
        </w:rPr>
        <w:t> </w:t>
      </w:r>
      <w:r>
        <w:rPr>
          <w:spacing w:val="-5"/>
          <w:w w:val="100"/>
        </w:rPr>
        <w:t>个月的持续经营能力进行了评价，未发现对持续经营能力产生重大怀</w:t>
      </w:r>
      <w:r>
        <w:rPr>
          <w:w w:val="100"/>
        </w:rPr>
        <w:t> </w:t>
      </w:r>
      <w:r>
        <w:rPr/>
        <w:t>疑的事项或情况。因此，本财务报表系在持续经营假设的基础上编制。</w:t>
      </w:r>
    </w:p>
    <w:p>
      <w:pPr>
        <w:spacing w:line="240" w:lineRule="auto" w:before="6"/>
        <w:rPr>
          <w:rFonts w:ascii="宋体" w:hAnsi="宋体" w:cs="宋体" w:eastAsia="宋体" w:hint="default"/>
          <w:sz w:val="27"/>
          <w:szCs w:val="27"/>
        </w:rPr>
      </w:pPr>
    </w:p>
    <w:p>
      <w:pPr>
        <w:spacing w:line="290" w:lineRule="auto" w:before="0"/>
        <w:ind w:left="218" w:right="3415"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6" w:lineRule="exact"/>
        <w:ind w:right="0"/>
        <w:jc w:val="left"/>
      </w:pPr>
      <w:r>
        <w:rPr/>
        <w:t>√适用</w:t>
      </w:r>
      <w:r>
        <w:rPr>
          <w:spacing w:val="-1"/>
        </w:rPr>
        <w:t> </w:t>
      </w:r>
      <w:r>
        <w:rPr/>
        <w:t>□不适用</w:t>
      </w:r>
    </w:p>
    <w:p>
      <w:pPr>
        <w:pStyle w:val="BodyText"/>
        <w:spacing w:line="274" w:lineRule="exact"/>
        <w:ind w:right="0"/>
        <w:jc w:val="left"/>
      </w:pPr>
      <w:r>
        <w:rPr>
          <w:w w:val="100"/>
        </w:rPr>
        <w:t>无</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right="0"/>
        <w:jc w:val="left"/>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after="0" w:line="240" w:lineRule="auto"/>
        <w:jc w:val="left"/>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75"/>
        <w:ind w:left="138" w:right="106"/>
        <w:jc w:val="left"/>
        <w:rPr>
          <w:b w:val="0"/>
          <w:bCs w:val="0"/>
        </w:rPr>
      </w:pPr>
      <w:r>
        <w:rPr>
          <w:rFonts w:ascii="宋体" w:hAnsi="宋体" w:cs="宋体" w:eastAsia="宋体" w:hint="default"/>
          <w:w w:val="95"/>
        </w:rPr>
        <w:t>3.</w:t>
        <w:tab/>
      </w:r>
      <w:r>
        <w:rPr/>
        <w:t>营业周期</w:t>
      </w:r>
      <w:r>
        <w:rPr>
          <w:b w:val="0"/>
          <w:bCs w:val="0"/>
        </w:rPr>
      </w:r>
    </w:p>
    <w:p>
      <w:pPr>
        <w:pStyle w:val="BodyText"/>
        <w:spacing w:line="240" w:lineRule="auto" w:before="56"/>
        <w:ind w:left="138" w:right="10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4"/>
        <w:tabs>
          <w:tab w:pos="562" w:val="left" w:leader="none"/>
        </w:tabs>
        <w:spacing w:line="240" w:lineRule="auto"/>
        <w:ind w:left="138" w:right="106"/>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74" w:lineRule="exact" w:before="56"/>
        <w:ind w:left="138" w:right="106"/>
        <w:jc w:val="left"/>
      </w:pPr>
      <w:r>
        <w:rPr/>
        <w:t>√适用</w:t>
      </w:r>
      <w:r>
        <w:rPr>
          <w:spacing w:val="-1"/>
        </w:rPr>
        <w:t> </w:t>
      </w:r>
      <w:r>
        <w:rPr/>
        <w:t>□不适用</w:t>
      </w:r>
    </w:p>
    <w:p>
      <w:pPr>
        <w:pStyle w:val="BodyText"/>
        <w:spacing w:line="357" w:lineRule="auto"/>
        <w:ind w:left="138" w:right="106"/>
        <w:jc w:val="left"/>
      </w:pPr>
      <w:r>
        <w:rPr>
          <w:spacing w:val="-2"/>
        </w:rPr>
        <w:t>（</w:t>
      </w:r>
      <w:r>
        <w:rPr>
          <w:rFonts w:ascii="宋体" w:hAnsi="宋体" w:cs="宋体" w:eastAsia="宋体" w:hint="default"/>
          <w:spacing w:val="-2"/>
        </w:rPr>
        <w:t>1</w:t>
      </w:r>
      <w:r>
        <w:rPr>
          <w:spacing w:val="-2"/>
        </w:rPr>
        <w:t>）分步实现企业合并过程中的各项交易的条款、条件以及经济影响符合以下一种或多种情况，</w:t>
      </w:r>
      <w:r>
        <w:rPr>
          <w:spacing w:val="-19"/>
        </w:rPr>
        <w:t> </w:t>
      </w:r>
      <w:r>
        <w:rPr>
          <w:spacing w:val="-19"/>
        </w:rPr>
      </w:r>
      <w:r>
        <w:rPr/>
        <w:t>将多次交易事项作为一揽子交易进行会计处理</w:t>
      </w:r>
    </w:p>
    <w:p>
      <w:pPr>
        <w:pStyle w:val="BodyText"/>
        <w:spacing w:line="357" w:lineRule="auto" w:before="30"/>
        <w:ind w:left="558" w:right="106"/>
        <w:jc w:val="left"/>
      </w:pPr>
      <w:r>
        <w:rPr/>
        <w:t>这些交易是同时或者在考虑了彼此影响的情况下订立的；</w:t>
      </w:r>
      <w:r>
        <w:rPr>
          <w:w w:val="100"/>
        </w:rPr>
        <w:t> </w:t>
      </w:r>
      <w:r>
        <w:rPr/>
        <w:t>这些交易整体才能达成一项完整的商业结果；</w:t>
      </w:r>
      <w:r>
        <w:rPr>
          <w:w w:val="100"/>
        </w:rPr>
        <w:t> </w:t>
      </w:r>
      <w:r>
        <w:rPr/>
        <w:t>一项交易的发生取决于其他至少一项交易的发生；</w:t>
      </w:r>
      <w:r>
        <w:rPr>
          <w:w w:val="100"/>
        </w:rPr>
        <w:t> </w:t>
      </w:r>
      <w:r>
        <w:rPr>
          <w:spacing w:val="-2"/>
        </w:rPr>
        <w:t>一项交易单独看是不经济的，但是和其他交易一并考虑时是经济的。</w:t>
      </w:r>
    </w:p>
    <w:p>
      <w:pPr>
        <w:pStyle w:val="BodyText"/>
        <w:spacing w:line="355" w:lineRule="auto" w:before="30"/>
        <w:ind w:left="558" w:right="106" w:hanging="420"/>
        <w:jc w:val="left"/>
      </w:pPr>
      <w:r>
        <w:rPr/>
        <w:t>（</w:t>
      </w:r>
      <w:r>
        <w:rPr>
          <w:rFonts w:ascii="宋体" w:hAnsi="宋体" w:cs="宋体" w:eastAsia="宋体" w:hint="default"/>
        </w:rPr>
        <w:t>2</w:t>
      </w:r>
      <w:r>
        <w:rPr/>
        <w:t>）同一控制下的企业合并</w:t>
      </w:r>
      <w:r>
        <w:rPr>
          <w:w w:val="100"/>
        </w:rPr>
        <w:t> </w:t>
      </w:r>
      <w:r>
        <w:rPr>
          <w:spacing w:val="-2"/>
        </w:rPr>
        <w:t>本公司在企业合并中取得的资产和负债，按照合并日在被合并方资产、负债（包括最终控制</w:t>
      </w:r>
    </w:p>
    <w:p>
      <w:pPr>
        <w:pStyle w:val="BodyText"/>
        <w:spacing w:line="357" w:lineRule="auto" w:before="32"/>
        <w:ind w:left="138" w:right="217"/>
        <w:jc w:val="both"/>
      </w:pPr>
      <w:r>
        <w:rPr>
          <w:spacing w:val="-2"/>
        </w:rPr>
        <w:t>方收购被合并方而形成的商誉）在最终控制方合并财务报表中的账面价值计量。在合并中取得的</w:t>
      </w:r>
      <w:r>
        <w:rPr>
          <w:spacing w:val="-25"/>
        </w:rPr>
        <w:t> </w:t>
      </w:r>
      <w:r>
        <w:rPr>
          <w:spacing w:val="-25"/>
        </w:rPr>
      </w:r>
      <w:r>
        <w:rPr>
          <w:spacing w:val="-2"/>
        </w:rPr>
        <w:t>净资产账面价值与支付的合并对价账面价值（或发行股份面值总额）的差额，调整资本公积中的</w:t>
      </w:r>
      <w:r>
        <w:rPr>
          <w:spacing w:val="-25"/>
        </w:rPr>
        <w:t> </w:t>
      </w:r>
      <w:r>
        <w:rPr>
          <w:spacing w:val="-25"/>
        </w:rPr>
      </w:r>
      <w:r>
        <w:rPr/>
        <w:t>股本溢价，资本公积中的股本溢价不足冲减的，调整留存收益。</w:t>
      </w:r>
    </w:p>
    <w:p>
      <w:pPr>
        <w:pStyle w:val="BodyText"/>
        <w:spacing w:line="355" w:lineRule="auto" w:before="30"/>
        <w:ind w:left="138" w:right="217" w:firstLine="419"/>
        <w:jc w:val="both"/>
      </w:pPr>
      <w:r>
        <w:rPr>
          <w:spacing w:val="-2"/>
        </w:rPr>
        <w:t>如果存在或有对价并需要确认预计负债或资产，该预计负债或资产金额与后续或有对价结算</w:t>
      </w:r>
      <w:r>
        <w:rPr>
          <w:w w:val="100"/>
        </w:rPr>
        <w:t> </w:t>
      </w:r>
      <w:r>
        <w:rPr/>
        <w:t>金额的差额，调整资本公积（资本溢价或股本溢价），资本公积不足的，调整留存收益。</w:t>
      </w:r>
    </w:p>
    <w:p>
      <w:pPr>
        <w:pStyle w:val="BodyText"/>
        <w:spacing w:line="357" w:lineRule="auto" w:before="32"/>
        <w:ind w:left="138" w:right="217" w:firstLine="419"/>
        <w:jc w:val="both"/>
      </w:pPr>
      <w:r>
        <w:rPr>
          <w:spacing w:val="-2"/>
        </w:rPr>
        <w:t>对于通过多次交易最终实现企业合并的，属于一揽子交易的，将各项交易作为一项取得控制</w:t>
      </w:r>
      <w:r>
        <w:rPr>
          <w:w w:val="100"/>
        </w:rPr>
        <w:t> </w:t>
      </w:r>
      <w:r>
        <w:rPr>
          <w:spacing w:val="-2"/>
        </w:rPr>
        <w:t>权的交易进行会计处理；不属于一揽子交易的，在取得控制权日，长期股权投资初始投资成本，</w:t>
      </w:r>
      <w:r>
        <w:rPr>
          <w:spacing w:val="-25"/>
        </w:rPr>
        <w:t> </w:t>
      </w:r>
      <w:r>
        <w:rPr>
          <w:spacing w:val="-25"/>
        </w:rPr>
      </w:r>
      <w:r>
        <w:rPr>
          <w:spacing w:val="-2"/>
        </w:rPr>
        <w:t>与达到合并前的长期股权投资账面价值加上合并日进一步取得股份新支付对价的账面价值之和的</w:t>
      </w:r>
      <w:r>
        <w:rPr>
          <w:spacing w:val="-25"/>
        </w:rPr>
        <w:t> </w:t>
      </w:r>
      <w:r>
        <w:rPr>
          <w:spacing w:val="-25"/>
        </w:rPr>
      </w:r>
      <w:r>
        <w:rPr>
          <w:spacing w:val="-2"/>
        </w:rPr>
        <w:t>差额，调整资本公积；资本公积不足冲减的，调整留存收益。对于合并日之前持有的股权投资，</w:t>
      </w:r>
      <w:r>
        <w:rPr>
          <w:spacing w:val="-25"/>
        </w:rPr>
        <w:t> </w:t>
      </w:r>
      <w:r>
        <w:rPr>
          <w:spacing w:val="-25"/>
        </w:rPr>
      </w:r>
      <w:r>
        <w:rPr>
          <w:spacing w:val="-2"/>
        </w:rPr>
        <w:t>因采用权益法核算或金融工具确认和计量准则核算而确认的其他综合收益，暂不进行会计处理，</w:t>
      </w:r>
      <w:r>
        <w:rPr>
          <w:spacing w:val="-25"/>
        </w:rPr>
        <w:t> </w:t>
      </w:r>
      <w:r>
        <w:rPr>
          <w:spacing w:val="-25"/>
        </w:rPr>
      </w:r>
      <w:r>
        <w:rPr>
          <w:spacing w:val="-2"/>
        </w:rPr>
        <w:t>直至处置该项投资时采用与被投资单位直接处置相关资产或负债相同的基础进行会计处理；因采</w:t>
      </w:r>
      <w:r>
        <w:rPr>
          <w:spacing w:val="-25"/>
        </w:rPr>
        <w:t> </w:t>
      </w:r>
      <w:r>
        <w:rPr>
          <w:spacing w:val="-25"/>
        </w:rPr>
      </w:r>
      <w:r>
        <w:rPr>
          <w:spacing w:val="-2"/>
        </w:rPr>
        <w:t>用权益法核算而确认的被投资单位净资产中除净损益、其他综合收益和利润分配以外的所有者权</w:t>
      </w:r>
      <w:r>
        <w:rPr>
          <w:spacing w:val="-25"/>
        </w:rPr>
        <w:t> </w:t>
      </w:r>
      <w:r>
        <w:rPr>
          <w:spacing w:val="-25"/>
        </w:rPr>
      </w:r>
      <w:r>
        <w:rPr/>
        <w:t>益其他变动，暂不进行会计处理，直至处置该项投资时转入当期损益。</w:t>
      </w:r>
    </w:p>
    <w:p>
      <w:pPr>
        <w:pStyle w:val="BodyText"/>
        <w:spacing w:line="355" w:lineRule="auto" w:before="30"/>
        <w:ind w:left="558" w:right="106" w:hanging="420"/>
        <w:jc w:val="left"/>
      </w:pPr>
      <w:r>
        <w:rPr/>
        <w:t>（</w:t>
      </w:r>
      <w:r>
        <w:rPr>
          <w:rFonts w:ascii="宋体" w:hAnsi="宋体" w:cs="宋体" w:eastAsia="宋体" w:hint="default"/>
        </w:rPr>
        <w:t>3</w:t>
      </w:r>
      <w:r>
        <w:rPr/>
        <w:t>）非同一控制下的企业合并</w:t>
      </w:r>
      <w:r>
        <w:rPr>
          <w:w w:val="100"/>
        </w:rPr>
        <w:t> </w:t>
      </w:r>
      <w:r>
        <w:rPr>
          <w:spacing w:val="-2"/>
        </w:rPr>
        <w:t>购买日是指本公司实际取得对被购买方控制权的日期，即被购买方的净资产或生产经营决策</w:t>
      </w:r>
    </w:p>
    <w:p>
      <w:pPr>
        <w:pStyle w:val="BodyText"/>
        <w:spacing w:line="240" w:lineRule="auto" w:before="34"/>
        <w:ind w:left="138" w:right="106"/>
        <w:jc w:val="left"/>
      </w:pPr>
      <w:r>
        <w:rPr/>
        <w:t>的控制权转移给本公司的日期。同时满足下列条件时，本公司一般认为实现了控制权的转移：</w:t>
      </w:r>
    </w:p>
    <w:p>
      <w:pPr>
        <w:pStyle w:val="BodyText"/>
        <w:spacing w:line="240" w:lineRule="auto" w:before="133"/>
        <w:ind w:left="452" w:right="106"/>
        <w:jc w:val="left"/>
      </w:pPr>
      <w:r>
        <w:rPr/>
        <w:t>①</w:t>
      </w:r>
      <w:r>
        <w:rPr>
          <w:spacing w:val="43"/>
        </w:rPr>
        <w:t> </w:t>
      </w:r>
      <w:r>
        <w:rPr/>
        <w:t>业合并合同或协议已获本公司内部权力机构通过。</w:t>
      </w:r>
    </w:p>
    <w:p>
      <w:pPr>
        <w:pStyle w:val="BodyText"/>
        <w:spacing w:line="240" w:lineRule="auto" w:before="133"/>
        <w:ind w:left="452" w:right="106"/>
        <w:jc w:val="left"/>
      </w:pPr>
      <w:r>
        <w:rPr/>
        <w:t>②</w:t>
      </w:r>
      <w:r>
        <w:rPr>
          <w:spacing w:val="41"/>
        </w:rPr>
        <w:t> </w:t>
      </w:r>
      <w:r>
        <w:rPr/>
        <w:t>企业合并事项需要经过国家有关主管部门审批的，已获得批准。</w:t>
      </w:r>
    </w:p>
    <w:p>
      <w:pPr>
        <w:pStyle w:val="BodyText"/>
        <w:spacing w:line="240" w:lineRule="auto" w:before="133"/>
        <w:ind w:left="452" w:right="106"/>
        <w:jc w:val="left"/>
      </w:pPr>
      <w:r>
        <w:rPr/>
        <w:t>③</w:t>
      </w:r>
      <w:r>
        <w:rPr>
          <w:spacing w:val="46"/>
        </w:rPr>
        <w:t> </w:t>
      </w:r>
      <w:r>
        <w:rPr/>
        <w:t>办理了必要的财产权转移手续。</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452" w:right="0"/>
        <w:jc w:val="left"/>
      </w:pPr>
      <w:r>
        <w:rPr/>
        <w:t>④</w:t>
      </w:r>
      <w:r>
        <w:rPr>
          <w:spacing w:val="40"/>
        </w:rPr>
        <w:t> </w:t>
      </w:r>
      <w:r>
        <w:rPr/>
        <w:t>本公司已支付了合并价款的大部分，并且有能力、有计划支付剩余款项。</w:t>
      </w:r>
    </w:p>
    <w:p>
      <w:pPr>
        <w:pStyle w:val="BodyText"/>
        <w:spacing w:line="355" w:lineRule="auto" w:before="135"/>
        <w:ind w:left="812" w:right="0" w:hanging="360"/>
        <w:jc w:val="left"/>
      </w:pPr>
      <w:r>
        <w:rPr/>
        <w:t>⑤ </w:t>
      </w:r>
      <w:r>
        <w:rPr>
          <w:spacing w:val="-3"/>
        </w:rPr>
        <w:t>本公司实际上已经控制了被购买方的财务和经营政策，并享有相应的利益、承担相应的风</w:t>
      </w:r>
      <w:r>
        <w:rPr>
          <w:spacing w:val="-87"/>
        </w:rPr>
        <w:t> </w:t>
      </w:r>
      <w:r>
        <w:rPr>
          <w:spacing w:val="-87"/>
        </w:rPr>
      </w:r>
      <w:r>
        <w:rPr/>
        <w:t>险。</w:t>
      </w:r>
    </w:p>
    <w:p>
      <w:pPr>
        <w:pStyle w:val="BodyText"/>
        <w:spacing w:line="355" w:lineRule="auto" w:before="32"/>
        <w:ind w:left="138" w:right="137" w:firstLine="419"/>
        <w:jc w:val="both"/>
      </w:pPr>
      <w:r>
        <w:rPr>
          <w:spacing w:val="-2"/>
        </w:rPr>
        <w:t>本公司在购买日对作为企业合并对价付出的资产、发生或承担的负债按照公允价值计量，公</w:t>
      </w:r>
      <w:r>
        <w:rPr>
          <w:w w:val="100"/>
        </w:rPr>
        <w:t> </w:t>
      </w:r>
      <w:r>
        <w:rPr/>
        <w:t>允价值与其账面价值的差额，计入当期损益。</w:t>
      </w:r>
    </w:p>
    <w:p>
      <w:pPr>
        <w:pStyle w:val="BodyText"/>
        <w:spacing w:line="357" w:lineRule="auto" w:before="32"/>
        <w:ind w:left="138" w:right="137" w:firstLine="419"/>
        <w:jc w:val="both"/>
      </w:pPr>
      <w:r>
        <w:rPr>
          <w:spacing w:val="-2"/>
        </w:rPr>
        <w:t>本公司对合并成本大于合并中取得的被购买方可辨认净资产公允价值份额的差额，确认为商</w:t>
      </w:r>
      <w:r>
        <w:rPr>
          <w:w w:val="100"/>
        </w:rPr>
        <w:t> </w:t>
      </w:r>
      <w:r>
        <w:rPr>
          <w:spacing w:val="-2"/>
        </w:rPr>
        <w:t>誉；合并成本小于合并中取得的被购买方可辨认净资产公允价值份额的差额，经复核后，计入当</w:t>
      </w:r>
      <w:r>
        <w:rPr>
          <w:spacing w:val="-25"/>
        </w:rPr>
        <w:t> </w:t>
      </w:r>
      <w:r>
        <w:rPr>
          <w:spacing w:val="-25"/>
        </w:rPr>
      </w:r>
      <w:r>
        <w:rPr/>
        <w:t>期损益。</w:t>
      </w:r>
    </w:p>
    <w:p>
      <w:pPr>
        <w:pStyle w:val="BodyText"/>
        <w:spacing w:line="357" w:lineRule="auto" w:before="31"/>
        <w:ind w:left="138" w:right="137" w:firstLine="419"/>
        <w:jc w:val="both"/>
      </w:pPr>
      <w:r>
        <w:rPr>
          <w:spacing w:val="-2"/>
        </w:rPr>
        <w:t>通过多次交换交易分步实现的非同一控制下企业合并，属于一揽子交易的，将各项交易作为</w:t>
      </w:r>
      <w:r>
        <w:rPr>
          <w:w w:val="100"/>
        </w:rPr>
        <w:t> </w:t>
      </w:r>
      <w:r>
        <w:rPr>
          <w:spacing w:val="-2"/>
        </w:rPr>
        <w:t>一项取得控制权的交易进行会计处理；不属于一揽子交易的，合并日之前持有的股权投资采用权</w:t>
      </w:r>
      <w:r>
        <w:rPr>
          <w:spacing w:val="-25"/>
        </w:rPr>
        <w:t> </w:t>
      </w:r>
      <w:r>
        <w:rPr>
          <w:spacing w:val="-25"/>
        </w:rPr>
      </w:r>
      <w:r>
        <w:rPr>
          <w:spacing w:val="-2"/>
        </w:rPr>
        <w:t>益法核算的，以购买日之前所持被购买方的股权投资的账面价值与购买日新增投资成本之和，作</w:t>
      </w:r>
      <w:r>
        <w:rPr>
          <w:spacing w:val="-25"/>
        </w:rPr>
        <w:t> </w:t>
      </w:r>
      <w:r>
        <w:rPr>
          <w:spacing w:val="-25"/>
        </w:rPr>
      </w:r>
      <w:r>
        <w:rPr>
          <w:spacing w:val="-2"/>
        </w:rPr>
        <w:t>为该项投资的初始投资成本；购买日之前持有的股权投资因采用权益法核算而确认的其他综合收</w:t>
      </w:r>
      <w:r>
        <w:rPr>
          <w:spacing w:val="-25"/>
        </w:rPr>
        <w:t> </w:t>
      </w:r>
      <w:r>
        <w:rPr>
          <w:spacing w:val="-25"/>
        </w:rPr>
      </w:r>
      <w:r>
        <w:rPr>
          <w:spacing w:val="-2"/>
        </w:rPr>
        <w:t>益，在处置该项投资时采用与被投资单位直接处置相关资产或负债相同的基础进行会计处理。合</w:t>
      </w:r>
      <w:r>
        <w:rPr>
          <w:spacing w:val="-25"/>
        </w:rPr>
        <w:t> </w:t>
      </w:r>
      <w:r>
        <w:rPr>
          <w:spacing w:val="-25"/>
        </w:rPr>
      </w:r>
      <w:r>
        <w:rPr>
          <w:spacing w:val="-2"/>
        </w:rPr>
        <w:t>并日之前持有的股权投资采用金融工具确认和计量准则核算的，以该股权投资在合并日的公允价</w:t>
      </w:r>
      <w:r>
        <w:rPr>
          <w:spacing w:val="-25"/>
        </w:rPr>
        <w:t> </w:t>
      </w:r>
      <w:r>
        <w:rPr>
          <w:spacing w:val="-25"/>
        </w:rPr>
      </w:r>
      <w:r>
        <w:rPr>
          <w:spacing w:val="-2"/>
        </w:rPr>
        <w:t>值加上新增投资成本之和，作为合并日的初始投资成本。原持有股权的公允价值与账面价值之间</w:t>
      </w:r>
      <w:r>
        <w:rPr>
          <w:spacing w:val="-25"/>
        </w:rPr>
        <w:t> </w:t>
      </w:r>
      <w:r>
        <w:rPr>
          <w:spacing w:val="-25"/>
        </w:rPr>
      </w:r>
      <w:r>
        <w:rPr/>
        <w:t>的差额以及原计入其他综合收益的累计公允价值变动应全部转入合并日当期的投资收益。</w:t>
      </w:r>
    </w:p>
    <w:p>
      <w:pPr>
        <w:pStyle w:val="BodyText"/>
        <w:spacing w:line="355" w:lineRule="auto" w:before="30"/>
        <w:ind w:left="558" w:right="0" w:hanging="106"/>
        <w:jc w:val="left"/>
      </w:pPr>
      <w:r>
        <w:rPr/>
        <w:t>（</w:t>
      </w:r>
      <w:r>
        <w:rPr>
          <w:rFonts w:ascii="宋体" w:hAnsi="宋体" w:cs="宋体" w:eastAsia="宋体" w:hint="default"/>
        </w:rPr>
        <w:t>4</w:t>
      </w:r>
      <w:r>
        <w:rPr/>
        <w:t>）为合并发生的相关费用</w:t>
      </w:r>
      <w:r>
        <w:rPr>
          <w:w w:val="100"/>
        </w:rPr>
        <w:t> </w:t>
      </w:r>
      <w:r>
        <w:rPr>
          <w:spacing w:val="-2"/>
        </w:rPr>
        <w:t>为企业合并发生的审计、法律服务、评估咨询等中介费用以及其他直接相关费用，于发生时</w:t>
      </w:r>
    </w:p>
    <w:p>
      <w:pPr>
        <w:pStyle w:val="BodyText"/>
        <w:spacing w:line="355" w:lineRule="auto" w:before="32"/>
        <w:ind w:left="138" w:right="0"/>
        <w:jc w:val="left"/>
      </w:pPr>
      <w:r>
        <w:rPr>
          <w:spacing w:val="-2"/>
        </w:rPr>
        <w:t>计入当期损益；为企业合并而发行权益性证券的交易费用，可直接归属于权益性交易的从权益中</w:t>
      </w:r>
      <w:r>
        <w:rPr>
          <w:spacing w:val="-25"/>
        </w:rPr>
        <w:t> </w:t>
      </w:r>
      <w:r>
        <w:rPr>
          <w:spacing w:val="-25"/>
        </w:rPr>
      </w:r>
      <w:r>
        <w:rPr/>
        <w:t>扣减。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80" w:val="left" w:leader="none"/>
        </w:tabs>
        <w:spacing w:line="274" w:lineRule="exact" w:before="56"/>
        <w:ind w:left="138" w:right="0"/>
        <w:jc w:val="left"/>
      </w:pPr>
      <w:r>
        <w:rPr>
          <w:spacing w:val="-1"/>
        </w:rPr>
        <w:t>√适用</w:t>
        <w:tab/>
      </w:r>
      <w:r>
        <w:rPr>
          <w:spacing w:val="-2"/>
        </w:rPr>
        <w:t>□不适用</w:t>
      </w:r>
    </w:p>
    <w:p>
      <w:pPr>
        <w:pStyle w:val="BodyText"/>
        <w:spacing w:line="357" w:lineRule="auto"/>
        <w:ind w:left="558" w:right="0" w:hanging="1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spacing w:val="-104"/>
        </w:rPr>
        <w:t> </w:t>
      </w:r>
      <w:r>
        <w:rPr>
          <w:spacing w:val="-2"/>
        </w:rPr>
        <w:t>本公司合并财务报表的合并范围以控制为基础确定，所有子公司（包括本公司所控制的单独</w:t>
      </w:r>
    </w:p>
    <w:p>
      <w:pPr>
        <w:pStyle w:val="BodyText"/>
        <w:spacing w:line="240" w:lineRule="auto" w:before="30"/>
        <w:ind w:left="138" w:right="0"/>
        <w:jc w:val="left"/>
      </w:pPr>
      <w:r>
        <w:rPr/>
        <w:t>主体）均纳入合并财务报表。</w:t>
      </w:r>
    </w:p>
    <w:p>
      <w:pPr>
        <w:pStyle w:val="BodyText"/>
        <w:spacing w:line="338" w:lineRule="auto" w:before="133"/>
        <w:ind w:left="558" w:right="0" w:hanging="12"/>
        <w:jc w:val="left"/>
      </w:pPr>
      <w:r>
        <w:rPr>
          <w:rFonts w:ascii="宋体" w:hAnsi="宋体" w:cs="宋体" w:eastAsia="宋体" w:hint="default"/>
          <w:b/>
          <w:bCs/>
        </w:rPr>
        <w:t>（</w:t>
      </w:r>
      <w:r>
        <w:rPr>
          <w:rFonts w:ascii="Arial Narrow" w:hAnsi="Arial Narrow" w:cs="Arial Narrow" w:eastAsia="Arial Narrow"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w:t>
      </w:r>
    </w:p>
    <w:p>
      <w:pPr>
        <w:pStyle w:val="BodyText"/>
        <w:spacing w:line="355" w:lineRule="auto" w:before="49"/>
        <w:ind w:left="138" w:right="0"/>
        <w:jc w:val="left"/>
      </w:pP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p>
    <w:p>
      <w:pPr>
        <w:pStyle w:val="BodyText"/>
        <w:spacing w:line="357" w:lineRule="auto" w:before="32"/>
        <w:ind w:left="138" w:right="137" w:firstLine="419"/>
        <w:jc w:val="both"/>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5"/>
        </w:rPr>
        <w:t> </w:t>
      </w:r>
      <w:r>
        <w:rPr>
          <w:spacing w:val="-25"/>
        </w:rPr>
      </w:r>
      <w:r>
        <w:rPr/>
        <w:t>策、会计期间进行必要的调整。</w:t>
      </w:r>
    </w:p>
    <w:p>
      <w:pPr>
        <w:pStyle w:val="BodyText"/>
        <w:spacing w:line="240" w:lineRule="auto" w:before="30"/>
        <w:ind w:left="558" w:right="0"/>
        <w:jc w:val="left"/>
      </w:pPr>
      <w:r>
        <w:rPr/>
        <w:t>合并财务报表时抵销本公司与各子公司、各子公司相互之间发生的内部交易对合并资产负债</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317"/>
        <w:jc w:val="both"/>
      </w:pPr>
      <w:r>
        <w:rPr>
          <w:spacing w:val="-2"/>
        </w:rPr>
        <w:t>表、合并利润表、合并现金流量表、合并股东权益变动表的影响。如果站在企业集团合并财务报</w:t>
      </w:r>
      <w:r>
        <w:rPr>
          <w:spacing w:val="-25"/>
        </w:rPr>
        <w:t> </w:t>
      </w:r>
      <w:r>
        <w:rPr>
          <w:spacing w:val="-25"/>
        </w:rPr>
      </w:r>
      <w:r>
        <w:rPr>
          <w:spacing w:val="-2"/>
        </w:rPr>
        <w:t>表角度与以本公司或子公司为会计主体对同一交易的认定不同时，从企业集团的角度对该交易予</w:t>
      </w:r>
      <w:r>
        <w:rPr>
          <w:spacing w:val="-25"/>
        </w:rPr>
        <w:t> </w:t>
      </w:r>
      <w:r>
        <w:rPr>
          <w:spacing w:val="-25"/>
        </w:rPr>
      </w:r>
      <w:r>
        <w:rPr/>
        <w:t>以调整。</w:t>
      </w:r>
    </w:p>
    <w:p>
      <w:pPr>
        <w:pStyle w:val="BodyText"/>
        <w:spacing w:line="357" w:lineRule="auto" w:before="30"/>
        <w:ind w:left="138" w:right="317" w:firstLine="419"/>
        <w:jc w:val="both"/>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p>
    <w:p>
      <w:pPr>
        <w:pStyle w:val="BodyText"/>
        <w:spacing w:line="357" w:lineRule="auto" w:before="30"/>
        <w:ind w:left="138" w:right="317" w:firstLine="419"/>
        <w:jc w:val="both"/>
      </w:pPr>
      <w:r>
        <w:rPr>
          <w:spacing w:val="-2"/>
        </w:rPr>
        <w:t>对于同一控制下企业合并取得的子公司，以其资产、负债（包括最终控制方收购该子公司而</w:t>
      </w:r>
      <w:r>
        <w:rPr>
          <w:w w:val="100"/>
        </w:rPr>
        <w:t> </w:t>
      </w:r>
      <w:r>
        <w:rPr/>
        <w:t>形成的商誉）在最终控制方财务报表中的账面价值为基础对其财务报表进行调整。</w:t>
      </w:r>
    </w:p>
    <w:p>
      <w:pPr>
        <w:pStyle w:val="BodyText"/>
        <w:spacing w:line="357" w:lineRule="auto" w:before="30"/>
        <w:ind w:left="138" w:right="317" w:firstLine="419"/>
        <w:jc w:val="both"/>
      </w:pPr>
      <w:r>
        <w:rPr>
          <w:spacing w:val="-2"/>
        </w:rPr>
        <w:t>对于非同一控制下企业合并取得的子公司，以购买日可辨认净资产公允价值为基础对其财务</w:t>
      </w:r>
      <w:r>
        <w:rPr>
          <w:w w:val="100"/>
        </w:rPr>
        <w:t> </w:t>
      </w:r>
      <w:r>
        <w:rPr/>
        <w:t>报表进行调整</w:t>
      </w:r>
    </w:p>
    <w:p>
      <w:pPr>
        <w:pStyle w:val="BodyText"/>
        <w:tabs>
          <w:tab w:pos="977" w:val="left" w:leader="none"/>
        </w:tabs>
        <w:spacing w:line="355" w:lineRule="auto" w:before="30"/>
        <w:ind w:left="558" w:right="317"/>
        <w:jc w:val="left"/>
      </w:pPr>
      <w:r>
        <w:rPr/>
        <w:t>①</w:t>
        <w:tab/>
        <w:t>增加子公司或业务</w:t>
      </w:r>
      <w:r>
        <w:rPr>
          <w:w w:val="100"/>
        </w:rPr>
        <w:t> </w:t>
      </w:r>
      <w:r>
        <w:rPr>
          <w:spacing w:val="-2"/>
        </w:rPr>
        <w:t>在报告期内，若因同一控制下企业合并增加子公司或业务的，则调整合并资产负债表的期初</w:t>
      </w:r>
    </w:p>
    <w:p>
      <w:pPr>
        <w:pStyle w:val="BodyText"/>
        <w:spacing w:line="357" w:lineRule="auto" w:before="32"/>
        <w:ind w:left="138" w:right="317"/>
        <w:jc w:val="both"/>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p>
    <w:p>
      <w:pPr>
        <w:pStyle w:val="BodyText"/>
        <w:spacing w:line="355" w:lineRule="auto" w:before="30"/>
        <w:ind w:left="138" w:right="97" w:firstLine="419"/>
        <w:jc w:val="left"/>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1"/>
        </w:rPr>
        <w:t>取得原股权之日与合并方和被合并方同处于同一控制之日孰晚日起至合并日之间已确认有关损益、</w:t>
      </w:r>
      <w:r>
        <w:rPr>
          <w:spacing w:val="-55"/>
        </w:rPr>
        <w:t> </w:t>
      </w:r>
      <w:r>
        <w:rPr>
          <w:spacing w:val="-55"/>
        </w:rPr>
      </w:r>
      <w:r>
        <w:rPr/>
        <w:t>其他综合收益以及其他净资产变动，分别冲减比较报表期间的期初留存收益或当期损益。</w:t>
      </w:r>
    </w:p>
    <w:p>
      <w:pPr>
        <w:pStyle w:val="BodyText"/>
        <w:spacing w:line="355" w:lineRule="auto" w:before="34"/>
        <w:ind w:left="138" w:right="317" w:firstLine="419"/>
        <w:jc w:val="both"/>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p>
    <w:p>
      <w:pPr>
        <w:pStyle w:val="BodyText"/>
        <w:spacing w:line="357" w:lineRule="auto" w:before="32"/>
        <w:ind w:left="138" w:right="317" w:firstLine="419"/>
        <w:jc w:val="both"/>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r>
        <w:rPr>
          <w:spacing w:val="-25"/>
        </w:rPr>
        <w:t> </w:t>
      </w:r>
      <w:r>
        <w:rPr>
          <w:spacing w:val="-25"/>
        </w:rPr>
      </w:r>
      <w:r>
        <w:rPr>
          <w:spacing w:val="-2"/>
        </w:rPr>
        <w:t>额计入当期投资收益。购买日之前持有的被购买方的股权涉及权益法核算下的其他综合收益以及</w:t>
      </w:r>
      <w:r>
        <w:rPr>
          <w:spacing w:val="-26"/>
        </w:rPr>
        <w:t> </w:t>
      </w:r>
      <w:r>
        <w:rPr>
          <w:spacing w:val="-26"/>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p>
    <w:p>
      <w:pPr>
        <w:pStyle w:val="BodyText"/>
        <w:tabs>
          <w:tab w:pos="977" w:val="left" w:leader="none"/>
        </w:tabs>
        <w:spacing w:line="355" w:lineRule="auto" w:before="32"/>
        <w:ind w:left="558" w:right="6623"/>
        <w:jc w:val="left"/>
      </w:pPr>
      <w:r>
        <w:rPr/>
        <w:t>②</w:t>
        <w:tab/>
      </w:r>
      <w:r>
        <w:rPr>
          <w:spacing w:val="-2"/>
        </w:rPr>
        <w:t>处置子公司或业务</w:t>
      </w:r>
      <w:r>
        <w:rPr>
          <w:spacing w:val="-89"/>
        </w:rPr>
        <w:t> </w:t>
      </w:r>
      <w:r>
        <w:rPr>
          <w:spacing w:val="-89"/>
        </w:rPr>
      </w:r>
      <w:r>
        <w:rPr>
          <w:rFonts w:ascii="宋体" w:hAnsi="宋体" w:cs="宋体" w:eastAsia="宋体" w:hint="default"/>
        </w:rPr>
        <w:t>1</w:t>
      </w:r>
      <w:r>
        <w:rPr/>
        <w:t>）一般处理方法</w:t>
      </w:r>
    </w:p>
    <w:p>
      <w:pPr>
        <w:pStyle w:val="BodyText"/>
        <w:spacing w:line="357" w:lineRule="auto" w:before="32"/>
        <w:ind w:left="138" w:right="317" w:firstLine="419"/>
        <w:jc w:val="both"/>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p>
    <w:p>
      <w:pPr>
        <w:pStyle w:val="BodyText"/>
        <w:spacing w:line="240" w:lineRule="auto" w:before="32"/>
        <w:ind w:left="558" w:right="97"/>
        <w:jc w:val="left"/>
      </w:pPr>
      <w:r>
        <w:rPr/>
        <w:t>因处置部分股权投资或其他原因丧失了对被投资方控制权时，对于处置后的剩余股权投资，</w:t>
      </w:r>
    </w:p>
    <w:p>
      <w:pPr>
        <w:spacing w:after="0" w:line="240" w:lineRule="auto"/>
        <w:jc w:val="left"/>
        <w:sectPr>
          <w:footerReference w:type="default" r:id="rId68"/>
          <w:pgSz w:w="11910" w:h="16840"/>
          <w:pgMar w:footer="1195" w:header="882" w:top="1120" w:bottom="1380" w:left="1660" w:right="960"/>
          <w:pgNumType w:start="77"/>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本公司按照其在丧失控制权日的公允价值进行重新计量。处置股权取得的对价与剩余股权公允价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值之和，减去按原持股比例计算应享有原有子公司自购买日或合并日开始持续计算的净资产的份</w:t>
      </w:r>
      <w:r>
        <w:rPr>
          <w:spacing w:val="-25"/>
        </w:rPr>
        <w:t> </w:t>
      </w:r>
      <w:r>
        <w:rPr>
          <w:spacing w:val="-25"/>
        </w:rPr>
      </w:r>
      <w:r>
        <w:rPr>
          <w:spacing w:val="-2"/>
        </w:rPr>
        <w:t>额与商誉之和的差额，计入丧失控制权当期的投资收益。与原有子公司股权投资相关的其他综合</w:t>
      </w:r>
      <w:r>
        <w:rPr>
          <w:spacing w:val="-25"/>
        </w:rPr>
        <w:t> </w:t>
      </w:r>
      <w:r>
        <w:rPr>
          <w:spacing w:val="-25"/>
        </w:rPr>
      </w: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p>
    <w:p>
      <w:pPr>
        <w:pStyle w:val="BodyText"/>
        <w:spacing w:line="355" w:lineRule="auto" w:before="32"/>
        <w:ind w:left="558" w:right="106"/>
        <w:jc w:val="left"/>
      </w:pPr>
      <w:r>
        <w:rPr>
          <w:rFonts w:ascii="宋体" w:hAnsi="宋体" w:cs="宋体" w:eastAsia="宋体" w:hint="default"/>
        </w:rPr>
        <w:t>2</w:t>
      </w:r>
      <w:r>
        <w:rPr/>
        <w:t>）分步处置子公司</w:t>
      </w:r>
      <w:r>
        <w:rPr>
          <w:w w:val="100"/>
        </w:rPr>
        <w:t> </w:t>
      </w:r>
      <w:r>
        <w:rPr>
          <w:spacing w:val="-2"/>
        </w:rPr>
        <w:t>通过多次交易分步处置对子公司股权投资直至丧失控制权的，处置对子公司股权投资的各项</w:t>
      </w:r>
    </w:p>
    <w:p>
      <w:pPr>
        <w:pStyle w:val="BodyText"/>
        <w:spacing w:line="355" w:lineRule="auto" w:before="33"/>
        <w:ind w:left="138" w:right="217"/>
        <w:jc w:val="both"/>
      </w:pPr>
      <w:r>
        <w:rPr>
          <w:spacing w:val="-2"/>
        </w:rPr>
        <w:t>交易的条款、条件以及经济影响符合以下一种或多种情况，通常表明应将多次交易事项作为一揽</w:t>
      </w:r>
      <w:r>
        <w:rPr>
          <w:spacing w:val="-25"/>
        </w:rPr>
        <w:t> </w:t>
      </w:r>
      <w:r>
        <w:rPr>
          <w:spacing w:val="-25"/>
        </w:rPr>
      </w:r>
      <w:r>
        <w:rPr/>
        <w:t>子交易进行会计处理：</w:t>
      </w:r>
    </w:p>
    <w:p>
      <w:pPr>
        <w:pStyle w:val="BodyText"/>
        <w:spacing w:line="355" w:lineRule="auto" w:before="34"/>
        <w:ind w:left="558" w:right="106"/>
        <w:jc w:val="left"/>
      </w:pPr>
      <w:r>
        <w:rPr>
          <w:rFonts w:ascii="宋体" w:hAnsi="宋体" w:cs="宋体" w:eastAsia="宋体" w:hint="default"/>
        </w:rPr>
        <w:t>A.</w:t>
      </w:r>
      <w:r>
        <w:rPr/>
        <w:t>这些交易是同时或者在考虑了彼此影响的情况下订立的；</w:t>
      </w:r>
      <w:r>
        <w:rPr>
          <w:w w:val="100"/>
        </w:rPr>
        <w:t> </w:t>
      </w:r>
      <w:r>
        <w:rPr>
          <w:rFonts w:ascii="宋体" w:hAnsi="宋体" w:cs="宋体" w:eastAsia="宋体" w:hint="default"/>
        </w:rPr>
        <w:t>B.</w:t>
      </w:r>
      <w:r>
        <w:rPr/>
        <w:t>这些交易整体才能达成一项完整的商业结果；</w:t>
      </w:r>
      <w:r>
        <w:rPr>
          <w:w w:val="100"/>
        </w:rPr>
        <w:t> </w:t>
      </w:r>
      <w:r>
        <w:rPr>
          <w:rFonts w:ascii="宋体" w:hAnsi="宋体" w:cs="宋体" w:eastAsia="宋体" w:hint="default"/>
        </w:rPr>
        <w:t>C.</w:t>
      </w:r>
      <w:r>
        <w:rPr/>
        <w:t>一项交易的发生取决于其他至少一项交易的发生；</w:t>
      </w:r>
      <w:r>
        <w:rPr>
          <w:w w:val="100"/>
        </w:rPr>
        <w:t> </w:t>
      </w:r>
      <w:r>
        <w:rPr>
          <w:rFonts w:ascii="宋体" w:hAnsi="宋体" w:cs="宋体" w:eastAsia="宋体" w:hint="default"/>
        </w:rPr>
        <w:t>D.</w:t>
      </w:r>
      <w:r>
        <w:rPr/>
        <w:t>一项交易单独看是不经济的，但是和其他交易一并考虑时是经济的。</w:t>
      </w:r>
      <w:r>
        <w:rPr>
          <w:w w:val="100"/>
        </w:rPr>
        <w:t> </w:t>
      </w:r>
      <w:r>
        <w:rPr>
          <w:spacing w:val="-2"/>
        </w:rPr>
        <w:t>处置对子公司股权投资直至丧失控制权的各项交易属于一揽子交易的，本公司将各项交易作</w:t>
      </w:r>
    </w:p>
    <w:p>
      <w:pPr>
        <w:pStyle w:val="BodyText"/>
        <w:spacing w:line="357" w:lineRule="auto" w:before="34"/>
        <w:ind w:left="138" w:right="217"/>
        <w:jc w:val="both"/>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p>
    <w:p>
      <w:pPr>
        <w:pStyle w:val="BodyText"/>
        <w:spacing w:line="357" w:lineRule="auto" w:before="30"/>
        <w:ind w:left="138" w:right="0" w:firstLine="419"/>
        <w:jc w:val="left"/>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w w:val="100"/>
        </w:rPr>
        <w:t> </w:t>
      </w:r>
      <w:r>
        <w:rPr/>
        <w:t>时，按处置子公司一般处理方法进行会计处理。</w:t>
      </w:r>
    </w:p>
    <w:p>
      <w:pPr>
        <w:pStyle w:val="BodyText"/>
        <w:spacing w:line="355" w:lineRule="auto" w:before="30"/>
        <w:ind w:left="558" w:right="106"/>
        <w:jc w:val="left"/>
      </w:pPr>
      <w:r>
        <w:rPr>
          <w:rFonts w:ascii="宋体" w:hAnsi="宋体" w:cs="宋体" w:eastAsia="宋体" w:hint="default"/>
        </w:rPr>
        <w:t>3</w:t>
      </w:r>
      <w:r>
        <w:rPr/>
        <w:t>）购买子公司少数股权</w:t>
      </w:r>
      <w:r>
        <w:rPr>
          <w:w w:val="100"/>
        </w:rPr>
        <w:t> </w:t>
      </w:r>
      <w:r>
        <w:rPr>
          <w:spacing w:val="-2"/>
        </w:rPr>
        <w:t>本公司因购买少数股权新取得的长期股权投资与按照新增持股比例计算应享有子公司自购买</w:t>
      </w:r>
    </w:p>
    <w:p>
      <w:pPr>
        <w:pStyle w:val="BodyText"/>
        <w:spacing w:line="360" w:lineRule="auto" w:before="32"/>
        <w:ind w:left="138" w:right="217"/>
        <w:jc w:val="both"/>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p>
    <w:p>
      <w:pPr>
        <w:pStyle w:val="BodyText"/>
        <w:spacing w:line="355" w:lineRule="auto" w:before="28"/>
        <w:ind w:left="558" w:right="106"/>
        <w:jc w:val="left"/>
      </w:pP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355" w:lineRule="auto" w:before="32"/>
        <w:ind w:left="138" w:right="217"/>
        <w:jc w:val="both"/>
      </w:pP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p>
    <w:p>
      <w:pPr>
        <w:spacing w:line="240" w:lineRule="auto" w:before="13"/>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40" w:lineRule="auto" w:before="58"/>
        <w:ind w:left="138" w:right="0"/>
        <w:jc w:val="both"/>
      </w:pPr>
      <w:r>
        <w:rPr/>
        <w:t>□适用</w:t>
      </w:r>
      <w:r>
        <w:rPr>
          <w:spacing w:val="-1"/>
        </w:rPr>
        <w:t> </w:t>
      </w:r>
      <w:r>
        <w:rPr/>
        <w:t>√不适用</w:t>
      </w:r>
    </w:p>
    <w:p>
      <w:pPr>
        <w:spacing w:after="0" w:line="240"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tabs>
          <w:tab w:pos="562" w:val="left" w:leader="none"/>
        </w:tabs>
        <w:spacing w:line="290" w:lineRule="auto" w:before="36"/>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27" w:lineRule="exact"/>
        <w:ind w:left="138" w:right="0"/>
        <w:jc w:val="left"/>
      </w:pPr>
      <w:r>
        <w:rPr/>
        <w:t>换为已知金额现金、价值变动风险很小的投资。</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6"/>
        <w:ind w:left="558" w:right="3471" w:hanging="420"/>
        <w:jc w:val="left"/>
      </w:pPr>
      <w:r>
        <w:rPr/>
        <w:t>√适用</w:t>
      </w:r>
      <w:r>
        <w:rPr>
          <w:spacing w:val="-2"/>
        </w:rPr>
        <w:t> </w:t>
      </w:r>
      <w:r>
        <w:rPr/>
        <w:t>□不适用</w:t>
      </w:r>
      <w:r>
        <w:rPr>
          <w:w w:val="100"/>
        </w:rPr>
        <w:t> </w:t>
      </w:r>
      <w:r>
        <w:rPr>
          <w:spacing w:val="-2"/>
        </w:rPr>
        <w:t>金融工具包括金融资产、金融负债和权益工具。</w:t>
      </w:r>
    </w:p>
    <w:p>
      <w:pPr>
        <w:pStyle w:val="BodyText"/>
        <w:spacing w:line="355" w:lineRule="auto" w:before="133"/>
        <w:ind w:left="558" w:right="0" w:hanging="106"/>
        <w:jc w:val="left"/>
      </w:pPr>
      <w:r>
        <w:rPr/>
        <w:t>（</w:t>
      </w:r>
      <w:r>
        <w:rPr>
          <w:rFonts w:ascii="宋体" w:hAnsi="宋体" w:cs="宋体" w:eastAsia="宋体" w:hint="default"/>
        </w:rPr>
        <w:t>1</w:t>
      </w:r>
      <w:r>
        <w:rPr/>
        <w:t>）金融工具的分类</w:t>
      </w:r>
      <w:r>
        <w:rPr>
          <w:w w:val="100"/>
        </w:rPr>
        <w:t> </w:t>
      </w:r>
      <w:r>
        <w:rPr>
          <w:spacing w:val="-2"/>
        </w:rPr>
        <w:t>本公司根据所发行金融工具的合同条款及其所反映的经济实质而非仅以法律形式，结合取得</w:t>
      </w:r>
    </w:p>
    <w:p>
      <w:pPr>
        <w:pStyle w:val="BodyText"/>
        <w:spacing w:line="357" w:lineRule="auto" w:before="32"/>
        <w:ind w:left="138" w:right="137"/>
        <w:jc w:val="both"/>
      </w:pPr>
      <w:r>
        <w:rPr>
          <w:spacing w:val="-2"/>
        </w:rPr>
        <w:t>持有金融资产和承担金融负债的目的，在初始确认时将金融资产和金融负债分为不同类别：以公</w:t>
      </w:r>
      <w:r>
        <w:rPr>
          <w:spacing w:val="-25"/>
        </w:rPr>
        <w:t> </w:t>
      </w:r>
      <w:r>
        <w:rPr>
          <w:spacing w:val="-25"/>
        </w:rPr>
      </w:r>
      <w:r>
        <w:rPr>
          <w:spacing w:val="-2"/>
        </w:rPr>
        <w:t>允价值计量且其变动计入当期损益的金融资产（或金融负债）；持有至到期投资；应收款项；可</w:t>
      </w:r>
      <w:r>
        <w:rPr>
          <w:spacing w:val="-25"/>
        </w:rPr>
        <w:t> </w:t>
      </w:r>
      <w:r>
        <w:rPr>
          <w:spacing w:val="-25"/>
        </w:rPr>
      </w:r>
      <w:r>
        <w:rPr/>
        <w:t>供出售金融资产；其他金融负债等。</w:t>
      </w:r>
    </w:p>
    <w:p>
      <w:pPr>
        <w:pStyle w:val="BodyText"/>
        <w:spacing w:line="240" w:lineRule="auto" w:before="30"/>
        <w:ind w:left="452" w:right="0"/>
        <w:jc w:val="left"/>
      </w:pPr>
      <w:r>
        <w:rPr/>
        <w:t>（</w:t>
      </w:r>
      <w:r>
        <w:rPr>
          <w:rFonts w:ascii="宋体" w:hAnsi="宋体" w:cs="宋体" w:eastAsia="宋体" w:hint="default"/>
        </w:rPr>
        <w:t>2</w:t>
      </w:r>
      <w:r>
        <w:rPr/>
        <w:t>）金融工具的确认依据和计量方法</w:t>
      </w:r>
    </w:p>
    <w:p>
      <w:pPr>
        <w:pStyle w:val="BodyText"/>
        <w:tabs>
          <w:tab w:pos="977" w:val="left" w:leader="none"/>
        </w:tabs>
        <w:spacing w:line="357" w:lineRule="auto" w:before="133"/>
        <w:ind w:left="138" w:right="137" w:firstLine="419"/>
        <w:jc w:val="left"/>
      </w:pPr>
      <w:r>
        <w:rPr/>
        <w:t>①</w:t>
        <w:tab/>
        <w:t>以公允价值计量且其变动计入当期损益的金融资产（金融负债）</w:t>
      </w:r>
      <w:r>
        <w:rPr>
          <w:w w:val="100"/>
        </w:rPr>
        <w:t> </w:t>
      </w:r>
      <w:r>
        <w:rPr>
          <w:spacing w:val="-2"/>
        </w:rPr>
        <w:t>以公允价值计量且其变动计入当期损益的金融资产或金融负债，包括交易性金融资产或金融负债</w:t>
      </w:r>
      <w:r>
        <w:rPr>
          <w:spacing w:val="-25"/>
        </w:rPr>
        <w:t> </w:t>
      </w:r>
      <w:r>
        <w:rPr>
          <w:spacing w:val="-25"/>
        </w:rPr>
      </w:r>
      <w:r>
        <w:rPr/>
        <w:t>和直接指定为以公允价值计量且其变动计入当期损益的金融资产或金融负债。</w:t>
      </w:r>
    </w:p>
    <w:p>
      <w:pPr>
        <w:pStyle w:val="BodyText"/>
        <w:spacing w:line="355" w:lineRule="auto" w:before="30"/>
        <w:ind w:left="558" w:right="0"/>
        <w:jc w:val="left"/>
      </w:pPr>
      <w:r>
        <w:rPr>
          <w:spacing w:val="-2"/>
        </w:rPr>
        <w:t>交易性金融资产或金融负债是指满足下列条件之一的金融资产或金融负债：</w:t>
      </w:r>
      <w:r>
        <w:rPr>
          <w:spacing w:val="-42"/>
        </w:rPr>
        <w:t> </w:t>
      </w:r>
      <w:r>
        <w:rPr>
          <w:spacing w:val="-42"/>
        </w:rPr>
      </w:r>
      <w:r>
        <w:rPr>
          <w:rFonts w:ascii="宋体" w:hAnsi="宋体" w:cs="宋体" w:eastAsia="宋体" w:hint="default"/>
        </w:rPr>
        <w:t>1</w:t>
      </w:r>
      <w:r>
        <w:rPr/>
        <w:t>）取得该金融资产或金融负债的目的是为了在短期内出售、回购或赎回；</w:t>
      </w:r>
    </w:p>
    <w:p>
      <w:pPr>
        <w:pStyle w:val="BodyText"/>
        <w:spacing w:line="355" w:lineRule="auto" w:before="32"/>
        <w:ind w:left="138" w:right="0" w:firstLine="419"/>
        <w:jc w:val="left"/>
      </w:pPr>
      <w:r>
        <w:rPr>
          <w:rFonts w:ascii="宋体" w:hAnsi="宋体" w:cs="宋体" w:eastAsia="宋体" w:hint="default"/>
          <w:spacing w:val="-4"/>
        </w:rPr>
        <w:t>2</w:t>
      </w:r>
      <w:r>
        <w:rPr>
          <w:spacing w:val="-4"/>
        </w:rPr>
        <w:t>）属于进行集中管理的可辨认金融工具组合的一部分，且有客观证据表明本公司近期采用短</w:t>
      </w:r>
      <w:r>
        <w:rPr>
          <w:w w:val="100"/>
        </w:rPr>
        <w:t> </w:t>
      </w:r>
      <w:r>
        <w:rPr/>
        <w:t>期获利方式对该组合进行管理；</w:t>
      </w:r>
    </w:p>
    <w:p>
      <w:pPr>
        <w:pStyle w:val="BodyText"/>
        <w:spacing w:line="355" w:lineRule="auto" w:before="34"/>
        <w:ind w:left="138" w:right="129" w:firstLine="419"/>
        <w:jc w:val="both"/>
      </w:pPr>
      <w:r>
        <w:rPr>
          <w:rFonts w:ascii="宋体" w:hAnsi="宋体" w:cs="宋体" w:eastAsia="宋体" w:hint="default"/>
          <w:spacing w:val="-4"/>
        </w:rPr>
        <w:t>3</w:t>
      </w:r>
      <w:r>
        <w:rPr>
          <w:spacing w:val="-4"/>
        </w:rPr>
        <w:t>）属于衍生金融工具，但是被指定为有效套期工具的衍生工具、属于财务担保合同的衍生工</w:t>
      </w:r>
      <w:r>
        <w:rPr>
          <w:w w:val="100"/>
        </w:rPr>
        <w:t> </w:t>
      </w:r>
      <w:r>
        <w:rPr>
          <w:spacing w:val="-2"/>
        </w:rPr>
        <w:t>具、与在活跃市场中没有报价且其公允价值不能可靠计量的权益工具投资挂钩并须通过交付该权</w:t>
      </w:r>
      <w:r>
        <w:rPr>
          <w:spacing w:val="-25"/>
        </w:rPr>
        <w:t> </w:t>
      </w:r>
      <w:r>
        <w:rPr>
          <w:spacing w:val="-25"/>
        </w:rPr>
      </w:r>
      <w:r>
        <w:rPr/>
        <w:t>益工具结算的衍生工具除外。</w:t>
      </w:r>
    </w:p>
    <w:p>
      <w:pPr>
        <w:pStyle w:val="BodyText"/>
        <w:spacing w:line="357" w:lineRule="auto" w:before="33"/>
        <w:ind w:left="138" w:right="0" w:firstLine="419"/>
        <w:jc w:val="left"/>
      </w:pPr>
      <w:r>
        <w:rPr>
          <w:spacing w:val="-2"/>
        </w:rPr>
        <w:t>只有符合以下条件之一，金融资产或金融负债才可在初始计量时指定为以公允价值计量且其</w:t>
      </w:r>
      <w:r>
        <w:rPr>
          <w:w w:val="100"/>
        </w:rPr>
        <w:t> </w:t>
      </w:r>
      <w:r>
        <w:rPr/>
        <w:t>变动计入损益的金融资产或金融负债：</w:t>
      </w:r>
    </w:p>
    <w:p>
      <w:pPr>
        <w:pStyle w:val="BodyText"/>
        <w:spacing w:line="355" w:lineRule="auto" w:before="30"/>
        <w:ind w:left="138" w:right="0" w:firstLine="419"/>
        <w:jc w:val="left"/>
      </w:pPr>
      <w:r>
        <w:rPr>
          <w:rFonts w:ascii="宋体" w:hAnsi="宋体" w:cs="宋体" w:eastAsia="宋体" w:hint="default"/>
          <w:spacing w:val="-4"/>
          <w:w w:val="100"/>
        </w:rPr>
        <w:t>1</w:t>
      </w:r>
      <w:r>
        <w:rPr>
          <w:spacing w:val="-4"/>
          <w:w w:val="100"/>
        </w:rPr>
        <w:t>）该项指定可以消除或明显减少由于金融资产或金融负债的计量基础不同所导致的相关利得</w:t>
      </w:r>
      <w:r>
        <w:rPr>
          <w:w w:val="100"/>
        </w:rPr>
        <w:t> </w:t>
      </w:r>
      <w:r>
        <w:rPr/>
        <w:t>或损失在确认或计量方面不一致的情况；</w:t>
      </w:r>
    </w:p>
    <w:p>
      <w:pPr>
        <w:pStyle w:val="BodyText"/>
        <w:spacing w:line="355" w:lineRule="auto" w:before="32"/>
        <w:ind w:left="138" w:right="0" w:firstLine="419"/>
        <w:jc w:val="left"/>
      </w:pPr>
      <w:r>
        <w:rPr>
          <w:rFonts w:ascii="宋体" w:hAnsi="宋体" w:cs="宋体" w:eastAsia="宋体" w:hint="default"/>
          <w:spacing w:val="-4"/>
        </w:rPr>
        <w:t>2</w:t>
      </w:r>
      <w:r>
        <w:rPr>
          <w:spacing w:val="-4"/>
        </w:rPr>
        <w:t>）风险管理或投资策略的正式书面文件已载明，该金融资产组合、该金融负债组合、或该金</w:t>
      </w:r>
      <w:r>
        <w:rPr>
          <w:w w:val="100"/>
        </w:rPr>
        <w:t> </w:t>
      </w:r>
      <w:r>
        <w:rPr/>
        <w:t>融资产和金融负债组合，以公允价值为基础进行管理、评价并向关键管理人员报告；</w:t>
      </w:r>
    </w:p>
    <w:p>
      <w:pPr>
        <w:pStyle w:val="BodyText"/>
        <w:spacing w:line="355" w:lineRule="auto" w:before="34"/>
        <w:ind w:left="138" w:right="0" w:firstLine="419"/>
        <w:jc w:val="left"/>
      </w:pPr>
      <w:r>
        <w:rPr>
          <w:rFonts w:ascii="宋体" w:hAnsi="宋体" w:cs="宋体" w:eastAsia="宋体" w:hint="default"/>
          <w:spacing w:val="-4"/>
        </w:rPr>
        <w:t>3</w:t>
      </w:r>
      <w:r>
        <w:rPr>
          <w:spacing w:val="-4"/>
        </w:rPr>
        <w:t>）包含一项或多项嵌入衍生工具的混合工具，除非嵌入衍生工具对混合工具的现金流量没有</w:t>
      </w:r>
      <w:r>
        <w:rPr>
          <w:w w:val="100"/>
        </w:rPr>
        <w:t> </w:t>
      </w:r>
      <w:r>
        <w:rPr/>
        <w:t>重大改变，或所嵌入的衍生工具明显不应当从相关混合工具中分拆；</w:t>
      </w:r>
    </w:p>
    <w:p>
      <w:pPr>
        <w:pStyle w:val="BodyText"/>
        <w:spacing w:line="355" w:lineRule="auto" w:before="32"/>
        <w:ind w:left="138" w:right="0" w:firstLine="419"/>
        <w:jc w:val="left"/>
      </w:pPr>
      <w:r>
        <w:rPr>
          <w:rFonts w:ascii="宋体" w:hAnsi="宋体" w:cs="宋体" w:eastAsia="宋体" w:hint="default"/>
          <w:spacing w:val="-4"/>
          <w:w w:val="100"/>
        </w:rPr>
        <w:t>4</w:t>
      </w:r>
      <w:r>
        <w:rPr>
          <w:spacing w:val="-4"/>
          <w:w w:val="100"/>
        </w:rPr>
        <w:t>）包含需要分拆但无法在取得时或后续的资产负债表日对其进行单独计量的嵌入衍生工具的</w:t>
      </w:r>
      <w:r>
        <w:rPr>
          <w:w w:val="100"/>
        </w:rPr>
        <w:t> </w:t>
      </w:r>
      <w:r>
        <w:rPr/>
        <w:t>混合工具。</w:t>
      </w:r>
    </w:p>
    <w:p>
      <w:pPr>
        <w:spacing w:after="0" w:line="35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08" w:firstLine="419"/>
        <w:jc w:val="both"/>
      </w:pPr>
      <w:r>
        <w:rPr>
          <w:spacing w:val="-2"/>
        </w:rPr>
        <w:t>本公司对以公允价值计量且其变动计入当期损益的金融资产或金融负债，在取得时以公允价</w:t>
      </w:r>
      <w:r>
        <w:rPr>
          <w:w w:val="100"/>
        </w:rPr>
        <w:t> </w:t>
      </w:r>
      <w:r>
        <w:rPr>
          <w:spacing w:val="-6"/>
          <w:w w:val="100"/>
        </w:rPr>
        <w:t>值（扣除已宣告但尚未发放的现金股利或已到付息期但尚未领取的债券利息）作为初始确认金额，</w:t>
      </w:r>
      <w:r>
        <w:rPr>
          <w:w w:val="100"/>
        </w:rPr>
        <w:t> </w:t>
      </w:r>
      <w:r>
        <w:rPr>
          <w:spacing w:val="-2"/>
        </w:rPr>
        <w:t>相关的交易费用计入当期损益。持有期间将取得的利息或现金股利确认为投资收益，期末将公允</w:t>
      </w:r>
      <w:r>
        <w:rPr>
          <w:spacing w:val="-25"/>
        </w:rPr>
        <w:t> </w:t>
      </w:r>
      <w:r>
        <w:rPr>
          <w:spacing w:val="-25"/>
        </w:rPr>
      </w:r>
      <w:r>
        <w:rPr>
          <w:spacing w:val="-2"/>
        </w:rPr>
        <w:t>价值变动计入当期损益。处置时，其公允价值与初始入账金额之间的差额确认为投资收益，同时</w:t>
      </w:r>
      <w:r>
        <w:rPr>
          <w:spacing w:val="-25"/>
        </w:rPr>
        <w:t> </w:t>
      </w:r>
      <w:r>
        <w:rPr>
          <w:spacing w:val="-25"/>
        </w:rPr>
      </w:r>
      <w:r>
        <w:rPr/>
        <w:t>调整公允价值变动损益。</w:t>
      </w:r>
    </w:p>
    <w:p>
      <w:pPr>
        <w:pStyle w:val="BodyText"/>
        <w:tabs>
          <w:tab w:pos="977" w:val="left" w:leader="none"/>
        </w:tabs>
        <w:spacing w:line="357" w:lineRule="auto" w:before="30"/>
        <w:ind w:left="558" w:right="266"/>
        <w:jc w:val="left"/>
      </w:pPr>
      <w:r>
        <w:rPr/>
        <w:t>②</w:t>
        <w:tab/>
        <w:t>应收款项</w:t>
      </w:r>
      <w:r>
        <w:rPr>
          <w:w w:val="100"/>
        </w:rPr>
        <w:t> </w:t>
      </w:r>
      <w:r>
        <w:rPr/>
        <w:t>应收款项是指在活跃市场中没有报价、回收金额固定或可确定的非衍生金融资产。</w:t>
      </w:r>
      <w:r>
        <w:rPr>
          <w:w w:val="100"/>
        </w:rPr>
        <w:t> </w:t>
      </w:r>
      <w:r>
        <w:rPr>
          <w:spacing w:val="-2"/>
        </w:rPr>
        <w:t>本公司对外销售商品或提供劳务形成的应收债权，以及公司持有的其他企业的债权（不包括</w:t>
      </w:r>
    </w:p>
    <w:p>
      <w:pPr>
        <w:pStyle w:val="BodyText"/>
        <w:spacing w:line="357" w:lineRule="auto" w:before="31"/>
        <w:ind w:left="138" w:right="106"/>
        <w:jc w:val="left"/>
      </w:pPr>
      <w:r>
        <w:rPr>
          <w:spacing w:val="-2"/>
        </w:rPr>
        <w:t>在活跃市场上有报价的债务工具），包括应收账款、其他应收款、应收票据等，以向购货方应收</w:t>
      </w:r>
      <w:r>
        <w:rPr>
          <w:spacing w:val="-25"/>
        </w:rPr>
        <w:t> </w:t>
      </w:r>
      <w:r>
        <w:rPr>
          <w:spacing w:val="-25"/>
        </w:rPr>
      </w:r>
      <w:r>
        <w:rPr/>
        <w:t>的合同或协议价款作为初始确认金额；具有融资性质的，按其现值进行初始确认。</w:t>
      </w:r>
      <w:r>
        <w:rPr>
          <w:w w:val="100"/>
        </w:rPr>
        <w:t> </w:t>
      </w:r>
      <w:r>
        <w:rPr/>
        <w:t>收回或处置时，将取得的价款与该应收款项账面价值之间的差额计入当期损益。</w:t>
      </w:r>
    </w:p>
    <w:p>
      <w:pPr>
        <w:pStyle w:val="BodyText"/>
        <w:tabs>
          <w:tab w:pos="977" w:val="left" w:leader="none"/>
        </w:tabs>
        <w:spacing w:line="355" w:lineRule="auto" w:before="30"/>
        <w:ind w:left="558" w:right="266"/>
        <w:jc w:val="left"/>
      </w:pPr>
      <w:r>
        <w:rPr/>
        <w:t>③</w:t>
        <w:tab/>
        <w:t>持有至到期投资</w:t>
      </w:r>
      <w:r>
        <w:rPr>
          <w:spacing w:val="-103"/>
        </w:rPr>
        <w:t> </w:t>
      </w:r>
      <w:r>
        <w:rPr>
          <w:spacing w:val="-103"/>
        </w:rPr>
      </w:r>
      <w:r>
        <w:rPr>
          <w:spacing w:val="-2"/>
        </w:rPr>
        <w:t>持有至到期投资是指到期日固定、回收金额固定或可确定，且本公司有明确意图和能力持有</w:t>
      </w:r>
    </w:p>
    <w:p>
      <w:pPr>
        <w:pStyle w:val="BodyText"/>
        <w:spacing w:line="355" w:lineRule="auto" w:before="32"/>
        <w:ind w:left="558" w:right="106" w:hanging="420"/>
        <w:jc w:val="left"/>
      </w:pPr>
      <w:r>
        <w:rPr/>
        <w:t>至到期的非衍生性金融资产。</w:t>
      </w:r>
      <w:r>
        <w:rPr>
          <w:w w:val="100"/>
        </w:rPr>
        <w:t> </w:t>
      </w:r>
      <w:r>
        <w:rPr>
          <w:spacing w:val="-2"/>
        </w:rPr>
        <w:t>本公司对持有至到期投资，在取得时按公允价值（扣除已到付息期但尚未领取的债券利息）</w:t>
      </w:r>
    </w:p>
    <w:p>
      <w:pPr>
        <w:pStyle w:val="BodyText"/>
        <w:spacing w:line="357" w:lineRule="auto" w:before="34"/>
        <w:ind w:left="138" w:right="217"/>
        <w:jc w:val="both"/>
      </w:pPr>
      <w:r>
        <w:rPr>
          <w:spacing w:val="-2"/>
        </w:rPr>
        <w:t>和相关交易费用之和作为初始确认金额。持有期间按照摊余成本和实际利率计算确认利息收入，</w:t>
      </w:r>
      <w:r>
        <w:rPr>
          <w:spacing w:val="-25"/>
        </w:rPr>
        <w:t> </w:t>
      </w:r>
      <w:r>
        <w:rPr>
          <w:spacing w:val="-25"/>
        </w:rPr>
      </w:r>
      <w:r>
        <w:rPr>
          <w:spacing w:val="-2"/>
        </w:rPr>
        <w:t>计入投资收益。实际利率在取得时确定，在该预期存续期间或适用的更短期间内保持不变。处置</w:t>
      </w:r>
      <w:r>
        <w:rPr>
          <w:spacing w:val="-25"/>
        </w:rPr>
        <w:t> </w:t>
      </w:r>
      <w:r>
        <w:rPr>
          <w:spacing w:val="-25"/>
        </w:rPr>
      </w:r>
      <w:r>
        <w:rPr/>
        <w:t>时，将所取得价款与该投资账面价值之间的差额计入投资收益。</w:t>
      </w:r>
    </w:p>
    <w:p>
      <w:pPr>
        <w:pStyle w:val="BodyText"/>
        <w:spacing w:line="357" w:lineRule="auto" w:before="30"/>
        <w:ind w:left="138" w:right="208" w:firstLine="419"/>
        <w:jc w:val="both"/>
      </w:pPr>
      <w:r>
        <w:rPr>
          <w:spacing w:val="-2"/>
        </w:rPr>
        <w:t>如果持有至到期投资处置或重分类为其他类金融资产的金额，相对于本公司全部持有至到期</w:t>
      </w:r>
      <w:r>
        <w:rPr>
          <w:w w:val="100"/>
        </w:rPr>
        <w:t> </w:t>
      </w:r>
      <w:r>
        <w:rPr>
          <w:spacing w:val="-2"/>
        </w:rPr>
        <w:t>投资在出售或重分类前的总额较大，在处置或重分类后应立即将其剩余的持有至到期投资重分类</w:t>
      </w:r>
      <w:r>
        <w:rPr>
          <w:spacing w:val="-25"/>
        </w:rPr>
        <w:t> </w:t>
      </w:r>
      <w:r>
        <w:rPr>
          <w:spacing w:val="-25"/>
        </w:rPr>
      </w:r>
      <w:r>
        <w:rPr>
          <w:spacing w:val="-6"/>
          <w:w w:val="100"/>
        </w:rPr>
        <w:t>为可供出售金融资产；重分类日，该投资的账面价值与其公允价值之间的差额计入其他综合收益，</w:t>
      </w:r>
      <w:r>
        <w:rPr>
          <w:w w:val="100"/>
        </w:rPr>
        <w:t> </w:t>
      </w:r>
      <w:r>
        <w:rPr>
          <w:spacing w:val="-2"/>
        </w:rPr>
        <w:t>在该可供出售金融资产发生减值或终止确认时转出，计入当期损益。但是，遇到下列情况可以除</w:t>
      </w:r>
      <w:r>
        <w:rPr>
          <w:spacing w:val="-25"/>
        </w:rPr>
        <w:t> </w:t>
      </w:r>
      <w:r>
        <w:rPr>
          <w:spacing w:val="-25"/>
        </w:rPr>
      </w:r>
      <w:r>
        <w:rPr/>
        <w:t>外：</w:t>
      </w:r>
    </w:p>
    <w:p>
      <w:pPr>
        <w:pStyle w:val="BodyText"/>
        <w:spacing w:line="360" w:lineRule="auto" w:before="30"/>
        <w:ind w:left="138" w:right="207" w:firstLine="419"/>
        <w:jc w:val="both"/>
      </w:pPr>
      <w:r>
        <w:rPr>
          <w:rFonts w:ascii="宋体" w:hAnsi="宋体" w:cs="宋体" w:eastAsia="宋体" w:hint="default"/>
          <w:spacing w:val="-4"/>
        </w:rPr>
        <w:t>1</w:t>
      </w:r>
      <w:r>
        <w:rPr>
          <w:spacing w:val="-4"/>
        </w:rPr>
        <w:t>）出售日或重分类日距离该项投资到期日或赎回日较近</w:t>
      </w:r>
      <w:r>
        <w:rPr>
          <w:rFonts w:ascii="宋体" w:hAnsi="宋体" w:cs="宋体" w:eastAsia="宋体" w:hint="default"/>
          <w:spacing w:val="-4"/>
        </w:rPr>
        <w:t>(</w:t>
      </w:r>
      <w:r>
        <w:rPr>
          <w:spacing w:val="-4"/>
        </w:rPr>
        <w:t>如到期前三个月内</w:t>
      </w:r>
      <w:r>
        <w:rPr>
          <w:rFonts w:ascii="宋体" w:hAnsi="宋体" w:cs="宋体" w:eastAsia="宋体" w:hint="default"/>
          <w:spacing w:val="-4"/>
        </w:rPr>
        <w:t>)</w:t>
      </w:r>
      <w:r>
        <w:rPr>
          <w:spacing w:val="-4"/>
        </w:rPr>
        <w:t>，且市场利率变</w:t>
      </w:r>
      <w:r>
        <w:rPr>
          <w:w w:val="100"/>
        </w:rPr>
        <w:t> </w:t>
      </w:r>
      <w:r>
        <w:rPr/>
        <w:t>化对该项投资的公允价值没有显著影响。</w:t>
      </w:r>
    </w:p>
    <w:p>
      <w:pPr>
        <w:pStyle w:val="BodyText"/>
        <w:spacing w:line="240" w:lineRule="auto" w:before="28"/>
        <w:ind w:left="558" w:right="106"/>
        <w:jc w:val="left"/>
      </w:pPr>
      <w:r>
        <w:rPr>
          <w:rFonts w:ascii="宋体" w:hAnsi="宋体" w:cs="宋体" w:eastAsia="宋体" w:hint="default"/>
        </w:rPr>
        <w:t>2</w:t>
      </w:r>
      <w:r>
        <w:rPr/>
        <w:t>）根据合同约定的偿付方式，企业已收回几乎所有初始本金。</w:t>
      </w:r>
    </w:p>
    <w:p>
      <w:pPr>
        <w:pStyle w:val="BodyText"/>
        <w:spacing w:line="240" w:lineRule="auto" w:before="133"/>
        <w:ind w:left="558" w:right="0"/>
        <w:jc w:val="left"/>
      </w:pPr>
      <w:r>
        <w:rPr>
          <w:rFonts w:ascii="宋体" w:hAnsi="宋体" w:cs="宋体" w:eastAsia="宋体" w:hint="default"/>
          <w:w w:val="100"/>
        </w:rPr>
        <w:t>3</w:t>
      </w:r>
      <w:r>
        <w:rPr>
          <w:spacing w:val="-99"/>
          <w:w w:val="100"/>
        </w:rPr>
        <w:t>）</w:t>
      </w:r>
      <w:r>
        <w:rPr>
          <w:spacing w:val="-3"/>
          <w:w w:val="100"/>
        </w:rPr>
        <w:t>出</w:t>
      </w:r>
      <w:r>
        <w:rPr>
          <w:w w:val="100"/>
        </w:rPr>
        <w:t>售</w:t>
      </w:r>
      <w:r>
        <w:rPr>
          <w:spacing w:val="-3"/>
          <w:w w:val="100"/>
        </w:rPr>
        <w:t>或</w:t>
      </w:r>
      <w:r>
        <w:rPr>
          <w:w w:val="100"/>
        </w:rPr>
        <w:t>重</w:t>
      </w:r>
      <w:r>
        <w:rPr>
          <w:spacing w:val="-3"/>
          <w:w w:val="100"/>
        </w:rPr>
        <w:t>分</w:t>
      </w:r>
      <w:r>
        <w:rPr>
          <w:w w:val="100"/>
        </w:rPr>
        <w:t>类</w:t>
      </w:r>
      <w:r>
        <w:rPr>
          <w:spacing w:val="-3"/>
          <w:w w:val="100"/>
        </w:rPr>
        <w:t>是</w:t>
      </w:r>
      <w:r>
        <w:rPr>
          <w:w w:val="100"/>
        </w:rPr>
        <w:t>由</w:t>
      </w:r>
      <w:r>
        <w:rPr>
          <w:spacing w:val="-3"/>
          <w:w w:val="100"/>
        </w:rPr>
        <w:t>于企</w:t>
      </w:r>
      <w:r>
        <w:rPr>
          <w:w w:val="100"/>
        </w:rPr>
        <w:t>业无</w:t>
      </w:r>
      <w:r>
        <w:rPr>
          <w:spacing w:val="-3"/>
          <w:w w:val="100"/>
        </w:rPr>
        <w:t>法</w:t>
      </w:r>
      <w:r>
        <w:rPr>
          <w:w w:val="100"/>
        </w:rPr>
        <w:t>控</w:t>
      </w:r>
      <w:r>
        <w:rPr>
          <w:spacing w:val="-3"/>
          <w:w w:val="100"/>
        </w:rPr>
        <w:t>制</w:t>
      </w:r>
      <w:r>
        <w:rPr>
          <w:spacing w:val="-99"/>
          <w:w w:val="100"/>
        </w:rPr>
        <w:t>、</w:t>
      </w:r>
      <w:r>
        <w:rPr>
          <w:spacing w:val="-3"/>
          <w:w w:val="100"/>
        </w:rPr>
        <w:t>预</w:t>
      </w:r>
      <w:r>
        <w:rPr>
          <w:w w:val="100"/>
        </w:rPr>
        <w:t>期</w:t>
      </w:r>
      <w:r>
        <w:rPr>
          <w:spacing w:val="-3"/>
          <w:w w:val="100"/>
        </w:rPr>
        <w:t>不</w:t>
      </w:r>
      <w:r>
        <w:rPr>
          <w:w w:val="100"/>
        </w:rPr>
        <w:t>会</w:t>
      </w:r>
      <w:r>
        <w:rPr>
          <w:spacing w:val="-3"/>
          <w:w w:val="100"/>
        </w:rPr>
        <w:t>重复</w:t>
      </w:r>
      <w:r>
        <w:rPr>
          <w:w w:val="100"/>
        </w:rPr>
        <w:t>发生</w:t>
      </w:r>
      <w:r>
        <w:rPr>
          <w:spacing w:val="-3"/>
          <w:w w:val="100"/>
        </w:rPr>
        <w:t>且</w:t>
      </w:r>
      <w:r>
        <w:rPr>
          <w:w w:val="100"/>
        </w:rPr>
        <w:t>难</w:t>
      </w:r>
      <w:r>
        <w:rPr>
          <w:spacing w:val="-3"/>
          <w:w w:val="100"/>
        </w:rPr>
        <w:t>以</w:t>
      </w:r>
      <w:r>
        <w:rPr>
          <w:w w:val="100"/>
        </w:rPr>
        <w:t>合</w:t>
      </w:r>
      <w:r>
        <w:rPr>
          <w:spacing w:val="-3"/>
          <w:w w:val="100"/>
        </w:rPr>
        <w:t>理</w:t>
      </w:r>
      <w:r>
        <w:rPr>
          <w:w w:val="100"/>
        </w:rPr>
        <w:t>预</w:t>
      </w:r>
      <w:r>
        <w:rPr>
          <w:spacing w:val="-3"/>
          <w:w w:val="100"/>
        </w:rPr>
        <w:t>计</w:t>
      </w:r>
      <w:r>
        <w:rPr>
          <w:w w:val="100"/>
        </w:rPr>
        <w:t>的</w:t>
      </w:r>
      <w:r>
        <w:rPr>
          <w:spacing w:val="-3"/>
          <w:w w:val="100"/>
        </w:rPr>
        <w:t>独</w:t>
      </w:r>
      <w:r>
        <w:rPr>
          <w:w w:val="100"/>
        </w:rPr>
        <w:t>立事</w:t>
      </w:r>
      <w:r>
        <w:rPr>
          <w:spacing w:val="-3"/>
          <w:w w:val="100"/>
        </w:rPr>
        <w:t>件</w:t>
      </w:r>
      <w:r>
        <w:rPr>
          <w:w w:val="100"/>
        </w:rPr>
        <w:t>所</w:t>
      </w:r>
      <w:r>
        <w:rPr>
          <w:spacing w:val="-3"/>
          <w:w w:val="100"/>
        </w:rPr>
        <w:t>引起</w:t>
      </w:r>
      <w:r>
        <w:rPr>
          <w:w w:val="100"/>
        </w:rPr>
        <w:t>。</w:t>
      </w:r>
    </w:p>
    <w:p>
      <w:pPr>
        <w:pStyle w:val="BodyText"/>
        <w:tabs>
          <w:tab w:pos="977" w:val="left" w:leader="none"/>
        </w:tabs>
        <w:spacing w:line="355" w:lineRule="auto" w:before="133"/>
        <w:ind w:left="558" w:right="266"/>
        <w:jc w:val="left"/>
      </w:pPr>
      <w:r>
        <w:rPr/>
        <w:t>④</w:t>
        <w:tab/>
        <w:t>可供出售金融资产</w:t>
      </w:r>
      <w:r>
        <w:rPr>
          <w:w w:val="100"/>
        </w:rPr>
        <w:t> </w:t>
      </w:r>
      <w:r>
        <w:rPr>
          <w:spacing w:val="-2"/>
        </w:rPr>
        <w:t>可供出售金融资产，是指初始确认时即指定为可供出售的非衍生金融资产，以及除其他金融</w:t>
      </w:r>
    </w:p>
    <w:p>
      <w:pPr>
        <w:pStyle w:val="BodyText"/>
        <w:spacing w:line="355" w:lineRule="auto" w:before="34"/>
        <w:ind w:left="558" w:right="106" w:hanging="420"/>
        <w:jc w:val="left"/>
      </w:pPr>
      <w:r>
        <w:rPr/>
        <w:t>资产类别以外的金融资产。</w:t>
      </w:r>
      <w:r>
        <w:rPr>
          <w:w w:val="100"/>
        </w:rPr>
        <w:t> </w:t>
      </w:r>
      <w:r>
        <w:rPr>
          <w:spacing w:val="-2"/>
        </w:rPr>
        <w:t>本公司对可供出售金融资产，在取得时按公允价值（扣除已宣告但尚未发放的现金股利或已</w:t>
      </w:r>
    </w:p>
    <w:p>
      <w:pPr>
        <w:pStyle w:val="BodyText"/>
        <w:spacing w:line="357" w:lineRule="auto" w:before="32"/>
        <w:ind w:left="138" w:right="208"/>
        <w:jc w:val="both"/>
      </w:pPr>
      <w:r>
        <w:rPr>
          <w:spacing w:val="-2"/>
        </w:rPr>
        <w:t>到付息期但尚未领取的债券利息）和相关交易费用之和作为初始确认金额。持有期间将取得的利</w:t>
      </w:r>
      <w:r>
        <w:rPr>
          <w:spacing w:val="-25"/>
        </w:rPr>
        <w:t> </w:t>
      </w:r>
      <w:r>
        <w:rPr>
          <w:spacing w:val="-25"/>
        </w:rPr>
      </w:r>
      <w:r>
        <w:rPr>
          <w:spacing w:val="-2"/>
        </w:rPr>
        <w:t>息或现金股利确认为投资收益。可供出售金融资产的公允价值变动形成的利得或损失，除减值损</w:t>
      </w:r>
      <w:r>
        <w:rPr>
          <w:spacing w:val="-25"/>
        </w:rPr>
        <w:t> </w:t>
      </w:r>
      <w:r>
        <w:rPr>
          <w:spacing w:val="-25"/>
        </w:rPr>
      </w:r>
      <w:r>
        <w:rPr>
          <w:spacing w:val="-6"/>
          <w:w w:val="100"/>
        </w:rPr>
        <w:t>失和外币货币性金融资产形成的汇兑差额外，直接计入其他综合收益。处置可供出售金融资产时，</w:t>
      </w:r>
    </w:p>
    <w:p>
      <w:pPr>
        <w:spacing w:after="0" w:line="357" w:lineRule="auto"/>
        <w:jc w:val="both"/>
        <w:sectPr>
          <w:footerReference w:type="default" r:id="rId69"/>
          <w:pgSz w:w="11910" w:h="16840"/>
          <w:pgMar w:footer="1195" w:header="882" w:top="1120" w:bottom="1380" w:left="1660" w:right="1060"/>
          <w:pgNumType w:start="80"/>
        </w:sectPr>
      </w:pPr>
    </w:p>
    <w:p>
      <w:pPr>
        <w:spacing w:line="240" w:lineRule="auto" w:before="1"/>
        <w:rPr>
          <w:rFonts w:ascii="宋体" w:hAnsi="宋体" w:cs="宋体" w:eastAsia="宋体" w:hint="default"/>
          <w:sz w:val="25"/>
          <w:szCs w:val="25"/>
        </w:rPr>
      </w:pPr>
    </w:p>
    <w:p>
      <w:pPr>
        <w:pStyle w:val="BodyText"/>
        <w:spacing w:line="357" w:lineRule="auto" w:before="36"/>
        <w:ind w:left="138" w:right="106"/>
        <w:jc w:val="left"/>
      </w:pPr>
      <w:r>
        <w:rPr>
          <w:spacing w:val="-2"/>
        </w:rPr>
        <w:t>将取得的价款与该金融资产账面价值之间的差额，计入投资损益；同时，将原直接计入其他综合</w:t>
      </w:r>
      <w:r>
        <w:rPr>
          <w:spacing w:val="-25"/>
        </w:rPr>
        <w:t> </w:t>
      </w:r>
      <w:r>
        <w:rPr>
          <w:spacing w:val="-25"/>
        </w:rPr>
      </w:r>
      <w:r>
        <w:rPr/>
        <w:t>收益的公允价值变动累计额对应处置部分的金额转出，计入投资损益。</w:t>
      </w:r>
    </w:p>
    <w:p>
      <w:pPr>
        <w:pStyle w:val="BodyText"/>
        <w:spacing w:line="355" w:lineRule="auto" w:before="30"/>
        <w:ind w:left="138" w:right="106" w:firstLine="419"/>
        <w:jc w:val="left"/>
      </w:pPr>
      <w:r>
        <w:rPr>
          <w:spacing w:val="-2"/>
        </w:rPr>
        <w:t>本公司对在活跃市场中没有报价且其公允价值不能可靠计量的权益工具投资，以及与该权益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tabs>
          <w:tab w:pos="977" w:val="left" w:leader="none"/>
        </w:tabs>
        <w:spacing w:line="355" w:lineRule="auto" w:before="32"/>
        <w:ind w:left="138" w:right="1269" w:firstLine="419"/>
        <w:jc w:val="left"/>
      </w:pPr>
      <w:r>
        <w:rPr/>
        <w:t>⑤</w:t>
        <w:tab/>
        <w:t>其他金融负债</w:t>
      </w:r>
      <w:r>
        <w:rPr>
          <w:w w:val="100"/>
        </w:rPr>
        <w:t> </w:t>
      </w:r>
      <w:r>
        <w:rPr>
          <w:spacing w:val="-2"/>
        </w:rPr>
        <w:t>按其公允价值和相关交易费用之和作为初始确认金额。采用摊余成本进行后续计量。</w:t>
      </w:r>
    </w:p>
    <w:p>
      <w:pPr>
        <w:pStyle w:val="BodyText"/>
        <w:spacing w:line="355" w:lineRule="auto" w:before="34"/>
        <w:ind w:left="558" w:right="106"/>
        <w:jc w:val="left"/>
      </w:pPr>
      <w:r>
        <w:rPr/>
        <w:t>（</w:t>
      </w:r>
      <w:r>
        <w:rPr>
          <w:rFonts w:ascii="宋体" w:hAnsi="宋体" w:cs="宋体" w:eastAsia="宋体" w:hint="default"/>
        </w:rPr>
        <w:t>3</w:t>
      </w:r>
      <w:r>
        <w:rPr/>
        <w:t>）金融资产转移的确认依据和计量方法</w:t>
      </w:r>
      <w:r>
        <w:rPr>
          <w:w w:val="100"/>
        </w:rPr>
        <w:t> </w:t>
      </w:r>
      <w:r>
        <w:rPr>
          <w:spacing w:val="-2"/>
        </w:rPr>
        <w:t>公司发生金融资产转移时，如已将金融资产所有权上几乎所有的风险和报酬转移给转入方，</w:t>
      </w:r>
    </w:p>
    <w:p>
      <w:pPr>
        <w:pStyle w:val="BodyText"/>
        <w:spacing w:line="355" w:lineRule="auto" w:before="33"/>
        <w:ind w:left="138" w:right="106"/>
        <w:jc w:val="left"/>
      </w:pP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355" w:lineRule="auto" w:before="34"/>
        <w:ind w:left="138" w:right="0" w:firstLine="419"/>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tabs>
          <w:tab w:pos="977" w:val="left" w:leader="none"/>
        </w:tabs>
        <w:spacing w:line="240" w:lineRule="auto" w:before="32"/>
        <w:ind w:left="558" w:right="106"/>
        <w:jc w:val="left"/>
      </w:pPr>
      <w:r>
        <w:rPr/>
        <w:t>①</w:t>
        <w:tab/>
        <w:t>所转移金融资产的账面价值；</w:t>
      </w:r>
    </w:p>
    <w:p>
      <w:pPr>
        <w:pStyle w:val="BodyText"/>
        <w:tabs>
          <w:tab w:pos="977" w:val="left" w:leader="none"/>
        </w:tabs>
        <w:spacing w:line="357" w:lineRule="auto" w:before="133"/>
        <w:ind w:left="978" w:right="217" w:hanging="420"/>
        <w:jc w:val="left"/>
      </w:pPr>
      <w:r>
        <w:rPr/>
        <w:t>②</w:t>
        <w:tab/>
      </w:r>
      <w:r>
        <w:rPr>
          <w:spacing w:val="-2"/>
        </w:rPr>
        <w:t>因转移而收到的对价，与原直接计入所有者权益的公允价值变动累计额（涉及转移的金</w:t>
      </w:r>
      <w:r>
        <w:rPr>
          <w:spacing w:val="-32"/>
        </w:rPr>
        <w:t> </w:t>
      </w:r>
      <w:r>
        <w:rPr>
          <w:spacing w:val="-32"/>
        </w:rPr>
      </w:r>
      <w:r>
        <w:rPr/>
        <w:t>融资产为可供出售金融资产的情形）之和。</w:t>
      </w:r>
    </w:p>
    <w:p>
      <w:pPr>
        <w:pStyle w:val="BodyText"/>
        <w:spacing w:line="355" w:lineRule="auto" w:before="30"/>
        <w:ind w:left="138" w:right="217" w:firstLine="419"/>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tabs>
          <w:tab w:pos="977" w:val="left" w:leader="none"/>
        </w:tabs>
        <w:spacing w:line="240" w:lineRule="auto" w:before="32"/>
        <w:ind w:left="558" w:right="106"/>
        <w:jc w:val="left"/>
      </w:pPr>
      <w:r>
        <w:rPr/>
        <w:t>①</w:t>
        <w:tab/>
        <w:t>终止确认部分的账面价值；</w:t>
      </w:r>
    </w:p>
    <w:p>
      <w:pPr>
        <w:pStyle w:val="BodyText"/>
        <w:tabs>
          <w:tab w:pos="977" w:val="left" w:leader="none"/>
        </w:tabs>
        <w:spacing w:line="355" w:lineRule="auto" w:before="135"/>
        <w:ind w:left="978" w:right="217" w:hanging="420"/>
        <w:jc w:val="left"/>
      </w:pPr>
      <w:r>
        <w:rPr/>
        <w:t>②</w:t>
        <w:tab/>
      </w:r>
      <w:r>
        <w:rPr>
          <w:spacing w:val="-2"/>
        </w:rPr>
        <w:t>终止确认部分的对价，与原直接计入所有者权益的公允价值变动累计额中对应终止确认</w:t>
      </w:r>
      <w:r>
        <w:rPr>
          <w:spacing w:val="-32"/>
        </w:rPr>
        <w:t> </w:t>
      </w:r>
      <w:r>
        <w:rPr>
          <w:spacing w:val="-32"/>
        </w:rPr>
      </w:r>
      <w:r>
        <w:rPr/>
        <w:t>部分的金额（涉及转移的金融资产为可供出售金融资产的情形）之和。</w:t>
      </w:r>
    </w:p>
    <w:p>
      <w:pPr>
        <w:pStyle w:val="BodyText"/>
        <w:spacing w:line="355" w:lineRule="auto" w:before="32"/>
        <w:ind w:left="138" w:right="106" w:firstLine="419"/>
        <w:jc w:val="left"/>
      </w:pPr>
      <w:r>
        <w:rPr>
          <w:spacing w:val="-2"/>
        </w:rPr>
        <w:t>金融资产转移不满足终止确认条件的，继续确认该金融资产，所收到的对价确认为一项金融</w:t>
      </w:r>
      <w:r>
        <w:rPr>
          <w:w w:val="100"/>
        </w:rPr>
        <w:t> </w:t>
      </w:r>
      <w:r>
        <w:rPr/>
        <w:t>负债。</w:t>
      </w:r>
    </w:p>
    <w:p>
      <w:pPr>
        <w:pStyle w:val="BodyText"/>
        <w:spacing w:line="357" w:lineRule="auto" w:before="35"/>
        <w:ind w:left="138" w:right="106" w:firstLine="314"/>
        <w:jc w:val="left"/>
      </w:pPr>
      <w:r>
        <w:rPr/>
        <w:t>（</w:t>
      </w:r>
      <w:r>
        <w:rPr>
          <w:rFonts w:ascii="宋体" w:hAnsi="宋体" w:cs="宋体" w:eastAsia="宋体" w:hint="default"/>
        </w:rPr>
        <w:t>4</w:t>
      </w:r>
      <w:r>
        <w:rPr/>
        <w:t>）金融负债终止确认条件</w:t>
      </w:r>
      <w:r>
        <w:rPr>
          <w:w w:val="100"/>
        </w:rPr>
        <w:t> </w:t>
      </w:r>
      <w:r>
        <w:rPr>
          <w:spacing w:val="-2"/>
        </w:rPr>
        <w:t>金融负债的现时义务全部或部分已经解除的，则终止确认该金融负债或其一部分；本公司若与债</w:t>
      </w:r>
      <w:r>
        <w:rPr>
          <w:spacing w:val="-25"/>
        </w:rPr>
        <w:t> </w:t>
      </w:r>
      <w:r>
        <w:rPr>
          <w:spacing w:val="-25"/>
        </w:rPr>
      </w:r>
      <w:r>
        <w:rPr>
          <w:spacing w:val="-2"/>
        </w:rPr>
        <w:t>权人签定协议，以承担新金融负债方式替换现存金融负债，且新金融负债与现存金融负债的合同</w:t>
      </w:r>
      <w:r>
        <w:rPr>
          <w:spacing w:val="-25"/>
        </w:rPr>
        <w:t> </w:t>
      </w:r>
      <w:r>
        <w:rPr>
          <w:spacing w:val="-25"/>
        </w:rPr>
      </w:r>
      <w:r>
        <w:rPr/>
        <w:t>条款实质上不同的，则终止确认现存金融负债，并同时确认新金融负债。</w:t>
      </w:r>
      <w:r>
        <w:rPr>
          <w:w w:val="100"/>
        </w:rPr>
        <w:t> </w:t>
      </w:r>
      <w:r>
        <w:rPr>
          <w:spacing w:val="-2"/>
        </w:rPr>
        <w:t>对现存金融负债全部或部分合同条款作出实质性修改的，则终止确认现存金融负债或其一部分，</w:t>
      </w:r>
      <w:r>
        <w:rPr>
          <w:spacing w:val="-25"/>
        </w:rPr>
        <w:t> </w:t>
      </w:r>
      <w:r>
        <w:rPr>
          <w:spacing w:val="-25"/>
        </w:rPr>
      </w:r>
      <w:r>
        <w:rPr/>
        <w:t>同时将修改条款后的金融负债确认为一项新金融负债。</w:t>
      </w:r>
      <w:r>
        <w:rPr>
          <w:w w:val="100"/>
        </w:rPr>
        <w:t> </w:t>
      </w:r>
      <w:r>
        <w:rPr>
          <w:spacing w:val="-2"/>
        </w:rPr>
        <w:t>金融负债全部或部分终止确认时，终止确认的金融负债账面价值与支付对价（包括转出的非现金</w:t>
      </w:r>
      <w:r>
        <w:rPr>
          <w:spacing w:val="-25"/>
        </w:rPr>
        <w:t> </w:t>
      </w:r>
      <w:r>
        <w:rPr>
          <w:spacing w:val="-25"/>
        </w:rPr>
      </w:r>
      <w:r>
        <w:rPr/>
        <w:t>资产或承担的新金融负债）之间的差额，计入当期损益。</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本公司若回购部分金融负债的，在回购日按照继续确认部分与终止确认部分的相对公允价值，将</w:t>
      </w:r>
      <w:r>
        <w:rPr>
          <w:spacing w:val="-25"/>
        </w:rPr>
        <w:t> </w:t>
      </w:r>
      <w:r>
        <w:rPr>
          <w:spacing w:val="-25"/>
        </w:rPr>
      </w:r>
      <w:r>
        <w:rPr>
          <w:spacing w:val="-2"/>
        </w:rPr>
        <w:t>该金融负债整体的账面价值进行分配。分配给终止确认部分的账面价值与支付的对价（包括转出</w:t>
      </w:r>
      <w:r>
        <w:rPr>
          <w:spacing w:val="-25"/>
        </w:rPr>
        <w:t> </w:t>
      </w:r>
      <w:r>
        <w:rPr>
          <w:spacing w:val="-25"/>
        </w:rPr>
      </w:r>
      <w:r>
        <w:rPr/>
        <w:t>的非现金资产或承担的新金融负债）之间的差额，计入当期损益。</w:t>
      </w:r>
    </w:p>
    <w:p>
      <w:pPr>
        <w:pStyle w:val="BodyText"/>
        <w:spacing w:line="357" w:lineRule="auto" w:before="30"/>
        <w:ind w:left="138" w:right="106" w:firstLine="419"/>
        <w:jc w:val="left"/>
      </w:pPr>
      <w:r>
        <w:rPr/>
        <w:t>（</w:t>
      </w:r>
      <w:r>
        <w:rPr>
          <w:rFonts w:ascii="宋体" w:hAnsi="宋体" w:cs="宋体" w:eastAsia="宋体" w:hint="default"/>
        </w:rPr>
        <w:t>5</w:t>
      </w:r>
      <w:r>
        <w:rPr/>
        <w:t>）金融资产和金融负债公允价值的确定方法</w:t>
      </w:r>
      <w:r>
        <w:rPr>
          <w:w w:val="100"/>
        </w:rPr>
        <w:t> </w:t>
      </w:r>
      <w:r>
        <w:rPr>
          <w:spacing w:val="-2"/>
        </w:rPr>
        <w:t>存在活跃市场的金融资产或金融负债，以活跃市场的报价确定其公允价值；活跃市场的报价包括</w:t>
      </w:r>
      <w:r>
        <w:rPr>
          <w:spacing w:val="-25"/>
        </w:rPr>
        <w:t> </w:t>
      </w:r>
      <w:r>
        <w:rPr>
          <w:spacing w:val="-25"/>
        </w:rPr>
      </w:r>
      <w:r>
        <w:rPr>
          <w:spacing w:val="-2"/>
        </w:rPr>
        <w:t>易于且可定期从交易所、交易商、经纪人、行业集团、定价机构或监管机构等获得相关资产或负</w:t>
      </w:r>
      <w:r>
        <w:rPr>
          <w:spacing w:val="-25"/>
        </w:rPr>
        <w:t> </w:t>
      </w:r>
      <w:r>
        <w:rPr>
          <w:spacing w:val="-25"/>
        </w:rPr>
      </w:r>
      <w:r>
        <w:rPr/>
        <w:t>债的报价，且能代表在公平交易基础上实际并经常发生的市场交易。</w:t>
      </w:r>
      <w:r>
        <w:rPr>
          <w:w w:val="100"/>
        </w:rPr>
        <w:t> </w:t>
      </w: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w:t>
      </w:r>
      <w:r>
        <w:rPr>
          <w:spacing w:val="-25"/>
        </w:rPr>
        <w:t> </w:t>
      </w:r>
      <w:r>
        <w:rPr>
          <w:spacing w:val="-25"/>
        </w:rPr>
      </w:r>
      <w:r>
        <w:rPr>
          <w:spacing w:val="-2"/>
        </w:rPr>
        <w:t>在当前情况下适用并且有足够可利用数据和其他信息支持的估值技术，选择与市场参与者在相关</w:t>
      </w:r>
      <w:r>
        <w:rPr>
          <w:spacing w:val="-25"/>
        </w:rPr>
        <w:t> </w:t>
      </w:r>
      <w:r>
        <w:rPr>
          <w:spacing w:val="-25"/>
        </w:rPr>
      </w:r>
      <w:r>
        <w:rPr>
          <w:spacing w:val="-2"/>
        </w:rPr>
        <w:t>资产或负债的交易中所考虑的资产或负债特征相一致的输入值，并尽可能优先使用相关可观察输</w:t>
      </w:r>
      <w:r>
        <w:rPr>
          <w:spacing w:val="-25"/>
        </w:rPr>
        <w:t> </w:t>
      </w:r>
      <w:r>
        <w:rPr>
          <w:spacing w:val="-25"/>
        </w:rPr>
      </w:r>
      <w:r>
        <w:rPr/>
        <w:t>入值。在相关可观察输入值无法取得或取得不切实可行的情况下，使用不可观察输入值。</w:t>
      </w:r>
    </w:p>
    <w:p>
      <w:pPr>
        <w:pStyle w:val="BodyText"/>
        <w:spacing w:line="357" w:lineRule="auto" w:before="30"/>
        <w:ind w:left="138" w:right="106" w:firstLine="419"/>
        <w:jc w:val="left"/>
      </w:pPr>
      <w:r>
        <w:rPr/>
        <w:t>（</w:t>
      </w:r>
      <w:r>
        <w:rPr>
          <w:rFonts w:ascii="宋体" w:hAnsi="宋体" w:cs="宋体" w:eastAsia="宋体" w:hint="default"/>
        </w:rPr>
        <w:t>6</w:t>
      </w:r>
      <w:r>
        <w:rPr/>
        <w:t>）金融资产（不含应收款项）减值准备计提</w:t>
      </w:r>
      <w:r>
        <w:rPr>
          <w:w w:val="100"/>
        </w:rPr>
        <w:t> </w:t>
      </w:r>
      <w:r>
        <w:rPr>
          <w:spacing w:val="-2"/>
        </w:rPr>
        <w:t>资产负债表日对以公允价值计量且其变动计入当期损益的金融资产以外的金融资产的账面价值进</w:t>
      </w:r>
      <w:r>
        <w:rPr>
          <w:spacing w:val="-25"/>
        </w:rPr>
        <w:t> </w:t>
      </w:r>
      <w:r>
        <w:rPr>
          <w:spacing w:val="-25"/>
        </w:rPr>
      </w:r>
      <w:r>
        <w:rPr/>
        <w:t>行检查，如有客观证据表明该金融资产发生减值的，计提减值准备。</w:t>
      </w:r>
      <w:r>
        <w:rPr>
          <w:w w:val="100"/>
        </w:rPr>
        <w:t> </w:t>
      </w:r>
      <w:r>
        <w:rPr/>
        <w:t>金融资产发生减值的客观证据，包括但不限于：</w:t>
      </w:r>
    </w:p>
    <w:p>
      <w:pPr>
        <w:pStyle w:val="BodyText"/>
        <w:tabs>
          <w:tab w:pos="977" w:val="left" w:leader="none"/>
        </w:tabs>
        <w:spacing w:line="240" w:lineRule="auto" w:before="30"/>
        <w:ind w:left="565" w:right="106"/>
        <w:jc w:val="left"/>
      </w:pPr>
      <w:r>
        <w:rPr/>
        <w:t>①</w:t>
        <w:tab/>
        <w:t>发行方或债务人发生严重财务困难；</w:t>
      </w:r>
    </w:p>
    <w:p>
      <w:pPr>
        <w:pStyle w:val="BodyText"/>
        <w:tabs>
          <w:tab w:pos="977" w:val="left" w:leader="none"/>
        </w:tabs>
        <w:spacing w:line="240" w:lineRule="auto" w:before="133"/>
        <w:ind w:left="565" w:right="106"/>
        <w:jc w:val="left"/>
      </w:pPr>
      <w:r>
        <w:rPr/>
        <w:t>②</w:t>
        <w:tab/>
        <w:t>债务人违反了合同条款，如偿付利息或本金发生违约或逾期等；</w:t>
      </w:r>
    </w:p>
    <w:p>
      <w:pPr>
        <w:pStyle w:val="BodyText"/>
        <w:tabs>
          <w:tab w:pos="977" w:val="left" w:leader="none"/>
        </w:tabs>
        <w:spacing w:line="240" w:lineRule="auto" w:before="133"/>
        <w:ind w:left="565" w:right="106"/>
        <w:jc w:val="left"/>
      </w:pPr>
      <w:r>
        <w:rPr/>
        <w:t>③</w:t>
        <w:tab/>
        <w:t>债权人出于经济或法律等方面因素的考虑，对发生财务困难的债务人作出让步；</w:t>
      </w:r>
    </w:p>
    <w:p>
      <w:pPr>
        <w:pStyle w:val="BodyText"/>
        <w:tabs>
          <w:tab w:pos="977" w:val="left" w:leader="none"/>
        </w:tabs>
        <w:spacing w:line="240" w:lineRule="auto" w:before="133"/>
        <w:ind w:left="565" w:right="106"/>
        <w:jc w:val="left"/>
      </w:pPr>
      <w:r>
        <w:rPr/>
        <w:t>④</w:t>
        <w:tab/>
        <w:t>债务人很可能倒闭或进行其他财务重组；</w:t>
      </w:r>
    </w:p>
    <w:p>
      <w:pPr>
        <w:pStyle w:val="BodyText"/>
        <w:tabs>
          <w:tab w:pos="977" w:val="left" w:leader="none"/>
        </w:tabs>
        <w:spacing w:line="240" w:lineRule="auto" w:before="135"/>
        <w:ind w:left="565" w:right="106"/>
        <w:jc w:val="left"/>
      </w:pPr>
      <w:r>
        <w:rPr/>
        <w:t>⑤</w:t>
        <w:tab/>
        <w:t>因发行方发生重大财务困难，该金融资产无法在活跃市场继续交易；</w:t>
      </w:r>
    </w:p>
    <w:p>
      <w:pPr>
        <w:pStyle w:val="BodyText"/>
        <w:tabs>
          <w:tab w:pos="977" w:val="left" w:leader="none"/>
        </w:tabs>
        <w:spacing w:line="357" w:lineRule="auto" w:before="133"/>
        <w:ind w:left="558" w:right="102" w:firstLine="7"/>
        <w:jc w:val="left"/>
      </w:pPr>
      <w:r>
        <w:rPr/>
        <w:t>⑥</w:t>
        <w:tab/>
        <w:t>无法辨认一组金融资产中的某项资产的现金流量是否已经减少，但根据公开的数据对其</w:t>
      </w:r>
      <w:r>
        <w:rPr>
          <w:w w:val="100"/>
        </w:rPr>
        <w:t> </w:t>
      </w:r>
      <w:r>
        <w:rPr>
          <w:spacing w:val="-4"/>
          <w:w w:val="100"/>
        </w:rPr>
        <w:t>进行总体评价后发现，该组金融资产自初始确认以来的预计未来现金流量确已减少且可计量，</w:t>
      </w:r>
      <w:r>
        <w:rPr>
          <w:spacing w:val="-90"/>
          <w:w w:val="100"/>
        </w:rPr>
        <w:t> </w:t>
      </w:r>
      <w:r>
        <w:rPr>
          <w:spacing w:val="-90"/>
          <w:w w:val="100"/>
        </w:rPr>
      </w:r>
      <w:r>
        <w:rPr/>
        <w:t>如该组金融资产的债务人支付能力逐步恶化，或债务人所在国家或地区失业率提高、担保物</w:t>
      </w:r>
      <w:r>
        <w:rPr>
          <w:w w:val="100"/>
        </w:rPr>
        <w:t> </w:t>
      </w:r>
      <w:r>
        <w:rPr/>
        <w:t>在其所在地区的价格明显下降、所处行业不景气等；</w:t>
      </w:r>
    </w:p>
    <w:p>
      <w:pPr>
        <w:pStyle w:val="BodyText"/>
        <w:tabs>
          <w:tab w:pos="977" w:val="left" w:leader="none"/>
        </w:tabs>
        <w:spacing w:line="355" w:lineRule="auto" w:before="30"/>
        <w:ind w:left="558" w:right="217" w:firstLine="7"/>
        <w:jc w:val="left"/>
      </w:pPr>
      <w:r>
        <w:rPr/>
        <w:t>⑦</w:t>
        <w:tab/>
      </w:r>
      <w:r>
        <w:rPr>
          <w:spacing w:val="-2"/>
        </w:rPr>
        <w:t>权益工具发行方经营所处的技术、市场、经济或法律环境等发生重大不利变化，使权益</w:t>
      </w:r>
      <w:r>
        <w:rPr>
          <w:spacing w:val="-39"/>
        </w:rPr>
        <w:t> </w:t>
      </w:r>
      <w:r>
        <w:rPr>
          <w:spacing w:val="-39"/>
        </w:rPr>
      </w:r>
      <w:r>
        <w:rPr/>
        <w:t>工具投资人可能无法收回投资成本；</w:t>
      </w:r>
    </w:p>
    <w:p>
      <w:pPr>
        <w:pStyle w:val="BodyText"/>
        <w:tabs>
          <w:tab w:pos="977" w:val="left" w:leader="none"/>
        </w:tabs>
        <w:spacing w:line="355" w:lineRule="auto" w:before="32"/>
        <w:ind w:left="558" w:right="3372" w:firstLine="7"/>
        <w:jc w:val="left"/>
      </w:pPr>
      <w:r>
        <w:rPr/>
        <w:t>⑧</w:t>
        <w:tab/>
      </w:r>
      <w:r>
        <w:rPr>
          <w:spacing w:val="-2"/>
        </w:rPr>
        <w:t>权益工具投资的公允价值发生严重或非暂时性下跌；</w:t>
      </w:r>
      <w:r>
        <w:rPr>
          <w:spacing w:val="-69"/>
        </w:rPr>
        <w:t> </w:t>
      </w:r>
      <w:r>
        <w:rPr>
          <w:spacing w:val="-69"/>
        </w:rPr>
      </w:r>
      <w:r>
        <w:rPr/>
        <w:t>金融资产的具体减值方法如下：</w:t>
      </w:r>
    </w:p>
    <w:p>
      <w:pPr>
        <w:pStyle w:val="BodyText"/>
        <w:tabs>
          <w:tab w:pos="977" w:val="left" w:leader="none"/>
        </w:tabs>
        <w:spacing w:line="355" w:lineRule="auto" w:before="34"/>
        <w:ind w:left="558" w:right="266"/>
        <w:jc w:val="left"/>
      </w:pPr>
      <w:r>
        <w:rPr/>
        <w:t>①</w:t>
        <w:tab/>
        <w:t>可供出售金融资产减值准备</w:t>
      </w:r>
      <w:r>
        <w:rPr>
          <w:w w:val="100"/>
        </w:rPr>
        <w:t> </w:t>
      </w:r>
      <w:r>
        <w:rPr>
          <w:spacing w:val="-2"/>
        </w:rPr>
        <w:t>本公司于资产负债表日对各项可供出售权益工具投资单独进行检查，若该权益工具投资于资</w:t>
      </w:r>
    </w:p>
    <w:p>
      <w:pPr>
        <w:pStyle w:val="BodyText"/>
        <w:spacing w:line="357" w:lineRule="auto" w:before="32"/>
        <w:ind w:left="138" w:right="106"/>
        <w:jc w:val="left"/>
      </w:pPr>
      <w:r>
        <w:rPr/>
        <w:t>产负债表日的公允价值低于其成本超过</w:t>
      </w:r>
      <w:r>
        <w:rPr>
          <w:spacing w:val="-54"/>
        </w:rPr>
        <w:t> </w:t>
      </w:r>
      <w:r>
        <w:rPr>
          <w:rFonts w:ascii="宋体" w:hAnsi="宋体" w:cs="宋体" w:eastAsia="宋体" w:hint="default"/>
        </w:rPr>
        <w:t>50%</w:t>
      </w:r>
      <w:r>
        <w:rPr/>
        <w:t>（含</w:t>
      </w:r>
      <w:r>
        <w:rPr>
          <w:spacing w:val="-54"/>
        </w:rPr>
        <w:t> </w:t>
      </w:r>
      <w:r>
        <w:rPr>
          <w:rFonts w:ascii="宋体" w:hAnsi="宋体" w:cs="宋体" w:eastAsia="宋体" w:hint="default"/>
        </w:rPr>
        <w:t>50%</w:t>
      </w:r>
      <w:r>
        <w:rPr/>
        <w:t>）或低于其成本持续时间超过一年（含一年）</w:t>
      </w:r>
      <w:r>
        <w:rPr>
          <w:w w:val="100"/>
        </w:rPr>
        <w:t> </w:t>
      </w:r>
      <w:r>
        <w:rPr>
          <w:spacing w:val="-2"/>
        </w:rPr>
        <w:t>的，则表明其发生减值；若该权益工具投资于资产负债表日的公允价值低于其成本超过</w:t>
      </w:r>
      <w:r>
        <w:rPr>
          <w:spacing w:val="25"/>
        </w:rPr>
        <w:t> </w:t>
      </w:r>
      <w:r>
        <w:rPr>
          <w:rFonts w:ascii="宋体" w:hAnsi="宋体" w:cs="宋体" w:eastAsia="宋体" w:hint="default"/>
          <w:spacing w:val="-1"/>
        </w:rPr>
        <w:t>20%</w:t>
      </w:r>
      <w:r>
        <w:rPr>
          <w:spacing w:val="-1"/>
        </w:rPr>
        <w:t>（含</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97"/>
        <w:jc w:val="left"/>
      </w:pPr>
      <w:r>
        <w:rPr>
          <w:rFonts w:ascii="宋体" w:hAnsi="宋体" w:cs="宋体" w:eastAsia="宋体" w:hint="default"/>
          <w:spacing w:val="-3"/>
        </w:rPr>
        <w:t>20%</w:t>
      </w:r>
      <w:r>
        <w:rPr>
          <w:spacing w:val="-3"/>
        </w:rPr>
        <w:t>）但尚未达到 </w:t>
      </w:r>
      <w:r>
        <w:rPr>
          <w:rFonts w:ascii="宋体" w:hAnsi="宋体" w:cs="宋体" w:eastAsia="宋体" w:hint="default"/>
          <w:spacing w:val="-3"/>
        </w:rPr>
        <w:t>50%</w:t>
      </w:r>
      <w:r>
        <w:rPr>
          <w:spacing w:val="-3"/>
        </w:rPr>
        <w:t>的，本公司会综合考虑其他相关因素诸如价格波动率等，判断该权益工具投</w:t>
      </w:r>
      <w:r>
        <w:rPr>
          <w:spacing w:val="-70"/>
        </w:rPr>
        <w:t> </w:t>
      </w:r>
      <w:r>
        <w:rPr>
          <w:spacing w:val="-70"/>
        </w:rPr>
      </w:r>
      <w:r>
        <w:rPr/>
        <w:t>资是否发生减值。</w:t>
      </w:r>
    </w:p>
    <w:p>
      <w:pPr>
        <w:pStyle w:val="BodyText"/>
        <w:spacing w:line="357" w:lineRule="auto" w:before="30"/>
        <w:ind w:right="237" w:firstLine="419"/>
        <w:jc w:val="both"/>
      </w:pPr>
      <w:r>
        <w:rPr>
          <w:spacing w:val="-2"/>
        </w:rPr>
        <w:t>上段所述成本按照可供出售权益工具投资的初始取得成本扣除已收回本金和已摊销金额、原</w:t>
      </w:r>
      <w:r>
        <w:rPr>
          <w:w w:val="100"/>
        </w:rPr>
        <w:t> </w:t>
      </w:r>
      <w:r>
        <w:rPr>
          <w:spacing w:val="-2"/>
        </w:rPr>
        <w:t>已计入损益的减值损失确定；不存在活跃市场的可供出售权益工具投资的公允价值，按照类似金</w:t>
      </w:r>
      <w:r>
        <w:rPr>
          <w:spacing w:val="-25"/>
        </w:rPr>
        <w:t> </w:t>
      </w:r>
      <w:r>
        <w:rPr>
          <w:spacing w:val="-25"/>
        </w:rPr>
      </w:r>
      <w:r>
        <w:rPr>
          <w:spacing w:val="-2"/>
        </w:rPr>
        <w:t>融资产当时市场收益率对未来现金流量折现确定的现值或采用估值技术确定；在活跃市场有报价</w:t>
      </w:r>
      <w:r>
        <w:rPr>
          <w:spacing w:val="-25"/>
        </w:rPr>
        <w:t> </w:t>
      </w:r>
      <w:r>
        <w:rPr>
          <w:spacing w:val="-25"/>
        </w:rPr>
      </w:r>
      <w:r>
        <w:rPr>
          <w:spacing w:val="-2"/>
        </w:rPr>
        <w:t>的可供出售权益工具投资的公允价值根据证券交易所期末收盘价确定，除非该项可供出售权益工</w:t>
      </w:r>
      <w:r>
        <w:rPr>
          <w:spacing w:val="-25"/>
        </w:rPr>
        <w:t> </w:t>
      </w:r>
      <w:r>
        <w:rPr>
          <w:spacing w:val="-25"/>
        </w:rPr>
      </w:r>
      <w:r>
        <w:rPr>
          <w:spacing w:val="-2"/>
        </w:rPr>
        <w:t>具投资存在限售期。对于存在限售期的可供出售权益工具投资，按照证券交易所期末收盘价扣除</w:t>
      </w:r>
      <w:r>
        <w:rPr>
          <w:spacing w:val="-25"/>
        </w:rPr>
        <w:t> </w:t>
      </w:r>
      <w:r>
        <w:rPr>
          <w:spacing w:val="-25"/>
        </w:rPr>
      </w:r>
      <w:r>
        <w:rPr>
          <w:spacing w:val="-2"/>
        </w:rPr>
        <w:t>市场参与者因承担指定期间内无法在公开市场上出售该权益工具的风险而要求获得的补偿金额后</w:t>
      </w:r>
      <w:r>
        <w:rPr>
          <w:spacing w:val="-25"/>
        </w:rPr>
        <w:t> </w:t>
      </w:r>
      <w:r>
        <w:rPr>
          <w:spacing w:val="-25"/>
        </w:rPr>
      </w:r>
      <w:r>
        <w:rPr/>
        <w:t>确定。</w:t>
      </w:r>
    </w:p>
    <w:p>
      <w:pPr>
        <w:pStyle w:val="BodyText"/>
        <w:spacing w:line="357" w:lineRule="auto" w:before="30"/>
        <w:ind w:right="237" w:firstLine="419"/>
        <w:jc w:val="both"/>
      </w:pPr>
      <w:r>
        <w:rPr>
          <w:spacing w:val="-2"/>
        </w:rPr>
        <w:t>可供出售金融资产发生减值时，即使该金融资产没有终止确认，本公司将原直接计入其他综</w:t>
      </w:r>
      <w:r>
        <w:rPr>
          <w:w w:val="100"/>
        </w:rPr>
        <w:t> </w:t>
      </w:r>
      <w:r>
        <w:rPr>
          <w:spacing w:val="-2"/>
        </w:rPr>
        <w:t>合收益的因公允价值下降形成的累计损失从其他综合收益转出，计入当期损益。该转出的累计损</w:t>
      </w:r>
      <w:r>
        <w:rPr>
          <w:spacing w:val="-25"/>
        </w:rPr>
        <w:t> </w:t>
      </w:r>
      <w:r>
        <w:rPr>
          <w:spacing w:val="-25"/>
        </w:rPr>
      </w:r>
      <w:r>
        <w:rPr>
          <w:spacing w:val="-2"/>
        </w:rPr>
        <w:t>失，等于可供出售金融资产的初始取得成本扣除已收回本金和已摊余金额、当前公允价值和原已</w:t>
      </w:r>
      <w:r>
        <w:rPr>
          <w:spacing w:val="-25"/>
        </w:rPr>
        <w:t> </w:t>
      </w:r>
      <w:r>
        <w:rPr>
          <w:spacing w:val="-25"/>
        </w:rPr>
      </w:r>
      <w:r>
        <w:rPr/>
        <w:t>计入损益的减值损失后的余额。</w:t>
      </w:r>
    </w:p>
    <w:p>
      <w:pPr>
        <w:pStyle w:val="BodyText"/>
        <w:spacing w:line="357" w:lineRule="auto" w:before="30"/>
        <w:ind w:right="237" w:firstLine="419"/>
        <w:jc w:val="both"/>
      </w:pPr>
      <w:r>
        <w:rPr>
          <w:spacing w:val="-2"/>
        </w:rPr>
        <w:t>对于已确认减值损失的可供出售债务工具，在随后的会计期间公允价值已上升且客观上与确</w:t>
      </w:r>
      <w:r>
        <w:rPr>
          <w:w w:val="100"/>
        </w:rPr>
        <w:t> </w:t>
      </w:r>
      <w:r>
        <w:rPr>
          <w:spacing w:val="-2"/>
        </w:rPr>
        <w:t>认原减值损失后发生的事项有关的，原确认的减值损失予以转回计入当期损益；对于可供出售权</w:t>
      </w:r>
      <w:r>
        <w:rPr>
          <w:spacing w:val="-25"/>
        </w:rPr>
        <w:t> </w:t>
      </w:r>
      <w:r>
        <w:rPr>
          <w:spacing w:val="-25"/>
        </w:rPr>
      </w:r>
      <w:r>
        <w:rPr>
          <w:spacing w:val="-2"/>
        </w:rPr>
        <w:t>益工具投资发生的减值损失，在该权益工具价值回升时通过权益转回；但在活跃市场中没有报价</w:t>
      </w:r>
      <w:r>
        <w:rPr>
          <w:spacing w:val="-25"/>
        </w:rPr>
        <w:t> </w:t>
      </w:r>
      <w:r>
        <w:rPr>
          <w:spacing w:val="-25"/>
        </w:rPr>
      </w:r>
      <w:r>
        <w:rPr>
          <w:spacing w:val="-2"/>
        </w:rPr>
        <w:t>且其公允价值不能可靠计量的权益工具投资，或与该权益工具挂钩并须通过交付该权益工具结算</w:t>
      </w:r>
      <w:r>
        <w:rPr>
          <w:spacing w:val="-25"/>
        </w:rPr>
        <w:t> </w:t>
      </w:r>
      <w:r>
        <w:rPr>
          <w:spacing w:val="-25"/>
        </w:rPr>
      </w:r>
      <w:r>
        <w:rPr/>
        <w:t>的衍生金融资产发生的减值损失，不得转回。</w:t>
      </w:r>
    </w:p>
    <w:p>
      <w:pPr>
        <w:pStyle w:val="BodyText"/>
        <w:tabs>
          <w:tab w:pos="1057" w:val="left" w:leader="none"/>
        </w:tabs>
        <w:spacing w:line="357" w:lineRule="auto" w:before="30"/>
        <w:ind w:right="239" w:firstLine="419"/>
        <w:jc w:val="left"/>
      </w:pPr>
      <w:r>
        <w:rPr/>
        <w:t>②</w:t>
        <w:tab/>
        <w:t>持有至到期投资减值准备</w:t>
      </w:r>
      <w:r>
        <w:rPr>
          <w:w w:val="100"/>
        </w:rPr>
        <w:t> </w:t>
      </w:r>
      <w:r>
        <w:rPr>
          <w:spacing w:val="-2"/>
        </w:rPr>
        <w:t>对于持有至到期投资，有客观证据表明其发生了减值的，根据其账面价值与预计未来现金流量现</w:t>
      </w:r>
      <w:r>
        <w:rPr>
          <w:spacing w:val="-25"/>
        </w:rPr>
        <w:t> </w:t>
      </w:r>
      <w:r>
        <w:rPr>
          <w:spacing w:val="-25"/>
        </w:rPr>
      </w:r>
      <w:r>
        <w:rPr>
          <w:spacing w:val="-2"/>
        </w:rPr>
        <w:t>值之间差额计算确认减值损失；计提后如有证据表明其价值已恢复，原确认的减值损失可予以转</w:t>
      </w:r>
      <w:r>
        <w:rPr>
          <w:spacing w:val="-25"/>
        </w:rPr>
        <w:t> </w:t>
      </w:r>
      <w:r>
        <w:rPr>
          <w:spacing w:val="-25"/>
        </w:rPr>
      </w:r>
      <w:r>
        <w:rPr>
          <w:spacing w:val="-2"/>
        </w:rPr>
        <w:t>回，记入当期损益，但该转回的账面价值不超过假定不计提减值准备情况下该金融资产在转回日</w:t>
      </w:r>
      <w:r>
        <w:rPr>
          <w:spacing w:val="-25"/>
        </w:rPr>
        <w:t> </w:t>
      </w:r>
      <w:r>
        <w:rPr>
          <w:spacing w:val="-25"/>
        </w:rPr>
      </w:r>
      <w:r>
        <w:rPr/>
        <w:t>的摊余成本。</w:t>
      </w:r>
    </w:p>
    <w:p>
      <w:pPr>
        <w:pStyle w:val="BodyText"/>
        <w:spacing w:line="357" w:lineRule="auto" w:before="30"/>
        <w:ind w:right="97" w:firstLine="419"/>
        <w:jc w:val="left"/>
      </w:pPr>
      <w:r>
        <w:rPr/>
        <w:t>（</w:t>
      </w:r>
      <w:r>
        <w:rPr>
          <w:rFonts w:ascii="宋体" w:hAnsi="宋体" w:cs="宋体" w:eastAsia="宋体" w:hint="default"/>
        </w:rPr>
        <w:t>7</w:t>
      </w:r>
      <w:r>
        <w:rPr/>
        <w:t>）金融资产及金融负债的抵销</w:t>
      </w:r>
      <w:r>
        <w:rPr>
          <w:w w:val="100"/>
        </w:rPr>
        <w:t> </w:t>
      </w:r>
      <w:r>
        <w:rPr>
          <w:spacing w:val="-2"/>
        </w:rPr>
        <w:t>金融资产和金融负债在资产负债表内分别列示，没有相互抵销。但是，同时满足下列条件的，以</w:t>
      </w:r>
      <w:r>
        <w:rPr>
          <w:spacing w:val="-25"/>
        </w:rPr>
        <w:t> </w:t>
      </w:r>
      <w:r>
        <w:rPr>
          <w:spacing w:val="-25"/>
        </w:rPr>
      </w:r>
      <w:r>
        <w:rPr/>
        <w:t>相互抵销后的净额在资产负债表内列示：</w:t>
      </w:r>
    </w:p>
    <w:p>
      <w:pPr>
        <w:pStyle w:val="BodyText"/>
        <w:tabs>
          <w:tab w:pos="1057" w:val="left" w:leader="none"/>
        </w:tabs>
        <w:spacing w:line="240" w:lineRule="auto" w:before="30"/>
        <w:ind w:left="638" w:right="97"/>
        <w:jc w:val="left"/>
      </w:pPr>
      <w:r>
        <w:rPr/>
        <w:t>①</w:t>
        <w:tab/>
        <w:t>本公司具有抵销已确认金额的法定权利，且该种法定权利是当前可执行的；</w:t>
      </w:r>
    </w:p>
    <w:p>
      <w:pPr>
        <w:pStyle w:val="BodyText"/>
        <w:tabs>
          <w:tab w:pos="1057" w:val="left" w:leader="none"/>
        </w:tabs>
        <w:spacing w:line="240" w:lineRule="auto" w:before="133"/>
        <w:ind w:left="638" w:right="97"/>
        <w:jc w:val="left"/>
      </w:pPr>
      <w:r>
        <w:rPr/>
        <w:t>②</w:t>
        <w:tab/>
        <w:t>本公司计划以净额结算，或同时变现该金融资产和清偿该金融负债。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金额在</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万元以上（含）</w:t>
            </w:r>
          </w:p>
        </w:tc>
      </w:tr>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pacing w:val="-2"/>
                <w:sz w:val="21"/>
                <w:szCs w:val="21"/>
              </w:rPr>
              <w:t>低于其账面价值的差额计提坏账准备，计入当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期损益。单独测试未发生减值的应收款项，将</w:t>
            </w:r>
          </w:p>
        </w:tc>
      </w:tr>
    </w:tbl>
    <w:p>
      <w:pPr>
        <w:spacing w:after="0" w:line="272"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4573;height:2" coordorigin="10,10" coordsize="4573,2">
              <v:shape style="position:absolute;left:10;top:10;width:4573;height:2" coordorigin="10,10" coordsize="4573,0" path="m10,10l4582,10e" filled="false" stroked="true" strokeweight=".48pt" strokecolor="#000000">
                <v:path arrowok="t"/>
              </v:shape>
            </v:group>
            <v:group style="position:absolute;left:4592;top:10;width:4458;height:2" coordorigin="4592,10" coordsize="4458,2">
              <v:shape style="position:absolute;left:4592;top:10;width:4458;height:2" coordorigin="4592,10" coordsize="4458,0" path="m4592,10l905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4573;height:2" coordorigin="10,293" coordsize="4573,2">
              <v:shape style="position:absolute;left:10;top:293;width:4573;height:2" coordorigin="10,293" coordsize="4573,0" path="m10,293l4582,293e" filled="false" stroked="true" strokeweight=".48pt" strokecolor="#000000">
                <v:path arrowok="t"/>
              </v:shape>
            </v:group>
            <v:group style="position:absolute;left:4587;top:5;width:2;height:294" coordorigin="4587,5" coordsize="2,294">
              <v:shape style="position:absolute;left:4587;top:5;width:2;height:294" coordorigin="4587,5" coordsize="0,294" path="m4587,5l4587,298e" filled="false" stroked="true" strokeweight=".47998pt" strokecolor="#000000">
                <v:path arrowok="t"/>
              </v:shape>
            </v:group>
            <v:group style="position:absolute;left:4592;top:293;width:4458;height:2" coordorigin="4592,293" coordsize="4458,2">
              <v:shape style="position:absolute;left:4592;top:293;width:4458;height:2" coordorigin="4592,293" coordsize="4458,0" path="m4592,293l9050,293e" filled="false" stroked="true" strokeweight=".48pt" strokecolor="#000000">
                <v:path arrowok="t"/>
              </v:shape>
            </v:group>
            <v:group style="position:absolute;left:9054;top:5;width:2;height:294" coordorigin="9054,5" coordsize="2,294">
              <v:shape style="position:absolute;left:9054;top:5;width:2;height:294" coordorigin="9054,5" coordsize="0,294" path="m9054,5l9054,298e" filled="false" stroked="true" strokeweight=".47998pt" strokecolor="#000000">
                <v:path arrowok="t"/>
              </v:shape>
              <v:shape style="position:absolute;left:4587;top:10;width:4468;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其归入相应组合计提坏账准备。</w:t>
                      </w:r>
                    </w:p>
                  </w:txbxContent>
                </v:textbox>
                <w10:wrap type="none"/>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sz w:val="15"/>
          <w:szCs w:val="15"/>
        </w:rPr>
      </w:pPr>
    </w:p>
    <w:p>
      <w:pPr>
        <w:pStyle w:val="BodyText"/>
        <w:spacing w:line="273" w:lineRule="exact" w:before="36"/>
        <w:ind w:right="2465"/>
        <w:jc w:val="left"/>
      </w:pPr>
      <w:r>
        <w:rPr/>
        <w:t>组合中，采用账龄分析法计提坏账准备的</w:t>
      </w:r>
    </w:p>
    <w:p>
      <w:pPr>
        <w:pStyle w:val="BodyText"/>
        <w:spacing w:line="273"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right="2465"/>
        <w:jc w:val="left"/>
      </w:pPr>
      <w:r>
        <w:rPr/>
        <w:t>组合中，采用余额百分比法计提坏账准备的</w:t>
      </w:r>
    </w:p>
    <w:p>
      <w:pPr>
        <w:pStyle w:val="BodyText"/>
        <w:spacing w:line="272" w:lineRule="exact" w:before="27"/>
        <w:ind w:right="4688"/>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2465"/>
        <w:jc w:val="left"/>
      </w:pPr>
      <w:r>
        <w:rPr/>
        <w:t>□适用</w:t>
      </w:r>
      <w:r>
        <w:rPr>
          <w:spacing w:val="-1"/>
        </w:rPr>
        <w:t> </w:t>
      </w:r>
      <w:r>
        <w:rPr/>
        <w:t>√不适用</w:t>
      </w:r>
    </w:p>
    <w:p>
      <w:pPr>
        <w:pStyle w:val="Heading4"/>
        <w:spacing w:line="240" w:lineRule="auto" w:before="56"/>
        <w:ind w:right="2465"/>
        <w:jc w:val="left"/>
        <w:rPr>
          <w:b w:val="0"/>
          <w:bCs w:val="0"/>
        </w:rPr>
      </w:pPr>
      <w:r>
        <w:rPr>
          <w:rFonts w:ascii="宋体" w:hAnsi="宋体" w:cs="宋体" w:eastAsia="宋体" w:hint="default"/>
        </w:rPr>
        <w:t>(2).</w:t>
      </w:r>
      <w:r>
        <w:rPr/>
        <w:t>单项金额不重大但单独计提坏账准备的应收款项：</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存在客观证据表明本公司将无法按应收款项的原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有条款收回款项。</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面价值的差额进行计提。</w:t>
            </w:r>
          </w:p>
        </w:tc>
      </w:tr>
    </w:tbl>
    <w:p>
      <w:pPr>
        <w:spacing w:line="240" w:lineRule="auto" w:before="2"/>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4" w:lineRule="exact" w:before="56"/>
        <w:ind w:right="2465"/>
        <w:jc w:val="left"/>
      </w:pPr>
      <w:r>
        <w:rPr/>
        <w:t>√适用</w:t>
      </w:r>
      <w:r>
        <w:rPr>
          <w:spacing w:val="-1"/>
        </w:rPr>
        <w:t> </w:t>
      </w:r>
      <w:r>
        <w:rPr/>
        <w:t>□不适用</w:t>
      </w:r>
    </w:p>
    <w:p>
      <w:pPr>
        <w:pStyle w:val="BodyText"/>
        <w:spacing w:line="336" w:lineRule="auto"/>
        <w:ind w:left="638" w:right="97"/>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存货的分类</w:t>
      </w:r>
      <w:r>
        <w:rPr>
          <w:rFonts w:ascii="宋体" w:hAnsi="宋体" w:cs="宋体" w:eastAsia="宋体" w:hint="default"/>
          <w:b/>
          <w:bCs/>
          <w:spacing w:val="-103"/>
        </w:rPr>
        <w:t> </w:t>
      </w:r>
      <w:r>
        <w:rPr>
          <w:rFonts w:ascii="宋体" w:hAnsi="宋体" w:cs="宋体" w:eastAsia="宋体" w:hint="default"/>
          <w:b/>
          <w:bCs/>
          <w:spacing w:val="-103"/>
        </w:rPr>
      </w:r>
      <w:r>
        <w:rPr>
          <w:spacing w:val="-2"/>
        </w:rPr>
        <w:t>存货是指本公司在日常活动中持有以备出售的产成品或商品、处在生产过程中的在产品、在</w:t>
      </w:r>
    </w:p>
    <w:p>
      <w:pPr>
        <w:pStyle w:val="BodyText"/>
        <w:spacing w:line="348" w:lineRule="auto" w:before="49"/>
        <w:ind w:left="638" w:right="239" w:hanging="420"/>
        <w:jc w:val="left"/>
      </w:pPr>
      <w:r>
        <w:rPr/>
        <w:t>生产过程或提供劳务过程中耗用的材料和物料等。主要包括原材料、周转材料、库存商品等。</w:t>
      </w:r>
      <w:r>
        <w:rPr>
          <w:spacing w:val="-3"/>
          <w:w w:val="100"/>
        </w:rPr>
        <w:t> </w:t>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存货的计价方法</w:t>
      </w:r>
      <w:r>
        <w:rPr>
          <w:rFonts w:ascii="宋体" w:hAnsi="宋体" w:cs="宋体" w:eastAsia="宋体" w:hint="default"/>
          <w:b/>
          <w:bCs/>
          <w:w w:val="100"/>
        </w:rPr>
        <w:t> </w:t>
      </w:r>
      <w:r>
        <w:rPr>
          <w:spacing w:val="-2"/>
        </w:rPr>
        <w:t>存货在取得时，按成本进行初始计量，包括采购成本、加工成本和其他成本。存货发出时按</w:t>
      </w:r>
    </w:p>
    <w:p>
      <w:pPr>
        <w:pStyle w:val="BodyText"/>
        <w:spacing w:line="240" w:lineRule="auto" w:before="38"/>
        <w:ind w:right="2465"/>
        <w:jc w:val="left"/>
      </w:pPr>
      <w:r>
        <w:rPr/>
        <w:t>移动加权平均法计价。</w:t>
      </w:r>
    </w:p>
    <w:p>
      <w:pPr>
        <w:spacing w:line="336" w:lineRule="auto" w:before="133"/>
        <w:ind w:left="638"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w:t>
      </w:r>
    </w:p>
    <w:p>
      <w:pPr>
        <w:pStyle w:val="BodyText"/>
        <w:spacing w:line="357" w:lineRule="auto" w:before="51"/>
        <w:ind w:right="237"/>
        <w:jc w:val="both"/>
      </w:pPr>
      <w:r>
        <w:rPr>
          <w:spacing w:val="-2"/>
        </w:rPr>
        <w:t>成品、库存商品和用于出售的材料等直接用于出售的商品存货，在正常生产经营过程中，以该存</w:t>
      </w:r>
      <w:r>
        <w:rPr>
          <w:spacing w:val="-25"/>
        </w:rPr>
        <w:t> </w:t>
      </w:r>
      <w:r>
        <w:rPr>
          <w:spacing w:val="-25"/>
        </w:rPr>
      </w:r>
      <w:r>
        <w:rPr>
          <w:spacing w:val="-2"/>
        </w:rPr>
        <w:t>货的估计售价减去估计的销售费用和相关税费后的金额，确定其可变现净值；需要经过加工的材</w:t>
      </w:r>
      <w:r>
        <w:rPr>
          <w:spacing w:val="-25"/>
        </w:rPr>
        <w:t> </w:t>
      </w:r>
      <w:r>
        <w:rPr>
          <w:spacing w:val="-25"/>
        </w:rPr>
      </w:r>
      <w:r>
        <w:rPr>
          <w:spacing w:val="-2"/>
        </w:rPr>
        <w:t>料存货，在正常生产经营过程中，以所生产的产成品的估计售价减去至完工时估计将要发生的成</w:t>
      </w:r>
    </w:p>
    <w:p>
      <w:pPr>
        <w:spacing w:after="0" w:line="35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308"/>
        <w:jc w:val="both"/>
      </w:pPr>
      <w:r>
        <w:rPr>
          <w:spacing w:val="-2"/>
        </w:rPr>
        <w:t>本、估计的销售费用和相关税费后的金额，确定其可变现净值；为执行销售合同或者劳务合同而</w:t>
      </w:r>
      <w:r>
        <w:rPr>
          <w:spacing w:val="-25"/>
        </w:rPr>
        <w:t> </w:t>
      </w:r>
      <w:r>
        <w:rPr>
          <w:spacing w:val="-25"/>
        </w:rPr>
      </w: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p>
    <w:p>
      <w:pPr>
        <w:pStyle w:val="BodyText"/>
        <w:spacing w:line="355" w:lineRule="auto" w:before="30"/>
        <w:ind w:left="138" w:right="317" w:firstLine="419"/>
        <w:jc w:val="both"/>
      </w:pPr>
      <w:r>
        <w:rPr>
          <w:spacing w:val="-2"/>
        </w:rPr>
        <w:t>期末按照单个存货项目计提存货跌价准备；但对于数量繁多、单价较低的存货，按照存货类</w:t>
      </w:r>
      <w:r>
        <w:rPr>
          <w:w w:val="100"/>
        </w:rPr>
        <w:t> </w:t>
      </w:r>
      <w:r>
        <w:rPr>
          <w:spacing w:val="-2"/>
        </w:rPr>
        <w:t>别计提存货跌价准备；与在同一地区生产和销售的产品系列相关、具有相同或类似最终用途或目</w:t>
      </w:r>
      <w:r>
        <w:rPr>
          <w:spacing w:val="-25"/>
        </w:rPr>
        <w:t> </w:t>
      </w:r>
      <w:r>
        <w:rPr>
          <w:spacing w:val="-25"/>
        </w:rPr>
      </w:r>
      <w:r>
        <w:rPr/>
        <w:t>的，且难以与其他项目分开计量的存货，则合并计提存货跌价准备。</w:t>
      </w:r>
    </w:p>
    <w:p>
      <w:pPr>
        <w:pStyle w:val="BodyText"/>
        <w:spacing w:line="355" w:lineRule="auto" w:before="34"/>
        <w:ind w:left="138" w:right="317" w:firstLine="419"/>
        <w:jc w:val="both"/>
      </w:pPr>
      <w:r>
        <w:rPr>
          <w:spacing w:val="-2"/>
        </w:rPr>
        <w:t>以前减记存货价值的影响因素已经消失的，减记的金额予以恢复，并在原已计提的存货跌价</w:t>
      </w:r>
      <w:r>
        <w:rPr>
          <w:w w:val="100"/>
        </w:rPr>
        <w:t> </w:t>
      </w:r>
      <w:r>
        <w:rPr/>
        <w:t>准备金额内转回，转回的金额计入当期损益。</w:t>
      </w:r>
    </w:p>
    <w:p>
      <w:pPr>
        <w:spacing w:line="336" w:lineRule="auto" w:before="33"/>
        <w:ind w:left="558" w:right="681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line="336" w:lineRule="auto" w:before="51"/>
        <w:ind w:left="558" w:right="246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低值易耗品和包装物采用一次转销法。</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4"/>
        <w:spacing w:line="240" w:lineRule="auto"/>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3" w:lineRule="exact" w:before="58"/>
        <w:ind w:left="138" w:right="0"/>
        <w:jc w:val="both"/>
      </w:pPr>
      <w:r>
        <w:rPr/>
        <w:t>√适用</w:t>
      </w:r>
      <w:r>
        <w:rPr>
          <w:spacing w:val="104"/>
        </w:rPr>
        <w:t> </w:t>
      </w:r>
      <w:r>
        <w:rPr/>
        <w:t>□不适用</w:t>
      </w:r>
    </w:p>
    <w:p>
      <w:pPr>
        <w:pStyle w:val="Heading4"/>
        <w:spacing w:line="289" w:lineRule="exact"/>
        <w:ind w:left="560" w:right="2465"/>
        <w:jc w:val="left"/>
        <w:rPr>
          <w:b w:val="0"/>
          <w:bCs w:val="0"/>
        </w:rPr>
      </w:pPr>
      <w:r>
        <w:rPr>
          <w:rFonts w:ascii="Times New Roman" w:hAnsi="Times New Roman" w:cs="Times New Roman" w:eastAsia="Times New Roman" w:hint="default"/>
        </w:rPr>
        <w:t>1</w:t>
      </w:r>
      <w:r>
        <w:rPr/>
        <w:t>．</w:t>
      </w:r>
      <w:r>
        <w:rPr>
          <w:spacing w:val="-59"/>
        </w:rPr>
        <w:t> </w:t>
      </w:r>
      <w:r>
        <w:rPr/>
        <w:t>初始投资成本的确定</w:t>
      </w:r>
      <w:r>
        <w:rPr>
          <w:b w:val="0"/>
          <w:bCs w:val="0"/>
        </w:rPr>
      </w:r>
    </w:p>
    <w:p>
      <w:pPr>
        <w:pStyle w:val="BodyText"/>
        <w:spacing w:line="336" w:lineRule="auto" w:before="119"/>
        <w:ind w:left="138" w:right="310" w:firstLine="419"/>
        <w:jc w:val="both"/>
      </w:pPr>
      <w:r>
        <w:rPr>
          <w:spacing w:val="-3"/>
        </w:rPr>
        <w:t>（</w:t>
      </w:r>
      <w:r>
        <w:rPr>
          <w:rFonts w:ascii="Times New Roman" w:hAnsi="Times New Roman" w:cs="Times New Roman" w:eastAsia="Times New Roman" w:hint="default"/>
          <w:spacing w:val="-3"/>
        </w:rPr>
        <w:t>1</w:t>
      </w:r>
      <w:r>
        <w:rPr>
          <w:spacing w:val="-3"/>
        </w:rPr>
        <w:t>）企业合并形成的长期股权投资，具体会计政策详见本十一、五、</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31"/>
        </w:rPr>
        <w:t> </w:t>
      </w:r>
      <w:r>
        <w:rPr/>
        <w:t>同一控制下和非同一</w:t>
      </w:r>
      <w:r>
        <w:rPr>
          <w:w w:val="100"/>
        </w:rPr>
        <w:t> </w:t>
      </w:r>
      <w:r>
        <w:rPr/>
        <w:t>控制下企业合并的会计处理方法</w:t>
      </w:r>
    </w:p>
    <w:p>
      <w:pPr>
        <w:pStyle w:val="BodyText"/>
        <w:spacing w:line="336" w:lineRule="auto" w:before="49"/>
        <w:ind w:left="558" w:right="97"/>
        <w:jc w:val="left"/>
      </w:pPr>
      <w:r>
        <w:rPr/>
        <w:t>（</w:t>
      </w: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w:t>
      </w:r>
    </w:p>
    <w:p>
      <w:pPr>
        <w:pStyle w:val="BodyText"/>
        <w:spacing w:line="357" w:lineRule="auto" w:before="49"/>
        <w:ind w:left="558" w:right="97" w:hanging="420"/>
        <w:jc w:val="left"/>
      </w:pPr>
      <w:r>
        <w:rPr/>
        <w:t>资成本包括与取得长期股权投资直接相关的费用、税金及其他必要支出。</w:t>
      </w:r>
      <w:r>
        <w:rPr>
          <w:w w:val="100"/>
        </w:rPr>
        <w:t> </w:t>
      </w:r>
      <w:r>
        <w:rPr>
          <w:spacing w:val="-4"/>
          <w:w w:val="100"/>
        </w:rPr>
        <w:t>以发行权益性证券取得的长期股权投资，按照发行权益性证券的公允价值作为初始投资成本；</w:t>
      </w:r>
    </w:p>
    <w:p>
      <w:pPr>
        <w:pStyle w:val="BodyText"/>
        <w:spacing w:line="355" w:lineRule="auto" w:before="31"/>
        <w:ind w:left="558" w:right="97" w:hanging="420"/>
        <w:jc w:val="left"/>
      </w:pPr>
      <w:r>
        <w:rPr/>
        <w:t>发行或取得自身权益工具时发生的交易费用，可直接归属于权益性交易的从权益中扣减。</w:t>
      </w:r>
      <w:r>
        <w:rPr>
          <w:w w:val="100"/>
        </w:rPr>
        <w:t> </w:t>
      </w:r>
      <w:r>
        <w:rPr>
          <w:spacing w:val="-1"/>
        </w:rPr>
        <w:t>在非货币性资产交换具备商业实质和换入资产或换出资产的公允价值能够可靠计量的前提下，</w:t>
      </w:r>
    </w:p>
    <w:p>
      <w:pPr>
        <w:pStyle w:val="BodyText"/>
        <w:spacing w:line="357" w:lineRule="auto" w:before="32"/>
        <w:ind w:left="138" w:right="317"/>
        <w:jc w:val="both"/>
      </w:pPr>
      <w:r>
        <w:rPr>
          <w:spacing w:val="-2"/>
        </w:rPr>
        <w:t>非货币性资产交换换入的长期股权投资以换出资产的公允价值为基础确定其初始投资成本，除非</w:t>
      </w:r>
      <w:r>
        <w:rPr>
          <w:spacing w:val="-25"/>
        </w:rPr>
        <w:t> </w:t>
      </w:r>
      <w:r>
        <w:rPr>
          <w:spacing w:val="-25"/>
        </w:rPr>
      </w:r>
      <w:r>
        <w:rPr>
          <w:spacing w:val="-2"/>
        </w:rPr>
        <w:t>有确凿证据表明换入资产的公允价值更加可靠；不满足上述前提的非货币性资产交换，以换出资</w:t>
      </w:r>
      <w:r>
        <w:rPr>
          <w:spacing w:val="-25"/>
        </w:rPr>
        <w:t> </w:t>
      </w:r>
      <w:r>
        <w:rPr>
          <w:spacing w:val="-25"/>
        </w:rPr>
      </w:r>
      <w:r>
        <w:rPr/>
        <w:t>产的账面价值和应支付的相关税费作为换入长期股权投资的初始投资成本。</w:t>
      </w:r>
    </w:p>
    <w:p>
      <w:pPr>
        <w:pStyle w:val="BodyText"/>
        <w:spacing w:line="240" w:lineRule="auto" w:before="30"/>
        <w:ind w:left="558" w:right="97"/>
        <w:jc w:val="left"/>
      </w:pPr>
      <w:r>
        <w:rPr/>
        <w:t>通过债务重组取得的长期股权投资，其初始投资成本按照公允价值为基础确定。</w:t>
      </w:r>
    </w:p>
    <w:p>
      <w:pPr>
        <w:pStyle w:val="Heading4"/>
        <w:spacing w:line="240" w:lineRule="auto" w:before="133"/>
        <w:ind w:left="560" w:right="2465"/>
        <w:jc w:val="left"/>
        <w:rPr>
          <w:b w:val="0"/>
          <w:bCs w:val="0"/>
        </w:rPr>
      </w:pPr>
      <w:r>
        <w:rPr>
          <w:rFonts w:ascii="Times New Roman" w:hAnsi="Times New Roman" w:cs="Times New Roman" w:eastAsia="Times New Roman" w:hint="default"/>
        </w:rPr>
        <w:t>2</w:t>
      </w:r>
      <w:r>
        <w:rPr/>
        <w:t>．</w:t>
      </w:r>
      <w:r>
        <w:rPr>
          <w:spacing w:val="-59"/>
        </w:rPr>
        <w:t> </w:t>
      </w:r>
      <w:r>
        <w:rPr/>
        <w:t>后续计量及损益确认</w:t>
      </w:r>
      <w:r>
        <w:rPr>
          <w:b w:val="0"/>
          <w:bCs w:val="0"/>
        </w:rPr>
      </w:r>
    </w:p>
    <w:p>
      <w:pPr>
        <w:pStyle w:val="BodyText"/>
        <w:spacing w:line="338" w:lineRule="auto" w:before="117"/>
        <w:ind w:left="558" w:right="97"/>
        <w:jc w:val="left"/>
      </w:pPr>
      <w:r>
        <w:rPr/>
        <w:t>（</w:t>
      </w:r>
      <w:r>
        <w:rPr>
          <w:rFonts w:ascii="Times New Roman" w:hAnsi="Times New Roman" w:cs="Times New Roman" w:eastAsia="Times New Roman" w:hint="default"/>
        </w:rPr>
        <w:t>1</w:t>
      </w:r>
      <w:r>
        <w:rPr/>
        <w:t>）成本法</w:t>
      </w:r>
      <w:r>
        <w:rPr>
          <w:w w:val="100"/>
        </w:rPr>
        <w:t> </w:t>
      </w:r>
      <w:r>
        <w:rPr>
          <w:spacing w:val="-2"/>
        </w:rPr>
        <w:t>本公司能够对被投资单位实施控制的长期股权投资采用成本法核算，并按照初始投资成本计</w:t>
      </w:r>
    </w:p>
    <w:p>
      <w:pPr>
        <w:pStyle w:val="BodyText"/>
        <w:spacing w:line="240" w:lineRule="auto" w:before="47"/>
        <w:ind w:left="138" w:right="0"/>
        <w:jc w:val="both"/>
      </w:pPr>
      <w:r>
        <w:rPr/>
        <w:t>价，追加或收回投资调整长期股权投资的成本。</w:t>
      </w:r>
    </w:p>
    <w:p>
      <w:pPr>
        <w:spacing w:after="0" w:line="240" w:lineRule="auto"/>
        <w:jc w:val="both"/>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除取得投资时实际支付的价款或对价中包含的已宣告但尚未发放的现金股利或利润外，本公</w:t>
      </w:r>
      <w:r>
        <w:rPr>
          <w:w w:val="100"/>
        </w:rPr>
        <w:t> </w:t>
      </w:r>
      <w:r>
        <w:rPr/>
        <w:t>司按照享有被投资单位宣告分派的现金股利或利润确认为当期投资收益。</w:t>
      </w:r>
    </w:p>
    <w:p>
      <w:pPr>
        <w:pStyle w:val="BodyText"/>
        <w:spacing w:line="336" w:lineRule="auto" w:before="30"/>
        <w:ind w:left="558" w:right="0"/>
        <w:jc w:val="left"/>
      </w:pPr>
      <w:r>
        <w:rPr/>
        <w:t>（</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本公司对联营企业和合营企业的长期股权投资采用权益法核算；对于其中一部分通过风险投</w:t>
      </w:r>
    </w:p>
    <w:p>
      <w:pPr>
        <w:pStyle w:val="BodyText"/>
        <w:spacing w:line="355" w:lineRule="auto" w:before="49"/>
        <w:ind w:left="138" w:right="137"/>
        <w:jc w:val="both"/>
      </w:pPr>
      <w:r>
        <w:rPr>
          <w:spacing w:val="-2"/>
        </w:rPr>
        <w:t>资机构、共同基金、信托公司或包括投连险基金在内的类似主体间接持有的联营企业的权益性投</w:t>
      </w:r>
      <w:r>
        <w:rPr>
          <w:spacing w:val="-25"/>
        </w:rPr>
        <w:t> </w:t>
      </w:r>
      <w:r>
        <w:rPr>
          <w:spacing w:val="-25"/>
        </w:rPr>
      </w:r>
      <w:r>
        <w:rPr/>
        <w:t>资，采用公允价值计量且其变动计入损益。</w:t>
      </w:r>
    </w:p>
    <w:p>
      <w:pPr>
        <w:pStyle w:val="BodyText"/>
        <w:spacing w:line="357" w:lineRule="auto" w:before="34"/>
        <w:ind w:left="138" w:right="137" w:firstLine="419"/>
        <w:jc w:val="both"/>
      </w:pPr>
      <w:r>
        <w:rPr>
          <w:spacing w:val="-2"/>
        </w:rPr>
        <w:t>长期股权投资的初始投资成本大于投资时应享有被投资单位可辨认净资产公允价值份额的差</w:t>
      </w:r>
      <w:r>
        <w:rPr>
          <w:w w:val="100"/>
        </w:rPr>
        <w:t> </w:t>
      </w:r>
      <w:r>
        <w:rPr>
          <w:spacing w:val="-2"/>
        </w:rPr>
        <w:t>额，不调整长期股权投资的初始投资成本；初始投资成本小于投资时应享有被投资单位可辨认净</w:t>
      </w:r>
      <w:r>
        <w:rPr>
          <w:spacing w:val="-25"/>
        </w:rPr>
        <w:t> </w:t>
      </w:r>
      <w:r>
        <w:rPr>
          <w:spacing w:val="-25"/>
        </w:rPr>
      </w:r>
      <w:r>
        <w:rPr/>
        <w:t>资产公允价值份额的差额，计入当期损益。</w:t>
      </w:r>
    </w:p>
    <w:p>
      <w:pPr>
        <w:pStyle w:val="BodyText"/>
        <w:spacing w:line="357" w:lineRule="auto" w:before="30"/>
        <w:ind w:left="138" w:right="137" w:firstLine="419"/>
        <w:jc w:val="both"/>
      </w:pPr>
      <w:r>
        <w:rPr>
          <w:spacing w:val="-2"/>
        </w:rPr>
        <w:t>本公司取得长期股权投资后，按照应享有或应分担的被投资单位实现的净损益和其他综合收</w:t>
      </w:r>
      <w:r>
        <w:rPr>
          <w:w w:val="100"/>
        </w:rPr>
        <w:t> </w:t>
      </w:r>
      <w:r>
        <w:rPr>
          <w:spacing w:val="-2"/>
        </w:rPr>
        <w:t>益的份额，分别确认投资收益和其他综合收益，同时调整长期股权投资的账面价值；并按照被投</w:t>
      </w:r>
      <w:r>
        <w:rPr>
          <w:spacing w:val="-25"/>
        </w:rPr>
        <w:t> </w:t>
      </w:r>
      <w:r>
        <w:rPr>
          <w:spacing w:val="-25"/>
        </w:rPr>
      </w:r>
      <w:r>
        <w:rPr>
          <w:spacing w:val="-2"/>
        </w:rPr>
        <w:t>资单位宣告分派的利润或现金股利计算应享有的部分，相应减少长期股权投资的账面价值；对于</w:t>
      </w:r>
      <w:r>
        <w:rPr>
          <w:spacing w:val="-25"/>
        </w:rPr>
        <w:t> </w:t>
      </w:r>
      <w:r>
        <w:rPr>
          <w:spacing w:val="-25"/>
        </w:rPr>
      </w:r>
      <w:r>
        <w:rPr>
          <w:spacing w:val="-2"/>
        </w:rPr>
        <w:t>被投资单位除净损益、其他综合收益和利润分配以外所有者权益的其他变动，调整长期股权投资</w:t>
      </w:r>
      <w:r>
        <w:rPr>
          <w:spacing w:val="-25"/>
        </w:rPr>
        <w:t> </w:t>
      </w:r>
      <w:r>
        <w:rPr>
          <w:spacing w:val="-25"/>
        </w:rPr>
      </w:r>
      <w:r>
        <w:rPr/>
        <w:t>的账面价值并计入所有者权益。</w:t>
      </w:r>
    </w:p>
    <w:p>
      <w:pPr>
        <w:pStyle w:val="BodyText"/>
        <w:spacing w:line="357" w:lineRule="auto" w:before="30"/>
        <w:ind w:left="138" w:right="137" w:firstLine="419"/>
        <w:jc w:val="both"/>
      </w:pPr>
      <w:r>
        <w:rPr>
          <w:spacing w:val="-2"/>
        </w:rPr>
        <w:t>本公司在确认应享有被投资单位净损益的份额时，以取得投资时被投资单位各项可辨认资产</w:t>
      </w:r>
      <w:r>
        <w:rPr>
          <w:w w:val="100"/>
        </w:rPr>
        <w:t> </w:t>
      </w:r>
      <w:r>
        <w:rPr>
          <w:spacing w:val="-2"/>
        </w:rPr>
        <w:t>等的公允价值为基础，对被投资单位的净利润进行调整后确认。本公司与联营企业、合营企业之</w:t>
      </w:r>
      <w:r>
        <w:rPr>
          <w:spacing w:val="-24"/>
        </w:rPr>
        <w:t> </w:t>
      </w:r>
      <w:r>
        <w:rPr>
          <w:spacing w:val="-24"/>
        </w:rPr>
      </w:r>
      <w:r>
        <w:rPr>
          <w:spacing w:val="-2"/>
        </w:rPr>
        <w:t>间发生的未实现内部交易损益按照应享有的比例计算归属于本公司的部分予以抵销，在此基础上</w:t>
      </w:r>
      <w:r>
        <w:rPr>
          <w:spacing w:val="-27"/>
        </w:rPr>
        <w:t> </w:t>
      </w:r>
      <w:r>
        <w:rPr>
          <w:spacing w:val="-27"/>
        </w:rPr>
      </w:r>
      <w:r>
        <w:rPr/>
        <w:t>确认投资损益。</w:t>
      </w:r>
    </w:p>
    <w:p>
      <w:pPr>
        <w:pStyle w:val="BodyText"/>
        <w:spacing w:line="357" w:lineRule="auto" w:before="30"/>
        <w:ind w:left="138" w:right="137" w:firstLine="419"/>
        <w:jc w:val="both"/>
      </w:pPr>
      <w:r>
        <w:rPr>
          <w:spacing w:val="-2"/>
        </w:rPr>
        <w:t>本公司确认应分担被投资单位发生的亏损时，按照以下顺序进行处理：首先，冲减长期股权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6"/>
        </w:rPr>
        <w:t> </w:t>
      </w:r>
      <w:r>
        <w:rPr>
          <w:spacing w:val="-26"/>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357" w:lineRule="auto" w:before="30"/>
        <w:ind w:left="138" w:right="137" w:firstLine="419"/>
        <w:jc w:val="both"/>
      </w:pPr>
      <w:r>
        <w:rPr>
          <w:spacing w:val="-2"/>
        </w:rPr>
        <w:t>被投资单位以后期间实现盈利的，公司在扣除未确认的亏损分担额后，按与上述相反的顺序</w:t>
      </w:r>
      <w:r>
        <w:rPr>
          <w:w w:val="100"/>
        </w:rPr>
        <w:t> </w:t>
      </w:r>
      <w:r>
        <w:rPr>
          <w:spacing w:val="-2"/>
        </w:rPr>
        <w:t>处理，减记已确认预计负债的账面余额、恢复其他实质上构成对被投资单位净投资的长期权益及</w:t>
      </w:r>
      <w:r>
        <w:rPr>
          <w:spacing w:val="-25"/>
        </w:rPr>
        <w:t> </w:t>
      </w:r>
      <w:r>
        <w:rPr>
          <w:spacing w:val="-25"/>
        </w:rPr>
      </w:r>
      <w:r>
        <w:rPr/>
        <w:t>长期股权投资的账面价值后，恢复确认投资收益。</w:t>
      </w:r>
    </w:p>
    <w:p>
      <w:pPr>
        <w:pStyle w:val="Heading4"/>
        <w:spacing w:line="240" w:lineRule="auto" w:before="30"/>
        <w:ind w:left="560" w:right="0"/>
        <w:jc w:val="left"/>
        <w:rPr>
          <w:b w:val="0"/>
          <w:bCs w:val="0"/>
        </w:rPr>
      </w:pPr>
      <w:r>
        <w:rPr>
          <w:rFonts w:ascii="Times New Roman" w:hAnsi="Times New Roman" w:cs="Times New Roman" w:eastAsia="Times New Roman" w:hint="default"/>
        </w:rPr>
        <w:t>3</w:t>
      </w:r>
      <w:r>
        <w:rPr/>
        <w:t>．</w:t>
      </w:r>
      <w:r>
        <w:rPr>
          <w:spacing w:val="-64"/>
        </w:rPr>
        <w:t> </w:t>
      </w:r>
      <w:r>
        <w:rPr/>
        <w:t>长期股权投资核算方法的转换</w:t>
      </w:r>
      <w:r>
        <w:rPr>
          <w:b w:val="0"/>
          <w:bCs w:val="0"/>
        </w:rPr>
      </w:r>
    </w:p>
    <w:p>
      <w:pPr>
        <w:pStyle w:val="BodyText"/>
        <w:tabs>
          <w:tab w:pos="1397" w:val="left" w:leader="none"/>
        </w:tabs>
        <w:spacing w:line="336" w:lineRule="auto" w:before="117"/>
        <w:ind w:left="558" w:right="137"/>
        <w:jc w:val="left"/>
      </w:pPr>
      <w:r>
        <w:rPr/>
        <w:t>（</w:t>
      </w:r>
      <w:r>
        <w:rPr>
          <w:rFonts w:ascii="Times New Roman" w:hAnsi="Times New Roman" w:cs="Times New Roman" w:eastAsia="Times New Roman" w:hint="default"/>
        </w:rPr>
        <w:t>1</w:t>
      </w:r>
      <w:r>
        <w:rPr/>
        <w:t>）</w:t>
        <w:tab/>
        <w:t>公允价值计量转权益法核算</w:t>
      </w:r>
      <w:r>
        <w:rPr>
          <w:w w:val="100"/>
        </w:rPr>
        <w:t> </w:t>
      </w:r>
      <w:r>
        <w:rPr>
          <w:spacing w:val="-2"/>
        </w:rPr>
        <w:t>本公司原持有的对被投资单位不具有控制、共同控制或重大影响的按金融工具确认和计量准</w:t>
      </w:r>
    </w:p>
    <w:p>
      <w:pPr>
        <w:pStyle w:val="BodyText"/>
        <w:spacing w:line="345" w:lineRule="auto" w:before="51"/>
        <w:ind w:left="138" w:right="127"/>
        <w:jc w:val="both"/>
      </w:pPr>
      <w:r>
        <w:rPr>
          <w:spacing w:val="-2"/>
        </w:rPr>
        <w:t>则进行会计处理的权益性投资，因追加投资等原因能够对被投资单位施加重大影响或实施共同控</w:t>
      </w:r>
      <w:r>
        <w:rPr>
          <w:spacing w:val="-25"/>
        </w:rPr>
        <w:t> </w:t>
      </w:r>
      <w:r>
        <w:rPr>
          <w:spacing w:val="-25"/>
        </w:rPr>
      </w:r>
      <w:r>
        <w:rPr>
          <w:spacing w:val="-5"/>
        </w:rPr>
        <w:t>制但不构成控制的，按照《企业会计准则第 </w:t>
      </w:r>
      <w:r>
        <w:rPr>
          <w:rFonts w:ascii="Times New Roman" w:hAnsi="Times New Roman" w:cs="Times New Roman" w:eastAsia="Times New Roman" w:hint="default"/>
        </w:rPr>
        <w:t>22 </w:t>
      </w:r>
      <w:r>
        <w:rPr>
          <w:spacing w:val="-3"/>
        </w:rPr>
        <w:t>号——金融工具确认和计量》确定的原持有的股权</w:t>
      </w:r>
      <w:r>
        <w:rPr>
          <w:spacing w:val="-92"/>
        </w:rPr>
        <w:t> </w:t>
      </w:r>
      <w:r>
        <w:rPr>
          <w:spacing w:val="-92"/>
        </w:rPr>
      </w:r>
      <w:r>
        <w:rPr/>
        <w:t>投资的公允价值加上新增投资成本之和，作为改按权益法核算的初始投资成本。</w:t>
      </w:r>
    </w:p>
    <w:p>
      <w:pPr>
        <w:pStyle w:val="BodyText"/>
        <w:spacing w:line="357" w:lineRule="auto" w:before="41"/>
        <w:ind w:left="138" w:right="137" w:firstLine="419"/>
        <w:jc w:val="both"/>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p>
    <w:p>
      <w:pPr>
        <w:spacing w:after="0" w:line="357" w:lineRule="auto"/>
        <w:jc w:val="both"/>
        <w:sectPr>
          <w:footerReference w:type="default" r:id="rId70"/>
          <w:pgSz w:w="11910" w:h="16840"/>
          <w:pgMar w:footer="1195" w:header="882" w:top="1120" w:bottom="1380" w:left="1660" w:right="1140"/>
          <w:pgNumType w:start="86"/>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按权益法核算的初始投资成本小于按照追加投资后全新的持股比例计算确定的应享有被投资</w:t>
      </w:r>
      <w:r>
        <w:rPr>
          <w:w w:val="100"/>
        </w:rPr>
        <w:t> </w:t>
      </w:r>
      <w:r>
        <w:rPr>
          <w:spacing w:val="-2"/>
        </w:rPr>
        <w:t>单位在追加投资日可辨认净资产公允价值份额之间的差额，调整长期股权投资的账面价值，并计</w:t>
      </w:r>
      <w:r>
        <w:rPr>
          <w:spacing w:val="-25"/>
        </w:rPr>
        <w:t> </w:t>
      </w:r>
      <w:r>
        <w:rPr>
          <w:spacing w:val="-25"/>
        </w:rPr>
      </w:r>
      <w:r>
        <w:rPr/>
        <w:t>入当期营业外收入。</w:t>
      </w:r>
    </w:p>
    <w:p>
      <w:pPr>
        <w:pStyle w:val="BodyText"/>
        <w:tabs>
          <w:tab w:pos="1397" w:val="left" w:leader="none"/>
        </w:tabs>
        <w:spacing w:line="336" w:lineRule="auto" w:before="30"/>
        <w:ind w:left="558" w:right="266"/>
        <w:jc w:val="left"/>
      </w:pPr>
      <w:r>
        <w:rPr/>
        <w:t>（</w:t>
      </w:r>
      <w:r>
        <w:rPr>
          <w:rFonts w:ascii="Times New Roman" w:hAnsi="Times New Roman" w:cs="Times New Roman" w:eastAsia="Times New Roman" w:hint="default"/>
        </w:rPr>
        <w:t>2</w:t>
      </w:r>
      <w:r>
        <w:rPr/>
        <w:t>）</w:t>
        <w:tab/>
        <w:t>公允价值计量或权益法核算转成本法核算</w:t>
      </w:r>
      <w:r>
        <w:rPr>
          <w:w w:val="100"/>
        </w:rPr>
        <w:t> </w:t>
      </w:r>
      <w:r>
        <w:rPr>
          <w:spacing w:val="-2"/>
        </w:rPr>
        <w:t>本公司原持有的对被投资单位不具有控制、共同控制或重大影响的按金融工具确认和计量准</w:t>
      </w:r>
    </w:p>
    <w:p>
      <w:pPr>
        <w:pStyle w:val="BodyText"/>
        <w:spacing w:line="357" w:lineRule="auto" w:before="49"/>
        <w:ind w:left="138" w:right="217"/>
        <w:jc w:val="both"/>
      </w:pPr>
      <w:r>
        <w:rPr>
          <w:spacing w:val="-2"/>
        </w:rPr>
        <w:t>则进行会计处理的权益性投资，或原持有对联营企业、合营企业的长期股权投资，因追加投资等</w:t>
      </w:r>
      <w:r>
        <w:rPr>
          <w:spacing w:val="-25"/>
        </w:rPr>
        <w:t> </w:t>
      </w:r>
      <w:r>
        <w:rPr>
          <w:spacing w:val="-25"/>
        </w:rPr>
      </w:r>
      <w:r>
        <w:rPr>
          <w:spacing w:val="-2"/>
        </w:rPr>
        <w:t>原因能够对非同一控制下的被投资单位实施控制的，在编制个别财务报表时，按照原持有的股权</w:t>
      </w:r>
      <w:r>
        <w:rPr>
          <w:spacing w:val="-25"/>
        </w:rPr>
        <w:t> </w:t>
      </w:r>
      <w:r>
        <w:rPr>
          <w:spacing w:val="-25"/>
        </w:rPr>
      </w:r>
      <w:r>
        <w:rPr/>
        <w:t>投资账面价值加上新增投资成本之和，作为改按成本法核算的初始投资成本。</w:t>
      </w:r>
    </w:p>
    <w:p>
      <w:pPr>
        <w:pStyle w:val="BodyText"/>
        <w:spacing w:line="355" w:lineRule="auto" w:before="31"/>
        <w:ind w:left="138" w:right="217" w:firstLine="419"/>
        <w:jc w:val="both"/>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p>
    <w:p>
      <w:pPr>
        <w:pStyle w:val="BodyText"/>
        <w:spacing w:line="336" w:lineRule="auto" w:before="34"/>
        <w:ind w:left="138" w:right="0" w:firstLine="419"/>
        <w:jc w:val="left"/>
      </w:pPr>
      <w:r>
        <w:rPr>
          <w:spacing w:val="-4"/>
        </w:rPr>
        <w:t>购买日之前持有的股权投资按照《企业会计准则第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spacing w:val="-5"/>
        </w:rPr>
        <w:t>号——金融工具确认和计量》的有关规</w:t>
      </w:r>
      <w:r>
        <w:rPr>
          <w:w w:val="100"/>
        </w:rPr>
        <w:t> </w:t>
      </w:r>
      <w:r>
        <w:rPr>
          <w:spacing w:val="-4"/>
          <w:w w:val="100"/>
        </w:rPr>
        <w:t>定进行会计处理的，原计入其他综合收益的累计公允价值变动在改按成本法核算时转入当期损益。</w:t>
      </w:r>
    </w:p>
    <w:p>
      <w:pPr>
        <w:pStyle w:val="BodyText"/>
        <w:tabs>
          <w:tab w:pos="1397" w:val="left" w:leader="none"/>
        </w:tabs>
        <w:spacing w:line="336" w:lineRule="auto" w:before="49"/>
        <w:ind w:left="558" w:right="266"/>
        <w:jc w:val="left"/>
      </w:pPr>
      <w:r>
        <w:rPr/>
        <w:t>（</w:t>
      </w:r>
      <w:r>
        <w:rPr>
          <w:rFonts w:ascii="Times New Roman" w:hAnsi="Times New Roman" w:cs="Times New Roman" w:eastAsia="Times New Roman" w:hint="default"/>
        </w:rPr>
        <w:t>3</w:t>
      </w:r>
      <w:r>
        <w:rPr/>
        <w:t>）</w:t>
        <w:tab/>
        <w:t>权益法核算转公允价值计量</w:t>
      </w:r>
      <w:r>
        <w:rPr>
          <w:w w:val="100"/>
        </w:rPr>
        <w:t> </w:t>
      </w:r>
      <w:r>
        <w:rPr>
          <w:spacing w:val="-2"/>
        </w:rPr>
        <w:t>本公司因处置部分股权投资等原因丧失了对被投资单位的共同控制或重大影响的，处置后的</w:t>
      </w:r>
    </w:p>
    <w:p>
      <w:pPr>
        <w:pStyle w:val="BodyText"/>
        <w:spacing w:line="338" w:lineRule="auto" w:before="49"/>
        <w:ind w:left="138" w:right="208"/>
        <w:jc w:val="both"/>
      </w:pPr>
      <w:r>
        <w:rPr>
          <w:spacing w:val="-4"/>
        </w:rPr>
        <w:t>剩余股权改按《企业会计准则第 </w:t>
      </w:r>
      <w:r>
        <w:rPr>
          <w:rFonts w:ascii="Times New Roman" w:hAnsi="Times New Roman" w:cs="Times New Roman" w:eastAsia="Times New Roman" w:hint="default"/>
        </w:rPr>
        <w:t>22 </w:t>
      </w:r>
      <w:r>
        <w:rPr>
          <w:spacing w:val="-4"/>
        </w:rPr>
        <w:t>号——金融工具确认和计量》核算，其在丧失共同控制或重大</w:t>
      </w:r>
      <w:r>
        <w:rPr>
          <w:spacing w:val="-93"/>
        </w:rPr>
        <w:t> </w:t>
      </w:r>
      <w:r>
        <w:rPr>
          <w:spacing w:val="-93"/>
        </w:rPr>
      </w:r>
      <w:r>
        <w:rPr/>
        <w:t>影响之日的公允价值与账面价值之间的差额计入当期损益。</w:t>
      </w:r>
    </w:p>
    <w:p>
      <w:pPr>
        <w:pStyle w:val="BodyText"/>
        <w:spacing w:line="355" w:lineRule="auto" w:before="47"/>
        <w:ind w:left="138" w:right="217" w:firstLine="419"/>
        <w:jc w:val="both"/>
      </w:pPr>
      <w:r>
        <w:rPr>
          <w:spacing w:val="-2"/>
        </w:rPr>
        <w:t>原股权投资因采用权益法核算而确认的其他综合收益，在终止采用权益法核算时采用与被投</w:t>
      </w:r>
      <w:r>
        <w:rPr>
          <w:w w:val="100"/>
        </w:rPr>
        <w:t> </w:t>
      </w:r>
      <w:r>
        <w:rPr/>
        <w:t>资单位直接处置相关资产或负债相同的基础进行会计处理。</w:t>
      </w:r>
    </w:p>
    <w:p>
      <w:pPr>
        <w:pStyle w:val="BodyText"/>
        <w:tabs>
          <w:tab w:pos="1397" w:val="left" w:leader="none"/>
        </w:tabs>
        <w:spacing w:line="336" w:lineRule="auto" w:before="32"/>
        <w:ind w:left="558" w:right="102"/>
        <w:jc w:val="left"/>
      </w:pPr>
      <w:r>
        <w:rPr/>
        <w:t>（</w:t>
      </w:r>
      <w:r>
        <w:rPr>
          <w:rFonts w:ascii="Times New Roman" w:hAnsi="Times New Roman" w:cs="Times New Roman" w:eastAsia="Times New Roman" w:hint="default"/>
        </w:rPr>
        <w:t>4</w:t>
      </w:r>
      <w:r>
        <w:rPr/>
        <w:t>）</w:t>
        <w:tab/>
        <w:t>成本法转权益法</w:t>
      </w:r>
      <w:r>
        <w:rPr>
          <w:spacing w:val="-103"/>
        </w:rPr>
        <w:t> </w:t>
      </w:r>
      <w:r>
        <w:rPr>
          <w:spacing w:val="-103"/>
        </w:rPr>
      </w:r>
      <w:r>
        <w:rPr>
          <w:spacing w:val="-4"/>
          <w:w w:val="100"/>
        </w:rPr>
        <w:t>本公司因处置部分权益性投资等原因丧失了对被投资单位的控制的，在编制个别财务报表时，</w:t>
      </w:r>
    </w:p>
    <w:p>
      <w:pPr>
        <w:pStyle w:val="BodyText"/>
        <w:spacing w:line="355" w:lineRule="auto" w:before="51"/>
        <w:ind w:left="138" w:right="217"/>
        <w:jc w:val="both"/>
      </w:pPr>
      <w:r>
        <w:rPr>
          <w:spacing w:val="-2"/>
        </w:rPr>
        <w:t>处置后的剩余股权能够对被投资单位实施共同控制或施加重大影响的，改按权益法核算，并对该</w:t>
      </w:r>
      <w:r>
        <w:rPr>
          <w:spacing w:val="-25"/>
        </w:rPr>
        <w:t> </w:t>
      </w:r>
      <w:r>
        <w:rPr>
          <w:spacing w:val="-25"/>
        </w:rPr>
      </w:r>
      <w:r>
        <w:rPr/>
        <w:t>剩余股权视同自取得时即采用权益法核算进行调整。</w:t>
      </w:r>
    </w:p>
    <w:p>
      <w:pPr>
        <w:pStyle w:val="BodyText"/>
        <w:tabs>
          <w:tab w:pos="1397" w:val="left" w:leader="none"/>
        </w:tabs>
        <w:spacing w:line="336" w:lineRule="auto" w:before="32"/>
        <w:ind w:left="558" w:right="102"/>
        <w:jc w:val="left"/>
      </w:pPr>
      <w:r>
        <w:rPr/>
        <w:t>（</w:t>
      </w:r>
      <w:r>
        <w:rPr>
          <w:rFonts w:ascii="Times New Roman" w:hAnsi="Times New Roman" w:cs="Times New Roman" w:eastAsia="Times New Roman" w:hint="default"/>
        </w:rPr>
        <w:t>5</w:t>
      </w:r>
      <w:r>
        <w:rPr/>
        <w:t>）</w:t>
        <w:tab/>
        <w:t>成本法转公允价值计量</w:t>
      </w:r>
      <w:r>
        <w:rPr>
          <w:w w:val="100"/>
        </w:rPr>
        <w:t> </w:t>
      </w:r>
      <w:r>
        <w:rPr>
          <w:spacing w:val="-4"/>
          <w:w w:val="100"/>
        </w:rPr>
        <w:t>本公司因处置部分权益性投资等原因丧失了对被投资单位的控制的，在编制个别财务报表时，</w:t>
      </w:r>
    </w:p>
    <w:p>
      <w:pPr>
        <w:pStyle w:val="BodyText"/>
        <w:spacing w:line="345" w:lineRule="auto" w:before="52"/>
        <w:ind w:left="138" w:right="208"/>
        <w:jc w:val="both"/>
      </w:pPr>
      <w:r>
        <w:rPr>
          <w:spacing w:val="-3"/>
        </w:rPr>
        <w:t>处置后的剩余股权不能对被投资单位实施共同控制或施加重大影响的，改按《企业会计准则第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spacing w:val="-2"/>
        </w:rPr>
        <w:t>号——金融工具确认和计量》的有关规定进行会计处理，其在丧失控制之日的公允价值与账面价</w:t>
      </w:r>
      <w:r>
        <w:rPr>
          <w:spacing w:val="-26"/>
        </w:rPr>
        <w:t> </w:t>
      </w:r>
      <w:r>
        <w:rPr>
          <w:spacing w:val="-26"/>
        </w:rPr>
      </w:r>
      <w:r>
        <w:rPr/>
        <w:t>值间的差额计入当期损益。</w:t>
      </w:r>
    </w:p>
    <w:p>
      <w:pPr>
        <w:spacing w:line="336" w:lineRule="auto" w:before="40"/>
        <w:ind w:left="558"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长期股权投资的处置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处置长期股权投资，其账面价值与实际取得价款之间的差额，应当计入当期损益。采用权益</w:t>
      </w:r>
    </w:p>
    <w:p>
      <w:pPr>
        <w:pStyle w:val="BodyText"/>
        <w:spacing w:line="355" w:lineRule="auto" w:before="51"/>
        <w:ind w:left="138" w:right="217"/>
        <w:jc w:val="both"/>
      </w:pPr>
      <w:r>
        <w:rPr>
          <w:spacing w:val="-2"/>
        </w:rPr>
        <w:t>法核算的长期股权投资，在处置该项投资时，采用与被投资单位直接处置相关资产或负债相同的</w:t>
      </w:r>
      <w:r>
        <w:rPr>
          <w:spacing w:val="-25"/>
        </w:rPr>
        <w:t> </w:t>
      </w:r>
      <w:r>
        <w:rPr>
          <w:spacing w:val="-25"/>
        </w:rPr>
      </w:r>
      <w:r>
        <w:rPr/>
        <w:t>基础，按相应比例对原计入其他综合收益的部分进行会计处理。</w:t>
      </w:r>
    </w:p>
    <w:p>
      <w:pPr>
        <w:pStyle w:val="BodyText"/>
        <w:spacing w:line="357" w:lineRule="auto" w:before="32"/>
        <w:ind w:left="138" w:right="218" w:firstLine="419"/>
        <w:jc w:val="both"/>
      </w:pPr>
      <w:r>
        <w:rPr>
          <w:spacing w:val="-2"/>
        </w:rPr>
        <w:t>处置对子公司股权投资的各项交易的条款、条件以及经济影响符合以下一种或多种情况，将</w:t>
      </w:r>
      <w:r>
        <w:rPr>
          <w:w w:val="100"/>
        </w:rPr>
        <w:t> </w:t>
      </w:r>
      <w:r>
        <w:rPr/>
        <w:t>多次交易事项作为一揽子交易进行会计处理：</w:t>
      </w:r>
    </w:p>
    <w:p>
      <w:pPr>
        <w:pStyle w:val="BodyText"/>
        <w:tabs>
          <w:tab w:pos="1397" w:val="left" w:leader="none"/>
        </w:tabs>
        <w:spacing w:line="240" w:lineRule="auto" w:before="32"/>
        <w:ind w:left="558" w:right="106"/>
        <w:jc w:val="left"/>
      </w:pPr>
      <w:r>
        <w:rPr/>
        <w:t>（</w:t>
      </w:r>
      <w:r>
        <w:rPr>
          <w:rFonts w:ascii="Times New Roman" w:hAnsi="Times New Roman" w:cs="Times New Roman" w:eastAsia="Times New Roman" w:hint="default"/>
        </w:rPr>
        <w:t>1</w:t>
      </w:r>
      <w:r>
        <w:rPr/>
        <w:t>）</w:t>
        <w:tab/>
        <w:t>这些交易是同时或者在考虑了彼此影响的情况下订立的；</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tabs>
          <w:tab w:pos="1397" w:val="left" w:leader="none"/>
        </w:tabs>
        <w:spacing w:line="240" w:lineRule="auto" w:before="36"/>
        <w:ind w:left="558" w:right="106"/>
        <w:jc w:val="left"/>
      </w:pPr>
      <w:r>
        <w:rPr/>
        <w:t>（</w:t>
      </w:r>
      <w:r>
        <w:rPr>
          <w:rFonts w:ascii="Times New Roman" w:hAnsi="Times New Roman" w:cs="Times New Roman" w:eastAsia="Times New Roman" w:hint="default"/>
        </w:rPr>
        <w:t>2</w:t>
      </w:r>
      <w:r>
        <w:rPr/>
        <w:t>）</w:t>
        <w:tab/>
        <w:t>这些交易整体才能达成一项完整的商业结果；</w:t>
      </w:r>
    </w:p>
    <w:p>
      <w:pPr>
        <w:pStyle w:val="BodyText"/>
        <w:tabs>
          <w:tab w:pos="1397" w:val="left" w:leader="none"/>
        </w:tabs>
        <w:spacing w:line="240" w:lineRule="auto" w:before="119"/>
        <w:ind w:left="558" w:right="106"/>
        <w:jc w:val="left"/>
      </w:pPr>
      <w:r>
        <w:rPr/>
        <w:t>（</w:t>
      </w:r>
      <w:r>
        <w:rPr>
          <w:rFonts w:ascii="Times New Roman" w:hAnsi="Times New Roman" w:cs="Times New Roman" w:eastAsia="Times New Roman" w:hint="default"/>
        </w:rPr>
        <w:t>3</w:t>
      </w:r>
      <w:r>
        <w:rPr/>
        <w:t>）</w:t>
        <w:tab/>
        <w:t>一项交易的发生取决于其他至少一项交易的发生；</w:t>
      </w:r>
    </w:p>
    <w:p>
      <w:pPr>
        <w:pStyle w:val="BodyText"/>
        <w:tabs>
          <w:tab w:pos="1397" w:val="left" w:leader="none"/>
        </w:tabs>
        <w:spacing w:line="336" w:lineRule="auto" w:before="117"/>
        <w:ind w:left="558" w:right="266"/>
        <w:jc w:val="left"/>
      </w:pPr>
      <w:r>
        <w:rPr/>
        <w:t>（</w:t>
      </w:r>
      <w:r>
        <w:rPr>
          <w:rFonts w:ascii="Times New Roman" w:hAnsi="Times New Roman" w:cs="Times New Roman" w:eastAsia="Times New Roman" w:hint="default"/>
        </w:rPr>
        <w:t>4</w:t>
      </w:r>
      <w:r>
        <w:rPr/>
        <w:t>）</w:t>
        <w:tab/>
        <w:t>一项交易单独看是不经济的，但是和其他交易一并考虑时是经济的。</w:t>
      </w:r>
      <w:r>
        <w:rPr>
          <w:w w:val="100"/>
        </w:rPr>
        <w:t> </w:t>
      </w:r>
      <w:r>
        <w:rPr>
          <w:spacing w:val="-2"/>
        </w:rPr>
        <w:t>因处置部分股权投资或其他原因丧失了对原有子公司控制权的，不属于一揽子交易的，区分</w:t>
      </w:r>
    </w:p>
    <w:p>
      <w:pPr>
        <w:pStyle w:val="BodyText"/>
        <w:spacing w:line="240" w:lineRule="auto" w:before="49"/>
        <w:ind w:left="138" w:right="106"/>
        <w:jc w:val="left"/>
      </w:pPr>
      <w:r>
        <w:rPr/>
        <w:t>个别财务报表和合并财务报表进行相关会计处理：</w:t>
      </w:r>
    </w:p>
    <w:p>
      <w:pPr>
        <w:pStyle w:val="BodyText"/>
        <w:spacing w:line="352" w:lineRule="auto" w:before="133"/>
        <w:ind w:left="138" w:right="208" w:firstLine="419"/>
        <w:jc w:val="both"/>
      </w:pPr>
      <w:r>
        <w:rPr>
          <w:spacing w:val="-4"/>
        </w:rPr>
        <w:t>（</w:t>
      </w:r>
      <w:r>
        <w:rPr>
          <w:rFonts w:ascii="Times New Roman" w:hAnsi="Times New Roman" w:cs="Times New Roman" w:eastAsia="Times New Roman" w:hint="default"/>
          <w:spacing w:val="-4"/>
        </w:rPr>
        <w:t>1</w:t>
      </w:r>
      <w:r>
        <w:rPr>
          <w:spacing w:val="-4"/>
        </w:rPr>
        <w:t>）在个别财务报表中，对于处置的股权，其账面价值与实际取得价款之间的差额计入当期</w:t>
      </w:r>
      <w:r>
        <w:rPr>
          <w:w w:val="100"/>
        </w:rPr>
        <w:t> </w:t>
      </w:r>
      <w:r>
        <w:rPr>
          <w:spacing w:val="-2"/>
        </w:rPr>
        <w:t>损益。处置后的剩余股权能够对被投资单位实施共同控制或施加重大影响的，改按权益法核算，</w:t>
      </w:r>
      <w:r>
        <w:rPr>
          <w:spacing w:val="-25"/>
        </w:rPr>
        <w:t> </w:t>
      </w:r>
      <w:r>
        <w:rPr>
          <w:spacing w:val="-25"/>
        </w:rPr>
      </w:r>
      <w:r>
        <w:rPr>
          <w:spacing w:val="-2"/>
        </w:rPr>
        <w:t>并对该剩余股权视同自取得时即采用权益法核算进行调整；处置后的剩余股权不能对被投资单位</w:t>
      </w:r>
      <w:r>
        <w:rPr>
          <w:spacing w:val="-25"/>
        </w:rPr>
        <w:t> </w:t>
      </w:r>
      <w:r>
        <w:rPr>
          <w:spacing w:val="-25"/>
        </w:rPr>
      </w:r>
      <w:r>
        <w:rPr>
          <w:spacing w:val="-4"/>
        </w:rPr>
        <w:t>实施共同控制或施加重大影响的，改按《企业会计准则第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p>
    <w:p>
      <w:pPr>
        <w:pStyle w:val="BodyText"/>
        <w:spacing w:line="352" w:lineRule="auto" w:before="37"/>
        <w:ind w:left="138" w:right="208" w:firstLine="419"/>
        <w:jc w:val="both"/>
      </w:pPr>
      <w:r>
        <w:rPr>
          <w:spacing w:val="-4"/>
        </w:rPr>
        <w:t>（</w:t>
      </w:r>
      <w:r>
        <w:rPr>
          <w:rFonts w:ascii="Times New Roman" w:hAnsi="Times New Roman" w:cs="Times New Roman" w:eastAsia="Times New Roman" w:hint="default"/>
          <w:spacing w:val="-4"/>
        </w:rPr>
        <w:t>2</w:t>
      </w:r>
      <w:r>
        <w:rPr>
          <w:spacing w:val="-4"/>
        </w:rPr>
        <w:t>）在合并财务报表中，对于在丧失对子公司控制权以前的各项交易，处置价款与处置长期</w:t>
      </w:r>
      <w:r>
        <w:rPr>
          <w:w w:val="100"/>
        </w:rPr>
        <w:t> </w:t>
      </w:r>
      <w:r>
        <w:rPr>
          <w:spacing w:val="-2"/>
        </w:rPr>
        <w:t>股权投资相应对享有子公司自购买日或合并日开始持续计算的净资产份额之间的差额，调整资本</w:t>
      </w:r>
      <w:r>
        <w:rPr>
          <w:spacing w:val="-25"/>
        </w:rPr>
        <w:t> </w:t>
      </w:r>
      <w:r>
        <w:rPr>
          <w:spacing w:val="-25"/>
        </w:rPr>
      </w:r>
      <w:r>
        <w:rPr>
          <w:spacing w:val="-6"/>
          <w:w w:val="100"/>
        </w:rPr>
        <w:t>公积（股本溢价），资本公积不足冲减的，调整留存收益；在丧失对子公司控制权时，对于剩余股</w:t>
      </w:r>
      <w:r>
        <w:rPr>
          <w:w w:val="100"/>
        </w:rPr>
        <w:t> </w:t>
      </w:r>
      <w:r>
        <w:rPr>
          <w:spacing w:val="-2"/>
        </w:rPr>
        <w:t>权，按照其在丧失控制权日的公允价值进行重新计量。处置股权取得的对价与剩余股权公允价值</w:t>
      </w:r>
      <w:r>
        <w:rPr>
          <w:spacing w:val="-25"/>
        </w:rPr>
        <w:t> </w:t>
      </w:r>
      <w:r>
        <w:rPr>
          <w:spacing w:val="-25"/>
        </w:rPr>
      </w:r>
      <w:r>
        <w:rPr>
          <w:spacing w:val="-2"/>
        </w:rPr>
        <w:t>之和，减去按原持股比例计算应享有原有子公司自购买日开始持续计算的净资产的份额之间的差</w:t>
      </w:r>
      <w:r>
        <w:rPr>
          <w:spacing w:val="-25"/>
        </w:rPr>
        <w:t> </w:t>
      </w:r>
      <w:r>
        <w:rPr>
          <w:spacing w:val="-25"/>
        </w:rPr>
      </w:r>
      <w:r>
        <w:rPr>
          <w:spacing w:val="-2"/>
        </w:rPr>
        <w:t>额，计入丧失控制权当期的投资收益，同时冲减商誉。与原有子公司股权投资相关的其他综合收</w:t>
      </w:r>
      <w:r>
        <w:rPr>
          <w:spacing w:val="-25"/>
        </w:rPr>
        <w:t> </w:t>
      </w:r>
      <w:r>
        <w:rPr>
          <w:spacing w:val="-25"/>
        </w:rPr>
      </w:r>
      <w:r>
        <w:rPr/>
        <w:t>益等，在丧失控制权时转为当期投资收益。</w:t>
      </w:r>
    </w:p>
    <w:p>
      <w:pPr>
        <w:pStyle w:val="BodyText"/>
        <w:spacing w:line="355" w:lineRule="auto" w:before="34"/>
        <w:ind w:left="138" w:right="217" w:firstLine="419"/>
        <w:jc w:val="both"/>
      </w:pPr>
      <w:r>
        <w:rPr>
          <w:spacing w:val="-2"/>
        </w:rPr>
        <w:t>处置对子公司股权投资直至丧失控制权的各项交易属于一揽子交易的，将各项交易作为一项</w:t>
      </w:r>
      <w:r>
        <w:rPr>
          <w:w w:val="100"/>
        </w:rPr>
        <w:t> </w:t>
      </w:r>
      <w:r>
        <w:rPr>
          <w:spacing w:val="-2"/>
        </w:rPr>
        <w:t>处置子公司股权投资并丧失控制权的交易进行会计处理，区分个别财务报表和合并财务报表进行</w:t>
      </w:r>
      <w:r>
        <w:rPr>
          <w:spacing w:val="-25"/>
        </w:rPr>
        <w:t> </w:t>
      </w:r>
      <w:r>
        <w:rPr>
          <w:spacing w:val="-25"/>
        </w:rPr>
      </w:r>
      <w:r>
        <w:rPr/>
        <w:t>相关会计处理：</w:t>
      </w:r>
    </w:p>
    <w:p>
      <w:pPr>
        <w:pStyle w:val="BodyText"/>
        <w:spacing w:line="336" w:lineRule="auto" w:before="34"/>
        <w:ind w:left="138" w:right="208" w:firstLine="419"/>
        <w:jc w:val="both"/>
      </w:pPr>
      <w:r>
        <w:rPr>
          <w:spacing w:val="-4"/>
        </w:rPr>
        <w:t>（</w:t>
      </w:r>
      <w:r>
        <w:rPr>
          <w:rFonts w:ascii="Times New Roman" w:hAnsi="Times New Roman" w:cs="Times New Roman" w:eastAsia="Times New Roman" w:hint="default"/>
          <w:spacing w:val="-4"/>
        </w:rPr>
        <w:t>1</w:t>
      </w:r>
      <w:r>
        <w:rPr>
          <w:spacing w:val="-4"/>
        </w:rPr>
        <w:t>）在个别财务报表中，在丧失控制权之前每一次处置价款与处置的股权对应的长期股权投</w:t>
      </w:r>
      <w:r>
        <w:rPr>
          <w:w w:val="100"/>
        </w:rPr>
        <w:t> </w:t>
      </w:r>
      <w:r>
        <w:rPr>
          <w:spacing w:val="-6"/>
          <w:w w:val="100"/>
        </w:rPr>
        <w:t>资账面价值之间的差额，确认为其他综合收益，在丧失控制权时一并转入丧失控制权当期的损益。</w:t>
      </w:r>
    </w:p>
    <w:p>
      <w:pPr>
        <w:pStyle w:val="BodyText"/>
        <w:spacing w:line="336" w:lineRule="auto" w:before="49"/>
        <w:ind w:left="138" w:right="208" w:firstLine="419"/>
        <w:jc w:val="both"/>
      </w:pPr>
      <w:r>
        <w:rPr>
          <w:spacing w:val="-4"/>
        </w:rPr>
        <w:t>（</w:t>
      </w:r>
      <w:r>
        <w:rPr>
          <w:rFonts w:ascii="Times New Roman" w:hAnsi="Times New Roman" w:cs="Times New Roman" w:eastAsia="Times New Roman"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p>
    <w:p>
      <w:pPr>
        <w:spacing w:line="336" w:lineRule="auto" w:before="52"/>
        <w:ind w:left="558"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w:t>
      </w:r>
    </w:p>
    <w:p>
      <w:pPr>
        <w:pStyle w:val="BodyText"/>
        <w:spacing w:line="355" w:lineRule="auto" w:before="49"/>
        <w:ind w:left="138" w:right="106"/>
        <w:jc w:val="left"/>
      </w:pPr>
      <w:r>
        <w:rPr>
          <w:spacing w:val="-2"/>
        </w:rPr>
        <w:t>的活动决策，需要经过分享控制权的参与方一致同意时才存在，则视为本公司与其他参与方共同</w:t>
      </w:r>
      <w:r>
        <w:rPr>
          <w:spacing w:val="-25"/>
        </w:rPr>
        <w:t> </w:t>
      </w:r>
      <w:r>
        <w:rPr>
          <w:spacing w:val="-25"/>
        </w:rPr>
      </w:r>
      <w:r>
        <w:rPr/>
        <w:t>控制某项安排，该安排即属于合营安排。</w:t>
      </w:r>
    </w:p>
    <w:p>
      <w:pPr>
        <w:pStyle w:val="BodyText"/>
        <w:spacing w:line="357" w:lineRule="auto" w:before="32"/>
        <w:ind w:left="138" w:right="0" w:firstLine="419"/>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w w:val="100"/>
        </w:rPr>
        <w:t> </w:t>
      </w:r>
      <w:r>
        <w:rPr/>
        <w:t>净资产享有权利时，该单独主体作为共同经营，本公司确认与共同经营利益份额相关的项目，并</w:t>
      </w:r>
      <w:r>
        <w:rPr>
          <w:w w:val="100"/>
        </w:rPr>
        <w:t> </w:t>
      </w:r>
      <w:r>
        <w:rPr/>
        <w:t>按照相关企业会计准则的规定进行会计处理。</w:t>
      </w:r>
    </w:p>
    <w:p>
      <w:pPr>
        <w:pStyle w:val="BodyText"/>
        <w:spacing w:line="240" w:lineRule="auto" w:before="30"/>
        <w:ind w:left="138" w:right="106"/>
        <w:jc w:val="left"/>
      </w:pPr>
      <w:r>
        <w:rPr>
          <w:spacing w:val="-2"/>
        </w:rPr>
        <w:t>重大影响，是指投资方对被投资单位的财务和经营政策有参与决策的权力，但并不能够控制或者</w:t>
      </w:r>
      <w:r>
        <w:rPr>
          <w:spacing w:val="-25"/>
        </w:rPr>
        <w:t> </w:t>
      </w:r>
      <w:r>
        <w:rPr>
          <w:spacing w:val="-25"/>
        </w:rPr>
      </w:r>
      <w:r>
        <w:rPr>
          <w:spacing w:val="-2"/>
        </w:rPr>
        <w:t>与其他方一起共同控制这些政策的制定。本公司通过以下一种或多种情形，并综合考虑所有事实</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62"/>
        <w:ind w:right="97"/>
        <w:jc w:val="left"/>
      </w:pPr>
      <w:r>
        <w:rPr>
          <w:spacing w:val="-4"/>
        </w:rPr>
        <w:t>和情况后，判断对被投资单位具有重大影响。（</w:t>
      </w:r>
      <w:r>
        <w:rPr>
          <w:rFonts w:ascii="Times New Roman" w:hAnsi="Times New Roman" w:cs="Times New Roman" w:eastAsia="Times New Roman" w:hint="default"/>
          <w:spacing w:val="-4"/>
        </w:rPr>
        <w:t>1</w:t>
      </w:r>
      <w:r>
        <w:rPr>
          <w:spacing w:val="-4"/>
        </w:rPr>
        <w:t>）在被投资单位的董事会或类似权力机构中派有</w:t>
      </w:r>
      <w:r>
        <w:rPr>
          <w:spacing w:val="-33"/>
        </w:rPr>
        <w:t> </w:t>
      </w:r>
      <w:r>
        <w:rPr>
          <w:spacing w:val="-33"/>
        </w:rPr>
      </w:r>
      <w:r>
        <w:rPr>
          <w:spacing w:val="-2"/>
        </w:rPr>
        <w:t>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）与被投资单位之间发生重要交易；</w:t>
      </w:r>
    </w:p>
    <w:p>
      <w:pPr>
        <w:pStyle w:val="BodyText"/>
        <w:spacing w:line="262" w:lineRule="exact"/>
        <w:ind w:right="97"/>
        <w:jc w:val="left"/>
      </w:pPr>
      <w:r>
        <w:rPr/>
        <w:t>（</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24"/>
          <w:szCs w:val="24"/>
        </w:rPr>
      </w:pPr>
    </w:p>
    <w:p>
      <w:pPr>
        <w:pStyle w:val="Heading4"/>
        <w:spacing w:line="290" w:lineRule="auto"/>
        <w:ind w:right="7779"/>
        <w:jc w:val="left"/>
        <w:rPr>
          <w:b w:val="0"/>
          <w:bCs w:val="0"/>
        </w:rPr>
      </w:pPr>
      <w:r>
        <w:rPr>
          <w:rFonts w:ascii="宋体" w:hAnsi="宋体" w:cs="宋体" w:eastAsia="宋体" w:hint="default"/>
        </w:rPr>
        <w:t>15.</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38" w:right="97" w:hanging="420"/>
        <w:jc w:val="left"/>
      </w:pPr>
      <w:r>
        <w:rPr/>
        <w:t>√适用</w:t>
      </w:r>
      <w:r>
        <w:rPr>
          <w:spacing w:val="-2"/>
        </w:rPr>
        <w:t> </w:t>
      </w:r>
      <w:r>
        <w:rPr/>
        <w:t>□不适用</w:t>
      </w:r>
      <w:r>
        <w:rPr>
          <w:w w:val="100"/>
        </w:rPr>
        <w:t> </w:t>
      </w:r>
      <w:r>
        <w:rPr>
          <w:spacing w:val="-2"/>
        </w:rPr>
        <w:t>固定资产指为生产商品、提供劳务、出租或经营管理而持有，并且使用寿命超过一个会计年</w:t>
      </w:r>
    </w:p>
    <w:p>
      <w:pPr>
        <w:pStyle w:val="BodyText"/>
        <w:spacing w:line="240" w:lineRule="auto" w:before="133"/>
        <w:ind w:right="2465"/>
        <w:jc w:val="left"/>
      </w:pPr>
      <w:r>
        <w:rPr/>
        <w:t>度的有形资产。固定资产在同时满足下列条件时予以确认：</w:t>
      </w:r>
    </w:p>
    <w:p>
      <w:pPr>
        <w:pStyle w:val="BodyText"/>
        <w:spacing w:line="240" w:lineRule="auto" w:before="133"/>
        <w:ind w:left="638" w:right="2465"/>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338" w:lineRule="auto" w:before="118"/>
        <w:ind w:left="638" w:right="2465"/>
        <w:jc w:val="left"/>
      </w:pPr>
      <w:r>
        <w:rPr>
          <w:spacing w:val="-2"/>
        </w:rPr>
        <w:t>（</w:t>
      </w:r>
      <w:r>
        <w:rPr>
          <w:rFonts w:ascii="Times New Roman" w:hAnsi="Times New Roman" w:cs="Times New Roman" w:eastAsia="Times New Roman" w:hint="default"/>
          <w:spacing w:val="-2"/>
        </w:rPr>
        <w:t>2</w:t>
      </w:r>
      <w:r>
        <w:rPr>
          <w:spacing w:val="-2"/>
        </w:rPr>
        <w:t>）该固定资产的成本能够可靠地计量。</w:t>
      </w:r>
      <w:r>
        <w:rPr>
          <w:spacing w:val="-69"/>
        </w:rPr>
        <w:t> </w:t>
      </w:r>
      <w:r>
        <w:rPr>
          <w:spacing w:val="-69"/>
        </w:rPr>
      </w:r>
      <w:r>
        <w:rPr/>
        <w:t>本公司固定资产按成本进行初始计量。</w:t>
      </w:r>
    </w:p>
    <w:p>
      <w:pPr>
        <w:pStyle w:val="BodyText"/>
        <w:spacing w:line="355" w:lineRule="auto" w:before="47"/>
        <w:ind w:right="238" w:firstLine="419"/>
        <w:jc w:val="both"/>
      </w:pPr>
      <w:r>
        <w:rPr/>
        <w:t>（</w:t>
      </w:r>
      <w:r>
        <w:rPr>
          <w:rFonts w:ascii="宋体" w:hAnsi="宋体" w:cs="宋体" w:eastAsia="宋体" w:hint="default"/>
        </w:rPr>
        <w:t>1</w:t>
      </w:r>
      <w:r>
        <w:rPr/>
        <w:t>）</w:t>
      </w:r>
      <w:r>
        <w:rPr>
          <w:spacing w:val="103"/>
        </w:rPr>
        <w:t> </w:t>
      </w:r>
      <w:r>
        <w:rPr/>
        <w:t>外购的固定资产的成本包括买价、进口关税等相关税费，以及为使固定资产达到预</w:t>
      </w:r>
      <w:r>
        <w:rPr>
          <w:w w:val="100"/>
        </w:rPr>
        <w:t> </w:t>
      </w:r>
      <w:r>
        <w:rPr/>
        <w:t>定可使用状态前所发生的可直接归属于该资产的其他支出。</w:t>
      </w:r>
    </w:p>
    <w:p>
      <w:pPr>
        <w:pStyle w:val="BodyText"/>
        <w:spacing w:line="355" w:lineRule="auto" w:before="32"/>
        <w:ind w:right="237" w:firstLine="419"/>
        <w:jc w:val="both"/>
      </w:pPr>
      <w:r>
        <w:rPr/>
        <w:t>（</w:t>
      </w:r>
      <w:r>
        <w:rPr>
          <w:rFonts w:ascii="宋体" w:hAnsi="宋体" w:cs="宋体" w:eastAsia="宋体" w:hint="default"/>
        </w:rPr>
        <w:t>2</w:t>
      </w:r>
      <w:r>
        <w:rPr/>
        <w:t>）</w:t>
      </w:r>
      <w:r>
        <w:rPr>
          <w:spacing w:val="103"/>
        </w:rPr>
        <w:t> </w:t>
      </w:r>
      <w:r>
        <w:rPr/>
        <w:t>自行建造固定资产的成本，由建造该项资产达到预定可使用状态前所发生的必要支</w:t>
      </w:r>
      <w:r>
        <w:rPr>
          <w:w w:val="100"/>
        </w:rPr>
        <w:t> </w:t>
      </w:r>
      <w:r>
        <w:rPr/>
        <w:t>出构成。</w:t>
      </w:r>
    </w:p>
    <w:p>
      <w:pPr>
        <w:pStyle w:val="BodyText"/>
        <w:spacing w:line="355" w:lineRule="auto" w:before="34"/>
        <w:ind w:right="238" w:firstLine="419"/>
        <w:jc w:val="both"/>
      </w:pPr>
      <w:r>
        <w:rPr/>
        <w:t>（</w:t>
      </w:r>
      <w:r>
        <w:rPr>
          <w:rFonts w:ascii="宋体" w:hAnsi="宋体" w:cs="宋体" w:eastAsia="宋体" w:hint="default"/>
        </w:rPr>
        <w:t>3</w:t>
      </w:r>
      <w:r>
        <w:rPr/>
        <w:t>）</w:t>
      </w:r>
      <w:r>
        <w:rPr>
          <w:spacing w:val="103"/>
        </w:rPr>
        <w:t> </w:t>
      </w:r>
      <w:r>
        <w:rPr/>
        <w:t>投资者投入的固定资产，按投资合同或协议约定的价值作为入账价值，但合同或协</w:t>
      </w:r>
      <w:r>
        <w:rPr>
          <w:w w:val="100"/>
        </w:rPr>
        <w:t> </w:t>
      </w:r>
      <w:r>
        <w:rPr/>
        <w:t>议约定价值不公允的按公允价值入账。</w:t>
      </w:r>
    </w:p>
    <w:p>
      <w:pPr>
        <w:pStyle w:val="BodyText"/>
        <w:spacing w:line="348" w:lineRule="auto" w:before="32"/>
        <w:ind w:right="237" w:firstLine="419"/>
        <w:jc w:val="both"/>
      </w:pPr>
      <w:r>
        <w:rPr/>
        <w:t>（</w:t>
      </w:r>
      <w:r>
        <w:rPr>
          <w:rFonts w:ascii="Times New Roman" w:hAnsi="Times New Roman" w:cs="Times New Roman" w:eastAsia="Times New Roman" w:hint="default"/>
        </w:rPr>
        <w:t>4</w:t>
      </w:r>
      <w:r>
        <w:rPr/>
        <w:t>）</w:t>
      </w:r>
      <w:r>
        <w:rPr>
          <w:spacing w:val="103"/>
        </w:rPr>
        <w:t> </w:t>
      </w:r>
      <w:r>
        <w:rPr/>
        <w:t>购买固定资产的价款超过正常信用条件延期支付，实质上具有融资性质的，固定资</w:t>
      </w:r>
      <w:r>
        <w:rPr>
          <w:w w:val="100"/>
        </w:rPr>
        <w:t> </w:t>
      </w:r>
      <w:r>
        <w:rPr>
          <w:spacing w:val="-2"/>
        </w:rPr>
        <w:t>产的成本以购买价款的现值为基础确定。实际支付的价款与购买价款的现值之间的差额，除应予</w:t>
      </w:r>
      <w:r>
        <w:rPr>
          <w:spacing w:val="-25"/>
        </w:rPr>
        <w:t> </w:t>
      </w:r>
      <w:r>
        <w:rPr>
          <w:spacing w:val="-25"/>
        </w:rPr>
      </w:r>
      <w:r>
        <w:rPr/>
        <w:t>资本化的以外，在信用期间内计入当期损益。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4"/>
        <w:spacing w:line="240" w:lineRule="auto"/>
        <w:ind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4.75-2.38%</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9.50-5.94%</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19.00-11.88%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31.67-19.00%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before="36"/>
        <w:ind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72" w:lineRule="exact" w:before="86"/>
        <w:ind w:left="638" w:right="97" w:hanging="420"/>
        <w:jc w:val="left"/>
      </w:pPr>
      <w:r>
        <w:rPr/>
        <w:t>√适用</w:t>
      </w:r>
      <w:r>
        <w:rPr>
          <w:spacing w:val="-2"/>
        </w:rPr>
        <w:t> </w:t>
      </w:r>
      <w:r>
        <w:rPr/>
        <w:t>□不适用</w:t>
      </w:r>
      <w:r>
        <w:rPr>
          <w:w w:val="100"/>
        </w:rPr>
        <w:t> </w:t>
      </w:r>
      <w:r>
        <w:rPr>
          <w:spacing w:val="-2"/>
        </w:rPr>
        <w:t>当本公司租入的固定资产符合下列一项或数项标准时，确认为融资租入固定资产：</w:t>
      </w:r>
    </w:p>
    <w:p>
      <w:pPr>
        <w:pStyle w:val="BodyText"/>
        <w:spacing w:line="240" w:lineRule="auto" w:before="108"/>
        <w:ind w:left="638" w:right="2465"/>
        <w:jc w:val="left"/>
      </w:pPr>
      <w:r>
        <w:rPr/>
        <w:t>（</w:t>
      </w:r>
      <w:r>
        <w:rPr>
          <w:rFonts w:ascii="Arial Narrow" w:hAnsi="Arial Narrow" w:cs="Arial Narrow" w:eastAsia="Arial Narrow" w:hint="default"/>
        </w:rPr>
        <w:t>1</w:t>
      </w:r>
      <w:r>
        <w:rPr/>
        <w:t>）在租赁期届满时，租赁资产的所有权转移给本公司。</w:t>
      </w:r>
    </w:p>
    <w:p>
      <w:pPr>
        <w:pStyle w:val="BodyText"/>
        <w:spacing w:line="338" w:lineRule="auto" w:before="121"/>
        <w:ind w:right="97" w:firstLine="419"/>
        <w:jc w:val="left"/>
      </w:pPr>
      <w:r>
        <w:rPr>
          <w:spacing w:val="-4"/>
        </w:rPr>
        <w:t>（</w:t>
      </w:r>
      <w:r>
        <w:rPr>
          <w:rFonts w:ascii="Arial Narrow" w:hAnsi="Arial Narrow" w:cs="Arial Narrow" w:eastAsia="Arial Narrow" w:hint="default"/>
          <w:spacing w:val="-4"/>
        </w:rPr>
        <w:t>2</w:t>
      </w:r>
      <w:r>
        <w:rPr>
          <w:spacing w:val="-4"/>
        </w:rPr>
        <w:t>）本公司有购买租赁资产的选择权，所订立的购买价款预计将远低于行使选择权时租赁资</w:t>
      </w:r>
      <w:r>
        <w:rPr>
          <w:w w:val="100"/>
        </w:rPr>
        <w:t> </w:t>
      </w:r>
      <w:r>
        <w:rPr/>
        <w:t>产的公允价值，因而在租赁开始日就可以合理确定本公司将会行使这种选择权。</w:t>
      </w:r>
    </w:p>
    <w:p>
      <w:pPr>
        <w:spacing w:after="0" w:line="338"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558" w:right="106"/>
        <w:jc w:val="left"/>
      </w:pPr>
      <w:r>
        <w:rPr/>
        <w:t>（</w:t>
      </w:r>
      <w:r>
        <w:rPr>
          <w:rFonts w:ascii="Arial Narrow" w:hAnsi="Arial Narrow" w:cs="Arial Narrow" w:eastAsia="Arial Narrow" w:hint="default"/>
        </w:rPr>
        <w:t>3</w:t>
      </w:r>
      <w:r>
        <w:rPr/>
        <w:t>）即使资产的所有权不转移，但租赁期占租赁资产使用寿命的大部分。</w:t>
      </w:r>
    </w:p>
    <w:p>
      <w:pPr>
        <w:pStyle w:val="BodyText"/>
        <w:spacing w:line="240" w:lineRule="auto" w:before="121"/>
        <w:ind w:left="558" w:right="0"/>
        <w:jc w:val="left"/>
      </w:pPr>
      <w:r>
        <w:rPr>
          <w:w w:val="100"/>
        </w:rPr>
        <w:t>（</w:t>
      </w:r>
      <w:r>
        <w:rPr>
          <w:rFonts w:ascii="Arial Narrow" w:hAnsi="Arial Narrow" w:cs="Arial Narrow" w:eastAsia="Arial Narrow" w:hint="default"/>
          <w:spacing w:val="-1"/>
          <w:w w:val="100"/>
        </w:rPr>
        <w:t>4</w:t>
      </w:r>
      <w:r>
        <w:rPr>
          <w:spacing w:val="-97"/>
          <w:w w:val="100"/>
        </w:rPr>
        <w:t>）</w:t>
      </w:r>
      <w:r>
        <w:rPr>
          <w:w w:val="100"/>
        </w:rPr>
        <w:t>本</w:t>
      </w:r>
      <w:r>
        <w:rPr>
          <w:spacing w:val="-3"/>
          <w:w w:val="100"/>
        </w:rPr>
        <w:t>公</w:t>
      </w:r>
      <w:r>
        <w:rPr>
          <w:w w:val="100"/>
        </w:rPr>
        <w:t>司</w:t>
      </w:r>
      <w:r>
        <w:rPr>
          <w:spacing w:val="-3"/>
          <w:w w:val="100"/>
        </w:rPr>
        <w:t>在</w:t>
      </w:r>
      <w:r>
        <w:rPr>
          <w:w w:val="100"/>
        </w:rPr>
        <w:t>租</w:t>
      </w:r>
      <w:r>
        <w:rPr>
          <w:spacing w:val="-3"/>
          <w:w w:val="100"/>
        </w:rPr>
        <w:t>赁</w:t>
      </w:r>
      <w:r>
        <w:rPr>
          <w:w w:val="100"/>
        </w:rPr>
        <w:t>开</w:t>
      </w:r>
      <w:r>
        <w:rPr>
          <w:spacing w:val="-3"/>
          <w:w w:val="100"/>
        </w:rPr>
        <w:t>始日</w:t>
      </w:r>
      <w:r>
        <w:rPr>
          <w:w w:val="100"/>
        </w:rPr>
        <w:t>的最</w:t>
      </w:r>
      <w:r>
        <w:rPr>
          <w:spacing w:val="-3"/>
          <w:w w:val="100"/>
        </w:rPr>
        <w:t>低</w:t>
      </w:r>
      <w:r>
        <w:rPr>
          <w:w w:val="100"/>
        </w:rPr>
        <w:t>租</w:t>
      </w:r>
      <w:r>
        <w:rPr>
          <w:spacing w:val="-3"/>
          <w:w w:val="100"/>
        </w:rPr>
        <w:t>赁</w:t>
      </w:r>
      <w:r>
        <w:rPr>
          <w:w w:val="100"/>
        </w:rPr>
        <w:t>付</w:t>
      </w:r>
      <w:r>
        <w:rPr>
          <w:spacing w:val="-3"/>
          <w:w w:val="100"/>
        </w:rPr>
        <w:t>款</w:t>
      </w:r>
      <w:r>
        <w:rPr>
          <w:w w:val="100"/>
        </w:rPr>
        <w:t>额</w:t>
      </w:r>
      <w:r>
        <w:rPr>
          <w:spacing w:val="-3"/>
          <w:w w:val="100"/>
        </w:rPr>
        <w:t>现值</w:t>
      </w:r>
      <w:r>
        <w:rPr>
          <w:spacing w:val="-94"/>
          <w:w w:val="100"/>
        </w:rPr>
        <w:t>，</w:t>
      </w:r>
      <w:r>
        <w:rPr>
          <w:spacing w:val="-3"/>
          <w:w w:val="100"/>
        </w:rPr>
        <w:t>几</w:t>
      </w:r>
      <w:r>
        <w:rPr>
          <w:w w:val="100"/>
        </w:rPr>
        <w:t>乎相</w:t>
      </w:r>
      <w:r>
        <w:rPr>
          <w:spacing w:val="-3"/>
          <w:w w:val="100"/>
        </w:rPr>
        <w:t>当</w:t>
      </w:r>
      <w:r>
        <w:rPr>
          <w:w w:val="100"/>
        </w:rPr>
        <w:t>于</w:t>
      </w:r>
      <w:r>
        <w:rPr>
          <w:spacing w:val="-3"/>
          <w:w w:val="100"/>
        </w:rPr>
        <w:t>租</w:t>
      </w:r>
      <w:r>
        <w:rPr>
          <w:w w:val="100"/>
        </w:rPr>
        <w:t>赁</w:t>
      </w:r>
      <w:r>
        <w:rPr>
          <w:spacing w:val="-3"/>
          <w:w w:val="100"/>
        </w:rPr>
        <w:t>开</w:t>
      </w:r>
      <w:r>
        <w:rPr>
          <w:w w:val="100"/>
        </w:rPr>
        <w:t>始</w:t>
      </w:r>
      <w:r>
        <w:rPr>
          <w:spacing w:val="-3"/>
          <w:w w:val="100"/>
        </w:rPr>
        <w:t>日</w:t>
      </w:r>
      <w:r>
        <w:rPr>
          <w:w w:val="100"/>
        </w:rPr>
        <w:t>租</w:t>
      </w:r>
      <w:r>
        <w:rPr>
          <w:spacing w:val="-3"/>
          <w:w w:val="100"/>
        </w:rPr>
        <w:t>赁</w:t>
      </w:r>
      <w:r>
        <w:rPr>
          <w:w w:val="100"/>
        </w:rPr>
        <w:t>资产</w:t>
      </w:r>
      <w:r>
        <w:rPr>
          <w:spacing w:val="-3"/>
          <w:w w:val="100"/>
        </w:rPr>
        <w:t>公</w:t>
      </w:r>
      <w:r>
        <w:rPr>
          <w:w w:val="100"/>
        </w:rPr>
        <w:t>允</w:t>
      </w:r>
      <w:r>
        <w:rPr>
          <w:spacing w:val="-3"/>
          <w:w w:val="100"/>
        </w:rPr>
        <w:t>价值</w:t>
      </w:r>
      <w:r>
        <w:rPr>
          <w:w w:val="100"/>
        </w:rPr>
        <w:t>。</w:t>
      </w:r>
    </w:p>
    <w:p>
      <w:pPr>
        <w:pStyle w:val="BodyText"/>
        <w:spacing w:line="338" w:lineRule="auto" w:before="118"/>
        <w:ind w:left="558" w:right="106"/>
        <w:jc w:val="left"/>
      </w:pPr>
      <w:r>
        <w:rPr/>
        <w:t>（</w:t>
      </w:r>
      <w:r>
        <w:rPr>
          <w:rFonts w:ascii="Arial Narrow" w:hAnsi="Arial Narrow" w:cs="Arial Narrow" w:eastAsia="Arial Narrow"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357" w:lineRule="auto" w:before="47"/>
        <w:ind w:left="138" w:right="208"/>
        <w:jc w:val="both"/>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r>
        <w:rPr>
          <w:spacing w:val="-55"/>
        </w:rPr>
        <w:t> </w:t>
      </w:r>
      <w:r>
        <w:rPr>
          <w:spacing w:val="-55"/>
        </w:rPr>
      </w:r>
      <w:r>
        <w:rPr/>
        <w:t>法进行分摊。</w:t>
      </w:r>
    </w:p>
    <w:p>
      <w:pPr>
        <w:pStyle w:val="BodyText"/>
        <w:spacing w:line="357" w:lineRule="auto" w:before="31"/>
        <w:ind w:left="138" w:right="208" w:firstLine="419"/>
        <w:jc w:val="both"/>
      </w:pPr>
      <w:r>
        <w:rPr>
          <w:spacing w:val="-2"/>
        </w:rPr>
        <w:t>本公司采用与自有固定资产相一致的折旧政策计提融资租入固定资产折旧。能够合理确定租</w:t>
      </w:r>
      <w:r>
        <w:rPr>
          <w:w w:val="100"/>
        </w:rPr>
        <w:t> </w:t>
      </w:r>
      <w:r>
        <w:rPr>
          <w:spacing w:val="-1"/>
        </w:rPr>
        <w:t>赁期届满时取得租赁资产所有权的，在租赁资产使用寿命内计提折旧。无法合理确定租赁期届满</w:t>
      </w:r>
      <w:r>
        <w:rPr>
          <w:spacing w:val="-55"/>
        </w:rPr>
        <w:t> </w:t>
      </w:r>
      <w:r>
        <w:rPr>
          <w:spacing w:val="-55"/>
        </w:rPr>
      </w:r>
      <w:r>
        <w:rPr/>
        <w:t>时能够取得租赁资产所有权的，在租赁期与租赁资产使用寿命两者中较短的期间内计提折旧。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138" w:right="0"/>
        <w:jc w:val="both"/>
        <w:rPr>
          <w:b w:val="0"/>
          <w:bCs w:val="0"/>
        </w:rPr>
      </w:pPr>
      <w:r>
        <w:rPr>
          <w:rFonts w:ascii="宋体" w:hAnsi="宋体" w:cs="宋体" w:eastAsia="宋体" w:hint="default"/>
        </w:rPr>
        <w:t>16.</w:t>
      </w:r>
      <w:r>
        <w:rPr>
          <w:rFonts w:ascii="宋体" w:hAnsi="宋体" w:cs="宋体" w:eastAsia="宋体" w:hint="default"/>
          <w:spacing w:val="2"/>
        </w:rPr>
        <w:t> </w:t>
      </w:r>
      <w:r>
        <w:rPr/>
        <w:t>在建工程</w:t>
      </w:r>
      <w:r>
        <w:rPr>
          <w:b w:val="0"/>
          <w:bCs w:val="0"/>
        </w:rPr>
      </w:r>
    </w:p>
    <w:p>
      <w:pPr>
        <w:pStyle w:val="BodyText"/>
        <w:spacing w:line="274" w:lineRule="exact" w:before="56"/>
        <w:ind w:left="138" w:right="0"/>
        <w:jc w:val="both"/>
      </w:pPr>
      <w:r>
        <w:rPr/>
        <w:t>√适用</w:t>
      </w:r>
      <w:r>
        <w:rPr>
          <w:spacing w:val="-1"/>
        </w:rPr>
        <w:t> </w:t>
      </w:r>
      <w:r>
        <w:rPr/>
        <w:t>□不适用</w:t>
      </w:r>
    </w:p>
    <w:p>
      <w:pPr>
        <w:spacing w:line="336" w:lineRule="auto" w:before="0"/>
        <w:ind w:left="558"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本公司自行建造的在建工程按实际成本计价，实际成本由建造该项资产达到预定可使用状态</w:t>
      </w:r>
    </w:p>
    <w:p>
      <w:pPr>
        <w:pStyle w:val="BodyText"/>
        <w:spacing w:line="355" w:lineRule="auto" w:before="49"/>
        <w:ind w:left="138" w:right="217"/>
        <w:jc w:val="both"/>
      </w:pPr>
      <w:r>
        <w:rPr>
          <w:spacing w:val="-2"/>
        </w:rPr>
        <w:t>前所发生的必要支出构成，包括工程用物资成本、人工成本、交纳的相关税费、应予资本化的借</w:t>
      </w:r>
      <w:r>
        <w:rPr>
          <w:spacing w:val="-25"/>
        </w:rPr>
        <w:t> </w:t>
      </w:r>
      <w:r>
        <w:rPr>
          <w:spacing w:val="-25"/>
        </w:rPr>
      </w:r>
      <w:r>
        <w:rPr/>
        <w:t>款费用以及应分摊的间接费用等。</w:t>
      </w:r>
    </w:p>
    <w:p>
      <w:pPr>
        <w:spacing w:line="336" w:lineRule="auto" w:before="34"/>
        <w:ind w:left="558"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w:t>
      </w:r>
    </w:p>
    <w:p>
      <w:pPr>
        <w:pStyle w:val="BodyText"/>
        <w:spacing w:line="357" w:lineRule="auto" w:before="49"/>
        <w:ind w:left="138" w:right="217"/>
        <w:jc w:val="both"/>
      </w:pPr>
      <w:r>
        <w:rPr>
          <w:spacing w:val="-2"/>
        </w:rPr>
        <w:t>账价值。所建造的在建工程已达到预定可使用状态，但尚未办理竣工决算的，自达到预定可使用</w:t>
      </w:r>
      <w:r>
        <w:rPr>
          <w:spacing w:val="-25"/>
        </w:rPr>
        <w:t> </w:t>
      </w:r>
      <w:r>
        <w:rPr>
          <w:spacing w:val="-25"/>
        </w:rPr>
      </w:r>
      <w:r>
        <w:rPr>
          <w:spacing w:val="-2"/>
        </w:rPr>
        <w:t>状态之日起，根据工程预算、造价或者工程实际成本等，按估计的价值转入固定资产，并按本公</w:t>
      </w:r>
      <w:r>
        <w:rPr>
          <w:spacing w:val="-25"/>
        </w:rPr>
        <w:t> </w:t>
      </w:r>
      <w:r>
        <w:rPr>
          <w:spacing w:val="-25"/>
        </w:rPr>
      </w:r>
      <w:r>
        <w:rPr>
          <w:spacing w:val="-2"/>
        </w:rPr>
        <w:t>司固定资产折旧政策计提固定资产的折旧，待办理竣工决算后，再按实际成本调整原来的暂估价</w:t>
      </w:r>
      <w:r>
        <w:rPr>
          <w:spacing w:val="-25"/>
        </w:rPr>
        <w:t> </w:t>
      </w:r>
      <w:r>
        <w:rPr>
          <w:spacing w:val="-25"/>
        </w:rPr>
      </w:r>
      <w:r>
        <w:rPr/>
        <w:t>值，但不调整原已计提的折旧额。</w:t>
      </w:r>
    </w:p>
    <w:p>
      <w:pPr>
        <w:spacing w:line="240" w:lineRule="auto" w:before="9"/>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17.</w:t>
      </w:r>
      <w:r>
        <w:rPr>
          <w:rFonts w:ascii="宋体" w:hAnsi="宋体" w:cs="宋体" w:eastAsia="宋体" w:hint="default"/>
          <w:spacing w:val="2"/>
        </w:rPr>
        <w:t> </w:t>
      </w:r>
      <w:r>
        <w:rPr/>
        <w:t>借款费用</w:t>
      </w:r>
      <w:r>
        <w:rPr>
          <w:b w:val="0"/>
          <w:bCs w:val="0"/>
        </w:rPr>
      </w:r>
    </w:p>
    <w:p>
      <w:pPr>
        <w:pStyle w:val="BodyText"/>
        <w:spacing w:line="273" w:lineRule="exact" w:before="58"/>
        <w:ind w:left="138" w:right="0"/>
        <w:jc w:val="both"/>
      </w:pPr>
      <w:r>
        <w:rPr/>
        <w:t>√适用</w:t>
      </w:r>
      <w:r>
        <w:rPr>
          <w:spacing w:val="104"/>
        </w:rPr>
        <w:t> </w:t>
      </w:r>
      <w:r>
        <w:rPr/>
        <w:t>□不适用</w:t>
      </w:r>
    </w:p>
    <w:p>
      <w:pPr>
        <w:spacing w:line="336" w:lineRule="auto" w:before="0"/>
        <w:ind w:left="558"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w:t>
      </w:r>
    </w:p>
    <w:p>
      <w:pPr>
        <w:pStyle w:val="BodyText"/>
        <w:spacing w:line="355" w:lineRule="auto" w:before="51"/>
        <w:ind w:left="558" w:right="106" w:hanging="420"/>
        <w:jc w:val="left"/>
      </w:pPr>
      <w:r>
        <w:rPr/>
        <w:t>化，计入相关资产成本；其他借款费用，在发生时根据其发生额确认为费用，计入当期损益。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w:t>
      </w:r>
    </w:p>
    <w:p>
      <w:pPr>
        <w:pStyle w:val="BodyText"/>
        <w:spacing w:line="355" w:lineRule="auto" w:before="32"/>
        <w:ind w:left="558" w:right="106" w:hanging="420"/>
        <w:jc w:val="left"/>
      </w:pPr>
      <w:r>
        <w:rPr>
          <w:spacing w:val="-2"/>
        </w:rPr>
        <w:t>或者可销售状态的固定资产、投资性房地产和存货等资产。</w:t>
      </w:r>
      <w:r>
        <w:rPr>
          <w:spacing w:val="-55"/>
        </w:rPr>
        <w:t> </w:t>
      </w:r>
      <w:r>
        <w:rPr>
          <w:spacing w:val="-55"/>
        </w:rPr>
      </w:r>
      <w:r>
        <w:rPr/>
        <w:t>借款费用同时满足下列条件时开始资本化：</w:t>
      </w:r>
    </w:p>
    <w:p>
      <w:pPr>
        <w:pStyle w:val="BodyText"/>
        <w:spacing w:line="336" w:lineRule="auto" w:before="35"/>
        <w:ind w:left="138" w:right="96" w:firstLine="419"/>
        <w:jc w:val="left"/>
      </w:pPr>
      <w:r>
        <w:rPr>
          <w:spacing w:val="-6"/>
          <w:w w:val="100"/>
        </w:rPr>
        <w:t>（</w:t>
      </w:r>
      <w:r>
        <w:rPr>
          <w:rFonts w:ascii="Times New Roman" w:hAnsi="Times New Roman" w:cs="Times New Roman" w:eastAsia="Times New Roman" w:hint="default"/>
          <w:spacing w:val="-6"/>
          <w:w w:val="100"/>
        </w:rPr>
        <w:t>1</w:t>
      </w:r>
      <w:r>
        <w:rPr>
          <w:spacing w:val="-6"/>
          <w:w w:val="100"/>
        </w:rPr>
        <w:t>）资产支出已经发生，资产支出包括为购建或者生产符合资本化条件的资产而以支付现金、</w:t>
      </w:r>
      <w:r>
        <w:rPr>
          <w:w w:val="100"/>
        </w:rPr>
        <w:t> </w:t>
      </w:r>
      <w:r>
        <w:rPr/>
        <w:t>转移非现金资产或者承担带息债务形式发生的支出；</w:t>
      </w:r>
    </w:p>
    <w:p>
      <w:pPr>
        <w:spacing w:after="0" w:line="336" w:lineRule="auto"/>
        <w:jc w:val="left"/>
        <w:sectPr>
          <w:footerReference w:type="default" r:id="rId71"/>
          <w:pgSz w:w="11910" w:h="16840"/>
          <w:pgMar w:footer="1195" w:header="882" w:top="1120" w:bottom="1380" w:left="1660" w:right="1060"/>
          <w:pgNumType w:start="90"/>
        </w:sectPr>
      </w:pPr>
    </w:p>
    <w:p>
      <w:pPr>
        <w:spacing w:line="240" w:lineRule="auto" w:before="1"/>
        <w:rPr>
          <w:rFonts w:ascii="宋体" w:hAnsi="宋体" w:cs="宋体" w:eastAsia="宋体" w:hint="default"/>
          <w:sz w:val="25"/>
          <w:szCs w:val="25"/>
        </w:rPr>
      </w:pPr>
    </w:p>
    <w:p>
      <w:pPr>
        <w:pStyle w:val="BodyText"/>
        <w:spacing w:line="240" w:lineRule="auto" w:before="36"/>
        <w:ind w:left="558" w:right="2465"/>
        <w:jc w:val="left"/>
      </w:pPr>
      <w:r>
        <w:rPr/>
        <w:t>（</w:t>
      </w:r>
      <w:r>
        <w:rPr>
          <w:rFonts w:ascii="Times New Roman" w:hAnsi="Times New Roman" w:cs="Times New Roman" w:eastAsia="Times New Roman" w:hint="default"/>
        </w:rPr>
        <w:t>2</w:t>
      </w:r>
      <w:r>
        <w:rPr/>
        <w:t>）借款费用已经发生；</w:t>
      </w:r>
    </w:p>
    <w:p>
      <w:pPr>
        <w:pStyle w:val="BodyText"/>
        <w:spacing w:line="240" w:lineRule="auto" w:before="119"/>
        <w:ind w:left="558" w:right="97"/>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36" w:lineRule="auto" w:before="117"/>
        <w:ind w:left="558"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资本化期间，指从借款费用开始资本化时点到停止资本化时点的期间，借款费用暂停资本化</w:t>
      </w:r>
    </w:p>
    <w:p>
      <w:pPr>
        <w:pStyle w:val="BodyText"/>
        <w:spacing w:line="355" w:lineRule="auto" w:before="49"/>
        <w:ind w:left="558" w:right="97" w:hanging="420"/>
        <w:jc w:val="left"/>
      </w:pPr>
      <w:r>
        <w:rPr/>
        <w:t>的期间不包括在内。</w:t>
      </w:r>
      <w:r>
        <w:rPr>
          <w:w w:val="100"/>
        </w:rPr>
        <w:t> </w:t>
      </w:r>
      <w:r>
        <w:rPr>
          <w:spacing w:val="-2"/>
        </w:rPr>
        <w:t>当购建或者生产符合资本化条件的资产达到预定可使用或者可销售状态时，借款费用停止资</w:t>
      </w:r>
    </w:p>
    <w:p>
      <w:pPr>
        <w:pStyle w:val="BodyText"/>
        <w:spacing w:line="240" w:lineRule="auto" w:before="34"/>
        <w:ind w:left="138" w:right="2465"/>
        <w:jc w:val="left"/>
      </w:pPr>
      <w:r>
        <w:rPr/>
        <w:t>本化。</w:t>
      </w:r>
    </w:p>
    <w:p>
      <w:pPr>
        <w:pStyle w:val="BodyText"/>
        <w:spacing w:line="357" w:lineRule="auto" w:before="133"/>
        <w:ind w:left="138" w:right="97" w:firstLine="419"/>
        <w:jc w:val="left"/>
      </w:pPr>
      <w:r>
        <w:rPr>
          <w:spacing w:val="-2"/>
        </w:rPr>
        <w:t>当购建或者生产符合资本化条件的资产中部分项目分别完工且可单独使用时，该部分资产借</w:t>
      </w:r>
      <w:r>
        <w:rPr>
          <w:w w:val="100"/>
        </w:rPr>
        <w:t> </w:t>
      </w:r>
      <w:r>
        <w:rPr/>
        <w:t>款费用停止资本化。</w:t>
      </w:r>
    </w:p>
    <w:p>
      <w:pPr>
        <w:pStyle w:val="BodyText"/>
        <w:spacing w:line="357" w:lineRule="auto" w:before="30"/>
        <w:ind w:left="138" w:right="97" w:firstLine="419"/>
        <w:jc w:val="left"/>
      </w:pPr>
      <w:r>
        <w:rPr>
          <w:spacing w:val="-2"/>
        </w:rPr>
        <w:t>购建或者生产的资产的各部分分别完工，但必须等到整体完工后才可使用或可对外销售的，</w:t>
      </w:r>
      <w:r>
        <w:rPr>
          <w:w w:val="100"/>
        </w:rPr>
        <w:t> </w:t>
      </w:r>
      <w:r>
        <w:rPr/>
        <w:t>在该资产整体完工时停止借款费用资本化。</w:t>
      </w:r>
    </w:p>
    <w:p>
      <w:pPr>
        <w:spacing w:line="336" w:lineRule="auto" w:before="30"/>
        <w:ind w:left="558" w:right="31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p>
    <w:p>
      <w:pPr>
        <w:pStyle w:val="BodyText"/>
        <w:spacing w:line="357" w:lineRule="auto" w:before="24"/>
        <w:ind w:left="138" w:right="317"/>
        <w:jc w:val="both"/>
      </w:pP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spacing w:line="336" w:lineRule="auto" w:before="30"/>
        <w:ind w:left="558"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w:t>
      </w:r>
    </w:p>
    <w:p>
      <w:pPr>
        <w:pStyle w:val="BodyText"/>
        <w:spacing w:line="355" w:lineRule="auto" w:before="49"/>
        <w:ind w:left="138" w:right="97"/>
        <w:jc w:val="left"/>
      </w:pPr>
      <w:r>
        <w:rPr>
          <w:spacing w:val="-2"/>
        </w:rPr>
        <w:t>资取得的投资收益）及其辅助费用在所购建或者生产的符合资本化条件的资产达到预定可使用或</w:t>
      </w:r>
      <w:r>
        <w:rPr>
          <w:spacing w:val="-25"/>
        </w:rPr>
        <w:t> </w:t>
      </w:r>
      <w:r>
        <w:rPr>
          <w:spacing w:val="-25"/>
        </w:rPr>
      </w:r>
      <w:r>
        <w:rPr/>
        <w:t>者可销售状态前，予以资本化。</w:t>
      </w:r>
    </w:p>
    <w:p>
      <w:pPr>
        <w:pStyle w:val="BodyText"/>
        <w:spacing w:line="355" w:lineRule="auto" w:before="34"/>
        <w:ind w:left="138" w:right="97" w:firstLine="419"/>
        <w:jc w:val="left"/>
      </w:pPr>
      <w:r>
        <w:rPr>
          <w:spacing w:val="-1"/>
        </w:rPr>
        <w:t>根据累计资产支出超过专门借款部分的资产支出加权平均数乘以所占用一般借款的资本化率，</w:t>
      </w:r>
      <w:r>
        <w:rPr>
          <w:w w:val="100"/>
        </w:rPr>
        <w:t> </w:t>
      </w:r>
      <w:r>
        <w:rPr/>
        <w:t>计算确定一般借款应予资本化的利息金额。资本化率根据一般借款加权平均利率计算确定。</w:t>
      </w:r>
    </w:p>
    <w:p>
      <w:pPr>
        <w:pStyle w:val="BodyText"/>
        <w:spacing w:line="240" w:lineRule="auto" w:before="32"/>
        <w:ind w:left="138" w:right="97"/>
        <w:jc w:val="left"/>
      </w:pPr>
      <w:r>
        <w:rPr>
          <w:spacing w:val="-2"/>
        </w:rPr>
        <w:t>借款存在折价或者溢价的，按照实际利率法确定每一会计期间应摊销的折价或者溢价金额，调整</w:t>
      </w:r>
      <w:r>
        <w:rPr>
          <w:spacing w:val="-25"/>
        </w:rPr>
        <w:t> </w:t>
      </w:r>
      <w:r>
        <w:rPr>
          <w:spacing w:val="-25"/>
        </w:rPr>
      </w:r>
      <w:r>
        <w:rPr/>
        <w:t>每期利息金额。</w:t>
      </w:r>
    </w:p>
    <w:p>
      <w:pPr>
        <w:pStyle w:val="Heading4"/>
        <w:spacing w:line="240" w:lineRule="auto" w:before="56"/>
        <w:ind w:left="138" w:right="2465"/>
        <w:jc w:val="left"/>
        <w:rPr>
          <w:b w:val="0"/>
          <w:bCs w:val="0"/>
        </w:rPr>
      </w:pPr>
      <w:r>
        <w:rPr>
          <w:rFonts w:ascii="宋体" w:hAnsi="宋体" w:cs="宋体" w:eastAsia="宋体" w:hint="default"/>
        </w:rPr>
        <w:t>18.</w:t>
      </w:r>
      <w:r>
        <w:rPr>
          <w:rFonts w:ascii="宋体" w:hAnsi="宋体" w:cs="宋体" w:eastAsia="宋体" w:hint="default"/>
          <w:spacing w:val="2"/>
        </w:rPr>
        <w:t> </w:t>
      </w:r>
      <w:r>
        <w:rPr/>
        <w:t>生物资产</w:t>
      </w:r>
      <w:r>
        <w:rPr>
          <w:b w:val="0"/>
          <w:bCs w:val="0"/>
        </w:rPr>
      </w:r>
    </w:p>
    <w:p>
      <w:pPr>
        <w:pStyle w:val="BodyText"/>
        <w:spacing w:line="240" w:lineRule="auto" w:before="59"/>
        <w:ind w:left="13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2465"/>
        <w:jc w:val="left"/>
        <w:rPr>
          <w:b w:val="0"/>
          <w:bCs w:val="0"/>
        </w:rPr>
      </w:pPr>
      <w:r>
        <w:rPr>
          <w:rFonts w:ascii="宋体" w:hAnsi="宋体" w:cs="宋体" w:eastAsia="宋体" w:hint="default"/>
        </w:rPr>
        <w:t>19.</w:t>
      </w:r>
      <w:r>
        <w:rPr>
          <w:rFonts w:ascii="宋体" w:hAnsi="宋体" w:cs="宋体" w:eastAsia="宋体" w:hint="default"/>
          <w:spacing w:val="2"/>
        </w:rPr>
        <w:t> </w:t>
      </w:r>
      <w:r>
        <w:rPr/>
        <w:t>油气资产</w:t>
      </w:r>
      <w:r>
        <w:rPr>
          <w:b w:val="0"/>
          <w:bCs w:val="0"/>
        </w:rPr>
      </w:r>
    </w:p>
    <w:p>
      <w:pPr>
        <w:pStyle w:val="BodyText"/>
        <w:spacing w:line="240" w:lineRule="auto" w:before="56"/>
        <w:ind w:left="13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2465"/>
        <w:jc w:val="left"/>
        <w:rPr>
          <w:b w:val="0"/>
          <w:bCs w:val="0"/>
        </w:rPr>
      </w:pPr>
      <w:r>
        <w:rPr>
          <w:rFonts w:ascii="宋体" w:hAnsi="宋体" w:cs="宋体" w:eastAsia="宋体" w:hint="default"/>
        </w:rPr>
        <w:t>20.</w:t>
      </w:r>
      <w:r>
        <w:rPr>
          <w:rFonts w:ascii="宋体" w:hAnsi="宋体" w:cs="宋体" w:eastAsia="宋体" w:hint="default"/>
          <w:spacing w:val="2"/>
        </w:rPr>
        <w:t> </w:t>
      </w:r>
      <w:r>
        <w:rPr/>
        <w:t>无形资产</w:t>
      </w:r>
      <w:r>
        <w:rPr>
          <w:b w:val="0"/>
          <w:bCs w:val="0"/>
        </w:rPr>
      </w:r>
    </w:p>
    <w:p>
      <w:pPr>
        <w:pStyle w:val="Heading4"/>
        <w:spacing w:line="240" w:lineRule="auto" w:before="56"/>
        <w:ind w:left="138" w:right="2465"/>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2" w:lineRule="exact" w:before="86"/>
        <w:ind w:left="558" w:right="97" w:hanging="420"/>
        <w:jc w:val="left"/>
      </w:pPr>
      <w:r>
        <w:rPr/>
        <w:t>√适用</w:t>
      </w:r>
      <w:r>
        <w:rPr>
          <w:spacing w:val="-2"/>
        </w:rPr>
        <w:t> </w:t>
      </w:r>
      <w:r>
        <w:rPr/>
        <w:t>□不适用</w:t>
      </w:r>
      <w:r>
        <w:rPr>
          <w:w w:val="100"/>
        </w:rPr>
        <w:t> </w:t>
      </w:r>
      <w:r>
        <w:rPr>
          <w:spacing w:val="-4"/>
          <w:w w:val="100"/>
        </w:rPr>
        <w:t>无形资产是指本公司拥有或者控制的没有实物形态的可辨认非货币性资产，包括土地使用权、</w:t>
      </w:r>
    </w:p>
    <w:p>
      <w:pPr>
        <w:pStyle w:val="BodyText"/>
        <w:spacing w:line="240" w:lineRule="auto" w:before="110"/>
        <w:ind w:left="138" w:right="2465"/>
        <w:jc w:val="left"/>
      </w:pPr>
      <w:r>
        <w:rPr/>
        <w:t>软件等。</w:t>
      </w:r>
    </w:p>
    <w:p>
      <w:pPr>
        <w:pStyle w:val="Heading4"/>
        <w:spacing w:line="240" w:lineRule="auto" w:before="133"/>
        <w:ind w:left="560" w:right="2465"/>
        <w:jc w:val="left"/>
        <w:rPr>
          <w:b w:val="0"/>
          <w:bCs w:val="0"/>
        </w:rPr>
      </w:pPr>
      <w:r>
        <w:rPr>
          <w:rFonts w:ascii="Times New Roman" w:hAnsi="Times New Roman" w:cs="Times New Roman" w:eastAsia="Times New Roman" w:hint="default"/>
        </w:rPr>
        <w:t>1</w:t>
      </w:r>
      <w:r>
        <w:rPr/>
        <w:t>．</w:t>
      </w:r>
      <w:r>
        <w:rPr>
          <w:spacing w:val="-2"/>
        </w:rPr>
        <w:t> </w:t>
      </w:r>
      <w:r>
        <w:rPr/>
        <w:t>无形资产的初始计量</w:t>
      </w:r>
      <w:r>
        <w:rPr>
          <w:b w:val="0"/>
          <w:bCs w:val="0"/>
        </w:rPr>
      </w:r>
    </w:p>
    <w:p>
      <w:pPr>
        <w:spacing w:after="0" w:line="240" w:lineRule="auto"/>
        <w:jc w:val="left"/>
        <w:sectPr>
          <w:pgSz w:w="11910" w:h="16840"/>
          <w:pgMar w:header="882" w:footer="1195" w:top="1120" w:bottom="1380" w:left="1660" w:right="960"/>
        </w:sectPr>
      </w:pPr>
    </w:p>
    <w:p>
      <w:pPr>
        <w:spacing w:line="240" w:lineRule="auto" w:before="1"/>
        <w:rPr>
          <w:rFonts w:ascii="宋体" w:hAnsi="宋体" w:cs="宋体" w:eastAsia="宋体" w:hint="default"/>
          <w:b/>
          <w:bCs/>
          <w:sz w:val="25"/>
          <w:szCs w:val="25"/>
        </w:rPr>
      </w:pPr>
    </w:p>
    <w:p>
      <w:pPr>
        <w:pStyle w:val="BodyText"/>
        <w:spacing w:line="357" w:lineRule="auto" w:before="36"/>
        <w:ind w:left="138" w:right="317" w:firstLine="419"/>
        <w:jc w:val="both"/>
      </w:pPr>
      <w:r>
        <w:rPr>
          <w:spacing w:val="-2"/>
        </w:rPr>
        <w:t>外购无形资产的成本，包括购买价款、相关税费以及直接归属于使该项资产达到预定用途所</w:t>
      </w:r>
      <w:r>
        <w:rPr>
          <w:w w:val="100"/>
        </w:rPr>
        <w:t> </w:t>
      </w:r>
      <w:r>
        <w:rPr>
          <w:spacing w:val="-2"/>
        </w:rPr>
        <w:t>发生的其他支出。购买无形资产的价款超过正常信用条件延期支付，实质上具有融资性质的，无</w:t>
      </w:r>
      <w:r>
        <w:rPr>
          <w:spacing w:val="-25"/>
        </w:rPr>
        <w:t> </w:t>
      </w:r>
      <w:r>
        <w:rPr>
          <w:spacing w:val="-25"/>
        </w:rPr>
      </w:r>
      <w:r>
        <w:rPr/>
        <w:t>形资产的成本以购买价款的现值为基础确定。</w:t>
      </w:r>
    </w:p>
    <w:p>
      <w:pPr>
        <w:pStyle w:val="BodyText"/>
        <w:spacing w:line="355" w:lineRule="auto" w:before="30"/>
        <w:ind w:left="138" w:right="97" w:firstLine="419"/>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357" w:lineRule="auto" w:before="32"/>
        <w:ind w:left="138" w:right="97" w:firstLine="419"/>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w w:val="100"/>
        </w:rPr>
        <w:t> </w:t>
      </w:r>
      <w:r>
        <w:rPr/>
        <w:t>据表明换入资产的公允价值更加可靠；不满足上述前提的非货币性资产交换，以换出资产的账面</w:t>
      </w:r>
      <w:r>
        <w:rPr>
          <w:w w:val="100"/>
        </w:rPr>
        <w:t> </w:t>
      </w:r>
      <w:r>
        <w:rPr/>
        <w:t>价值和应支付的相关税费作为换入无形资产的成本，不确认损益。</w:t>
      </w:r>
    </w:p>
    <w:p>
      <w:pPr>
        <w:pStyle w:val="BodyText"/>
        <w:spacing w:line="357" w:lineRule="auto" w:before="30"/>
        <w:ind w:left="138" w:right="317" w:firstLine="419"/>
        <w:jc w:val="both"/>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p>
    <w:p>
      <w:pPr>
        <w:pStyle w:val="BodyText"/>
        <w:spacing w:line="355" w:lineRule="auto" w:before="30"/>
        <w:ind w:left="138" w:right="308" w:firstLine="419"/>
        <w:jc w:val="both"/>
      </w:pPr>
      <w:r>
        <w:rPr>
          <w:spacing w:val="-7"/>
        </w:rPr>
        <w:t>内部自行开发的无形资产，其成本包括：开发该无形资产时耗用的材料、劳务成本、注册费、</w:t>
      </w:r>
      <w:r>
        <w:rPr>
          <w:w w:val="100"/>
        </w:rPr>
        <w:t> </w:t>
      </w:r>
      <w:r>
        <w:rPr>
          <w:spacing w:val="-2"/>
        </w:rPr>
        <w:t>在开发过程中使用的其他专利权和特许权的摊销以及满足资本化条件的利息费用，以及为使该无</w:t>
      </w:r>
      <w:r>
        <w:rPr>
          <w:spacing w:val="-25"/>
        </w:rPr>
        <w:t> </w:t>
      </w:r>
      <w:r>
        <w:rPr>
          <w:spacing w:val="-25"/>
        </w:rPr>
      </w:r>
      <w:r>
        <w:rPr/>
        <w:t>形资产达到预定用途前所发生的其他直接费用。</w:t>
      </w:r>
    </w:p>
    <w:p>
      <w:pPr>
        <w:spacing w:line="338" w:lineRule="auto" w:before="32"/>
        <w:ind w:left="558"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本公司在取得无形资产时分析判断其使用寿命，划分为使用寿命有限和使用寿命不确定的无</w:t>
      </w:r>
    </w:p>
    <w:p>
      <w:pPr>
        <w:pStyle w:val="BodyText"/>
        <w:spacing w:line="240" w:lineRule="auto" w:before="47"/>
        <w:ind w:left="138" w:right="2465"/>
        <w:jc w:val="left"/>
      </w:pPr>
      <w:r>
        <w:rPr/>
        <w:t>形资产。</w:t>
      </w:r>
    </w:p>
    <w:p>
      <w:pPr>
        <w:pStyle w:val="BodyText"/>
        <w:tabs>
          <w:tab w:pos="1397" w:val="left" w:leader="none"/>
        </w:tabs>
        <w:spacing w:line="355" w:lineRule="auto" w:before="133"/>
        <w:ind w:left="558" w:right="317"/>
        <w:jc w:val="left"/>
      </w:pPr>
      <w:r>
        <w:rPr/>
        <w:t>（</w:t>
      </w:r>
      <w:r>
        <w:rPr>
          <w:rFonts w:ascii="宋体" w:hAnsi="宋体" w:cs="宋体" w:eastAsia="宋体" w:hint="default"/>
        </w:rPr>
        <w:t>1</w:t>
      </w:r>
      <w:r>
        <w:rPr/>
        <w:t>）</w:t>
        <w:tab/>
        <w:t>使用寿命有限的无形资产</w:t>
      </w:r>
      <w:r>
        <w:rPr>
          <w:w w:val="100"/>
        </w:rPr>
        <w:t> </w:t>
      </w:r>
      <w:r>
        <w:rPr/>
        <w:t>对于使用寿命有限的无形资产，在为企业带来经济利益的期限内按直线法摊销。</w:t>
      </w:r>
      <w:r>
        <w:rPr>
          <w:w w:val="100"/>
        </w:rPr>
        <w:t> </w:t>
      </w:r>
      <w:r>
        <w:rPr>
          <w:spacing w:val="-2"/>
        </w:rPr>
        <w:t>每期末，对使用寿命有限的无形资产的使用寿命及摊销方法进行复核，如与原先估计数存在</w:t>
      </w:r>
    </w:p>
    <w:p>
      <w:pPr>
        <w:pStyle w:val="BodyText"/>
        <w:spacing w:line="355" w:lineRule="auto" w:before="34"/>
        <w:ind w:left="558" w:right="97" w:hanging="420"/>
        <w:jc w:val="left"/>
      </w:pPr>
      <w:r>
        <w:rPr/>
        <w:t>差异的，进行相应的调整。</w:t>
      </w:r>
      <w:r>
        <w:rPr>
          <w:w w:val="100"/>
        </w:rPr>
        <w:t> </w:t>
      </w:r>
      <w:r>
        <w:rPr>
          <w:spacing w:val="-2"/>
        </w:rPr>
        <w:t>经复核，本期期末无形资产的使用寿命及摊销方法与以前估计未有不同。</w:t>
      </w:r>
    </w:p>
    <w:p>
      <w:pPr>
        <w:pStyle w:val="BodyText"/>
        <w:tabs>
          <w:tab w:pos="1397" w:val="left" w:leader="none"/>
        </w:tabs>
        <w:spacing w:line="355" w:lineRule="auto" w:before="32"/>
        <w:ind w:left="558" w:right="1158"/>
        <w:jc w:val="left"/>
      </w:pPr>
      <w:r>
        <w:rPr/>
        <w:t>（</w:t>
      </w:r>
      <w:r>
        <w:rPr>
          <w:rFonts w:ascii="宋体" w:hAnsi="宋体" w:cs="宋体" w:eastAsia="宋体" w:hint="default"/>
        </w:rPr>
        <w:t>2</w:t>
      </w:r>
      <w:r>
        <w:rPr/>
        <w:t>）</w:t>
        <w:tab/>
        <w:t>使用寿命不确定的无形资产</w:t>
      </w:r>
      <w:r>
        <w:rPr>
          <w:w w:val="100"/>
        </w:rPr>
        <w:t> </w:t>
      </w:r>
      <w:r>
        <w:rPr>
          <w:spacing w:val="-2"/>
        </w:rPr>
        <w:t>无法预见无形资产为企业带来经济利益期限的，视为使用寿命不确定的无形资产。</w:t>
      </w:r>
    </w:p>
    <w:p>
      <w:pPr>
        <w:pStyle w:val="BodyText"/>
        <w:spacing w:line="272" w:lineRule="exact" w:before="63"/>
        <w:ind w:left="138" w:right="97"/>
        <w:jc w:val="left"/>
      </w:pPr>
      <w:r>
        <w:rPr>
          <w:spacing w:val="-2"/>
        </w:rPr>
        <w:t>对于使用寿命不确定的无形资产，在持有期间内不摊销，每期末对无形资产的寿命进行复核。如</w:t>
      </w:r>
      <w:r>
        <w:rPr>
          <w:spacing w:val="-26"/>
        </w:rPr>
        <w:t> </w:t>
      </w:r>
      <w:r>
        <w:rPr>
          <w:spacing w:val="-26"/>
        </w:rPr>
      </w:r>
      <w:r>
        <w:rPr/>
        <w:t>果期末重新复核后仍为不确定的，在每个会计期间继续进行减值测试。</w:t>
      </w:r>
    </w:p>
    <w:p>
      <w:pPr>
        <w:spacing w:line="240" w:lineRule="auto" w:before="4"/>
        <w:rPr>
          <w:rFonts w:ascii="宋体" w:hAnsi="宋体" w:cs="宋体" w:eastAsia="宋体" w:hint="default"/>
          <w:sz w:val="23"/>
          <w:szCs w:val="23"/>
        </w:rPr>
      </w:pPr>
    </w:p>
    <w:p>
      <w:pPr>
        <w:pStyle w:val="Heading4"/>
        <w:spacing w:line="240" w:lineRule="auto"/>
        <w:ind w:left="138" w:right="2465"/>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6"/>
        <w:ind w:left="558" w:right="97" w:hanging="420"/>
        <w:jc w:val="left"/>
      </w:pPr>
      <w:r>
        <w:rPr/>
        <w:t>√适用</w:t>
      </w:r>
      <w:r>
        <w:rPr>
          <w:spacing w:val="-2"/>
        </w:rPr>
        <w:t> </w:t>
      </w:r>
      <w:r>
        <w:rPr/>
        <w:t>□不适用</w:t>
      </w:r>
      <w:r>
        <w:rPr>
          <w:w w:val="100"/>
        </w:rPr>
        <w:t> </w:t>
      </w:r>
      <w:r>
        <w:rPr>
          <w:spacing w:val="-2"/>
        </w:rPr>
        <w:t>研究阶段：为获取并理解新的科学或技术知识等而进行的独创性的有计划调查、研究活动的</w:t>
      </w:r>
    </w:p>
    <w:p>
      <w:pPr>
        <w:pStyle w:val="BodyText"/>
        <w:spacing w:line="240" w:lineRule="auto" w:before="133"/>
        <w:ind w:left="138" w:right="2465"/>
        <w:jc w:val="left"/>
      </w:pPr>
      <w:r>
        <w:rPr/>
        <w:t>阶段。</w:t>
      </w:r>
    </w:p>
    <w:p>
      <w:pPr>
        <w:pStyle w:val="BodyText"/>
        <w:spacing w:line="357" w:lineRule="auto" w:before="133"/>
        <w:ind w:left="138" w:right="317" w:firstLine="419"/>
        <w:jc w:val="both"/>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pStyle w:val="BodyText"/>
        <w:spacing w:line="355" w:lineRule="auto" w:before="30"/>
        <w:ind w:left="558" w:right="2465"/>
        <w:jc w:val="left"/>
      </w:pPr>
      <w:r>
        <w:rPr>
          <w:spacing w:val="-2"/>
        </w:rPr>
        <w:t>内部研究开发项目研究阶段的支出，在发生时计入当期损益。</w:t>
      </w:r>
      <w:r>
        <w:rPr>
          <w:spacing w:val="-52"/>
        </w:rPr>
        <w:t> </w:t>
      </w:r>
      <w:r>
        <w:rPr>
          <w:spacing w:val="-52"/>
        </w:rPr>
      </w:r>
      <w:r>
        <w:rPr/>
        <w:t>开发阶段支出符合资本化的具体标准：</w:t>
      </w:r>
    </w:p>
    <w:p>
      <w:pPr>
        <w:spacing w:after="0" w:line="355" w:lineRule="auto"/>
        <w:jc w:val="left"/>
        <w:sectPr>
          <w:footerReference w:type="default" r:id="rId72"/>
          <w:pgSz w:w="11910" w:h="16840"/>
          <w:pgMar w:footer="1195" w:header="882" w:top="1120" w:bottom="1380" w:left="1660" w:right="960"/>
          <w:pgNumType w:start="92"/>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内部研究开发项目开发阶段的支出，同时满足下列条件时确认为无形资产：</w:t>
      </w:r>
    </w:p>
    <w:p>
      <w:pPr>
        <w:pStyle w:val="BodyText"/>
        <w:spacing w:line="240" w:lineRule="auto" w:before="135"/>
        <w:ind w:left="558"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7"/>
        <w:ind w:left="558"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6" w:lineRule="auto" w:before="117"/>
        <w:ind w:left="138" w:right="128" w:firstLine="419"/>
        <w:jc w:val="both"/>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38" w:lineRule="auto" w:before="49"/>
        <w:ind w:left="138" w:right="128" w:firstLine="419"/>
        <w:jc w:val="both"/>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w:t>
      </w:r>
      <w:r>
        <w:rPr>
          <w:w w:val="100"/>
        </w:rPr>
        <w:t> </w:t>
      </w:r>
      <w:r>
        <w:rPr/>
        <w:t>出售该无形资产；</w:t>
      </w:r>
    </w:p>
    <w:p>
      <w:pPr>
        <w:pStyle w:val="BodyText"/>
        <w:spacing w:line="338" w:lineRule="auto" w:before="47"/>
        <w:ind w:left="558"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w:t>
      </w:r>
    </w:p>
    <w:p>
      <w:pPr>
        <w:pStyle w:val="BodyText"/>
        <w:spacing w:line="357" w:lineRule="auto" w:before="47"/>
        <w:ind w:left="138" w:right="0"/>
        <w:jc w:val="left"/>
      </w:pPr>
      <w:r>
        <w:rPr>
          <w:spacing w:val="-2"/>
        </w:rPr>
        <w:t>出不在以后期间重新确认为资产。已资本化的开发阶段的支出在资产负债表上列示为开发支出，</w:t>
      </w:r>
      <w:r>
        <w:rPr>
          <w:spacing w:val="-25"/>
        </w:rPr>
        <w:t> </w:t>
      </w:r>
      <w:r>
        <w:rPr>
          <w:spacing w:val="-25"/>
        </w:rPr>
      </w:r>
      <w:r>
        <w:rPr/>
        <w:t>自该项目达到预定用途之日起转为无形资产。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138" w:right="0"/>
        <w:jc w:val="left"/>
        <w:rPr>
          <w:b w:val="0"/>
          <w:bCs w:val="0"/>
        </w:rPr>
      </w:pPr>
      <w:r>
        <w:rPr>
          <w:rFonts w:ascii="宋体" w:hAnsi="宋体" w:cs="宋体" w:eastAsia="宋体" w:hint="default"/>
        </w:rPr>
        <w:t>21.</w:t>
      </w:r>
      <w:r>
        <w:rPr>
          <w:rFonts w:ascii="宋体" w:hAnsi="宋体" w:cs="宋体" w:eastAsia="宋体" w:hint="default"/>
          <w:spacing w:val="3"/>
        </w:rPr>
        <w:t> </w:t>
      </w:r>
      <w:r>
        <w:rPr/>
        <w:t>长期资产减值</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本公司在资产负债表日判断长期资产是否存在可能发生减值的迹象。如果长期资产存在减值</w:t>
      </w:r>
    </w:p>
    <w:p>
      <w:pPr>
        <w:pStyle w:val="BodyText"/>
        <w:spacing w:line="357" w:lineRule="auto" w:before="133"/>
        <w:ind w:left="138" w:right="0"/>
        <w:jc w:val="left"/>
      </w:pPr>
      <w:r>
        <w:rPr>
          <w:spacing w:val="-2"/>
        </w:rPr>
        <w:t>迹象的，以单项资产为基础估计其可收回金额；难以对单项资产的可收回金额进行估计的，以该</w:t>
      </w:r>
      <w:r>
        <w:rPr>
          <w:spacing w:val="-25"/>
        </w:rPr>
        <w:t> </w:t>
      </w:r>
      <w:r>
        <w:rPr>
          <w:spacing w:val="-25"/>
        </w:rPr>
      </w:r>
      <w:r>
        <w:rPr/>
        <w:t>资产所属的资产组为基础确定资产组的可收回金额。</w:t>
      </w:r>
    </w:p>
    <w:p>
      <w:pPr>
        <w:pStyle w:val="BodyText"/>
        <w:spacing w:line="357" w:lineRule="auto" w:before="30"/>
        <w:ind w:left="138" w:right="137" w:firstLine="419"/>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355" w:lineRule="auto" w:before="30"/>
        <w:ind w:left="138" w:right="137" w:firstLine="419"/>
        <w:jc w:val="both"/>
      </w:pPr>
      <w:r>
        <w:rPr>
          <w:spacing w:val="-2"/>
        </w:rPr>
        <w:t>可收回金额的计量结果表明，长期资产的可收回金额低于其账面价值的，将长期资产的账面</w:t>
      </w:r>
      <w:r>
        <w:rPr>
          <w:w w:val="100"/>
        </w:rPr>
        <w:t> </w:t>
      </w:r>
      <w:r>
        <w:rPr>
          <w:spacing w:val="-2"/>
        </w:rPr>
        <w:t>价值减记至可收回金额，减记的金额确认为资产减值损失，计入当期损益，同时计提相应的资产</w:t>
      </w:r>
      <w:r>
        <w:rPr>
          <w:spacing w:val="-25"/>
        </w:rPr>
        <w:t> </w:t>
      </w:r>
      <w:r>
        <w:rPr>
          <w:spacing w:val="-25"/>
        </w:rPr>
      </w:r>
      <w:r>
        <w:rPr/>
        <w:t>减值准备。资产减值损失一经确认，在以后会计期间不得转回。</w:t>
      </w:r>
    </w:p>
    <w:p>
      <w:pPr>
        <w:pStyle w:val="BodyText"/>
        <w:spacing w:line="357" w:lineRule="auto" w:before="32"/>
        <w:ind w:left="138" w:right="137" w:firstLine="419"/>
        <w:jc w:val="both"/>
      </w:pPr>
      <w:r>
        <w:rPr>
          <w:spacing w:val="-2"/>
        </w:rPr>
        <w:t>资产减值损失确认后，减值资产的折旧或者摊销费用在未来期间作相应调整，以使该资产在</w:t>
      </w:r>
      <w:r>
        <w:rPr>
          <w:w w:val="100"/>
        </w:rPr>
        <w:t> </w:t>
      </w:r>
      <w:r>
        <w:rPr>
          <w:spacing w:val="-5"/>
          <w:w w:val="100"/>
        </w:rPr>
        <w:t>剩余使用寿命内，系统地分摊调整后的资产账面价值（扣除预计净残值）。</w:t>
      </w:r>
    </w:p>
    <w:p>
      <w:pPr>
        <w:pStyle w:val="BodyText"/>
        <w:spacing w:line="355" w:lineRule="auto" w:before="31"/>
        <w:ind w:left="138" w:right="137" w:firstLine="419"/>
        <w:jc w:val="both"/>
      </w:pPr>
      <w:r>
        <w:rPr>
          <w:spacing w:val="-2"/>
        </w:rPr>
        <w:t>因企业合并所形成的商誉和使用寿命不确定的无形资产，无论是否存在减值迹象，每年都进</w:t>
      </w:r>
      <w:r>
        <w:rPr>
          <w:w w:val="100"/>
        </w:rPr>
        <w:t> </w:t>
      </w:r>
      <w:r>
        <w:rPr/>
        <w:t>行减值测试。</w:t>
      </w:r>
    </w:p>
    <w:p>
      <w:pPr>
        <w:pStyle w:val="BodyText"/>
        <w:spacing w:line="357" w:lineRule="auto" w:before="32"/>
        <w:ind w:left="138" w:right="137" w:firstLine="419"/>
        <w:jc w:val="both"/>
      </w:pPr>
      <w:r>
        <w:rPr>
          <w:spacing w:val="-2"/>
        </w:rPr>
        <w:t>在对商誉进行减值测试时，将商誉的账面价值分摊至预期从企业合并的协同效应中受益的资</w:t>
      </w:r>
      <w:r>
        <w:rPr>
          <w:w w:val="100"/>
        </w:rPr>
        <w:t> </w:t>
      </w:r>
      <w:r>
        <w:rPr>
          <w:spacing w:val="-2"/>
        </w:rPr>
        <w:t>产组或资产组组合。在对包含商誉的相关资产组或者资产组组合进行减值测试时，如与商誉相关</w:t>
      </w:r>
      <w:r>
        <w:rPr>
          <w:spacing w:val="-25"/>
        </w:rPr>
        <w:t> </w:t>
      </w:r>
      <w:r>
        <w:rPr>
          <w:spacing w:val="-25"/>
        </w:rPr>
      </w:r>
      <w:r>
        <w:rPr>
          <w:spacing w:val="-2"/>
        </w:rPr>
        <w:t>的资产组或者资产组组合存在减值迹象的，先对不包含商誉的资产组或者资产组组合进行减值测</w:t>
      </w:r>
      <w:r>
        <w:rPr>
          <w:spacing w:val="-25"/>
        </w:rPr>
        <w:t> </w:t>
      </w:r>
      <w:r>
        <w:rPr>
          <w:spacing w:val="-25"/>
        </w:rPr>
      </w:r>
      <w:r>
        <w:rPr>
          <w:spacing w:val="-2"/>
        </w:rPr>
        <w:t>试，计算可收回金额，并与相关账面价值相比较，确认相应的减值损失。再对包含商誉的资产组</w:t>
      </w:r>
      <w:r>
        <w:rPr>
          <w:spacing w:val="-25"/>
        </w:rPr>
        <w:t> </w:t>
      </w:r>
      <w:r>
        <w:rPr>
          <w:spacing w:val="-25"/>
        </w:rPr>
      </w:r>
      <w:r>
        <w:rPr>
          <w:spacing w:val="-2"/>
        </w:rPr>
        <w:t>或者资产组组合进行减值测试，比较这些相关资产组或者资产组组合的账面价值（包括所分摊的</w:t>
      </w:r>
      <w:r>
        <w:rPr>
          <w:spacing w:val="-25"/>
        </w:rPr>
        <w:t> </w:t>
      </w:r>
      <w:r>
        <w:rPr>
          <w:spacing w:val="-25"/>
        </w:rPr>
      </w:r>
      <w:r>
        <w:rPr>
          <w:spacing w:val="-2"/>
        </w:rPr>
        <w:t>商誉的账面价值部分）与其可收回金额，如相关资产组或者资产组组合的可收回金额低于其账面</w:t>
      </w:r>
      <w:r>
        <w:rPr>
          <w:spacing w:val="-25"/>
        </w:rPr>
        <w:t> </w:t>
      </w:r>
      <w:r>
        <w:rPr>
          <w:spacing w:val="-25"/>
        </w:rPr>
      </w:r>
      <w:r>
        <w:rPr/>
        <w:t>价值的，确认商誉的减值损失。</w:t>
      </w:r>
    </w:p>
    <w:p>
      <w:pPr>
        <w:spacing w:after="0" w:line="357"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0"/>
        <w:jc w:val="left"/>
        <w:rPr>
          <w:b w:val="0"/>
          <w:bCs w:val="0"/>
        </w:rPr>
      </w:pPr>
      <w:r>
        <w:rPr>
          <w:rFonts w:ascii="宋体" w:hAnsi="宋体" w:cs="宋体" w:eastAsia="宋体" w:hint="default"/>
        </w:rPr>
        <w:t>22.</w:t>
      </w:r>
      <w:r>
        <w:rPr>
          <w:rFonts w:ascii="宋体" w:hAnsi="宋体" w:cs="宋体" w:eastAsia="宋体" w:hint="default"/>
          <w:spacing w:val="3"/>
        </w:rPr>
        <w:t> </w:t>
      </w:r>
      <w:r>
        <w:rPr/>
        <w:t>长期待摊费用</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348" w:lineRule="auto"/>
        <w:ind w:left="138" w:right="137" w:firstLine="419"/>
        <w:jc w:val="both"/>
      </w:pPr>
      <w:r>
        <w:rPr/>
        <w:t>长期待摊费用，是指本公司已经发生但应由本期和以后各期负担的分摊期限在</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年以上的各</w:t>
      </w:r>
      <w:r>
        <w:rPr>
          <w:w w:val="100"/>
        </w:rPr>
        <w:t> </w:t>
      </w:r>
      <w:r>
        <w:rPr>
          <w:spacing w:val="-2"/>
        </w:rPr>
        <w:t>项费用。长期待摊费用在受益期内按直线法分期摊销。若长期待摊费用项目不能使以后会计期间</w:t>
      </w:r>
      <w:r>
        <w:rPr>
          <w:spacing w:val="-27"/>
        </w:rPr>
        <w:t> </w:t>
      </w:r>
      <w:r>
        <w:rPr>
          <w:spacing w:val="-27"/>
        </w:rPr>
      </w:r>
      <w:r>
        <w:rPr/>
        <w:t>受益，则将尚未摊销的该项目的摊余价值全部转入当期损益。</w:t>
      </w:r>
    </w:p>
    <w:p>
      <w:pPr>
        <w:spacing w:line="240" w:lineRule="auto" w:before="3"/>
        <w:rPr>
          <w:rFonts w:ascii="宋体" w:hAnsi="宋体" w:cs="宋体" w:eastAsia="宋体" w:hint="default"/>
          <w:sz w:val="28"/>
          <w:szCs w:val="28"/>
        </w:rPr>
      </w:pPr>
    </w:p>
    <w:p>
      <w:pPr>
        <w:pStyle w:val="Heading4"/>
        <w:spacing w:line="290" w:lineRule="auto"/>
        <w:ind w:left="138" w:right="6101"/>
        <w:jc w:val="left"/>
        <w:rPr>
          <w:b w:val="0"/>
          <w:bCs w:val="0"/>
        </w:rPr>
      </w:pPr>
      <w:r>
        <w:rPr>
          <w:rFonts w:ascii="宋体" w:hAnsi="宋体" w:cs="宋体" w:eastAsia="宋体" w:hint="default"/>
        </w:rPr>
        <w:t>23.</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40" w:lineRule="auto" w:before="13"/>
        <w:ind w:left="558" w:right="137" w:hanging="420"/>
        <w:jc w:val="left"/>
      </w:pPr>
      <w:r>
        <w:rPr>
          <w:spacing w:val="-1"/>
        </w:rPr>
        <w:t>√适用</w:t>
        <w:tab/>
      </w:r>
      <w:r>
        <w:rPr>
          <w:spacing w:val="-2"/>
        </w:rPr>
        <w:t>□不适用</w:t>
      </w:r>
      <w:r>
        <w:rPr>
          <w:spacing w:val="-99"/>
        </w:rPr>
        <w:t> </w:t>
      </w:r>
      <w:r>
        <w:rPr>
          <w:spacing w:val="-99"/>
        </w:rPr>
      </w:r>
      <w:r>
        <w:rPr>
          <w:spacing w:val="-2"/>
        </w:rPr>
        <w:t>短期薪酬是指本公司在职工提供相关服务的年度报告期间结束后十二个月内需要全部予以支</w:t>
      </w:r>
    </w:p>
    <w:p>
      <w:pPr>
        <w:pStyle w:val="BodyText"/>
        <w:spacing w:line="355" w:lineRule="auto" w:before="133"/>
        <w:ind w:left="138" w:right="0"/>
        <w:jc w:val="left"/>
      </w:pPr>
      <w:r>
        <w:rPr>
          <w:spacing w:val="-2"/>
        </w:rPr>
        <w:t>付的职工薪酬，离职后福利和辞退福利除外。本公司在职工提供服务的会计期间，将应付的短期</w:t>
      </w:r>
      <w:r>
        <w:rPr>
          <w:spacing w:val="-25"/>
        </w:rPr>
        <w:t> </w:t>
      </w:r>
      <w:r>
        <w:rPr>
          <w:spacing w:val="-25"/>
        </w:rPr>
      </w:r>
      <w:r>
        <w:rPr/>
        <w:t>薪酬确认为负债，并根据职工提供服务的受益对象计入相关资产成本和费用。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离职后福利是指本公司为获得职工提供的服务而在职工退休或与企业解除劳动关系后，提供</w:t>
      </w:r>
    </w:p>
    <w:p>
      <w:pPr>
        <w:pStyle w:val="BodyText"/>
        <w:spacing w:line="355" w:lineRule="auto" w:before="111"/>
        <w:ind w:left="558" w:right="0" w:hanging="420"/>
        <w:jc w:val="left"/>
      </w:pPr>
      <w:r>
        <w:rPr/>
        <w:t>的各种形式的报酬和福利，短期薪酬和辞退福利除外。</w:t>
      </w:r>
      <w:r>
        <w:rPr>
          <w:w w:val="100"/>
        </w:rPr>
        <w:t> </w:t>
      </w:r>
      <w:r>
        <w:rPr/>
        <w:t>本公司的离职后福利计划全部为设定提存计划。</w:t>
      </w:r>
      <w:r>
        <w:rPr>
          <w:w w:val="100"/>
        </w:rPr>
        <w:t> </w:t>
      </w:r>
      <w:r>
        <w:rPr>
          <w:spacing w:val="-2"/>
        </w:rPr>
        <w:t>离职后福利设定提存计划主要为参加由各地劳动及社会保障机构组织实施的社会基本养老保</w:t>
      </w:r>
    </w:p>
    <w:p>
      <w:pPr>
        <w:pStyle w:val="BodyText"/>
        <w:spacing w:line="355" w:lineRule="auto" w:before="32"/>
        <w:ind w:left="138" w:right="0"/>
        <w:jc w:val="left"/>
      </w:pPr>
      <w:r>
        <w:rPr>
          <w:spacing w:val="-2"/>
        </w:rPr>
        <w:t>险、失业保险等；在职工为本公司提供服务的会计期间，将根据设定提存计划计算的应缴存金额</w:t>
      </w:r>
      <w:r>
        <w:rPr>
          <w:spacing w:val="-25"/>
        </w:rPr>
        <w:t> </w:t>
      </w:r>
      <w:r>
        <w:rPr>
          <w:spacing w:val="-25"/>
        </w:rPr>
      </w:r>
      <w:r>
        <w:rPr/>
        <w:t>确认为负债，并计入当期损益或相关资产成本。</w:t>
      </w:r>
    </w:p>
    <w:p>
      <w:pPr>
        <w:pStyle w:val="BodyText"/>
        <w:spacing w:line="240" w:lineRule="auto" w:before="34"/>
        <w:ind w:left="558" w:right="0"/>
        <w:jc w:val="left"/>
      </w:pPr>
      <w:r>
        <w:rPr/>
        <w:t>本公司按照国家规定的标准和年金计划定期缴付上述款项后，不再有其他的支付义务。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40" w:lineRule="auto" w:before="57"/>
        <w:ind w:left="558" w:right="137" w:hanging="420"/>
        <w:jc w:val="left"/>
      </w:pPr>
      <w:r>
        <w:rPr>
          <w:spacing w:val="-1"/>
        </w:rPr>
        <w:t>√适用</w:t>
        <w:tab/>
      </w:r>
      <w:r>
        <w:rPr>
          <w:spacing w:val="-2"/>
        </w:rPr>
        <w:t>□不适用</w:t>
      </w:r>
      <w:r>
        <w:rPr>
          <w:spacing w:val="-99"/>
        </w:rPr>
        <w:t> </w:t>
      </w:r>
      <w:r>
        <w:rPr>
          <w:spacing w:val="-99"/>
        </w:rPr>
      </w:r>
      <w:r>
        <w:rPr>
          <w:spacing w:val="-2"/>
        </w:rPr>
        <w:t>辞退福利是指本公司在职工劳动合同到期之前解除与职工的劳动关系，或者为鼓励职工自愿</w:t>
      </w:r>
    </w:p>
    <w:p>
      <w:pPr>
        <w:pStyle w:val="BodyText"/>
        <w:spacing w:line="355" w:lineRule="auto" w:before="133"/>
        <w:ind w:left="138" w:right="137"/>
        <w:jc w:val="both"/>
      </w:pPr>
      <w:r>
        <w:rPr>
          <w:spacing w:val="-2"/>
        </w:rPr>
        <w:t>接受裁减而给予职工的补偿，在本公司不能单方面撤回解除劳动关系计划或裁减建议时和确认与</w:t>
      </w:r>
      <w:r>
        <w:rPr>
          <w:spacing w:val="-25"/>
        </w:rPr>
        <w:t> </w:t>
      </w:r>
      <w:r>
        <w:rPr>
          <w:spacing w:val="-25"/>
        </w:rPr>
      </w:r>
      <w:r>
        <w:rPr>
          <w:spacing w:val="-2"/>
        </w:rPr>
        <w:t>涉及支付辞退福利的重组相关的成本费用时两者孰早日，确认因解除与职工的劳动关系给予补偿</w:t>
      </w:r>
      <w:r>
        <w:rPr>
          <w:spacing w:val="-25"/>
        </w:rPr>
        <w:t> </w:t>
      </w:r>
      <w:r>
        <w:rPr>
          <w:spacing w:val="-25"/>
        </w:rPr>
      </w:r>
      <w:r>
        <w:rPr/>
        <w:t>而产生的负债，同时计入当期损益。</w:t>
      </w:r>
    </w:p>
    <w:p>
      <w:pPr>
        <w:pStyle w:val="BodyText"/>
        <w:spacing w:line="357" w:lineRule="auto" w:before="34"/>
        <w:ind w:left="138" w:right="137" w:firstLine="419"/>
        <w:jc w:val="both"/>
      </w:pPr>
      <w:r>
        <w:rPr>
          <w:spacing w:val="-2"/>
        </w:rPr>
        <w:t>本公司向接受内部退休安排的职工提供内退福利。内退福利是指，向未达到国家规定的退休</w:t>
      </w:r>
      <w:r>
        <w:rPr>
          <w:w w:val="100"/>
        </w:rPr>
        <w:t> </w:t>
      </w:r>
      <w:r>
        <w:rPr>
          <w:spacing w:val="-2"/>
        </w:rPr>
        <w:t>年龄、经本公司管理层批准自愿退出工作岗位的职工支付的工资及为其缴纳的社会保险费等。本</w:t>
      </w:r>
      <w:r>
        <w:rPr>
          <w:spacing w:val="-25"/>
        </w:rPr>
        <w:t> </w:t>
      </w:r>
      <w:r>
        <w:rPr>
          <w:spacing w:val="-25"/>
        </w:rPr>
      </w:r>
      <w:r>
        <w:rPr>
          <w:spacing w:val="-2"/>
        </w:rPr>
        <w:t>公司自内部退休安排开始之日起至职工达到正常退休年龄止，向内退职工支付内部退养福利。对</w:t>
      </w:r>
      <w:r>
        <w:rPr>
          <w:spacing w:val="-25"/>
        </w:rPr>
        <w:t> </w:t>
      </w:r>
      <w:r>
        <w:rPr>
          <w:spacing w:val="-25"/>
        </w:rPr>
      </w:r>
      <w:r>
        <w:rPr>
          <w:spacing w:val="-2"/>
        </w:rPr>
        <w:t>于内退福利，本公司比照辞退福利进行会计处理，在符合辞退福利相关确认条件时，将自职工停</w:t>
      </w:r>
      <w:r>
        <w:rPr>
          <w:spacing w:val="-25"/>
        </w:rPr>
        <w:t> </w:t>
      </w:r>
      <w:r>
        <w:rPr>
          <w:spacing w:val="-25"/>
        </w:rPr>
      </w:r>
      <w:r>
        <w:rPr>
          <w:spacing w:val="-2"/>
        </w:rPr>
        <w:t>止提供服务日至正常退休日期间拟支付的内退职工工资和缴纳的社会保险费等，确认为负债，一</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w w:val="100"/>
        </w:rPr>
        <w:t>次性</w:t>
      </w:r>
      <w:r>
        <w:rPr>
          <w:spacing w:val="-3"/>
          <w:w w:val="100"/>
        </w:rPr>
        <w:t>计</w:t>
      </w:r>
      <w:r>
        <w:rPr>
          <w:w w:val="100"/>
        </w:rPr>
        <w:t>入</w:t>
      </w:r>
      <w:r>
        <w:rPr>
          <w:spacing w:val="-3"/>
          <w:w w:val="100"/>
        </w:rPr>
        <w:t>当</w:t>
      </w:r>
      <w:r>
        <w:rPr>
          <w:w w:val="100"/>
        </w:rPr>
        <w:t>期</w:t>
      </w:r>
      <w:r>
        <w:rPr>
          <w:spacing w:val="-3"/>
          <w:w w:val="100"/>
        </w:rPr>
        <w:t>损益</w:t>
      </w:r>
      <w:r>
        <w:rPr>
          <w:spacing w:val="-92"/>
          <w:w w:val="100"/>
        </w:rPr>
        <w:t>。</w:t>
      </w:r>
      <w:r>
        <w:rPr>
          <w:spacing w:val="-3"/>
          <w:w w:val="100"/>
        </w:rPr>
        <w:t>内</w:t>
      </w:r>
      <w:r>
        <w:rPr>
          <w:w w:val="100"/>
        </w:rPr>
        <w:t>退</w:t>
      </w:r>
      <w:r>
        <w:rPr>
          <w:spacing w:val="-3"/>
          <w:w w:val="100"/>
        </w:rPr>
        <w:t>福</w:t>
      </w:r>
      <w:r>
        <w:rPr>
          <w:w w:val="100"/>
        </w:rPr>
        <w:t>利的</w:t>
      </w:r>
      <w:r>
        <w:rPr>
          <w:spacing w:val="-3"/>
          <w:w w:val="100"/>
        </w:rPr>
        <w:t>精</w:t>
      </w:r>
      <w:r>
        <w:rPr>
          <w:w w:val="100"/>
        </w:rPr>
        <w:t>算</w:t>
      </w:r>
      <w:r>
        <w:rPr>
          <w:spacing w:val="-3"/>
          <w:w w:val="100"/>
        </w:rPr>
        <w:t>假</w:t>
      </w:r>
      <w:r>
        <w:rPr>
          <w:w w:val="100"/>
        </w:rPr>
        <w:t>设</w:t>
      </w:r>
      <w:r>
        <w:rPr>
          <w:spacing w:val="-3"/>
          <w:w w:val="100"/>
        </w:rPr>
        <w:t>变</w:t>
      </w:r>
      <w:r>
        <w:rPr>
          <w:w w:val="100"/>
        </w:rPr>
        <w:t>化</w:t>
      </w:r>
      <w:r>
        <w:rPr>
          <w:spacing w:val="-3"/>
          <w:w w:val="100"/>
        </w:rPr>
        <w:t>及</w:t>
      </w:r>
      <w:r>
        <w:rPr>
          <w:w w:val="100"/>
        </w:rPr>
        <w:t>福</w:t>
      </w:r>
      <w:r>
        <w:rPr>
          <w:spacing w:val="-3"/>
          <w:w w:val="100"/>
        </w:rPr>
        <w:t>利</w:t>
      </w:r>
      <w:r>
        <w:rPr>
          <w:w w:val="100"/>
        </w:rPr>
        <w:t>标准</w:t>
      </w:r>
      <w:r>
        <w:rPr>
          <w:spacing w:val="-3"/>
          <w:w w:val="100"/>
        </w:rPr>
        <w:t>调</w:t>
      </w:r>
      <w:r>
        <w:rPr>
          <w:w w:val="100"/>
        </w:rPr>
        <w:t>整</w:t>
      </w:r>
      <w:r>
        <w:rPr>
          <w:spacing w:val="-3"/>
          <w:w w:val="100"/>
        </w:rPr>
        <w:t>引</w:t>
      </w:r>
      <w:r>
        <w:rPr>
          <w:w w:val="100"/>
        </w:rPr>
        <w:t>起</w:t>
      </w:r>
      <w:r>
        <w:rPr>
          <w:spacing w:val="-3"/>
          <w:w w:val="100"/>
        </w:rPr>
        <w:t>的</w:t>
      </w:r>
      <w:r>
        <w:rPr>
          <w:w w:val="100"/>
        </w:rPr>
        <w:t>差</w:t>
      </w:r>
      <w:r>
        <w:rPr>
          <w:spacing w:val="-3"/>
          <w:w w:val="100"/>
        </w:rPr>
        <w:t>异</w:t>
      </w:r>
      <w:r>
        <w:rPr>
          <w:w w:val="100"/>
        </w:rPr>
        <w:t>于</w:t>
      </w:r>
      <w:r>
        <w:rPr>
          <w:spacing w:val="-3"/>
          <w:w w:val="100"/>
        </w:rPr>
        <w:t>发</w:t>
      </w:r>
      <w:r>
        <w:rPr>
          <w:w w:val="100"/>
        </w:rPr>
        <w:t>生时</w:t>
      </w:r>
      <w:r>
        <w:rPr>
          <w:spacing w:val="-3"/>
          <w:w w:val="100"/>
        </w:rPr>
        <w:t>计</w:t>
      </w:r>
      <w:r>
        <w:rPr>
          <w:w w:val="100"/>
        </w:rPr>
        <w:t>入</w:t>
      </w:r>
      <w:r>
        <w:rPr>
          <w:spacing w:val="-3"/>
          <w:w w:val="100"/>
        </w:rPr>
        <w:t>当期损益</w: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left="138" w:right="106"/>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40" w:lineRule="auto" w:before="56"/>
        <w:ind w:left="138" w:right="10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6"/>
        <w:jc w:val="left"/>
        <w:rPr>
          <w:b w:val="0"/>
          <w:bCs w:val="0"/>
        </w:rPr>
      </w:pPr>
      <w:r>
        <w:rPr>
          <w:rFonts w:ascii="宋体" w:hAnsi="宋体" w:cs="宋体" w:eastAsia="宋体" w:hint="default"/>
        </w:rPr>
        <w:t>24.</w:t>
      </w:r>
      <w:r>
        <w:rPr>
          <w:rFonts w:ascii="宋体" w:hAnsi="宋体" w:cs="宋体" w:eastAsia="宋体" w:hint="default"/>
          <w:spacing w:val="2"/>
        </w:rPr>
        <w:t> </w:t>
      </w:r>
      <w:r>
        <w:rPr/>
        <w:t>预计负债</w:t>
      </w:r>
      <w:r>
        <w:rPr>
          <w:b w:val="0"/>
          <w:bCs w:val="0"/>
        </w:rPr>
      </w:r>
    </w:p>
    <w:p>
      <w:pPr>
        <w:pStyle w:val="BodyText"/>
        <w:spacing w:line="274" w:lineRule="exact" w:before="56"/>
        <w:ind w:left="138" w:right="106"/>
        <w:jc w:val="left"/>
      </w:pPr>
      <w:r>
        <w:rPr/>
        <w:t>√适用</w:t>
      </w:r>
      <w:r>
        <w:rPr>
          <w:spacing w:val="-1"/>
        </w:rPr>
        <w:t> </w:t>
      </w:r>
      <w:r>
        <w:rPr/>
        <w:t>□不适用</w:t>
      </w:r>
    </w:p>
    <w:p>
      <w:pPr>
        <w:pStyle w:val="BodyText"/>
        <w:spacing w:line="352" w:lineRule="auto"/>
        <w:ind w:left="558" w:right="1508"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预计负债的确认标准</w:t>
      </w:r>
      <w:r>
        <w:rPr>
          <w:rFonts w:ascii="宋体" w:hAnsi="宋体" w:cs="宋体" w:eastAsia="宋体" w:hint="default"/>
          <w:b/>
          <w:bCs/>
          <w:spacing w:val="-104"/>
        </w:rPr>
        <w:t> </w:t>
      </w:r>
      <w:r>
        <w:rPr>
          <w:rFonts w:ascii="宋体" w:hAnsi="宋体" w:cs="宋体" w:eastAsia="宋体" w:hint="default"/>
          <w:b/>
          <w:bCs/>
          <w:spacing w:val="-104"/>
        </w:rPr>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45" w:lineRule="auto" w:before="34"/>
        <w:ind w:left="558" w:right="106"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预计负债的计量方法</w:t>
      </w:r>
      <w:r>
        <w:rPr>
          <w:rFonts w:ascii="宋体" w:hAnsi="宋体" w:cs="宋体" w:eastAsia="宋体" w:hint="default"/>
          <w:b/>
          <w:bCs/>
          <w:spacing w:val="-104"/>
        </w:rPr>
        <w:t> </w:t>
      </w:r>
      <w:r>
        <w:rPr>
          <w:rFonts w:ascii="宋体" w:hAnsi="宋体" w:cs="宋体" w:eastAsia="宋体" w:hint="default"/>
          <w:b/>
          <w:bCs/>
          <w:spacing w:val="-104"/>
        </w:rPr>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357" w:lineRule="auto" w:before="43"/>
        <w:ind w:left="558" w:right="106" w:hanging="420"/>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7"/>
          <w:w w:val="100"/>
        </w:rPr>
        <w:t>所需支出存在一个连续范围（或区间），且该范围内各种结果发生的可能性相同的，则最佳估</w:t>
      </w:r>
    </w:p>
    <w:p>
      <w:pPr>
        <w:pStyle w:val="BodyText"/>
        <w:spacing w:line="357" w:lineRule="auto" w:before="30"/>
        <w:ind w:left="558" w:right="106" w:hanging="420"/>
        <w:jc w:val="left"/>
      </w:pPr>
      <w:r>
        <w:rPr/>
        <w:t>计数按照该范围的中间值即上下限金额的平均数确定。</w:t>
      </w:r>
      <w:r>
        <w:rPr>
          <w:w w:val="100"/>
        </w:rPr>
        <w:t> </w:t>
      </w:r>
      <w:r>
        <w:rPr>
          <w:spacing w:val="-7"/>
          <w:w w:val="100"/>
        </w:rPr>
        <w:t>所需支出不存在一个连续范围（或区间），或虽然存在一个连续范围但该范围内各种结果发生</w:t>
      </w:r>
    </w:p>
    <w:p>
      <w:pPr>
        <w:pStyle w:val="BodyText"/>
        <w:spacing w:line="240" w:lineRule="auto" w:before="30"/>
        <w:ind w:left="138" w:right="106"/>
        <w:jc w:val="left"/>
      </w:pPr>
      <w:r>
        <w:rPr/>
        <w:t>的可能性不相同的，如或有事项涉及单个项目的，则最佳估计数按照最可能发生金额确定；如或</w:t>
      </w:r>
    </w:p>
    <w:p>
      <w:pPr>
        <w:pStyle w:val="BodyText"/>
        <w:spacing w:line="240" w:lineRule="auto" w:before="133"/>
        <w:ind w:left="138" w:right="106"/>
        <w:jc w:val="left"/>
      </w:pPr>
      <w:r>
        <w:rPr/>
        <w:t>有事项涉及多个项目的，则最佳估计数按各种可能结果及相关概率计算确定。</w:t>
      </w:r>
    </w:p>
    <w:p>
      <w:pPr>
        <w:pStyle w:val="BodyText"/>
        <w:spacing w:line="240" w:lineRule="auto" w:before="133"/>
        <w:ind w:left="138" w:right="0"/>
        <w:jc w:val="left"/>
      </w:pPr>
      <w:r>
        <w:rPr>
          <w:spacing w:val="-4"/>
          <w:w w:val="100"/>
        </w:rPr>
        <w:t>本公司清偿预计负债所需支出全部或部分预期由第三方补偿的，补偿金额在基本确定能够收到时，</w:t>
      </w:r>
      <w:r>
        <w:rPr>
          <w:spacing w:val="-85"/>
          <w:w w:val="100"/>
        </w:rPr>
        <w:t> </w:t>
      </w:r>
      <w:r>
        <w:rPr>
          <w:spacing w:val="-85"/>
          <w:w w:val="100"/>
        </w:rPr>
      </w:r>
      <w:r>
        <w:rPr/>
        <w:t>作为资产单独确认，确认的补偿金额不超过预计负债的账面价值。</w:t>
      </w:r>
    </w:p>
    <w:p>
      <w:pPr>
        <w:spacing w:line="240" w:lineRule="auto" w:before="3"/>
        <w:rPr>
          <w:rFonts w:ascii="宋体" w:hAnsi="宋体" w:cs="宋体" w:eastAsia="宋体" w:hint="default"/>
          <w:sz w:val="25"/>
          <w:szCs w:val="25"/>
        </w:rPr>
      </w:pPr>
    </w:p>
    <w:p>
      <w:pPr>
        <w:pStyle w:val="Heading4"/>
        <w:spacing w:line="240" w:lineRule="auto"/>
        <w:ind w:left="138" w:right="106"/>
        <w:jc w:val="left"/>
        <w:rPr>
          <w:b w:val="0"/>
          <w:bCs w:val="0"/>
        </w:rPr>
      </w:pPr>
      <w:r>
        <w:rPr>
          <w:rFonts w:ascii="宋体" w:hAnsi="宋体" w:cs="宋体" w:eastAsia="宋体" w:hint="default"/>
        </w:rPr>
        <w:t>25.</w:t>
      </w:r>
      <w:r>
        <w:rPr>
          <w:rFonts w:ascii="宋体" w:hAnsi="宋体" w:cs="宋体" w:eastAsia="宋体" w:hint="default"/>
          <w:spacing w:val="2"/>
        </w:rPr>
        <w:t> </w:t>
      </w:r>
      <w:r>
        <w:rPr/>
        <w:t>股份支付</w:t>
      </w:r>
      <w:r>
        <w:rPr>
          <w:b w:val="0"/>
          <w:bCs w:val="0"/>
        </w:rPr>
      </w:r>
    </w:p>
    <w:p>
      <w:pPr>
        <w:pStyle w:val="BodyText"/>
        <w:spacing w:line="240" w:lineRule="auto" w:before="57"/>
        <w:ind w:left="138" w:right="10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6"/>
        <w:jc w:val="left"/>
        <w:rPr>
          <w:b w:val="0"/>
          <w:bCs w:val="0"/>
        </w:rPr>
      </w:pPr>
      <w:r>
        <w:rPr>
          <w:rFonts w:ascii="宋体" w:hAnsi="宋体" w:cs="宋体" w:eastAsia="宋体" w:hint="default"/>
        </w:rPr>
        <w:t>26. </w:t>
      </w:r>
      <w:r>
        <w:rPr/>
        <w:t>优先股、永续债等其他金融工具</w:t>
      </w:r>
      <w:r>
        <w:rPr>
          <w:b w:val="0"/>
          <w:bCs w:val="0"/>
        </w:rPr>
      </w:r>
    </w:p>
    <w:p>
      <w:pPr>
        <w:pStyle w:val="BodyText"/>
        <w:spacing w:line="240" w:lineRule="auto" w:before="58"/>
        <w:ind w:left="138" w:right="106"/>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left="138" w:right="106"/>
        <w:jc w:val="left"/>
        <w:rPr>
          <w:b w:val="0"/>
          <w:bCs w:val="0"/>
        </w:rPr>
      </w:pPr>
      <w:r>
        <w:rPr>
          <w:rFonts w:ascii="宋体" w:hAnsi="宋体" w:cs="宋体" w:eastAsia="宋体" w:hint="default"/>
        </w:rPr>
        <w:t>27.</w:t>
      </w:r>
      <w:r>
        <w:rPr>
          <w:rFonts w:ascii="宋体" w:hAnsi="宋体" w:cs="宋体" w:eastAsia="宋体" w:hint="default"/>
          <w:spacing w:val="2"/>
        </w:rPr>
        <w:t> </w:t>
      </w:r>
      <w:r>
        <w:rPr/>
        <w:t>收入</w:t>
      </w:r>
      <w:r>
        <w:rPr>
          <w:b w:val="0"/>
          <w:bCs w:val="0"/>
        </w:rPr>
      </w:r>
    </w:p>
    <w:p>
      <w:pPr>
        <w:pStyle w:val="BodyText"/>
        <w:spacing w:line="273" w:lineRule="exact" w:before="58"/>
        <w:ind w:left="138" w:right="106"/>
        <w:jc w:val="left"/>
      </w:pPr>
      <w:r>
        <w:rPr/>
        <w:t>√适用</w:t>
      </w:r>
      <w:r>
        <w:rPr>
          <w:spacing w:val="-1"/>
        </w:rPr>
        <w:t> </w:t>
      </w:r>
      <w:r>
        <w:rPr/>
        <w:t>□不适用</w:t>
      </w:r>
    </w:p>
    <w:p>
      <w:pPr>
        <w:spacing w:line="338" w:lineRule="auto" w:before="0"/>
        <w:ind w:left="558" w:right="1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w:t>
      </w:r>
    </w:p>
    <w:p>
      <w:pPr>
        <w:pStyle w:val="BodyText"/>
        <w:spacing w:line="357" w:lineRule="auto" w:before="47"/>
        <w:ind w:left="138" w:right="106"/>
        <w:jc w:val="left"/>
      </w:pPr>
      <w:r>
        <w:rPr>
          <w:spacing w:val="-2"/>
        </w:rPr>
        <w:t>继续管理权，也没有对已售出的商品实施有效控制；收入的金额能够可靠地计量；相关的经济利</w:t>
      </w:r>
      <w:r>
        <w:rPr>
          <w:spacing w:val="-26"/>
        </w:rPr>
        <w:t> </w:t>
      </w:r>
      <w:r>
        <w:rPr>
          <w:spacing w:val="-26"/>
        </w:rPr>
      </w:r>
      <w:r>
        <w:rPr>
          <w:spacing w:val="-2"/>
        </w:rPr>
        <w:t>益很可能流入企业；相关的已发生或将发生的成本能够可靠地计量时，确认商品销售收入实现。</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06" w:firstLine="419"/>
        <w:jc w:val="left"/>
      </w:pPr>
      <w:r>
        <w:rPr>
          <w:spacing w:val="-2"/>
        </w:rPr>
        <w:t>合同或协议价款的收取采用递延方式，实质上具有融资性质的，按照应收的合同或协议价款</w:t>
      </w:r>
      <w:r>
        <w:rPr>
          <w:w w:val="100"/>
        </w:rPr>
        <w:t> </w:t>
      </w:r>
      <w:r>
        <w:rPr/>
        <w:t>的公允价值确定销售商品收入金额。</w:t>
      </w:r>
    </w:p>
    <w:p>
      <w:pPr>
        <w:spacing w:line="336" w:lineRule="auto" w:before="30"/>
        <w:ind w:left="558"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w:t>
      </w:r>
    </w:p>
    <w:p>
      <w:pPr>
        <w:pStyle w:val="BodyText"/>
        <w:spacing w:line="240" w:lineRule="auto" w:before="49"/>
        <w:ind w:left="138" w:right="106"/>
        <w:jc w:val="left"/>
      </w:pPr>
      <w:r>
        <w:rPr/>
        <w:t>让渡资产使用权收入金额：</w:t>
      </w:r>
    </w:p>
    <w:p>
      <w:pPr>
        <w:pStyle w:val="BodyText"/>
        <w:spacing w:line="240" w:lineRule="auto" w:before="133"/>
        <w:ind w:left="558" w:right="10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9"/>
        <w:ind w:left="558" w:right="106"/>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8" w:lineRule="auto" w:before="117"/>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在资产负债表日提供劳务交易的结果能够可靠估计的，采用完工百分比法确认提供劳务收入。</w:t>
      </w:r>
    </w:p>
    <w:p>
      <w:pPr>
        <w:pStyle w:val="BodyText"/>
        <w:spacing w:line="357" w:lineRule="auto" w:before="47"/>
        <w:ind w:left="558" w:right="106" w:hanging="420"/>
        <w:jc w:val="left"/>
      </w:pPr>
      <w:r>
        <w:rPr/>
        <w:t>提供劳务交易的完工进度，依据已完工作的测量确定。</w:t>
      </w:r>
      <w:r>
        <w:rPr>
          <w:w w:val="100"/>
        </w:rPr>
        <w:t> </w:t>
      </w:r>
      <w:r>
        <w:rPr>
          <w:spacing w:val="-2"/>
        </w:rPr>
        <w:t>提供劳务交易的结果能够可靠估计，是指同时满足下列条件：</w:t>
      </w:r>
    </w:p>
    <w:p>
      <w:pPr>
        <w:pStyle w:val="BodyText"/>
        <w:spacing w:line="240" w:lineRule="auto" w:before="30"/>
        <w:ind w:left="558" w:right="106"/>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7"/>
        <w:ind w:left="558" w:right="106"/>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7"/>
        <w:ind w:left="558" w:right="106"/>
        <w:jc w:val="left"/>
      </w:pPr>
      <w:r>
        <w:rPr/>
        <w:t>（</w:t>
      </w:r>
      <w:r>
        <w:rPr>
          <w:rFonts w:ascii="Times New Roman" w:hAnsi="Times New Roman" w:cs="Times New Roman" w:eastAsia="Times New Roman" w:hint="default"/>
        </w:rPr>
        <w:t>3</w:t>
      </w:r>
      <w:r>
        <w:rPr/>
        <w:t>）交易的完工进度能够可靠地确定；</w:t>
      </w:r>
    </w:p>
    <w:p>
      <w:pPr>
        <w:pStyle w:val="BodyText"/>
        <w:spacing w:line="338" w:lineRule="auto" w:before="117"/>
        <w:ind w:left="558" w:right="106"/>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w:t>
      </w:r>
    </w:p>
    <w:p>
      <w:pPr>
        <w:pStyle w:val="BodyText"/>
        <w:spacing w:line="355" w:lineRule="auto" w:before="47"/>
        <w:ind w:left="138" w:right="217"/>
        <w:jc w:val="both"/>
      </w:pPr>
      <w:r>
        <w:rPr>
          <w:spacing w:val="-2"/>
        </w:rPr>
        <w:t>不公允的除外。资产负债表日按照提供劳务收入总额乘以完工进度扣除以前会计期间累计已确认</w:t>
      </w:r>
      <w:r>
        <w:rPr>
          <w:spacing w:val="-25"/>
        </w:rPr>
        <w:t> </w:t>
      </w:r>
      <w:r>
        <w:rPr>
          <w:spacing w:val="-25"/>
        </w:rPr>
      </w:r>
      <w:r>
        <w:rPr>
          <w:spacing w:val="-2"/>
        </w:rPr>
        <w:t>提供劳务收入后的金额，确认当期提供劳务收入；同时，按照提供劳务估计总成本乘以完工进度</w:t>
      </w:r>
      <w:r>
        <w:rPr>
          <w:spacing w:val="-25"/>
        </w:rPr>
        <w:t> </w:t>
      </w:r>
      <w:r>
        <w:rPr>
          <w:spacing w:val="-25"/>
        </w:rPr>
      </w:r>
      <w:r>
        <w:rPr/>
        <w:t>扣除以前会计期间累计已确认劳务成本后的金额，结转当期劳务成本。</w:t>
      </w:r>
    </w:p>
    <w:p>
      <w:pPr>
        <w:pStyle w:val="BodyText"/>
        <w:spacing w:line="240" w:lineRule="auto" w:before="32"/>
        <w:ind w:left="558" w:right="106"/>
        <w:jc w:val="left"/>
      </w:pPr>
      <w:r>
        <w:rPr/>
        <w:t>在资产负债表日提供劳务交易结果不能够可靠估计的，分别下列情况处理：</w:t>
      </w:r>
    </w:p>
    <w:p>
      <w:pPr>
        <w:pStyle w:val="BodyText"/>
        <w:spacing w:line="336" w:lineRule="auto" w:before="135"/>
        <w:ind w:left="138" w:right="106" w:firstLine="419"/>
        <w:jc w:val="left"/>
      </w:pPr>
      <w:r>
        <w:rPr>
          <w:spacing w:val="-4"/>
        </w:rPr>
        <w:t>（</w:t>
      </w:r>
      <w:r>
        <w:rPr>
          <w:rFonts w:ascii="Times New Roman" w:hAnsi="Times New Roman" w:cs="Times New Roman" w:eastAsia="Times New Roman"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p>
    <w:p>
      <w:pPr>
        <w:pStyle w:val="BodyText"/>
        <w:spacing w:line="336" w:lineRule="auto" w:before="49"/>
        <w:ind w:left="138" w:right="106" w:firstLine="419"/>
        <w:jc w:val="left"/>
      </w:pPr>
      <w:r>
        <w:rPr>
          <w:spacing w:val="-4"/>
        </w:rPr>
        <w:t>（</w:t>
      </w:r>
      <w:r>
        <w:rPr>
          <w:rFonts w:ascii="Times New Roman" w:hAnsi="Times New Roman" w:cs="Times New Roman" w:eastAsia="Times New Roman" w:hint="default"/>
          <w:spacing w:val="-4"/>
        </w:rPr>
        <w:t>2</w:t>
      </w:r>
      <w:r>
        <w:rPr>
          <w:spacing w:val="-4"/>
        </w:rPr>
        <w:t>）已经发生的劳务成本预计不能够得到补偿的，将已经发生的劳务成本计入当期损益，不</w:t>
      </w:r>
      <w:r>
        <w:rPr>
          <w:w w:val="100"/>
        </w:rPr>
        <w:t> </w:t>
      </w:r>
      <w:r>
        <w:rPr/>
        <w:t>确认提供劳务收入。</w:t>
      </w:r>
    </w:p>
    <w:p>
      <w:pPr>
        <w:pStyle w:val="BodyText"/>
        <w:spacing w:line="355" w:lineRule="auto" w:before="52"/>
        <w:ind w:left="138" w:right="217" w:firstLine="419"/>
        <w:jc w:val="both"/>
      </w:pPr>
      <w:r>
        <w:rPr>
          <w:spacing w:val="-2"/>
        </w:rPr>
        <w:t>本公司与其他企业签订的合同或协议包括销售商品和提供劳务时，销售商品部分和提供劳务</w:t>
      </w:r>
      <w:r>
        <w:rPr>
          <w:w w:val="100"/>
        </w:rPr>
        <w:t> </w:t>
      </w:r>
      <w:r>
        <w:rPr>
          <w:spacing w:val="-2"/>
        </w:rPr>
        <w:t>部分能够区分且能够单独计量的，将销售商品的部分作为销售商品处理，将提供劳务的部分作为</w:t>
      </w:r>
      <w:r>
        <w:rPr>
          <w:spacing w:val="-25"/>
        </w:rPr>
        <w:t> </w:t>
      </w:r>
      <w:r>
        <w:rPr>
          <w:spacing w:val="-25"/>
        </w:rPr>
      </w:r>
      <w:r>
        <w:rPr>
          <w:spacing w:val="-2"/>
        </w:rPr>
        <w:t>提供劳务处理。销售商品部分和提供劳务部分不能够区分，或虽能区分但不能够单独计量的，将</w:t>
      </w:r>
      <w:r>
        <w:rPr>
          <w:spacing w:val="-25"/>
        </w:rPr>
        <w:t> </w:t>
      </w:r>
      <w:r>
        <w:rPr>
          <w:spacing w:val="-25"/>
        </w:rPr>
      </w:r>
      <w:r>
        <w:rPr/>
        <w:t>销售商品部分和提供劳务部分全部作为销售商品处理。</w:t>
      </w:r>
    </w:p>
    <w:p>
      <w:pPr>
        <w:spacing w:line="240" w:lineRule="auto" w:before="13"/>
        <w:rPr>
          <w:rFonts w:ascii="宋体" w:hAnsi="宋体" w:cs="宋体" w:eastAsia="宋体" w:hint="default"/>
          <w:sz w:val="27"/>
          <w:szCs w:val="27"/>
        </w:rPr>
      </w:pPr>
    </w:p>
    <w:p>
      <w:pPr>
        <w:pStyle w:val="Heading4"/>
        <w:spacing w:line="290" w:lineRule="auto"/>
        <w:ind w:left="138" w:right="3508"/>
        <w:jc w:val="left"/>
        <w:rPr>
          <w:b w:val="0"/>
          <w:bCs w:val="0"/>
        </w:rPr>
      </w:pPr>
      <w:r>
        <w:rPr>
          <w:rFonts w:ascii="宋体" w:hAnsi="宋体" w:cs="宋体" w:eastAsia="宋体" w:hint="default"/>
        </w:rPr>
        <w:t>28.</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72" w:lineRule="exact" w:before="42"/>
        <w:ind w:left="558" w:right="106" w:hanging="420"/>
        <w:jc w:val="left"/>
      </w:pPr>
      <w:r>
        <w:rPr/>
        <w:t>√适用</w:t>
      </w:r>
      <w:r>
        <w:rPr>
          <w:spacing w:val="-2"/>
        </w:rPr>
        <w:t> </w:t>
      </w:r>
      <w:r>
        <w:rPr/>
        <w:t>□不适用</w:t>
      </w:r>
      <w:r>
        <w:rPr>
          <w:w w:val="100"/>
        </w:rPr>
        <w:t> </w:t>
      </w:r>
      <w:r>
        <w:rPr>
          <w:spacing w:val="-2"/>
        </w:rPr>
        <w:t>与资产相关的政府补助，是指本公司取得的、用于购建或以其他方式形成长期资产的政府补</w:t>
      </w:r>
    </w:p>
    <w:p>
      <w:pPr>
        <w:pStyle w:val="BodyText"/>
        <w:spacing w:line="355" w:lineRule="auto" w:before="111"/>
        <w:ind w:left="558" w:right="106" w:hanging="420"/>
        <w:jc w:val="left"/>
      </w:pPr>
      <w:r>
        <w:rPr/>
        <w:t>助。与收益相关的政府补助，是指除与资产相关的政府补助之外的政府补助。</w:t>
      </w:r>
      <w:r>
        <w:rPr>
          <w:w w:val="100"/>
        </w:rPr>
        <w:t> </w:t>
      </w:r>
      <w:r>
        <w:rPr>
          <w:spacing w:val="-2"/>
        </w:rPr>
        <w:t>与资产相关的政府补助，确认为递延收益，按照所建造或购买的资产使用年限内按照合理、</w:t>
      </w:r>
    </w:p>
    <w:p>
      <w:pPr>
        <w:spacing w:after="0" w:line="35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系统的方法分期计入损益；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38" w:right="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与收益相关的政府补助，用于补偿企业以后期间的相关费用或损失的，确认为递延收益，在</w:t>
      </w:r>
    </w:p>
    <w:p>
      <w:pPr>
        <w:pStyle w:val="BodyText"/>
        <w:spacing w:line="355" w:lineRule="auto" w:before="108"/>
        <w:ind w:left="138" w:right="0"/>
        <w:jc w:val="left"/>
      </w:pPr>
      <w:r>
        <w:rPr>
          <w:spacing w:val="-2"/>
        </w:rPr>
        <w:t>确认相关费用或损失的期间计入当期损益；用于补偿企业已发生的相关费用或损失的，取得时直</w:t>
      </w:r>
      <w:r>
        <w:rPr>
          <w:spacing w:val="-25"/>
        </w:rPr>
        <w:t> </w:t>
      </w:r>
      <w:r>
        <w:rPr>
          <w:spacing w:val="-25"/>
        </w:rPr>
      </w:r>
      <w:r>
        <w:rPr/>
        <w:t>接计入当期损益。</w:t>
      </w:r>
    </w:p>
    <w:p>
      <w:pPr>
        <w:pStyle w:val="BodyText"/>
        <w:spacing w:line="355" w:lineRule="auto" w:before="34"/>
        <w:ind w:left="138" w:right="137" w:firstLine="419"/>
        <w:jc w:val="both"/>
      </w:pPr>
      <w:r>
        <w:rPr>
          <w:spacing w:val="-2"/>
        </w:rPr>
        <w:t>与企业日常活动相关的政府补助计入其他收益；与企业日常活动无关的政府补助计入营业外</w:t>
      </w:r>
      <w:r>
        <w:rPr>
          <w:w w:val="100"/>
        </w:rPr>
        <w:t> </w:t>
      </w:r>
      <w:r>
        <w:rPr/>
        <w:t>收支。</w:t>
      </w:r>
    </w:p>
    <w:p>
      <w:pPr>
        <w:spacing w:line="240" w:lineRule="auto" w:before="0"/>
        <w:rPr>
          <w:rFonts w:ascii="宋体" w:hAnsi="宋体" w:cs="宋体" w:eastAsia="宋体" w:hint="default"/>
          <w:sz w:val="28"/>
          <w:szCs w:val="28"/>
        </w:rPr>
      </w:pPr>
    </w:p>
    <w:p>
      <w:pPr>
        <w:pStyle w:val="Heading4"/>
        <w:spacing w:line="240" w:lineRule="auto"/>
        <w:ind w:left="138" w:right="0"/>
        <w:jc w:val="left"/>
        <w:rPr>
          <w:b w:val="0"/>
          <w:bCs w:val="0"/>
        </w:rPr>
      </w:pPr>
      <w:r>
        <w:rPr>
          <w:rFonts w:ascii="宋体" w:hAnsi="宋体" w:cs="宋体" w:eastAsia="宋体" w:hint="default"/>
        </w:rPr>
        <w:t>29.</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29"/>
        <w:ind w:left="558" w:right="0" w:hanging="420"/>
        <w:jc w:val="left"/>
      </w:pPr>
      <w:r>
        <w:rPr/>
        <w:t>√适用</w:t>
      </w:r>
      <w:r>
        <w:rPr>
          <w:spacing w:val="-2"/>
        </w:rPr>
        <w:t> </w:t>
      </w:r>
      <w:r>
        <w:rPr/>
        <w:t>□不适用</w:t>
      </w:r>
      <w:r>
        <w:rPr>
          <w:w w:val="100"/>
        </w:rPr>
        <w:t> </w:t>
      </w: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w:t>
      </w:r>
    </w:p>
    <w:p>
      <w:pPr>
        <w:pStyle w:val="BodyText"/>
        <w:spacing w:line="336" w:lineRule="auto" w:before="117"/>
        <w:ind w:left="138" w:right="0"/>
        <w:jc w:val="left"/>
      </w:pPr>
      <w:r>
        <w:rPr>
          <w:spacing w:val="-3"/>
        </w:rPr>
        <w:t>差异</w:t>
      </w:r>
      <w:r>
        <w:rPr>
          <w:rFonts w:ascii="Times New Roman" w:hAnsi="Times New Roman" w:cs="Times New Roman" w:eastAsia="Times New Roman" w:hint="default"/>
          <w:spacing w:val="-3"/>
        </w:rPr>
        <w:t>)</w:t>
      </w:r>
      <w:r>
        <w:rPr>
          <w:spacing w:val="-3"/>
        </w:rPr>
        <w:t>计算确认。于资产负债表日，递延所得税资产和递延所得税负债，按照预期收回该资产或清</w:t>
      </w:r>
      <w:r>
        <w:rPr>
          <w:spacing w:val="-42"/>
        </w:rPr>
        <w:t> </w:t>
      </w:r>
      <w:r>
        <w:rPr>
          <w:spacing w:val="-42"/>
        </w:rPr>
      </w:r>
      <w:r>
        <w:rPr/>
        <w:t>偿该负债期间的适用税率计量。</w:t>
      </w:r>
    </w:p>
    <w:p>
      <w:pPr>
        <w:spacing w:line="336" w:lineRule="auto" w:before="49"/>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w:t>
      </w:r>
    </w:p>
    <w:p>
      <w:pPr>
        <w:pStyle w:val="BodyText"/>
        <w:spacing w:line="345" w:lineRule="auto" w:before="51"/>
        <w:ind w:left="138" w:right="137"/>
        <w:jc w:val="both"/>
      </w:pPr>
      <w:r>
        <w:rPr>
          <w:spacing w:val="-2"/>
        </w:rPr>
        <w:t>减的应纳税所得额为限，确认由可抵扣暂时性差异产生的递延所得税资产。但是，同时具有下列</w:t>
      </w:r>
      <w:r>
        <w:rPr>
          <w:spacing w:val="-26"/>
        </w:rPr>
        <w:t> </w:t>
      </w:r>
      <w:r>
        <w:rPr>
          <w:spacing w:val="-26"/>
        </w:rPr>
      </w:r>
      <w:r>
        <w:rPr>
          <w:spacing w:val="-4"/>
          <w:w w:val="100"/>
        </w:rPr>
        <w:t>特征的交易中因资产或负债的初始确认所产生的递延所得税资产不予确认：（</w:t>
      </w:r>
      <w:r>
        <w:rPr>
          <w:rFonts w:ascii="Times New Roman" w:hAnsi="Times New Roman" w:cs="Times New Roman" w:eastAsia="Times New Roman" w:hint="default"/>
          <w:spacing w:val="-4"/>
          <w:w w:val="100"/>
        </w:rPr>
        <w:t>1</w:t>
      </w:r>
      <w:r>
        <w:rPr>
          <w:spacing w:val="-4"/>
          <w:w w:val="100"/>
        </w:rPr>
        <w:t>）该交易不是企业</w:t>
      </w:r>
      <w:r>
        <w:rPr>
          <w:spacing w:val="-96"/>
          <w:w w:val="100"/>
        </w:rPr>
        <w:t> </w:t>
      </w:r>
      <w:r>
        <w:rPr>
          <w:spacing w:val="-96"/>
          <w:w w:val="100"/>
        </w:rPr>
      </w:r>
      <w:r>
        <w:rPr>
          <w:spacing w:val="-5"/>
          <w:w w:val="100"/>
        </w:rPr>
        <w:t>合并；（</w:t>
      </w:r>
      <w:r>
        <w:rPr>
          <w:rFonts w:ascii="Times New Roman" w:hAnsi="Times New Roman" w:cs="Times New Roman" w:eastAsia="Times New Roman" w:hint="default"/>
          <w:spacing w:val="-5"/>
          <w:w w:val="100"/>
        </w:rPr>
        <w:t>2</w:t>
      </w:r>
      <w:r>
        <w:rPr>
          <w:spacing w:val="-5"/>
          <w:w w:val="100"/>
        </w:rPr>
        <w:t>）交易发生时既不影响会计利润也不影响应纳税所得额或可抵扣亏损。</w:t>
      </w:r>
    </w:p>
    <w:p>
      <w:pPr>
        <w:pStyle w:val="BodyText"/>
        <w:spacing w:line="357" w:lineRule="auto" w:before="15"/>
        <w:ind w:left="138" w:right="137" w:firstLine="419"/>
        <w:jc w:val="both"/>
      </w:pPr>
      <w:r>
        <w:rPr>
          <w:spacing w:val="-2"/>
        </w:rPr>
        <w:t>对于与联营企业投资相关的可抵扣暂时性差异，同时满足下列条件的，确认相应的递延所得</w:t>
      </w:r>
      <w:r>
        <w:rPr>
          <w:w w:val="100"/>
        </w:rPr>
        <w:t> </w:t>
      </w:r>
      <w:r>
        <w:rPr>
          <w:spacing w:val="-2"/>
        </w:rPr>
        <w:t>税资产：暂时性差异在可预见的未来很可能转回，且未来很可能获得用来抵扣可抵扣暂时性差异</w:t>
      </w:r>
      <w:r>
        <w:rPr>
          <w:spacing w:val="-25"/>
        </w:rPr>
        <w:t> </w:t>
      </w:r>
      <w:r>
        <w:rPr>
          <w:spacing w:val="-25"/>
        </w:rPr>
      </w:r>
      <w:r>
        <w:rPr/>
        <w:t>的应纳税所得额。</w:t>
      </w:r>
    </w:p>
    <w:p>
      <w:pPr>
        <w:spacing w:line="336" w:lineRule="auto" w:before="30"/>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49"/>
        <w:ind w:left="558"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36" w:lineRule="auto" w:before="120"/>
        <w:ind w:left="138" w:right="127" w:firstLine="419"/>
        <w:jc w:val="both"/>
      </w:pPr>
      <w:r>
        <w:rPr>
          <w:spacing w:val="-4"/>
        </w:rPr>
        <w:t>（</w:t>
      </w:r>
      <w:r>
        <w:rPr>
          <w:rFonts w:ascii="Times New Roman" w:hAnsi="Times New Roman" w:cs="Times New Roman" w:eastAsia="Times New Roman"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p>
    <w:p>
      <w:pPr>
        <w:pStyle w:val="BodyText"/>
        <w:spacing w:line="336" w:lineRule="auto" w:before="49"/>
        <w:ind w:left="138" w:right="128" w:firstLine="419"/>
        <w:jc w:val="both"/>
      </w:pPr>
      <w:r>
        <w:rPr>
          <w:spacing w:val="-4"/>
        </w:rPr>
        <w:t>（</w:t>
      </w:r>
      <w:r>
        <w:rPr>
          <w:rFonts w:ascii="Times New Roman" w:hAnsi="Times New Roman" w:cs="Times New Roman" w:eastAsia="Times New Roman" w:hint="default"/>
          <w:spacing w:val="-4"/>
        </w:rPr>
        <w:t>3</w:t>
      </w:r>
      <w:r>
        <w:rPr>
          <w:spacing w:val="-4"/>
        </w:rPr>
        <w:t>）对于与子公司、联营企业投资相关的应纳税暂时性差异，该暂时性差异转回的时间能够</w:t>
      </w:r>
      <w:r>
        <w:rPr>
          <w:w w:val="100"/>
        </w:rPr>
        <w:t> </w:t>
      </w:r>
      <w:r>
        <w:rPr/>
        <w:t>控制并且该暂时性差异在可预见的未来很可能不会转回。</w:t>
      </w:r>
    </w:p>
    <w:p>
      <w:pPr>
        <w:pStyle w:val="Heading4"/>
        <w:spacing w:line="240" w:lineRule="auto" w:before="49"/>
        <w:ind w:left="560" w:right="0"/>
        <w:jc w:val="left"/>
        <w:rPr>
          <w:b w:val="0"/>
          <w:bCs w:val="0"/>
        </w:rPr>
      </w:pPr>
      <w:r>
        <w:rPr>
          <w:rFonts w:ascii="Times New Roman" w:hAnsi="Times New Roman" w:cs="Times New Roman" w:eastAsia="Times New Roman" w:hint="default"/>
        </w:rPr>
        <w:t>3</w:t>
      </w:r>
      <w:r>
        <w:rPr/>
        <w:t>．</w:t>
      </w:r>
      <w:r>
        <w:rPr>
          <w:spacing w:val="-10"/>
        </w:rPr>
        <w:t> </w:t>
      </w:r>
      <w:r>
        <w:rPr/>
        <w:t>同时满足下列条件时，将递延所得税资产及递延所得税负债以抵销后的净额列示</w:t>
      </w:r>
      <w:r>
        <w:rPr>
          <w:b w:val="0"/>
          <w:bCs w:val="0"/>
        </w:rPr>
      </w:r>
    </w:p>
    <w:p>
      <w:pPr>
        <w:pStyle w:val="BodyText"/>
        <w:spacing w:line="240" w:lineRule="auto" w:before="119"/>
        <w:ind w:left="558"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45" w:lineRule="auto" w:before="117"/>
        <w:ind w:left="138" w:right="128" w:firstLine="424"/>
        <w:jc w:val="both"/>
      </w:pPr>
      <w:r>
        <w:rPr>
          <w:spacing w:val="-4"/>
          <w:w w:val="100"/>
        </w:rPr>
        <w:t>（</w:t>
      </w:r>
      <w:r>
        <w:rPr>
          <w:rFonts w:ascii="Times New Roman" w:hAnsi="Times New Roman" w:cs="Times New Roman" w:eastAsia="Times New Roman" w:hint="default"/>
          <w:spacing w:val="-4"/>
          <w:w w:val="100"/>
        </w:rPr>
        <w:t>2</w:t>
      </w:r>
      <w:r>
        <w:rPr>
          <w:spacing w:val="-4"/>
          <w:w w:val="100"/>
        </w:rPr>
        <w:t>）递延所得税资产和递延所得税负债是与同一税收征管部门对同一纳税主体征收的所得税</w:t>
      </w:r>
      <w:r>
        <w:rPr>
          <w:w w:val="100"/>
        </w:rPr>
        <w:t> </w:t>
      </w:r>
      <w:r>
        <w:rPr>
          <w:spacing w:val="-1"/>
        </w:rPr>
        <w:t>相关或者对不同的纳税主体相关，但在未来每一具有重要性的递延所得税资产和递延所得税负债</w:t>
      </w:r>
      <w:r>
        <w:rPr>
          <w:spacing w:val="-55"/>
        </w:rPr>
        <w:t> </w:t>
      </w:r>
      <w:r>
        <w:rPr>
          <w:spacing w:val="-55"/>
        </w:rPr>
      </w:r>
      <w:r>
        <w:rPr>
          <w:spacing w:val="-1"/>
        </w:rPr>
        <w:t>转回的期间内，涉及的纳税主体体意图以净额结算当期所得税资产及当期所得税负债或是同时取</w:t>
      </w:r>
    </w:p>
    <w:p>
      <w:pPr>
        <w:spacing w:after="0" w:line="34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得资产、清偿债务。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90" w:lineRule="auto"/>
        <w:ind w:right="6201"/>
        <w:jc w:val="left"/>
        <w:rPr>
          <w:b w:val="0"/>
          <w:bCs w:val="0"/>
        </w:rPr>
      </w:pPr>
      <w:r>
        <w:rPr>
          <w:rFonts w:ascii="宋体" w:hAnsi="宋体" w:cs="宋体" w:eastAsia="宋体" w:hint="default"/>
        </w:rPr>
        <w:t>30.</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4" w:lineRule="exact" w:before="12"/>
        <w:ind w:right="2465"/>
        <w:jc w:val="left"/>
      </w:pPr>
      <w:r>
        <w:rPr/>
        <w:t>√适用</w:t>
      </w:r>
      <w:r>
        <w:rPr>
          <w:spacing w:val="-1"/>
        </w:rPr>
        <w:t> </w:t>
      </w:r>
      <w:r>
        <w:rPr/>
        <w:t>□不适用</w:t>
      </w:r>
    </w:p>
    <w:p>
      <w:pPr>
        <w:pStyle w:val="BodyText"/>
        <w:spacing w:line="355" w:lineRule="auto"/>
        <w:ind w:left="638" w:right="97"/>
        <w:jc w:val="left"/>
      </w:pPr>
      <w:r>
        <w:rPr/>
        <w:t>①经营租入资产</w:t>
      </w:r>
      <w:r>
        <w:rPr>
          <w:spacing w:val="-103"/>
        </w:rPr>
        <w:t> </w:t>
      </w:r>
      <w:r>
        <w:rPr>
          <w:spacing w:val="-103"/>
        </w:rPr>
      </w:r>
      <w:r>
        <w:rPr>
          <w:spacing w:val="-2"/>
        </w:rPr>
        <w:t>公司租入资产所支付的租赁费，在不扣除免租期的整个租赁期内，按直线法进行分摊，计入</w:t>
      </w:r>
    </w:p>
    <w:p>
      <w:pPr>
        <w:pStyle w:val="BodyText"/>
        <w:spacing w:line="355" w:lineRule="auto" w:before="32"/>
        <w:ind w:left="638" w:right="97" w:hanging="420"/>
        <w:jc w:val="left"/>
      </w:pP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w:t>
      </w:r>
    </w:p>
    <w:p>
      <w:pPr>
        <w:pStyle w:val="BodyText"/>
        <w:spacing w:line="240" w:lineRule="auto" w:before="33"/>
        <w:ind w:right="2465"/>
        <w:jc w:val="left"/>
      </w:pPr>
      <w:r>
        <w:rPr/>
        <w:t>除，按扣除后的租金费用在租赁期内分摊，计入当期费用。</w:t>
      </w:r>
    </w:p>
    <w:p>
      <w:pPr>
        <w:pStyle w:val="BodyText"/>
        <w:spacing w:line="355" w:lineRule="auto" w:before="135"/>
        <w:ind w:left="638" w:right="97"/>
        <w:jc w:val="left"/>
      </w:pPr>
      <w:r>
        <w:rPr/>
        <w:t>②经营租出资产</w:t>
      </w:r>
      <w:r>
        <w:rPr>
          <w:spacing w:val="-103"/>
        </w:rPr>
        <w:t> </w:t>
      </w:r>
      <w:r>
        <w:rPr>
          <w:spacing w:val="-103"/>
        </w:rPr>
      </w:r>
      <w:r>
        <w:rPr>
          <w:spacing w:val="-2"/>
        </w:rPr>
        <w:t>公司出租资产所收取的租赁费，在不扣除免租期的整个租赁期内，按直线法进行分摊，确认</w:t>
      </w:r>
    </w:p>
    <w:p>
      <w:pPr>
        <w:pStyle w:val="BodyText"/>
        <w:spacing w:line="355" w:lineRule="auto" w:before="32"/>
        <w:ind w:right="97"/>
        <w:jc w:val="left"/>
      </w:pPr>
      <w:r>
        <w:rPr>
          <w:spacing w:val="-2"/>
        </w:rPr>
        <w:t>为租赁收入。公司支付的与租赁交易相关的初始直接费用，计入当期费用；如金额较大的，则予</w:t>
      </w:r>
      <w:r>
        <w:rPr>
          <w:spacing w:val="-25"/>
        </w:rPr>
        <w:t> </w:t>
      </w:r>
      <w:r>
        <w:rPr>
          <w:spacing w:val="-25"/>
        </w:rPr>
      </w:r>
      <w:r>
        <w:rPr/>
        <w:t>以资本化，在整个租赁期间内按照与租赁收入确认相同的基础分期计入当期收益。</w:t>
      </w:r>
    </w:p>
    <w:p>
      <w:pPr>
        <w:pStyle w:val="BodyText"/>
        <w:spacing w:line="357" w:lineRule="auto" w:before="32"/>
        <w:ind w:right="237" w:firstLine="419"/>
        <w:jc w:val="both"/>
      </w:pPr>
      <w:r>
        <w:rPr>
          <w:spacing w:val="-2"/>
        </w:rPr>
        <w:t>公司承担了应由承租方承担的与租赁相关的费用时，公司将该部分费用从租金收入总额中扣</w:t>
      </w:r>
      <w:r>
        <w:rPr>
          <w:w w:val="100"/>
        </w:rPr>
        <w:t> </w:t>
      </w:r>
      <w:r>
        <w:rPr/>
        <w:t>除，按扣除后的租金费用在租赁期内分配。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2465"/>
        <w:jc w:val="left"/>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56"/>
        <w:ind w:left="638" w:right="97" w:hanging="420"/>
        <w:jc w:val="left"/>
      </w:pPr>
      <w:r>
        <w:rPr/>
        <w:t>√适用</w:t>
      </w:r>
      <w:r>
        <w:rPr>
          <w:spacing w:val="-2"/>
        </w:rPr>
        <w:t> </w:t>
      </w:r>
      <w:r>
        <w:rPr/>
        <w:t>□不适用</w:t>
      </w:r>
      <w:r>
        <w:rPr>
          <w:w w:val="100"/>
        </w:rPr>
        <w:t> </w:t>
      </w:r>
      <w:r>
        <w:rPr>
          <w:spacing w:val="-2"/>
        </w:rPr>
        <w:t>融资租入资产：公司在承租开始日，将租赁资产公允价值与最低租赁付款额现值两者中较低</w:t>
      </w:r>
    </w:p>
    <w:p>
      <w:pPr>
        <w:pStyle w:val="BodyText"/>
        <w:spacing w:line="355" w:lineRule="auto" w:before="133"/>
        <w:ind w:right="97"/>
        <w:jc w:val="left"/>
      </w:pPr>
      <w:r>
        <w:rPr>
          <w:spacing w:val="-2"/>
        </w:rPr>
        <w:t>者作为租入资产的入账价值，将最低租赁付款额作为长期应付款的入账价值，其差额作为未确认</w:t>
      </w:r>
      <w:r>
        <w:rPr>
          <w:spacing w:val="-25"/>
        </w:rPr>
        <w:t> </w:t>
      </w:r>
      <w:r>
        <w:rPr>
          <w:spacing w:val="-25"/>
        </w:rPr>
      </w:r>
      <w:r>
        <w:rPr/>
        <w:t>的融资费用。</w:t>
      </w:r>
    </w:p>
    <w:p>
      <w:pPr>
        <w:pStyle w:val="BodyText"/>
        <w:spacing w:line="357" w:lineRule="auto" w:before="32"/>
        <w:ind w:left="638" w:right="97" w:firstLine="7"/>
        <w:jc w:val="left"/>
      </w:pPr>
      <w:r>
        <w:rPr/>
        <w:t>融资租入资产的认定依据、计价和折旧方法详见固定资产。</w:t>
      </w:r>
      <w:r>
        <w:rPr>
          <w:w w:val="100"/>
        </w:rPr>
        <w:t> </w:t>
      </w:r>
      <w:r>
        <w:rPr>
          <w:spacing w:val="-2"/>
        </w:rPr>
        <w:t>公司采用实际利率法对未确认的融资费用，在资产租赁期间内摊销，计入财务费用。</w:t>
      </w:r>
    </w:p>
    <w:p>
      <w:pPr>
        <w:pStyle w:val="BodyText"/>
        <w:spacing w:line="348" w:lineRule="auto" w:before="30"/>
        <w:ind w:right="228" w:firstLine="419"/>
        <w:jc w:val="both"/>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w:t>
      </w:r>
      <w:r>
        <w:rPr>
          <w:w w:val="100"/>
        </w:rPr>
        <w:t> </w:t>
      </w:r>
      <w:r>
        <w:rPr>
          <w:spacing w:val="-2"/>
        </w:rPr>
        <w:t>额确认为未实现融资收益，在将来收到租金的各期间内确认为租赁收入，公司发生的与出租交易</w:t>
      </w:r>
      <w:r>
        <w:rPr>
          <w:spacing w:val="-25"/>
        </w:rPr>
        <w:t> </w:t>
      </w:r>
      <w:r>
        <w:rPr>
          <w:spacing w:val="-25"/>
        </w:rPr>
      </w:r>
      <w:r>
        <w:rPr/>
        <w:t>相关的初始直接费用，计入应收融资租赁款的初始计量中，并减少租赁期内确认的收益金额。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4"/>
        <w:spacing w:line="240" w:lineRule="auto"/>
        <w:ind w:right="2465"/>
        <w:jc w:val="left"/>
        <w:rPr>
          <w:b w:val="0"/>
          <w:bCs w:val="0"/>
        </w:rPr>
      </w:pPr>
      <w:r>
        <w:rPr>
          <w:rFonts w:ascii="宋体" w:hAnsi="宋体" w:cs="宋体" w:eastAsia="宋体" w:hint="default"/>
        </w:rPr>
        <w:t>31. </w:t>
      </w:r>
      <w:r>
        <w:rPr/>
        <w:t>其他重要的会计政策和会计估计</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right="5673"/>
        <w:jc w:val="left"/>
        <w:rPr>
          <w:b w:val="0"/>
          <w:bCs w:val="0"/>
        </w:rPr>
      </w:pPr>
      <w:r>
        <w:rPr>
          <w:rFonts w:ascii="宋体" w:hAnsi="宋体" w:cs="宋体" w:eastAsia="宋体" w:hint="default"/>
        </w:rPr>
        <w:t>32.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right="2465"/>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7"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bl>
    <w:p>
      <w:pPr>
        <w:spacing w:after="0" w:line="273"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1179"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Arial Narrow" w:hAnsi="Arial Narrow" w:cs="Arial Narrow" w:eastAsia="Arial Narrow" w:hint="default"/>
                <w:spacing w:val="-1"/>
                <w:sz w:val="18"/>
                <w:szCs w:val="18"/>
              </w:rPr>
              <w:t>201</w:t>
            </w:r>
            <w:r>
              <w:rPr>
                <w:rFonts w:ascii="Arial Narrow" w:hAnsi="Arial Narrow" w:cs="Arial Narrow" w:eastAsia="Arial Narrow" w:hint="default"/>
                <w:sz w:val="18"/>
                <w:szCs w:val="18"/>
              </w:rPr>
              <w:t>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1"/>
                <w:sz w:val="18"/>
                <w:szCs w:val="18"/>
              </w:rPr>
              <w:t>2</w:t>
            </w:r>
            <w:r>
              <w:rPr>
                <w:rFonts w:ascii="Arial Narrow" w:hAnsi="Arial Narrow" w:cs="Arial Narrow" w:eastAsia="Arial Narrow" w:hint="default"/>
                <w:sz w:val="18"/>
                <w:szCs w:val="18"/>
              </w:rPr>
              <w:t>8</w:t>
            </w:r>
            <w:r>
              <w:rPr>
                <w:rFonts w:ascii="Arial Narrow" w:hAnsi="Arial Narrow" w:cs="Arial Narrow" w:eastAsia="Arial Narrow"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财政部发</w:t>
            </w:r>
            <w:r>
              <w:rPr>
                <w:rFonts w:ascii="宋体" w:hAnsi="宋体" w:cs="宋体" w:eastAsia="宋体" w:hint="default"/>
                <w:spacing w:val="2"/>
                <w:sz w:val="18"/>
                <w:szCs w:val="18"/>
              </w:rPr>
              <w:t>布</w:t>
            </w:r>
            <w:r>
              <w:rPr>
                <w:rFonts w:ascii="宋体" w:hAnsi="宋体" w:cs="宋体" w:eastAsia="宋体" w:hint="default"/>
                <w:spacing w:val="-92"/>
                <w:sz w:val="18"/>
                <w:szCs w:val="18"/>
              </w:rPr>
              <w:t>了</w:t>
            </w:r>
            <w:r>
              <w:rPr>
                <w:rFonts w:ascii="宋体" w:hAnsi="宋体" w:cs="宋体" w:eastAsia="宋体" w:hint="default"/>
                <w:sz w:val="18"/>
                <w:szCs w:val="18"/>
              </w:rPr>
              <w:t>《企</w:t>
            </w:r>
          </w:p>
          <w:p>
            <w:pPr>
              <w:pStyle w:val="TableParagraph"/>
              <w:spacing w:line="235" w:lineRule="auto"/>
              <w:ind w:left="103" w:right="1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63"/>
                <w:sz w:val="18"/>
                <w:szCs w:val="18"/>
              </w:rPr>
              <w:t> </w:t>
            </w:r>
            <w:r>
              <w:rPr>
                <w:rFonts w:ascii="Arial Narrow" w:hAnsi="Arial Narrow" w:cs="Arial Narrow" w:eastAsia="Arial Narrow" w:hint="default"/>
                <w:sz w:val="18"/>
                <w:szCs w:val="18"/>
              </w:rPr>
              <w:t>42</w:t>
            </w:r>
            <w:r>
              <w:rPr>
                <w:rFonts w:ascii="Arial Narrow" w:hAnsi="Arial Narrow" w:cs="Arial Narrow" w:eastAsia="Arial Narrow" w:hint="default"/>
                <w:spacing w:val="-14"/>
                <w:sz w:val="18"/>
                <w:szCs w:val="18"/>
              </w:rPr>
              <w:t> </w:t>
            </w:r>
            <w:r>
              <w:rPr>
                <w:rFonts w:ascii="宋体" w:hAnsi="宋体" w:cs="宋体" w:eastAsia="宋体" w:hint="default"/>
                <w:sz w:val="18"/>
                <w:szCs w:val="18"/>
              </w:rPr>
              <w:t>号——持有待售的 </w:t>
            </w:r>
            <w:r>
              <w:rPr>
                <w:rFonts w:ascii="宋体" w:hAnsi="宋体" w:cs="宋体" w:eastAsia="宋体" w:hint="default"/>
                <w:spacing w:val="-3"/>
                <w:sz w:val="18"/>
                <w:szCs w:val="18"/>
              </w:rPr>
              <w:t>非流动资产、处置组和终止经营》，</w:t>
            </w:r>
            <w:r>
              <w:rPr>
                <w:rFonts w:ascii="宋体" w:hAnsi="宋体" w:cs="宋体" w:eastAsia="宋体" w:hint="default"/>
                <w:sz w:val="18"/>
                <w:szCs w:val="18"/>
              </w:rPr>
              <w:t> 本公司根据修订后的准则进行了相 应的调整。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根据《上海证券交易所股票上市规</w:t>
            </w:r>
          </w:p>
          <w:p>
            <w:pPr>
              <w:pStyle w:val="TableParagraph"/>
              <w:spacing w:line="237" w:lineRule="auto"/>
              <w:ind w:left="100" w:right="105"/>
              <w:jc w:val="left"/>
              <w:rPr>
                <w:rFonts w:ascii="宋体" w:hAnsi="宋体" w:cs="宋体" w:eastAsia="宋体" w:hint="default"/>
                <w:sz w:val="18"/>
                <w:szCs w:val="18"/>
              </w:rPr>
            </w:pPr>
            <w:r>
              <w:rPr>
                <w:rFonts w:ascii="宋体" w:hAnsi="宋体" w:cs="宋体" w:eastAsia="宋体" w:hint="default"/>
                <w:spacing w:val="-3"/>
                <w:sz w:val="18"/>
                <w:szCs w:val="18"/>
              </w:rPr>
              <w:t>则》等有关规定，该部分会计政策变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更已经公司第八届董事会第五十一 </w:t>
            </w:r>
            <w:r>
              <w:rPr>
                <w:rFonts w:ascii="宋体" w:hAnsi="宋体" w:cs="宋体" w:eastAsia="宋体" w:hint="default"/>
                <w:spacing w:val="-3"/>
                <w:sz w:val="18"/>
                <w:szCs w:val="18"/>
              </w:rPr>
              <w:t>次会议审议并通过。本次会计政策变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更无需提交公司股东大会审议。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41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both"/>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4"/>
                <w:sz w:val="18"/>
                <w:szCs w:val="18"/>
              </w:rPr>
              <w:t> </w:t>
            </w:r>
            <w:r>
              <w:rPr>
                <w:rFonts w:ascii="宋体" w:hAnsi="宋体" w:cs="宋体" w:eastAsia="宋体" w:hint="default"/>
                <w:spacing w:val="-5"/>
                <w:sz w:val="18"/>
                <w:szCs w:val="18"/>
              </w:rPr>
              <w:t>日，财政部公布了修</w:t>
            </w:r>
          </w:p>
          <w:p>
            <w:pPr>
              <w:pStyle w:val="TableParagraph"/>
              <w:spacing w:line="235" w:lineRule="auto"/>
              <w:ind w:left="103" w:right="101"/>
              <w:jc w:val="both"/>
              <w:rPr>
                <w:rFonts w:ascii="宋体" w:hAnsi="宋体" w:cs="宋体" w:eastAsia="宋体" w:hint="default"/>
                <w:sz w:val="18"/>
                <w:szCs w:val="18"/>
              </w:rPr>
            </w:pPr>
            <w:r>
              <w:rPr>
                <w:rFonts w:ascii="宋体" w:hAnsi="宋体" w:cs="宋体" w:eastAsia="宋体" w:hint="default"/>
                <w:spacing w:val="-4"/>
                <w:sz w:val="18"/>
                <w:szCs w:val="18"/>
              </w:rPr>
              <w:t>订后的《企业会计准则第</w:t>
            </w:r>
            <w:r>
              <w:rPr>
                <w:rFonts w:ascii="宋体" w:hAnsi="宋体" w:cs="宋体" w:eastAsia="宋体" w:hint="default"/>
                <w:spacing w:val="-42"/>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7"/>
                <w:sz w:val="18"/>
                <w:szCs w:val="18"/>
              </w:rPr>
              <w:t> </w:t>
            </w:r>
            <w:r>
              <w:rPr>
                <w:rFonts w:ascii="宋体" w:hAnsi="宋体" w:cs="宋体" w:eastAsia="宋体" w:hint="default"/>
                <w:sz w:val="18"/>
                <w:szCs w:val="18"/>
              </w:rPr>
              <w:t>号—— 政府补助》，本公司根据该准则及 财政部《关于修订印发一般企业财 务报表格式的通知》进行了相应的 调整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根据《上海证券交易所股票上市规</w:t>
            </w:r>
          </w:p>
          <w:p>
            <w:pPr>
              <w:pStyle w:val="TableParagraph"/>
              <w:spacing w:line="237" w:lineRule="auto"/>
              <w:ind w:left="100" w:right="105"/>
              <w:jc w:val="left"/>
              <w:rPr>
                <w:rFonts w:ascii="宋体" w:hAnsi="宋体" w:cs="宋体" w:eastAsia="宋体" w:hint="default"/>
                <w:sz w:val="18"/>
                <w:szCs w:val="18"/>
              </w:rPr>
            </w:pPr>
            <w:r>
              <w:rPr>
                <w:rFonts w:ascii="宋体" w:hAnsi="宋体" w:cs="宋体" w:eastAsia="宋体" w:hint="default"/>
                <w:spacing w:val="-3"/>
                <w:sz w:val="18"/>
                <w:szCs w:val="18"/>
              </w:rPr>
              <w:t>则》等有关规定，该部分会计政策变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更已经公司第八届董事会第四十六 </w:t>
            </w:r>
            <w:r>
              <w:rPr>
                <w:rFonts w:ascii="宋体" w:hAnsi="宋体" w:cs="宋体" w:eastAsia="宋体" w:hint="default"/>
                <w:spacing w:val="-3"/>
                <w:sz w:val="18"/>
                <w:szCs w:val="18"/>
              </w:rPr>
              <w:t>次会议审议并通过。本次会计政策变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更无需提交公司股东大会审议。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39" w:lineRule="exact"/>
        <w:ind w:right="0"/>
        <w:jc w:val="both"/>
      </w:pPr>
      <w:r>
        <w:rPr/>
        <w:t>其他说明</w:t>
      </w:r>
    </w:p>
    <w:p>
      <w:pPr>
        <w:pStyle w:val="BodyText"/>
        <w:spacing w:line="273" w:lineRule="exact"/>
        <w:ind w:left="638" w:right="97"/>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5"/>
        </w:rPr>
        <w:t> </w:t>
      </w:r>
      <w:r>
        <w:rPr/>
        <w:t>日，财政部发布了《企业会计准则第</w:t>
      </w:r>
      <w:r>
        <w:rPr>
          <w:spacing w:val="-54"/>
        </w:rPr>
        <w:t> </w:t>
      </w:r>
      <w:r>
        <w:rPr>
          <w:rFonts w:ascii="宋体" w:hAnsi="宋体" w:cs="宋体" w:eastAsia="宋体" w:hint="default"/>
        </w:rPr>
        <w:t>42</w:t>
      </w:r>
      <w:r>
        <w:rPr>
          <w:rFonts w:ascii="宋体" w:hAnsi="宋体" w:cs="宋体" w:eastAsia="宋体" w:hint="default"/>
          <w:spacing w:val="-54"/>
        </w:rPr>
        <w:t> </w:t>
      </w:r>
      <w:r>
        <w:rPr/>
        <w:t>号——持有待售的非流动资产、</w:t>
      </w:r>
    </w:p>
    <w:p>
      <w:pPr>
        <w:pStyle w:val="BodyText"/>
        <w:spacing w:line="355" w:lineRule="auto" w:before="136"/>
        <w:ind w:right="237"/>
        <w:jc w:val="both"/>
      </w:pPr>
      <w:r>
        <w:rPr/>
        <w:t>处置组和终止经营》，该准则自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日起施行。对于本准则施行日存在的持有待售的</w:t>
      </w:r>
      <w:r>
        <w:rPr>
          <w:w w:val="100"/>
        </w:rPr>
        <w:t> </w:t>
      </w:r>
      <w:r>
        <w:rPr/>
        <w:t>非流动资产、处置组和终止经营，应当采用未来适用法处理。</w:t>
      </w:r>
    </w:p>
    <w:p>
      <w:pPr>
        <w:pStyle w:val="BodyText"/>
        <w:spacing w:line="355" w:lineRule="auto" w:before="32"/>
        <w:ind w:right="237" w:firstLine="419"/>
        <w:jc w:val="both"/>
      </w:pPr>
      <w:r>
        <w:rPr/>
        <w:t>本公司自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日开始采用该修订后的准则，公司已根据新准则要求，列报了当期</w:t>
      </w:r>
      <w:r>
        <w:rPr>
          <w:w w:val="100"/>
        </w:rPr>
        <w:t> </w:t>
      </w:r>
      <w:r>
        <w:rPr>
          <w:spacing w:val="-2"/>
        </w:rPr>
        <w:t>财务报表，与此同时，对在当期财务报表中将原来作为持续经营损益列报的信息上重新作为可比</w:t>
      </w:r>
      <w:r>
        <w:rPr>
          <w:spacing w:val="-25"/>
        </w:rPr>
        <w:t> </w:t>
      </w:r>
      <w:r>
        <w:rPr>
          <w:spacing w:val="-25"/>
        </w:rPr>
      </w:r>
      <w:r>
        <w:rPr/>
        <w:t>会计期间的终止经营损益列报，并按照本准则规定披露可比会计期间的信息。</w:t>
      </w:r>
    </w:p>
    <w:p>
      <w:pPr>
        <w:pStyle w:val="BodyText"/>
        <w:spacing w:line="240" w:lineRule="auto" w:before="34"/>
        <w:ind w:left="638" w:right="97"/>
        <w:jc w:val="left"/>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5"/>
        </w:rPr>
        <w:t> </w:t>
      </w:r>
      <w:r>
        <w:rPr/>
        <w:t>日，财政部公布了修订后的《企业会计准则第</w:t>
      </w:r>
      <w:r>
        <w:rPr>
          <w:spacing w:val="-54"/>
        </w:rPr>
        <w:t> </w:t>
      </w:r>
      <w:r>
        <w:rPr>
          <w:rFonts w:ascii="宋体" w:hAnsi="宋体" w:cs="宋体" w:eastAsia="宋体" w:hint="default"/>
        </w:rPr>
        <w:t>16</w:t>
      </w:r>
      <w:r>
        <w:rPr>
          <w:rFonts w:ascii="宋体" w:hAnsi="宋体" w:cs="宋体" w:eastAsia="宋体" w:hint="default"/>
          <w:spacing w:val="-54"/>
        </w:rPr>
        <w:t> </w:t>
      </w:r>
      <w:r>
        <w:rPr/>
        <w:t>号——政府补助》，该</w:t>
      </w:r>
    </w:p>
    <w:p>
      <w:pPr>
        <w:pStyle w:val="BodyText"/>
        <w:spacing w:line="240" w:lineRule="auto" w:before="133"/>
        <w:ind w:right="0"/>
        <w:jc w:val="both"/>
      </w:pPr>
      <w:r>
        <w:rPr>
          <w:w w:val="100"/>
        </w:rPr>
        <w:t>准则</w:t>
      </w:r>
      <w:r>
        <w:rPr>
          <w:spacing w:val="-3"/>
          <w:w w:val="100"/>
        </w:rPr>
        <w:t>修订</w:t>
      </w:r>
      <w:r>
        <w:rPr>
          <w:w w:val="100"/>
        </w:rPr>
        <w:t>自</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4"/>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日</w:t>
      </w:r>
      <w:r>
        <w:rPr>
          <w:spacing w:val="-3"/>
          <w:w w:val="100"/>
        </w:rPr>
        <w:t>起</w:t>
      </w:r>
      <w:r>
        <w:rPr>
          <w:w w:val="100"/>
        </w:rPr>
        <w:t>施</w:t>
      </w:r>
      <w:r>
        <w:rPr>
          <w:spacing w:val="-3"/>
          <w:w w:val="100"/>
        </w:rPr>
        <w:t>行</w:t>
      </w:r>
      <w:r>
        <w:rPr>
          <w:spacing w:val="-94"/>
          <w:w w:val="100"/>
        </w:rPr>
        <w:t>，</w:t>
      </w:r>
      <w:r>
        <w:rPr>
          <w:w w:val="100"/>
        </w:rPr>
        <w:t>同</w:t>
      </w:r>
      <w:r>
        <w:rPr>
          <w:spacing w:val="-3"/>
          <w:w w:val="100"/>
        </w:rPr>
        <w:t>时</w:t>
      </w:r>
      <w:r>
        <w:rPr>
          <w:w w:val="100"/>
        </w:rPr>
        <w:t>要</w:t>
      </w:r>
      <w:r>
        <w:rPr>
          <w:spacing w:val="-3"/>
          <w:w w:val="100"/>
        </w:rPr>
        <w:t>求</w:t>
      </w:r>
      <w:r>
        <w:rPr>
          <w:w w:val="100"/>
        </w:rPr>
        <w:t>企</w:t>
      </w:r>
      <w:r>
        <w:rPr>
          <w:spacing w:val="-3"/>
          <w:w w:val="100"/>
        </w:rPr>
        <w:t>业</w:t>
      </w:r>
      <w:r>
        <w:rPr>
          <w:w w:val="100"/>
        </w:rPr>
        <w:t>对</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存</w:t>
      </w:r>
      <w:r>
        <w:rPr>
          <w:spacing w:val="-3"/>
          <w:w w:val="100"/>
        </w:rPr>
        <w:t>在的</w:t>
      </w:r>
      <w:r>
        <w:rPr>
          <w:w w:val="100"/>
        </w:rPr>
        <w:t>政府</w:t>
      </w:r>
      <w:r>
        <w:rPr>
          <w:spacing w:val="-3"/>
          <w:w w:val="100"/>
        </w:rPr>
        <w:t>补</w:t>
      </w:r>
      <w:r>
        <w:rPr>
          <w:w w:val="100"/>
        </w:rPr>
        <w:t>助</w:t>
      </w:r>
      <w:r>
        <w:rPr>
          <w:spacing w:val="-3"/>
          <w:w w:val="100"/>
        </w:rPr>
        <w:t>采</w:t>
      </w:r>
      <w:r>
        <w:rPr>
          <w:w w:val="100"/>
        </w:rPr>
        <w:t>用</w:t>
      </w:r>
      <w:r>
        <w:rPr>
          <w:spacing w:val="-3"/>
          <w:w w:val="100"/>
        </w:rPr>
        <w:t>未</w:t>
      </w:r>
      <w:r>
        <w:rPr>
          <w:w w:val="100"/>
        </w:rPr>
        <w:t>来</w:t>
      </w:r>
    </w:p>
    <w:p>
      <w:pPr>
        <w:pStyle w:val="BodyText"/>
        <w:spacing w:line="357" w:lineRule="auto" w:before="133"/>
        <w:ind w:left="638" w:right="122" w:hanging="420"/>
        <w:jc w:val="left"/>
      </w:pPr>
      <w:r>
        <w:rPr>
          <w:spacing w:val="-16"/>
          <w:w w:val="100"/>
        </w:rPr>
        <w:t>适用法处理，对</w:t>
      </w:r>
      <w:r>
        <w:rPr>
          <w:spacing w:val="-68"/>
          <w:w w:val="100"/>
        </w:rPr>
        <w:t> </w:t>
      </w:r>
      <w:r>
        <w:rPr>
          <w:rFonts w:ascii="宋体" w:hAnsi="宋体" w:cs="宋体" w:eastAsia="宋体" w:hint="default"/>
          <w:w w:val="100"/>
        </w:rPr>
        <w:t>2017</w:t>
      </w:r>
      <w:r>
        <w:rPr>
          <w:rFonts w:ascii="宋体" w:hAnsi="宋体" w:cs="宋体" w:eastAsia="宋体" w:hint="default"/>
          <w:spacing w:val="-67"/>
          <w:w w:val="100"/>
        </w:rPr>
        <w:t> </w:t>
      </w:r>
      <w:r>
        <w:rPr>
          <w:w w:val="100"/>
        </w:rPr>
        <w:t>年</w:t>
      </w:r>
      <w:r>
        <w:rPr>
          <w:spacing w:val="-67"/>
          <w:w w:val="100"/>
        </w:rPr>
        <w:t> </w:t>
      </w:r>
      <w:r>
        <w:rPr>
          <w:rFonts w:ascii="宋体" w:hAnsi="宋体" w:cs="宋体" w:eastAsia="宋体" w:hint="default"/>
          <w:w w:val="100"/>
        </w:rPr>
        <w:t>1</w:t>
      </w:r>
      <w:r>
        <w:rPr>
          <w:rFonts w:ascii="宋体" w:hAnsi="宋体" w:cs="宋体" w:eastAsia="宋体" w:hint="default"/>
          <w:spacing w:val="-70"/>
          <w:w w:val="100"/>
        </w:rPr>
        <w:t> </w:t>
      </w:r>
      <w:r>
        <w:rPr>
          <w:w w:val="100"/>
        </w:rPr>
        <w:t>月</w:t>
      </w:r>
      <w:r>
        <w:rPr>
          <w:spacing w:val="-67"/>
          <w:w w:val="100"/>
        </w:rPr>
        <w:t> </w:t>
      </w:r>
      <w:r>
        <w:rPr>
          <w:rFonts w:ascii="宋体" w:hAnsi="宋体" w:cs="宋体" w:eastAsia="宋体" w:hint="default"/>
          <w:w w:val="100"/>
        </w:rPr>
        <w:t>1</w:t>
      </w:r>
      <w:r>
        <w:rPr>
          <w:rFonts w:ascii="宋体" w:hAnsi="宋体" w:cs="宋体" w:eastAsia="宋体" w:hint="default"/>
          <w:spacing w:val="-67"/>
          <w:w w:val="100"/>
        </w:rPr>
        <w:t> </w:t>
      </w:r>
      <w:r>
        <w:rPr>
          <w:spacing w:val="-2"/>
          <w:w w:val="100"/>
        </w:rPr>
        <w:t>日至该准则施行日之间新增的政府补助根据修订后的准则进行调整。</w:t>
      </w:r>
      <w:r>
        <w:rPr>
          <w:w w:val="100"/>
        </w:rPr>
        <w:t> </w:t>
      </w:r>
      <w:r>
        <w:rPr/>
        <w:t>根据新准则，与企业日常活动相关的政府补助，应当按照经济业务实质，计入其他收益或者</w:t>
      </w:r>
    </w:p>
    <w:p>
      <w:pPr>
        <w:pStyle w:val="BodyText"/>
        <w:spacing w:line="357" w:lineRule="auto" w:before="30"/>
        <w:ind w:right="237"/>
        <w:jc w:val="both"/>
      </w:pPr>
      <w:r>
        <w:rPr>
          <w:spacing w:val="-2"/>
        </w:rPr>
        <w:t>冲减相关成本费用，企业应当在利润表中的“营业利润”项目之上单独列报“其他收益”项目，</w:t>
      </w:r>
      <w:r>
        <w:rPr>
          <w:spacing w:val="-25"/>
        </w:rPr>
        <w:t> </w:t>
      </w:r>
      <w:r>
        <w:rPr>
          <w:spacing w:val="-25"/>
        </w:rPr>
      </w:r>
      <w:r>
        <w:rPr/>
        <w:t>列示计入其他收益的政府补助。与企业日常活动无关的政府补助，应当计入营业外收支。</w:t>
      </w:r>
    </w:p>
    <w:p>
      <w:pPr>
        <w:pStyle w:val="BodyText"/>
        <w:spacing w:line="355" w:lineRule="auto" w:before="30"/>
        <w:ind w:right="228" w:firstLine="419"/>
        <w:jc w:val="both"/>
      </w:pPr>
      <w:r>
        <w:rPr>
          <w:w w:val="100"/>
        </w:rPr>
        <w:t>公司自 </w:t>
      </w:r>
      <w:r>
        <w:rPr>
          <w:rFonts w:ascii="宋体" w:hAnsi="宋体" w:cs="宋体" w:eastAsia="宋体" w:hint="default"/>
          <w:spacing w:val="-1"/>
          <w:w w:val="100"/>
        </w:rPr>
        <w:t>2017</w:t>
      </w:r>
      <w:r>
        <w:rPr>
          <w:rFonts w:ascii="宋体" w:hAnsi="宋体" w:cs="宋体" w:eastAsia="宋体" w:hint="default"/>
          <w:w w:val="100"/>
        </w:rPr>
        <w:t> </w:t>
      </w:r>
      <w:r>
        <w:rPr>
          <w:w w:val="100"/>
        </w:rPr>
        <w:t>年 </w:t>
      </w:r>
      <w:r>
        <w:rPr>
          <w:rFonts w:ascii="宋体" w:hAnsi="宋体" w:cs="宋体" w:eastAsia="宋体" w:hint="default"/>
          <w:w w:val="100"/>
        </w:rPr>
        <w:t>6 </w:t>
      </w:r>
      <w:r>
        <w:rPr>
          <w:w w:val="100"/>
        </w:rPr>
        <w:t>月 </w:t>
      </w:r>
      <w:r>
        <w:rPr>
          <w:rFonts w:ascii="宋体" w:hAnsi="宋体" w:cs="宋体" w:eastAsia="宋体" w:hint="default"/>
          <w:w w:val="100"/>
        </w:rPr>
        <w:t>12 </w:t>
      </w:r>
      <w:r>
        <w:rPr>
          <w:spacing w:val="-5"/>
          <w:w w:val="100"/>
        </w:rPr>
        <w:t>日起开始执行上述准则，并根据新准则的规定对相关会计政策进行</w:t>
      </w:r>
      <w:r>
        <w:rPr>
          <w:w w:val="100"/>
        </w:rPr>
        <w:t> </w:t>
      </w:r>
      <w:r>
        <w:rPr>
          <w:spacing w:val="-2"/>
        </w:rPr>
        <w:t>变更。根据新准则的要求，公司将修改财务报表列报：利润表中增加“其他收益”项目，并按新</w:t>
      </w:r>
      <w:r>
        <w:rPr>
          <w:spacing w:val="-25"/>
        </w:rPr>
        <w:t> </w:t>
      </w:r>
      <w:r>
        <w:rPr>
          <w:spacing w:val="-25"/>
        </w:rPr>
      </w:r>
      <w:r>
        <w:rPr/>
        <w:t>准则规定列示政府补助。</w:t>
      </w:r>
    </w:p>
    <w:p>
      <w:pPr>
        <w:pStyle w:val="BodyText"/>
        <w:spacing w:line="355" w:lineRule="auto" w:before="34"/>
        <w:ind w:left="638" w:right="97"/>
        <w:jc w:val="left"/>
      </w:pPr>
      <w:r>
        <w:rPr>
          <w:spacing w:val="-7"/>
          <w:w w:val="100"/>
        </w:rPr>
        <w:t>本次会计政策变更对公司财务状况、经营成果和现金流量无重大影响，也无需进行追溯调整。</w:t>
      </w:r>
      <w:r>
        <w:rPr>
          <w:spacing w:val="-77"/>
          <w:w w:val="100"/>
        </w:rPr>
        <w:t> </w:t>
      </w:r>
      <w:r>
        <w:rPr>
          <w:spacing w:val="-77"/>
          <w:w w:val="100"/>
        </w:rPr>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4"/>
        </w:rPr>
        <w:t> </w:t>
      </w:r>
      <w:r>
        <w:rPr/>
        <w:t>日，财政部发布了《关于修订印发一般企业财务报表格式的通知》（财</w:t>
      </w:r>
    </w:p>
    <w:p>
      <w:pPr>
        <w:pStyle w:val="BodyText"/>
        <w:spacing w:line="355" w:lineRule="auto" w:before="33"/>
        <w:ind w:right="227"/>
        <w:jc w:val="both"/>
      </w:pPr>
      <w:r>
        <w:rPr>
          <w:spacing w:val="-6"/>
        </w:rPr>
        <w:t>会〔</w:t>
      </w:r>
      <w:r>
        <w:rPr>
          <w:rFonts w:ascii="宋体" w:hAnsi="宋体" w:cs="宋体" w:eastAsia="宋体" w:hint="default"/>
          <w:spacing w:val="-6"/>
        </w:rPr>
        <w:t>2017</w:t>
      </w:r>
      <w:r>
        <w:rPr>
          <w:spacing w:val="-6"/>
        </w:rPr>
        <w:t>〕</w:t>
      </w:r>
      <w:r>
        <w:rPr>
          <w:rFonts w:ascii="宋体" w:hAnsi="宋体" w:cs="宋体" w:eastAsia="宋体" w:hint="default"/>
          <w:spacing w:val="-6"/>
        </w:rPr>
        <w:t>30</w:t>
      </w:r>
      <w:r>
        <w:rPr>
          <w:rFonts w:ascii="宋体" w:hAnsi="宋体" w:cs="宋体" w:eastAsia="宋体" w:hint="default"/>
          <w:spacing w:val="-33"/>
        </w:rPr>
        <w:t> </w:t>
      </w:r>
      <w:r>
        <w:rPr>
          <w:spacing w:val="-3"/>
        </w:rPr>
        <w:t>号），执行企业会计准则的非金融企业应当按照企业会计准则和通知要求编制</w:t>
      </w:r>
      <w:r>
        <w:rPr>
          <w:spacing w:val="-29"/>
        </w:rPr>
        <w:t> </w:t>
      </w:r>
      <w:r>
        <w:rPr>
          <w:rFonts w:ascii="宋体" w:hAnsi="宋体" w:cs="宋体" w:eastAsia="宋体" w:hint="default"/>
        </w:rPr>
        <w:t>2017</w:t>
      </w:r>
      <w:r>
        <w:rPr>
          <w:rFonts w:ascii="宋体" w:hAnsi="宋体" w:cs="宋体" w:eastAsia="宋体" w:hint="default"/>
          <w:spacing w:val="-96"/>
        </w:rPr>
        <w:t> </w:t>
      </w:r>
      <w:r>
        <w:rPr>
          <w:rFonts w:ascii="宋体" w:hAnsi="宋体" w:cs="宋体" w:eastAsia="宋体" w:hint="default"/>
          <w:spacing w:val="-96"/>
        </w:rPr>
      </w:r>
      <w:r>
        <w:rPr>
          <w:spacing w:val="-2"/>
        </w:rPr>
        <w:t>年度及以后期间的财务报表。公司根据财政部发布的《关于修订印发一般企业财务报表格式的通</w:t>
      </w:r>
      <w:r>
        <w:rPr>
          <w:spacing w:val="-25"/>
        </w:rPr>
        <w:t> </w:t>
      </w:r>
      <w:r>
        <w:rPr>
          <w:spacing w:val="-25"/>
        </w:rPr>
      </w:r>
      <w:r>
        <w:rPr/>
        <w:t>知》（财会〔</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56"/>
        </w:rPr>
        <w:t> </w:t>
      </w:r>
      <w:r>
        <w:rPr/>
        <w:t>号）编制</w:t>
      </w:r>
      <w:r>
        <w:rPr>
          <w:spacing w:val="-55"/>
        </w:rPr>
        <w:t> </w:t>
      </w:r>
      <w:r>
        <w:rPr>
          <w:rFonts w:ascii="宋体" w:hAnsi="宋体" w:cs="宋体" w:eastAsia="宋体" w:hint="default"/>
        </w:rPr>
        <w:t>2017</w:t>
      </w:r>
      <w:r>
        <w:rPr>
          <w:rFonts w:ascii="宋体" w:hAnsi="宋体" w:cs="宋体" w:eastAsia="宋体" w:hint="default"/>
          <w:spacing w:val="-55"/>
        </w:rPr>
        <w:t> </w:t>
      </w:r>
      <w:r>
        <w:rPr/>
        <w:t>年度及以后期间的财务报表。</w:t>
      </w:r>
    </w:p>
    <w:p>
      <w:pPr>
        <w:pStyle w:val="BodyText"/>
        <w:spacing w:line="355" w:lineRule="auto" w:before="34"/>
        <w:ind w:right="237" w:firstLine="419"/>
        <w:jc w:val="both"/>
      </w:pPr>
      <w:r>
        <w:rPr>
          <w:spacing w:val="-2"/>
        </w:rPr>
        <w:t>本次会计政策变更仅对公司财务报表项目列示产生影响，对公司当期损益、总资产、净资产</w:t>
      </w:r>
      <w:r>
        <w:rPr>
          <w:w w:val="100"/>
        </w:rPr>
        <w:t> </w:t>
      </w:r>
      <w:r>
        <w:rPr/>
        <w:t>均无影响。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ind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465"/>
        <w:jc w:val="left"/>
        <w:rPr>
          <w:b w:val="0"/>
          <w:bCs w:val="0"/>
        </w:rPr>
      </w:pPr>
      <w:r>
        <w:rPr>
          <w:rFonts w:ascii="宋体" w:hAnsi="宋体" w:cs="宋体" w:eastAsia="宋体" w:hint="default"/>
        </w:rPr>
        <w:t>33.</w:t>
      </w:r>
      <w:r>
        <w:rPr>
          <w:rFonts w:ascii="宋体" w:hAnsi="宋体" w:cs="宋体" w:eastAsia="宋体" w:hint="default"/>
          <w:spacing w:val="2"/>
        </w:rPr>
        <w:t> </w:t>
      </w:r>
      <w:r>
        <w:rPr/>
        <w:t>其他</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7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销售货物、应税销售服务收入、无形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资产或者不动产</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17%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营改增之前的应纳税营业额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25%</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存在不同企业所得税税率纳税主体的，披露情况说明</w:t>
      </w:r>
    </w:p>
    <w:p>
      <w:pPr>
        <w:pStyle w:val="BodyText"/>
        <w:spacing w:line="273" w:lineRule="exact"/>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南宁市智诚合讯信息技术有限公司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智诚合讯信息技术（徐州）有限公司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慧球科技（重庆）有限公司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湖北科赛威供应链管理有限公司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慧金科技（深圳）有限公司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淮南市慧球科技有限公司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慧球智慧科技（宁波）有限公司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慧球科技（靖江）有限公司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沈阳慧球科技有限公司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慧球科技（华容）有限公司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建德郡原物业服务有限公司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沈阳辽原物业管理有限公司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成都山外山物业管理有限公司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湖南郡原物业服务有限公司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642" w:val="left" w:leader="none"/>
        </w:tabs>
        <w:spacing w:line="240" w:lineRule="auto" w:before="36"/>
        <w:ind w:right="2465"/>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2465"/>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right="6518"/>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60" w:val="left" w:leader="none"/>
        </w:tabs>
        <w:spacing w:line="240" w:lineRule="auto" w:before="14"/>
        <w:ind w:right="2465"/>
        <w:jc w:val="left"/>
      </w:pPr>
      <w:r>
        <w:rPr>
          <w:spacing w:val="-1"/>
        </w:rPr>
        <w:t>√适用</w:t>
        <w:tab/>
      </w:r>
      <w:r>
        <w:rPr>
          <w:spacing w:val="-2"/>
        </w:rPr>
        <w:t>□不适用</w:t>
      </w:r>
    </w:p>
    <w:p>
      <w:pPr>
        <w:spacing w:after="0" w:line="240" w:lineRule="auto"/>
        <w:jc w:val="left"/>
        <w:sectPr>
          <w:footerReference w:type="default" r:id="rId73"/>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213,769.84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158,785.18</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85,379,939.89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30,484,788.00</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
        </w:tc>
        <w:tc>
          <w:tcPr>
            <w:tcW w:w="33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85,593,709.73</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30,643,573.18</w:t>
            </w:r>
          </w:p>
        </w:tc>
      </w:tr>
      <w:tr>
        <w:trPr>
          <w:trHeight w:val="55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
        </w:tc>
        <w:tc>
          <w:tcPr>
            <w:tcW w:w="3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38" w:right="1046"/>
        <w:jc w:val="left"/>
      </w:pPr>
      <w:r>
        <w:rPr/>
        <w:t>其他说明</w:t>
      </w:r>
    </w:p>
    <w:p>
      <w:pPr>
        <w:pStyle w:val="BodyText"/>
        <w:spacing w:line="273" w:lineRule="exact"/>
        <w:ind w:left="138" w:right="1046"/>
        <w:jc w:val="left"/>
      </w:pPr>
      <w:r>
        <w:rPr/>
        <w:t>截止</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日，本公司不存在质押、冻结，或有潜在收回风险的款项。</w:t>
      </w:r>
    </w:p>
    <w:p>
      <w:pPr>
        <w:spacing w:line="240" w:lineRule="auto" w:before="3"/>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8"/>
        <w:ind w:left="138" w:right="1046"/>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138" w:right="1046"/>
        <w:jc w:val="left"/>
      </w:pPr>
      <w:r>
        <w:rPr/>
        <w:t>□适用</w:t>
      </w:r>
      <w:r>
        <w:rPr>
          <w:spacing w:val="-1"/>
        </w:rPr>
        <w:t> </w:t>
      </w:r>
      <w:r>
        <w:rPr/>
        <w:t>√不适用</w:t>
      </w:r>
    </w:p>
    <w:p>
      <w:pPr>
        <w:pStyle w:val="Heading4"/>
        <w:spacing w:line="240" w:lineRule="auto" w:before="58"/>
        <w:ind w:left="138" w:right="104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8" w:right="1046"/>
        <w:jc w:val="left"/>
      </w:pPr>
      <w:r>
        <w:rPr/>
        <w:t>□适用</w:t>
      </w:r>
      <w:r>
        <w:rPr>
          <w:spacing w:val="-1"/>
        </w:rPr>
        <w:t> </w:t>
      </w:r>
      <w:r>
        <w:rPr/>
        <w:t>√不适用</w:t>
      </w:r>
    </w:p>
    <w:p>
      <w:pPr>
        <w:pStyle w:val="Heading4"/>
        <w:spacing w:line="240" w:lineRule="auto" w:before="56"/>
        <w:ind w:left="138" w:right="104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138" w:right="1046"/>
        <w:jc w:val="left"/>
      </w:pPr>
      <w:r>
        <w:rPr/>
        <w:t>□适用</w:t>
      </w:r>
      <w:r>
        <w:rPr>
          <w:spacing w:val="-1"/>
        </w:rPr>
        <w:t> </w:t>
      </w:r>
      <w:r>
        <w:rPr/>
        <w:t>√不适用</w:t>
      </w:r>
    </w:p>
    <w:p>
      <w:pPr>
        <w:pStyle w:val="Heading4"/>
        <w:spacing w:line="240" w:lineRule="auto" w:before="56"/>
        <w:ind w:left="138" w:right="1046"/>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138" w:right="7394"/>
        <w:jc w:val="left"/>
      </w:pPr>
      <w:r>
        <w:rPr/>
        <w:t>□适用</w:t>
      </w:r>
      <w:r>
        <w:rPr>
          <w:spacing w:val="-1"/>
        </w:rPr>
        <w:t> </w:t>
      </w:r>
      <w:r>
        <w:rPr/>
        <w:t>√不适用</w:t>
      </w:r>
      <w:r>
        <w:rPr>
          <w:w w:val="100"/>
        </w:rPr>
        <w:t> </w:t>
      </w:r>
      <w:r>
        <w:rPr/>
        <w:t>其他说明</w:t>
      </w:r>
    </w:p>
    <w:p>
      <w:pPr>
        <w:pStyle w:val="BodyText"/>
        <w:spacing w:line="249" w:lineRule="exact"/>
        <w:ind w:left="138" w:right="104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4"/>
          <w:pgSz w:w="11910" w:h="16840"/>
          <w:pgMar w:footer="1195" w:header="882" w:top="1120" w:bottom="1380" w:left="1660" w:right="1120"/>
          <w:pgNumType w:start="101"/>
        </w:sectPr>
      </w:pPr>
    </w:p>
    <w:p>
      <w:pPr>
        <w:pStyle w:val="Heading4"/>
        <w:spacing w:line="240" w:lineRule="auto" w:before="36"/>
        <w:ind w:left="13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7"/>
        <w:ind w:left="13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402" w:space="4017"/>
            <w:col w:w="271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7"/>
        <w:gridCol w:w="1138"/>
        <w:gridCol w:w="557"/>
        <w:gridCol w:w="1054"/>
        <w:gridCol w:w="475"/>
        <w:gridCol w:w="1138"/>
        <w:gridCol w:w="1138"/>
        <w:gridCol w:w="475"/>
        <w:gridCol w:w="1054"/>
        <w:gridCol w:w="475"/>
        <w:gridCol w:w="1135"/>
      </w:tblGrid>
      <w:tr>
        <w:trPr>
          <w:trHeight w:val="281" w:hRule="exact"/>
        </w:trPr>
        <w:tc>
          <w:tcPr>
            <w:tcW w:w="2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26" w:right="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57" w:type="dxa"/>
            <w:vMerge/>
            <w:tcBorders>
              <w:left w:val="single" w:sz="4" w:space="0" w:color="000000"/>
              <w:right w:val="single" w:sz="4" w:space="0" w:color="000000"/>
            </w:tcBorders>
          </w:tcPr>
          <w:p>
            <w:pP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52" w:right="35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50" w:right="35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257"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5" w:right="6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74" w:right="72"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8"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2" w:right="74" w:firstLine="52"/>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71" w:right="74"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5"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57"/>
        <w:gridCol w:w="1138"/>
        <w:gridCol w:w="557"/>
        <w:gridCol w:w="1054"/>
        <w:gridCol w:w="475"/>
        <w:gridCol w:w="1138"/>
        <w:gridCol w:w="1138"/>
        <w:gridCol w:w="475"/>
        <w:gridCol w:w="1054"/>
        <w:gridCol w:w="475"/>
        <w:gridCol w:w="1135"/>
      </w:tblGrid>
      <w:tr>
        <w:trPr>
          <w:trHeight w:val="5459" w:hRule="exact"/>
        </w:trPr>
        <w:tc>
          <w:tcPr>
            <w:tcW w:w="2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8,800,000.0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44.0</w:t>
            </w:r>
          </w:p>
          <w:p>
            <w:pPr>
              <w:pStyle w:val="TableParagraph"/>
              <w:spacing w:line="234" w:lineRule="exact"/>
              <w:ind w:right="29"/>
              <w:jc w:val="right"/>
              <w:rPr>
                <w:rFonts w:ascii="宋体" w:hAnsi="宋体" w:cs="宋体" w:eastAsia="宋体" w:hint="default"/>
                <w:sz w:val="18"/>
                <w:szCs w:val="18"/>
              </w:rPr>
            </w:pPr>
            <w:r>
              <w:rPr>
                <w:rFonts w:ascii="宋体"/>
                <w:sz w:val="18"/>
              </w:rPr>
              <w:t>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pacing w:val="-1"/>
                <w:sz w:val="18"/>
              </w:rPr>
              <w:t>4,400,000.0</w:t>
            </w:r>
          </w:p>
          <w:p>
            <w:pPr>
              <w:pStyle w:val="TableParagraph"/>
              <w:spacing w:line="234" w:lineRule="exact"/>
              <w:ind w:right="29"/>
              <w:jc w:val="right"/>
              <w:rPr>
                <w:rFonts w:ascii="宋体" w:hAnsi="宋体" w:cs="宋体" w:eastAsia="宋体" w:hint="default"/>
                <w:sz w:val="18"/>
                <w:szCs w:val="18"/>
              </w:rPr>
            </w:pPr>
            <w:r>
              <w:rPr>
                <w:rFonts w:ascii="宋体"/>
                <w:sz w:val="18"/>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50.0</w:t>
            </w:r>
          </w:p>
          <w:p>
            <w:pPr>
              <w:pStyle w:val="TableParagraph"/>
              <w:spacing w:line="234" w:lineRule="exact"/>
              <w:ind w:right="29"/>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pacing w:val="-1"/>
                <w:sz w:val="18"/>
              </w:rPr>
              <w:t>4,400,000.0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r>
      <w:tr>
        <w:trPr>
          <w:trHeight w:val="5459" w:hRule="exact"/>
        </w:trPr>
        <w:tc>
          <w:tcPr>
            <w:tcW w:w="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7"/>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12,552,158.</w:t>
            </w:r>
          </w:p>
          <w:p>
            <w:pPr>
              <w:pStyle w:val="TableParagraph"/>
              <w:spacing w:line="240" w:lineRule="auto"/>
              <w:ind w:right="25"/>
              <w:jc w:val="right"/>
              <w:rPr>
                <w:rFonts w:ascii="宋体" w:hAnsi="宋体" w:cs="宋体" w:eastAsia="宋体" w:hint="default"/>
                <w:sz w:val="18"/>
                <w:szCs w:val="18"/>
              </w:rPr>
            </w:pPr>
            <w:r>
              <w:rPr>
                <w:rFonts w:ascii="宋体"/>
                <w:sz w:val="18"/>
              </w:rPr>
              <w:t>02</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w:t>
            </w: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2,265,218.6</w:t>
            </w:r>
          </w:p>
          <w:p>
            <w:pPr>
              <w:pStyle w:val="TableParagraph"/>
              <w:spacing w:line="240" w:lineRule="auto"/>
              <w:ind w:right="25"/>
              <w:jc w:val="right"/>
              <w:rPr>
                <w:rFonts w:ascii="宋体" w:hAnsi="宋体" w:cs="宋体" w:eastAsia="宋体" w:hint="default"/>
                <w:sz w:val="18"/>
                <w:szCs w:val="18"/>
              </w:rPr>
            </w:pPr>
            <w:r>
              <w:rPr>
                <w:rFonts w:ascii="宋体"/>
                <w:sz w:val="18"/>
              </w:rPr>
              <w:t>2</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18.0</w:t>
            </w:r>
          </w:p>
          <w:p>
            <w:pPr>
              <w:pStyle w:val="TableParagraph"/>
              <w:spacing w:line="240" w:lineRule="auto"/>
              <w:ind w:right="25"/>
              <w:jc w:val="right"/>
              <w:rPr>
                <w:rFonts w:ascii="宋体" w:hAnsi="宋体" w:cs="宋体" w:eastAsia="宋体" w:hint="default"/>
                <w:sz w:val="18"/>
                <w:szCs w:val="18"/>
              </w:rPr>
            </w:pPr>
            <w:r>
              <w:rPr>
                <w:rFonts w:ascii="宋体"/>
                <w:sz w:val="18"/>
              </w:rPr>
              <w:t>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10,286,939.</w:t>
            </w:r>
          </w:p>
          <w:p>
            <w:pPr>
              <w:pStyle w:val="TableParagraph"/>
              <w:spacing w:line="240" w:lineRule="auto"/>
              <w:ind w:right="22"/>
              <w:jc w:val="right"/>
              <w:rPr>
                <w:rFonts w:ascii="宋体" w:hAnsi="宋体" w:cs="宋体" w:eastAsia="宋体" w:hint="default"/>
                <w:sz w:val="18"/>
                <w:szCs w:val="18"/>
              </w:rPr>
            </w:pPr>
            <w:r>
              <w:rPr>
                <w:rFonts w:ascii="宋体"/>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11,194,626.</w:t>
            </w:r>
          </w:p>
          <w:p>
            <w:pPr>
              <w:pStyle w:val="TableParagraph"/>
              <w:spacing w:line="240" w:lineRule="auto"/>
              <w:ind w:right="23"/>
              <w:jc w:val="right"/>
              <w:rPr>
                <w:rFonts w:ascii="宋体" w:hAnsi="宋体" w:cs="宋体" w:eastAsia="宋体" w:hint="default"/>
                <w:sz w:val="18"/>
                <w:szCs w:val="18"/>
              </w:rPr>
            </w:pPr>
            <w:r>
              <w:rPr>
                <w:rFonts w:ascii="宋体"/>
                <w:sz w:val="18"/>
              </w:rPr>
              <w:t>51</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55.9</w:t>
            </w:r>
          </w:p>
          <w:p>
            <w:pPr>
              <w:pStyle w:val="TableParagraph"/>
              <w:spacing w:line="240" w:lineRule="auto"/>
              <w:ind w:right="29"/>
              <w:jc w:val="right"/>
              <w:rPr>
                <w:rFonts w:ascii="宋体" w:hAnsi="宋体" w:cs="宋体" w:eastAsia="宋体" w:hint="default"/>
                <w:sz w:val="18"/>
                <w:szCs w:val="18"/>
              </w:rPr>
            </w:pPr>
            <w:r>
              <w:rPr>
                <w:rFonts w:ascii="宋体"/>
                <w:sz w:val="18"/>
              </w:rPr>
              <w:t>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1,016,669.7</w:t>
            </w:r>
          </w:p>
          <w:p>
            <w:pPr>
              <w:pStyle w:val="TableParagraph"/>
              <w:spacing w:line="240" w:lineRule="auto"/>
              <w:ind w:right="29"/>
              <w:jc w:val="right"/>
              <w:rPr>
                <w:rFonts w:ascii="宋体" w:hAnsi="宋体" w:cs="宋体" w:eastAsia="宋体" w:hint="default"/>
                <w:sz w:val="18"/>
                <w:szCs w:val="18"/>
              </w:rPr>
            </w:pPr>
            <w:r>
              <w:rPr>
                <w:rFonts w:ascii="宋体"/>
                <w:sz w:val="18"/>
              </w:rPr>
              <w:t>2</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sz w:val="18"/>
              </w:rPr>
              <w:t>9.08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10,177,956.</w:t>
            </w:r>
          </w:p>
          <w:p>
            <w:pPr>
              <w:pStyle w:val="TableParagraph"/>
              <w:spacing w:line="240" w:lineRule="auto"/>
              <w:ind w:right="23"/>
              <w:jc w:val="right"/>
              <w:rPr>
                <w:rFonts w:ascii="宋体" w:hAnsi="宋体" w:cs="宋体" w:eastAsia="宋体" w:hint="default"/>
                <w:sz w:val="18"/>
                <w:szCs w:val="18"/>
              </w:rPr>
            </w:pPr>
            <w:r>
              <w:rPr>
                <w:rFonts w:ascii="宋体"/>
                <w:sz w:val="18"/>
              </w:rPr>
              <w:t>79</w:t>
            </w:r>
          </w:p>
        </w:tc>
      </w:tr>
    </w:tbl>
    <w:p>
      <w:pPr>
        <w:spacing w:after="0" w:line="240" w:lineRule="auto"/>
        <w:jc w:val="righ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57"/>
        <w:gridCol w:w="1138"/>
        <w:gridCol w:w="557"/>
        <w:gridCol w:w="1054"/>
        <w:gridCol w:w="475"/>
        <w:gridCol w:w="1138"/>
        <w:gridCol w:w="1138"/>
        <w:gridCol w:w="475"/>
        <w:gridCol w:w="1054"/>
        <w:gridCol w:w="475"/>
        <w:gridCol w:w="1135"/>
      </w:tblGrid>
      <w:tr>
        <w:trPr>
          <w:trHeight w:val="5732" w:hRule="exact"/>
        </w:trPr>
        <w:tc>
          <w:tcPr>
            <w:tcW w:w="2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12,552,158.</w:t>
            </w:r>
          </w:p>
          <w:p>
            <w:pPr>
              <w:pStyle w:val="TableParagraph"/>
              <w:spacing w:line="234" w:lineRule="exact"/>
              <w:ind w:right="25"/>
              <w:jc w:val="right"/>
              <w:rPr>
                <w:rFonts w:ascii="宋体" w:hAnsi="宋体" w:cs="宋体" w:eastAsia="宋体" w:hint="default"/>
                <w:sz w:val="18"/>
                <w:szCs w:val="18"/>
              </w:rPr>
            </w:pPr>
            <w:r>
              <w:rPr>
                <w:rFonts w:ascii="宋体"/>
                <w:sz w:val="18"/>
              </w:rPr>
              <w:t>02</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2,265,218.6</w:t>
            </w:r>
          </w:p>
          <w:p>
            <w:pPr>
              <w:pStyle w:val="TableParagraph"/>
              <w:spacing w:line="234" w:lineRule="exact"/>
              <w:ind w:right="25"/>
              <w:jc w:val="right"/>
              <w:rPr>
                <w:rFonts w:ascii="宋体" w:hAnsi="宋体" w:cs="宋体" w:eastAsia="宋体" w:hint="default"/>
                <w:sz w:val="18"/>
                <w:szCs w:val="18"/>
              </w:rPr>
            </w:pPr>
            <w:r>
              <w:rPr>
                <w:rFonts w:ascii="宋体"/>
                <w:sz w:val="18"/>
              </w:rPr>
              <w:t>2</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10,286,939.</w:t>
            </w:r>
          </w:p>
          <w:p>
            <w:pPr>
              <w:pStyle w:val="TableParagraph"/>
              <w:spacing w:line="234" w:lineRule="exact"/>
              <w:ind w:right="22"/>
              <w:jc w:val="right"/>
              <w:rPr>
                <w:rFonts w:ascii="宋体" w:hAnsi="宋体" w:cs="宋体" w:eastAsia="宋体" w:hint="default"/>
                <w:sz w:val="18"/>
                <w:szCs w:val="18"/>
              </w:rPr>
            </w:pPr>
            <w:r>
              <w:rPr>
                <w:rFonts w:ascii="宋体"/>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19,994,626.</w:t>
            </w:r>
          </w:p>
          <w:p>
            <w:pPr>
              <w:pStyle w:val="TableParagraph"/>
              <w:spacing w:line="234" w:lineRule="exact"/>
              <w:ind w:right="23"/>
              <w:jc w:val="right"/>
              <w:rPr>
                <w:rFonts w:ascii="宋体" w:hAnsi="宋体" w:cs="宋体" w:eastAsia="宋体" w:hint="default"/>
                <w:sz w:val="18"/>
                <w:szCs w:val="18"/>
              </w:rPr>
            </w:pPr>
            <w:r>
              <w:rPr>
                <w:rFonts w:ascii="宋体"/>
                <w:sz w:val="18"/>
              </w:rPr>
              <w:t>51</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7"/>
              <w:jc w:val="right"/>
              <w:rPr>
                <w:rFonts w:ascii="宋体" w:hAnsi="宋体" w:cs="宋体" w:eastAsia="宋体" w:hint="default"/>
                <w:sz w:val="18"/>
                <w:szCs w:val="18"/>
              </w:rPr>
            </w:pPr>
            <w:r>
              <w:rPr>
                <w:rFonts w:ascii="宋体"/>
                <w:spacing w:val="-1"/>
                <w:sz w:val="18"/>
              </w:rPr>
              <w:t>5,416,669.7</w:t>
            </w:r>
          </w:p>
          <w:p>
            <w:pPr>
              <w:pStyle w:val="TableParagraph"/>
              <w:spacing w:line="234" w:lineRule="exact"/>
              <w:ind w:right="29"/>
              <w:jc w:val="right"/>
              <w:rPr>
                <w:rFonts w:ascii="宋体" w:hAnsi="宋体" w:cs="宋体" w:eastAsia="宋体" w:hint="default"/>
                <w:sz w:val="18"/>
                <w:szCs w:val="18"/>
              </w:rPr>
            </w:pPr>
            <w:r>
              <w:rPr>
                <w:rFonts w:ascii="宋体"/>
                <w:sz w:val="18"/>
              </w:rPr>
              <w:t>2</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sz w:val="18"/>
              </w:rPr>
              <w:t>14,577,956.</w:t>
            </w:r>
          </w:p>
          <w:p>
            <w:pPr>
              <w:pStyle w:val="TableParagraph"/>
              <w:spacing w:line="234" w:lineRule="exact"/>
              <w:ind w:left="24" w:right="0"/>
              <w:jc w:val="left"/>
              <w:rPr>
                <w:rFonts w:ascii="宋体" w:hAnsi="宋体" w:cs="宋体" w:eastAsia="宋体" w:hint="default"/>
                <w:sz w:val="18"/>
                <w:szCs w:val="18"/>
              </w:rPr>
            </w:pPr>
            <w:r>
              <w:rPr>
                <w:rFonts w:ascii="宋体"/>
                <w:sz w:val="18"/>
              </w:rPr>
              <w:t>79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pgSz w:w="11910" w:h="16840"/>
          <w:pgMar w:header="882" w:footer="1195" w:top="1120" w:bottom="1380" w:left="1660" w:right="1120"/>
        </w:sectPr>
      </w:pPr>
    </w:p>
    <w:p>
      <w:pPr>
        <w:pStyle w:val="BodyText"/>
        <w:spacing w:line="274" w:lineRule="exact" w:before="36"/>
        <w:ind w:left="138" w:right="0"/>
        <w:jc w:val="left"/>
      </w:pPr>
      <w:r>
        <w:rPr>
          <w:spacing w:val="-2"/>
        </w:rPr>
        <w:t>期末单项金额重大并单项计提坏帐准备的应收账款</w:t>
      </w:r>
    </w:p>
    <w:p>
      <w:pPr>
        <w:pStyle w:val="BodyText"/>
        <w:spacing w:line="272" w:lineRule="exact" w:before="27"/>
        <w:ind w:left="13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9"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764" w:space="175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3,038,749.40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91,162.48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3,038,749.40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91,162.48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435,883.11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21,794.16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6,424,666.98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963,700.05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2,058,086.65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617,425.99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47,271.88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23,635.94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547,500.00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547,500.00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12,552,158.02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2,265,218.62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18.05</w:t>
            </w:r>
          </w:p>
        </w:tc>
      </w:tr>
    </w:tbl>
    <w:p>
      <w:pPr>
        <w:spacing w:line="240" w:lineRule="auto" w:before="7"/>
        <w:rPr>
          <w:rFonts w:ascii="宋体" w:hAnsi="宋体" w:cs="宋体" w:eastAsia="宋体" w:hint="default"/>
          <w:sz w:val="15"/>
          <w:szCs w:val="15"/>
        </w:rPr>
      </w:pPr>
    </w:p>
    <w:p>
      <w:pPr>
        <w:pStyle w:val="BodyText"/>
        <w:spacing w:line="272" w:lineRule="exact" w:before="64"/>
        <w:ind w:left="138" w:right="6436"/>
        <w:jc w:val="left"/>
      </w:pPr>
      <w:r>
        <w:rPr>
          <w:spacing w:val="-2"/>
        </w:rPr>
        <w:t>确定该组合依据的说明：</w:t>
      </w:r>
      <w:r>
        <w:rPr>
          <w:spacing w:val="-83"/>
        </w:rPr>
        <w:t> </w:t>
      </w:r>
      <w:r>
        <w:rPr>
          <w:spacing w:val="-83"/>
        </w:rPr>
      </w:r>
      <w:r>
        <w:rPr/>
        <w:t>按账龄进行划分</w:t>
      </w:r>
    </w:p>
    <w:p>
      <w:pPr>
        <w:spacing w:after="0" w:line="272"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38" w:right="2465"/>
        <w:jc w:val="left"/>
      </w:pPr>
      <w:r>
        <w:rPr/>
        <w:t>组合中，采用余额百分比法计提坏账准备的应收账款：</w:t>
      </w:r>
    </w:p>
    <w:p>
      <w:pPr>
        <w:pStyle w:val="BodyText"/>
        <w:spacing w:line="273" w:lineRule="exact"/>
        <w:ind w:left="23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left="238" w:right="2465"/>
        <w:jc w:val="left"/>
      </w:pPr>
      <w:r>
        <w:rPr/>
        <w:t>组合中，采用其他方法计提坏账准备的应收账款：</w:t>
      </w:r>
    </w:p>
    <w:p>
      <w:pPr>
        <w:pStyle w:val="BodyText"/>
        <w:spacing w:line="273" w:lineRule="exact"/>
        <w:ind w:left="23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38" w:right="2465"/>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238" w:right="97"/>
        <w:jc w:val="left"/>
      </w:pPr>
      <w:r>
        <w:rPr/>
        <w:t>本期计提坏账准备金额</w:t>
      </w:r>
      <w:r>
        <w:rPr>
          <w:spacing w:val="-54"/>
        </w:rPr>
        <w:t> </w:t>
      </w:r>
      <w:r>
        <w:rPr>
          <w:rFonts w:ascii="宋体" w:hAnsi="宋体" w:cs="宋体" w:eastAsia="宋体" w:hint="default"/>
        </w:rPr>
        <w:t>1,248,548.91</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238" w:right="2465"/>
        <w:jc w:val="left"/>
      </w:pPr>
      <w:r>
        <w:rPr/>
        <w:t>其中本期坏账准备收回或转回金额重要的：</w:t>
      </w:r>
    </w:p>
    <w:p>
      <w:pPr>
        <w:pStyle w:val="BodyText"/>
        <w:spacing w:line="273" w:lineRule="exact"/>
        <w:ind w:left="23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38" w:right="2465"/>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3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238" w:right="2465"/>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80" w:val="left" w:leader="none"/>
        </w:tabs>
        <w:spacing w:line="240" w:lineRule="auto" w:before="58"/>
        <w:ind w:left="238" w:right="2465"/>
        <w:jc w:val="left"/>
      </w:pPr>
      <w:r>
        <w:rPr/>
        <w:pict>
          <v:shape style="position:absolute;margin-left:231.410004pt;margin-top:33.283665pt;width:.48pt;height:.12pt;mso-position-horizontal-relative:page;mso-position-vertical-relative:paragraph;z-index:-719296" type="#_x0000_t75" stroked="false">
            <v:imagedata r:id="rId75" o:title=""/>
          </v:shape>
        </w:pict>
      </w:r>
      <w:r>
        <w:rPr/>
        <w:pict>
          <v:shape style="position:absolute;margin-left:330.670013pt;margin-top:33.283665pt;width:.48001pt;height:.12pt;mso-position-horizontal-relative:page;mso-position-vertical-relative:paragraph;z-index:-719272" type="#_x0000_t75" stroked="false">
            <v:imagedata r:id="rId75" o:title=""/>
          </v:shape>
        </w:pict>
      </w:r>
      <w:r>
        <w:rPr/>
        <w:pict>
          <v:shape style="position:absolute;margin-left:408.670013pt;margin-top:33.283665pt;width:.48001pt;height:.12pt;mso-position-horizontal-relative:page;mso-position-vertical-relative:paragraph;z-index:-719248" type="#_x0000_t75" stroked="false">
            <v:imagedata r:id="rId75" o:title=""/>
          </v:shape>
        </w:pict>
      </w:r>
      <w:r>
        <w:rPr/>
        <w:pict>
          <v:group style="position:absolute;margin-left:84.503998pt;margin-top:56.703682pt;width:423.7pt;height:.5pt;mso-position-horizontal-relative:page;mso-position-vertical-relative:paragraph;z-index:-719224" coordorigin="1690,1134" coordsize="8474,10">
            <v:shape style="position:absolute;left:1690;top:1134;width:2938;height:10" type="#_x0000_t75" stroked="false">
              <v:imagedata r:id="rId76" o:title=""/>
            </v:shape>
            <v:shape style="position:absolute;left:4623;top:1134;width:3550;height:10" type="#_x0000_t75" stroked="false">
              <v:imagedata r:id="rId77" o:title=""/>
            </v:shape>
            <v:shape style="position:absolute;left:8169;top:1134;width:1995;height:10" type="#_x0000_t75" stroked="false">
              <v:imagedata r:id="rId78" o:title=""/>
            </v:shape>
            <w10:wrap type="none"/>
          </v:group>
        </w:pict>
      </w: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2957"/>
        <w:gridCol w:w="1985"/>
        <w:gridCol w:w="1560"/>
        <w:gridCol w:w="1985"/>
      </w:tblGrid>
      <w:tr>
        <w:trPr>
          <w:trHeight w:val="517" w:hRule="exact"/>
        </w:trPr>
        <w:tc>
          <w:tcPr>
            <w:tcW w:w="2957"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left="208" w:right="0" w:hanging="65"/>
              <w:jc w:val="left"/>
              <w:rPr>
                <w:rFonts w:ascii="宋体" w:hAnsi="宋体" w:cs="宋体" w:eastAsia="宋体" w:hint="default"/>
                <w:sz w:val="18"/>
                <w:szCs w:val="18"/>
              </w:rPr>
            </w:pPr>
            <w:r>
              <w:rPr>
                <w:rFonts w:ascii="宋体" w:hAnsi="宋体" w:cs="宋体" w:eastAsia="宋体" w:hint="default"/>
                <w:sz w:val="18"/>
                <w:szCs w:val="18"/>
              </w:rPr>
              <w:t>占应收账款期末</w:t>
            </w:r>
          </w:p>
          <w:p>
            <w:pPr>
              <w:pStyle w:val="TableParagraph"/>
              <w:spacing w:line="240" w:lineRule="auto"/>
              <w:ind w:left="208" w:right="0"/>
              <w:jc w:val="left"/>
              <w:rPr>
                <w:rFonts w:ascii="Arial Narrow" w:hAnsi="Arial Narrow" w:cs="Arial Narrow" w:eastAsia="Arial Narrow" w:hint="default"/>
                <w:sz w:val="18"/>
                <w:szCs w:val="18"/>
              </w:rPr>
            </w:pPr>
            <w:r>
              <w:rPr>
                <w:rFonts w:ascii="宋体" w:hAnsi="宋体" w:cs="宋体" w:eastAsia="宋体" w:hint="default"/>
                <w:sz w:val="18"/>
                <w:szCs w:val="18"/>
              </w:rPr>
              <w:t>余额的比例</w:t>
            </w:r>
            <w:r>
              <w:rPr>
                <w:rFonts w:ascii="Arial Narrow" w:hAnsi="Arial Narrow" w:cs="Arial Narrow" w:eastAsia="Arial Narrow" w:hint="default"/>
                <w:sz w:val="18"/>
                <w:szCs w:val="18"/>
              </w:rPr>
              <w:t>(%)</w:t>
            </w:r>
          </w:p>
        </w:tc>
        <w:tc>
          <w:tcPr>
            <w:tcW w:w="1985"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right="360"/>
              <w:jc w:val="righ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31"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期末余额前五名应收账款汇总</w:t>
            </w:r>
          </w:p>
        </w:tc>
        <w:tc>
          <w:tcPr>
            <w:tcW w:w="1985" w:type="dxa"/>
            <w:tcBorders>
              <w:top w:val="nil" w:sz="6" w:space="0" w:color="auto"/>
              <w:left w:val="single" w:sz="4" w:space="0" w:color="000000"/>
              <w:bottom w:val="single" w:sz="12" w:space="0" w:color="000000"/>
              <w:right w:val="single" w:sz="4" w:space="0" w:color="000000"/>
            </w:tcBorders>
          </w:tcPr>
          <w:p>
            <w:pPr>
              <w:pStyle w:val="TableParagraph"/>
              <w:spacing w:line="234" w:lineRule="exact"/>
              <w:ind w:left="492" w:right="0"/>
              <w:jc w:val="left"/>
              <w:rPr>
                <w:rFonts w:ascii="宋体" w:hAnsi="宋体" w:cs="宋体" w:eastAsia="宋体" w:hint="default"/>
                <w:sz w:val="18"/>
                <w:szCs w:val="18"/>
              </w:rPr>
            </w:pPr>
            <w:r>
              <w:rPr>
                <w:rFonts w:ascii="宋体"/>
                <w:sz w:val="18"/>
              </w:rPr>
              <w:t>11,119,237.87</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88.58</w:t>
            </w:r>
          </w:p>
        </w:tc>
        <w:tc>
          <w:tcPr>
            <w:tcW w:w="1985" w:type="dxa"/>
            <w:tcBorders>
              <w:top w:val="nil" w:sz="6" w:space="0" w:color="auto"/>
              <w:left w:val="single" w:sz="4" w:space="0" w:color="000000"/>
              <w:bottom w:val="single" w:sz="12" w:space="0" w:color="000000"/>
              <w:right w:val="nil" w:sz="6" w:space="0" w:color="auto"/>
            </w:tcBorders>
          </w:tcPr>
          <w:p>
            <w:pPr>
              <w:pStyle w:val="TableParagraph"/>
              <w:spacing w:line="234" w:lineRule="exact"/>
              <w:ind w:right="315"/>
              <w:jc w:val="right"/>
              <w:rPr>
                <w:rFonts w:ascii="宋体" w:hAnsi="宋体" w:cs="宋体" w:eastAsia="宋体" w:hint="default"/>
                <w:sz w:val="18"/>
                <w:szCs w:val="18"/>
              </w:rPr>
            </w:pPr>
            <w:r>
              <w:rPr>
                <w:rFonts w:ascii="宋体"/>
                <w:spacing w:val="-1"/>
                <w:sz w:val="18"/>
              </w:rPr>
              <w:t>1,685,616.76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ind w:left="238" w:right="2465"/>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80" w:val="left" w:leader="none"/>
        </w:tabs>
        <w:spacing w:line="240" w:lineRule="auto" w:before="58"/>
        <w:ind w:left="238" w:right="2465"/>
        <w:jc w:val="left"/>
      </w:pPr>
      <w:r>
        <w:rPr/>
        <w:pict>
          <v:shape style="position:absolute;margin-left:182.899994pt;margin-top:33.283684pt;width:.48pt;height:.12pt;mso-position-horizontal-relative:page;mso-position-vertical-relative:paragraph;z-index:-719200" type="#_x0000_t75" stroked="false">
            <v:imagedata r:id="rId75" o:title=""/>
          </v:shape>
        </w:pict>
      </w:r>
      <w:r>
        <w:rPr/>
        <w:pict>
          <v:shape style="position:absolute;margin-left:247.009995pt;margin-top:33.283684pt;width:.48001pt;height:.12pt;mso-position-horizontal-relative:page;mso-position-vertical-relative:paragraph;z-index:-719176" type="#_x0000_t75" stroked="false">
            <v:imagedata r:id="rId75" o:title=""/>
          </v:shape>
        </w:pict>
      </w:r>
      <w:r>
        <w:rPr/>
        <w:pict>
          <v:shape style="position:absolute;margin-left:311.809998pt;margin-top:33.283684pt;width:.47998pt;height:.12pt;mso-position-horizontal-relative:page;mso-position-vertical-relative:paragraph;z-index:-719152" type="#_x0000_t75" stroked="false">
            <v:imagedata r:id="rId75" o:title=""/>
          </v:shape>
        </w:pict>
      </w:r>
      <w:r>
        <w:rPr/>
        <w:pict>
          <v:shape style="position:absolute;margin-left:376.630005pt;margin-top:33.283684pt;width:.48001pt;height:.12pt;mso-position-horizontal-relative:page;mso-position-vertical-relative:paragraph;z-index:-719128" type="#_x0000_t75" stroked="false">
            <v:imagedata r:id="rId75" o:title=""/>
          </v:shape>
        </w:pict>
      </w:r>
      <w:r>
        <w:rPr/>
        <w:pict>
          <v:shape style="position:absolute;margin-left:441.429993pt;margin-top:33.283684pt;width:.47998pt;height:.12pt;mso-position-horizontal-relative:page;mso-position-vertical-relative:paragraph;z-index:-719104" type="#_x0000_t75" stroked="false">
            <v:imagedata r:id="rId75" o:title=""/>
          </v:shape>
        </w:pict>
      </w:r>
      <w:r>
        <w:rPr/>
        <w:pict>
          <v:group style="position:absolute;margin-left:84.503998pt;margin-top:51.643661pt;width:452.5pt;height:5.55pt;mso-position-horizontal-relative:page;mso-position-vertical-relative:paragraph;z-index:-719080" coordorigin="1690,1033" coordsize="9050,111">
            <v:shape style="position:absolute;left:1690;top:1033;width:1987;height:110" type="#_x0000_t75" stroked="false">
              <v:imagedata r:id="rId79" o:title=""/>
            </v:shape>
            <v:shape style="position:absolute;left:3653;top:1129;width:1297;height:14" type="#_x0000_t75" stroked="false">
              <v:imagedata r:id="rId80" o:title=""/>
            </v:shape>
            <v:shape style="position:absolute;left:4935;top:1129;width:1310;height:14" type="#_x0000_t75" stroked="false">
              <v:imagedata r:id="rId81" o:title=""/>
            </v:shape>
            <v:shape style="position:absolute;left:6231;top:1129;width:1311;height:14" type="#_x0000_t75" stroked="false">
              <v:imagedata r:id="rId82" o:title=""/>
            </v:shape>
            <v:shape style="position:absolute;left:7528;top:1129;width:1310;height:14" type="#_x0000_t75" stroked="false">
              <v:imagedata r:id="rId83" o:title=""/>
            </v:shape>
            <v:shape style="position:absolute;left:8824;top:1134;width:1916;height:10" type="#_x0000_t75" stroked="false">
              <v:imagedata r:id="rId84" o:title=""/>
            </v:shape>
            <w10:wrap type="none"/>
          </v:group>
        </w:pict>
      </w: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1987"/>
        <w:gridCol w:w="1282"/>
        <w:gridCol w:w="1296"/>
        <w:gridCol w:w="1296"/>
        <w:gridCol w:w="1296"/>
        <w:gridCol w:w="1906"/>
      </w:tblGrid>
      <w:tr>
        <w:trPr>
          <w:trHeight w:val="382" w:hRule="exact"/>
        </w:trPr>
        <w:tc>
          <w:tcPr>
            <w:tcW w:w="1987"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2"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276" w:right="0" w:hanging="92"/>
              <w:jc w:val="left"/>
              <w:rPr>
                <w:rFonts w:ascii="宋体" w:hAnsi="宋体" w:cs="宋体" w:eastAsia="宋体" w:hint="default"/>
                <w:sz w:val="18"/>
                <w:szCs w:val="18"/>
              </w:rPr>
            </w:pPr>
            <w:r>
              <w:rPr>
                <w:rFonts w:ascii="宋体" w:hAnsi="宋体" w:cs="宋体" w:eastAsia="宋体" w:hint="default"/>
                <w:sz w:val="18"/>
                <w:szCs w:val="18"/>
              </w:rPr>
              <w:t>金融资产转</w:t>
            </w:r>
          </w:p>
          <w:p>
            <w:pPr>
              <w:pStyle w:val="TableParagraph"/>
              <w:spacing w:line="203" w:lineRule="exact"/>
              <w:ind w:left="276" w:right="0"/>
              <w:jc w:val="left"/>
              <w:rPr>
                <w:rFonts w:ascii="宋体" w:hAnsi="宋体" w:cs="宋体" w:eastAsia="宋体" w:hint="default"/>
                <w:sz w:val="18"/>
                <w:szCs w:val="18"/>
              </w:rPr>
            </w:pPr>
            <w:r>
              <w:rPr>
                <w:rFonts w:ascii="宋体" w:hAnsi="宋体" w:cs="宋体" w:eastAsia="宋体" w:hint="default"/>
                <w:sz w:val="18"/>
                <w:szCs w:val="18"/>
              </w:rPr>
              <w:t>移的方式</w:t>
            </w:r>
          </w:p>
        </w:tc>
        <w:tc>
          <w:tcPr>
            <w:tcW w:w="1296"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296"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已提坏账准备</w:t>
            </w:r>
          </w:p>
        </w:tc>
        <w:tc>
          <w:tcPr>
            <w:tcW w:w="12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终止确认金额</w:t>
            </w:r>
          </w:p>
        </w:tc>
        <w:tc>
          <w:tcPr>
            <w:tcW w:w="1906" w:type="dxa"/>
            <w:vMerge w:val="restart"/>
            <w:tcBorders>
              <w:top w:val="single" w:sz="12" w:space="0" w:color="000000"/>
              <w:left w:val="single" w:sz="4" w:space="0" w:color="000000"/>
              <w:right w:val="nil" w:sz="6" w:space="0" w:color="auto"/>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与终止确认相关的利</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得或损失</w:t>
            </w:r>
          </w:p>
        </w:tc>
      </w:tr>
      <w:tr>
        <w:trPr>
          <w:trHeight w:val="71" w:hRule="exact"/>
        </w:trPr>
        <w:tc>
          <w:tcPr>
            <w:tcW w:w="1987"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906" w:type="dxa"/>
            <w:vMerge/>
            <w:tcBorders>
              <w:left w:val="single" w:sz="4" w:space="0" w:color="000000"/>
              <w:right w:val="nil" w:sz="6" w:space="0" w:color="auto"/>
            </w:tcBorders>
          </w:tcPr>
          <w:p>
            <w:pPr/>
          </w:p>
        </w:tc>
      </w:tr>
      <w:tr>
        <w:trPr>
          <w:trHeight w:val="39" w:hRule="exact"/>
        </w:trPr>
        <w:tc>
          <w:tcPr>
            <w:tcW w:w="1987"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906" w:type="dxa"/>
            <w:vMerge/>
            <w:tcBorders>
              <w:left w:val="single" w:sz="4" w:space="0" w:color="000000"/>
              <w:right w:val="nil" w:sz="6" w:space="0" w:color="auto"/>
            </w:tcBorders>
          </w:tcPr>
          <w:p>
            <w:pPr/>
          </w:p>
        </w:tc>
      </w:tr>
      <w:tr>
        <w:trPr>
          <w:trHeight w:val="475" w:hRule="exact"/>
        </w:trPr>
        <w:tc>
          <w:tcPr>
            <w:tcW w:w="1987"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泰兴市中泰城市建设</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8,800,000.00</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4,400,000.00</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4,400,000.00</w:t>
            </w:r>
          </w:p>
        </w:tc>
        <w:tc>
          <w:tcPr>
            <w:tcW w:w="1906" w:type="dxa"/>
            <w:vMerge/>
            <w:tcBorders>
              <w:left w:val="single" w:sz="4" w:space="0" w:color="000000"/>
              <w:right w:val="nil" w:sz="6" w:space="0" w:color="auto"/>
            </w:tcBorders>
          </w:tcPr>
          <w:p>
            <w:pPr/>
          </w:p>
        </w:tc>
      </w:tr>
      <w:tr>
        <w:trPr>
          <w:trHeight w:val="358" w:hRule="exact"/>
        </w:trPr>
        <w:tc>
          <w:tcPr>
            <w:tcW w:w="1987"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2" w:type="dxa"/>
            <w:tcBorders>
              <w:top w:val="nil" w:sz="6" w:space="0" w:color="auto"/>
              <w:left w:val="single" w:sz="4" w:space="0" w:color="000000"/>
              <w:bottom w:val="single" w:sz="12" w:space="0" w:color="000000"/>
              <w:right w:val="single" w:sz="4" w:space="0" w:color="000000"/>
            </w:tcBorders>
          </w:tcPr>
          <w:p>
            <w:pPr/>
          </w:p>
        </w:tc>
        <w:tc>
          <w:tcPr>
            <w:tcW w:w="12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8,800,000.00</w:t>
            </w:r>
          </w:p>
        </w:tc>
        <w:tc>
          <w:tcPr>
            <w:tcW w:w="12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4,400,000.00</w:t>
            </w:r>
          </w:p>
        </w:tc>
        <w:tc>
          <w:tcPr>
            <w:tcW w:w="12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4,400,000.00</w:t>
            </w:r>
          </w:p>
        </w:tc>
        <w:tc>
          <w:tcPr>
            <w:tcW w:w="1906" w:type="dxa"/>
            <w:vMerge/>
            <w:tcBorders>
              <w:left w:val="single" w:sz="4" w:space="0" w:color="000000"/>
              <w:bottom w:val="single" w:sz="12" w:space="0" w:color="000000"/>
              <w:right w:val="nil" w:sz="6" w:space="0" w:color="auto"/>
            </w:tcBorders>
          </w:tcPr>
          <w:p>
            <w:pPr/>
          </w:p>
        </w:tc>
      </w:tr>
    </w:tbl>
    <w:p>
      <w:pPr>
        <w:pStyle w:val="BodyText"/>
        <w:spacing w:line="240" w:lineRule="auto" w:before="86"/>
        <w:ind w:left="658" w:right="97"/>
        <w:jc w:val="left"/>
      </w:pPr>
      <w:r>
        <w:rPr/>
        <w:pict>
          <v:group style="position:absolute;margin-left:84.503998pt;margin-top:-24.146349pt;width:452.5pt;height:5.55pt;mso-position-horizontal-relative:page;mso-position-vertical-relative:paragraph;z-index:-719056" coordorigin="1690,-483" coordsize="9050,111">
            <v:shape style="position:absolute;left:1690;top:-483;width:1987;height:110" type="#_x0000_t75" stroked="false">
              <v:imagedata r:id="rId85" o:title=""/>
            </v:shape>
            <v:shape style="position:absolute;left:3653;top:-387;width:1297;height:14" type="#_x0000_t75" stroked="false">
              <v:imagedata r:id="rId86" o:title=""/>
            </v:shape>
            <v:shape style="position:absolute;left:4935;top:-387;width:1310;height:14" type="#_x0000_t75" stroked="false">
              <v:imagedata r:id="rId82" o:title=""/>
            </v:shape>
            <v:shape style="position:absolute;left:6231;top:-387;width:1311;height:14" type="#_x0000_t75" stroked="false">
              <v:imagedata r:id="rId81" o:title=""/>
            </v:shape>
            <v:shape style="position:absolute;left:7528;top:-387;width:1310;height:14" type="#_x0000_t75" stroked="false">
              <v:imagedata r:id="rId83" o:title=""/>
            </v:shape>
            <v:shape style="position:absolute;left:8824;top:-382;width:1916;height:10" type="#_x0000_t75" stroked="false">
              <v:imagedata r:id="rId87" o:title=""/>
            </v:shape>
            <w10:wrap type="none"/>
          </v:group>
        </w:pict>
      </w: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spacing w:val="-3"/>
          <w:w w:val="100"/>
        </w:rPr>
        <w:t>日</w:t>
      </w:r>
      <w:r>
        <w:rPr>
          <w:w w:val="100"/>
        </w:rPr>
        <w:t>，</w:t>
      </w:r>
      <w:r>
        <w:rPr>
          <w:spacing w:val="-3"/>
          <w:w w:val="100"/>
        </w:rPr>
        <w:t>公司</w:t>
      </w:r>
      <w:r>
        <w:rPr>
          <w:w w:val="100"/>
        </w:rPr>
        <w:t>与江</w:t>
      </w:r>
      <w:r>
        <w:rPr>
          <w:spacing w:val="-3"/>
          <w:w w:val="100"/>
        </w:rPr>
        <w:t>苏</w:t>
      </w:r>
      <w:r>
        <w:rPr>
          <w:w w:val="100"/>
        </w:rPr>
        <w:t>中</w:t>
      </w:r>
      <w:r>
        <w:rPr>
          <w:spacing w:val="-3"/>
          <w:w w:val="100"/>
        </w:rPr>
        <w:t>兴</w:t>
      </w:r>
      <w:r>
        <w:rPr>
          <w:w w:val="100"/>
        </w:rPr>
        <w:t>新</w:t>
      </w:r>
      <w:r>
        <w:rPr>
          <w:spacing w:val="-3"/>
          <w:w w:val="100"/>
        </w:rPr>
        <w:t>泰</w:t>
      </w:r>
      <w:r>
        <w:rPr>
          <w:w w:val="100"/>
        </w:rPr>
        <w:t>物</w:t>
      </w:r>
      <w:r>
        <w:rPr>
          <w:spacing w:val="-3"/>
          <w:w w:val="100"/>
        </w:rPr>
        <w:t>联</w:t>
      </w:r>
      <w:r>
        <w:rPr>
          <w:w w:val="100"/>
        </w:rPr>
        <w:t>网</w:t>
      </w:r>
      <w:r>
        <w:rPr>
          <w:spacing w:val="-3"/>
          <w:w w:val="100"/>
        </w:rPr>
        <w:t>科</w:t>
      </w:r>
      <w:r>
        <w:rPr>
          <w:w w:val="100"/>
        </w:rPr>
        <w:t>技园</w:t>
      </w:r>
      <w:r>
        <w:rPr>
          <w:spacing w:val="-3"/>
          <w:w w:val="100"/>
        </w:rPr>
        <w:t>有</w:t>
      </w:r>
      <w:r>
        <w:rPr>
          <w:w w:val="100"/>
        </w:rPr>
        <w:t>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w w:val="100"/>
        </w:rPr>
        <w:t>“中</w:t>
      </w:r>
      <w:r>
        <w:rPr>
          <w:spacing w:val="-3"/>
          <w:w w:val="100"/>
        </w:rPr>
        <w:t>兴</w:t>
      </w:r>
      <w:r>
        <w:rPr>
          <w:w w:val="100"/>
        </w:rPr>
        <w:t>新</w:t>
      </w:r>
      <w:r>
        <w:rPr>
          <w:spacing w:val="-3"/>
          <w:w w:val="100"/>
        </w:rPr>
        <w:t>泰</w:t>
      </w:r>
      <w:r>
        <w:rPr>
          <w:spacing w:val="-106"/>
          <w:w w:val="100"/>
        </w:rPr>
        <w:t>”</w:t>
      </w:r>
      <w:r>
        <w:rPr>
          <w:w w:val="100"/>
        </w:rPr>
        <w:t>）</w:t>
      </w:r>
    </w:p>
    <w:p>
      <w:pPr>
        <w:pStyle w:val="BodyText"/>
        <w:spacing w:line="355" w:lineRule="auto" w:before="133"/>
        <w:ind w:left="238" w:right="213"/>
        <w:jc w:val="left"/>
      </w:pPr>
      <w:r>
        <w:rPr/>
        <w:t>签订协议，将上述债权作价人民币</w:t>
      </w:r>
      <w:r>
        <w:rPr>
          <w:spacing w:val="-55"/>
        </w:rPr>
        <w:t> </w:t>
      </w:r>
      <w:r>
        <w:rPr>
          <w:rFonts w:ascii="宋体" w:hAnsi="宋体" w:cs="宋体" w:eastAsia="宋体" w:hint="default"/>
        </w:rPr>
        <w:t>440</w:t>
      </w:r>
      <w:r>
        <w:rPr>
          <w:rFonts w:ascii="宋体" w:hAnsi="宋体" w:cs="宋体" w:eastAsia="宋体" w:hint="default"/>
          <w:spacing w:val="-55"/>
        </w:rPr>
        <w:t> </w:t>
      </w:r>
      <w:r>
        <w:rPr/>
        <w:t>万元转让给中兴新泰，关于泰兴市智慧城市项目的后续子</w:t>
      </w:r>
      <w:r>
        <w:rPr>
          <w:w w:val="100"/>
        </w:rPr>
        <w:t> </w:t>
      </w:r>
      <w:r>
        <w:rPr/>
        <w:t>项目收入分配，双方将根据提供资源情况另行约定。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ind w:left="238" w:right="2465"/>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spacing w:line="240" w:lineRule="auto" w:before="58"/>
        <w:ind w:left="238" w:right="2465"/>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3" w:lineRule="exact"/>
        <w:ind w:left="238" w:right="2465"/>
        <w:jc w:val="left"/>
      </w:pPr>
      <w:r>
        <w:rPr/>
        <w:t>其他说明：</w:t>
      </w:r>
    </w:p>
    <w:p>
      <w:pPr>
        <w:pStyle w:val="BodyText"/>
        <w:spacing w:line="273" w:lineRule="exact"/>
        <w:ind w:left="238" w:right="2465"/>
        <w:jc w:val="left"/>
      </w:pPr>
      <w:r>
        <w:rPr/>
        <w:t>□适用</w:t>
      </w:r>
      <w:r>
        <w:rPr>
          <w:spacing w:val="-1"/>
        </w:rPr>
        <w:t> </w:t>
      </w:r>
      <w:r>
        <w:rPr/>
        <w:t>√不适用</w:t>
      </w:r>
    </w:p>
    <w:p>
      <w:pPr>
        <w:spacing w:after="0" w:line="273" w:lineRule="exact"/>
        <w:jc w:val="left"/>
        <w:sectPr>
          <w:pgSz w:w="11910" w:h="16840"/>
          <w:pgMar w:header="882" w:footer="1195" w:top="1120" w:bottom="1380" w:left="15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120"/>
        </w:sectPr>
      </w:pPr>
    </w:p>
    <w:p>
      <w:pPr>
        <w:pStyle w:val="Heading4"/>
        <w:spacing w:line="240" w:lineRule="auto" w:before="36"/>
        <w:ind w:left="2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8"/>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80" w:val="left" w:leader="none"/>
        </w:tabs>
        <w:spacing w:line="240" w:lineRule="auto" w:before="56"/>
        <w:ind w:left="2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2756" w:space="3766"/>
            <w:col w:w="27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1,210,307.34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76.77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1,065,028.69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82.97</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135,245.00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8.58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230,990.19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17.03</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230,990.19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14.65</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1,576,542.53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1,296,018.88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2" w:lineRule="exact" w:before="64"/>
        <w:ind w:left="238" w:right="330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4"/>
        <w:rPr>
          <w:rFonts w:ascii="宋体" w:hAnsi="宋体" w:cs="宋体" w:eastAsia="宋体" w:hint="default"/>
          <w:sz w:val="23"/>
          <w:szCs w:val="23"/>
        </w:rPr>
      </w:pPr>
    </w:p>
    <w:p>
      <w:pPr>
        <w:pStyle w:val="Heading4"/>
        <w:spacing w:line="240" w:lineRule="auto"/>
        <w:ind w:left="238" w:right="3301"/>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80" w:val="left" w:leader="none"/>
        </w:tabs>
        <w:spacing w:line="240" w:lineRule="auto" w:before="58"/>
        <w:ind w:left="238" w:right="3301"/>
        <w:jc w:val="left"/>
      </w:pPr>
      <w:r>
        <w:rPr/>
        <w:pict>
          <v:shape style="position:absolute;margin-left:252.770004pt;margin-top:33.283676pt;width:.48pt;height:.12pt;mso-position-horizontal-relative:page;mso-position-vertical-relative:paragraph;z-index:-719032" type="#_x0000_t75" stroked="false">
            <v:imagedata r:id="rId88" o:title=""/>
          </v:shape>
        </w:pict>
      </w:r>
      <w:r>
        <w:rPr/>
        <w:pict>
          <v:shape style="position:absolute;margin-left:381.670013pt;margin-top:33.283676pt;width:.48001pt;height:.12pt;mso-position-horizontal-relative:page;mso-position-vertical-relative:paragraph;z-index:-719008" type="#_x0000_t75" stroked="false">
            <v:imagedata r:id="rId88" o:title=""/>
          </v:shape>
        </w:pict>
      </w:r>
      <w:r>
        <w:rPr/>
        <w:pict>
          <v:group style="position:absolute;margin-left:84.503998pt;margin-top:50.323666pt;width:426.45pt;height:.5pt;mso-position-horizontal-relative:page;mso-position-vertical-relative:paragraph;z-index:-718984" coordorigin="1690,1006" coordsize="8529,10">
            <v:shape style="position:absolute;left:1690;top:1006;width:3365;height:10" type="#_x0000_t75" stroked="false">
              <v:imagedata r:id="rId89" o:title=""/>
            </v:shape>
            <v:shape style="position:absolute;left:5051;top:1006;width:2583;height:10" type="#_x0000_t75" stroked="false">
              <v:imagedata r:id="rId90" o:title=""/>
            </v:shape>
            <v:shape style="position:absolute;left:7629;top:1006;width:2590;height:10" type="#_x0000_t75" stroked="false">
              <v:imagedata r:id="rId91" o:title=""/>
            </v:shape>
            <w10:wrap type="none"/>
          </v:group>
        </w:pict>
      </w: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3385"/>
        <w:gridCol w:w="2578"/>
        <w:gridCol w:w="2580"/>
      </w:tblGrid>
      <w:tr>
        <w:trPr>
          <w:trHeight w:val="354" w:hRule="exact"/>
        </w:trPr>
        <w:tc>
          <w:tcPr>
            <w:tcW w:w="3385"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580"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6"/>
              <w:jc w:val="center"/>
              <w:rPr>
                <w:rFonts w:ascii="Arial Narrow" w:hAnsi="Arial Narrow" w:cs="Arial Narrow" w:eastAsia="Arial Narrow" w:hint="default"/>
                <w:sz w:val="18"/>
                <w:szCs w:val="18"/>
              </w:rPr>
            </w:pPr>
            <w:r>
              <w:rPr>
                <w:rFonts w:ascii="宋体" w:hAnsi="宋体" w:cs="宋体" w:eastAsia="宋体" w:hint="default"/>
                <w:sz w:val="18"/>
                <w:szCs w:val="18"/>
              </w:rPr>
              <w:t>占预付账款总额的比例</w:t>
            </w:r>
            <w:r>
              <w:rPr>
                <w:rFonts w:ascii="Arial Narrow" w:hAnsi="Arial Narrow" w:cs="Arial Narrow" w:eastAsia="Arial Narrow" w:hint="default"/>
                <w:sz w:val="18"/>
                <w:szCs w:val="18"/>
              </w:rPr>
              <w:t>(%)</w:t>
            </w:r>
          </w:p>
        </w:tc>
      </w:tr>
      <w:tr>
        <w:trPr>
          <w:trHeight w:val="366" w:hRule="exact"/>
        </w:trPr>
        <w:tc>
          <w:tcPr>
            <w:tcW w:w="3385"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期末余额前五名预付账款汇总</w:t>
            </w:r>
          </w:p>
        </w:tc>
        <w:tc>
          <w:tcPr>
            <w:tcW w:w="25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787" w:right="0"/>
              <w:jc w:val="left"/>
              <w:rPr>
                <w:rFonts w:ascii="宋体" w:hAnsi="宋体" w:cs="宋体" w:eastAsia="宋体" w:hint="default"/>
                <w:sz w:val="21"/>
                <w:szCs w:val="21"/>
              </w:rPr>
            </w:pPr>
            <w:r>
              <w:rPr>
                <w:rFonts w:ascii="宋体"/>
                <w:sz w:val="21"/>
              </w:rPr>
              <w:t>1,484,135.03</w:t>
            </w:r>
          </w:p>
        </w:tc>
        <w:tc>
          <w:tcPr>
            <w:tcW w:w="258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90.69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4" w:lineRule="exact"/>
        <w:ind w:left="238" w:right="3301"/>
        <w:jc w:val="left"/>
      </w:pPr>
      <w:r>
        <w:rPr/>
        <w:t>其他说明</w:t>
      </w:r>
    </w:p>
    <w:p>
      <w:pPr>
        <w:pStyle w:val="BodyText"/>
        <w:spacing w:line="274" w:lineRule="exact"/>
        <w:ind w:left="238" w:right="3301"/>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left="238" w:right="3301"/>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58"/>
        <w:ind w:left="238" w:right="3301"/>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90" w:lineRule="auto" w:before="56"/>
        <w:ind w:left="238" w:right="715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left="238" w:right="7394"/>
        <w:jc w:val="left"/>
      </w:pPr>
      <w:r>
        <w:rPr/>
        <w:t>□适用</w:t>
      </w:r>
      <w:r>
        <w:rPr>
          <w:spacing w:val="-1"/>
        </w:rPr>
        <w:t> </w:t>
      </w:r>
      <w:r>
        <w:rPr/>
        <w:t>√不适用</w:t>
      </w:r>
      <w:r>
        <w:rPr>
          <w:w w:val="100"/>
        </w:rPr>
        <w:t> </w:t>
      </w:r>
      <w:r>
        <w:rPr/>
        <w:t>其他说明：</w:t>
      </w:r>
    </w:p>
    <w:p>
      <w:pPr>
        <w:pStyle w:val="BodyText"/>
        <w:spacing w:line="272" w:lineRule="exact"/>
        <w:ind w:left="238" w:right="330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left="238" w:right="756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left="238" w:right="3301"/>
        <w:jc w:val="left"/>
      </w:pPr>
      <w:r>
        <w:rPr/>
        <w:t>□适用</w:t>
      </w:r>
      <w:r>
        <w:rPr>
          <w:spacing w:val="-1"/>
        </w:rPr>
        <w:t> </w:t>
      </w:r>
      <w:r>
        <w:rPr/>
        <w:t>√不适用</w:t>
      </w:r>
    </w:p>
    <w:p>
      <w:pPr>
        <w:pStyle w:val="Heading4"/>
        <w:spacing w:line="240" w:lineRule="auto" w:before="58"/>
        <w:ind w:left="238" w:right="3301"/>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left="238" w:right="7394"/>
        <w:jc w:val="left"/>
      </w:pPr>
      <w:r>
        <w:rPr/>
        <w:t>□适用</w:t>
      </w:r>
      <w:r>
        <w:rPr>
          <w:spacing w:val="-1"/>
        </w:rPr>
        <w:t> </w:t>
      </w:r>
      <w:r>
        <w:rPr/>
        <w:t>√不适用</w:t>
      </w:r>
      <w:r>
        <w:rPr>
          <w:w w:val="100"/>
        </w:rPr>
        <w:t> </w:t>
      </w:r>
      <w:r>
        <w:rPr/>
        <w:t>其他说明：</w:t>
      </w:r>
    </w:p>
    <w:p>
      <w:pPr>
        <w:pStyle w:val="BodyText"/>
        <w:spacing w:line="271" w:lineRule="exact"/>
        <w:ind w:left="238" w:right="330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38" w:right="3301"/>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8"/>
        <w:ind w:left="238" w:right="3301"/>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6"/>
        <w:ind w:left="238" w:right="3301"/>
        <w:jc w:val="left"/>
      </w:pPr>
      <w:r>
        <w:rPr/>
        <w:t>√适用</w:t>
      </w:r>
      <w:r>
        <w:rPr>
          <w:spacing w:val="-1"/>
        </w:rPr>
        <w:t> </w:t>
      </w:r>
      <w:r>
        <w:rPr/>
        <w:t>□不适用</w:t>
      </w:r>
    </w:p>
    <w:p>
      <w:pPr>
        <w:spacing w:after="0" w:line="240" w:lineRule="auto"/>
        <w:jc w:val="left"/>
        <w:sectPr>
          <w:type w:val="continuous"/>
          <w:pgSz w:w="11910" w:h="16840"/>
          <w:pgMar w:top="1120" w:bottom="1380" w:left="15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5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4"/>
        <w:gridCol w:w="1138"/>
        <w:gridCol w:w="557"/>
        <w:gridCol w:w="891"/>
        <w:gridCol w:w="391"/>
        <w:gridCol w:w="1138"/>
        <w:gridCol w:w="1220"/>
        <w:gridCol w:w="475"/>
        <w:gridCol w:w="1057"/>
        <w:gridCol w:w="557"/>
        <w:gridCol w:w="1219"/>
      </w:tblGrid>
      <w:tr>
        <w:trPr>
          <w:trHeight w:val="293" w:hRule="exact"/>
        </w:trPr>
        <w:tc>
          <w:tcPr>
            <w:tcW w:w="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6" w:right="5"/>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1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54" w:type="dxa"/>
            <w:vMerge/>
            <w:tcBorders>
              <w:left w:val="single" w:sz="4" w:space="0" w:color="000000"/>
              <w:right w:val="single" w:sz="4" w:space="0" w:color="000000"/>
            </w:tcBorders>
          </w:tcPr>
          <w:p>
            <w:pP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2" w:right="35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3" w:right="39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0" w:hRule="exact"/>
        </w:trPr>
        <w:tc>
          <w:tcPr>
            <w:tcW w:w="25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5" w:right="6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3"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31" w:right="31"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8" w:type="dxa"/>
            <w:vMerge/>
            <w:tcBorders>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4" w:right="72" w:firstLine="52"/>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2" w:right="6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19" w:type="dxa"/>
            <w:vMerge/>
            <w:tcBorders>
              <w:left w:val="single" w:sz="4" w:space="0" w:color="000000"/>
              <w:bottom w:val="single" w:sz="4" w:space="0" w:color="000000"/>
              <w:right w:val="single" w:sz="4" w:space="0" w:color="000000"/>
            </w:tcBorders>
          </w:tcPr>
          <w:p>
            <w:pPr/>
          </w:p>
        </w:tc>
      </w:tr>
      <w:tr>
        <w:trPr>
          <w:trHeight w:val="5730" w:hRule="exact"/>
        </w:trPr>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5732" w:hRule="exact"/>
        </w:trPr>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13,493,074.</w:t>
            </w:r>
          </w:p>
          <w:p>
            <w:pPr>
              <w:pStyle w:val="TableParagraph"/>
              <w:spacing w:line="234" w:lineRule="exact"/>
              <w:ind w:right="23"/>
              <w:jc w:val="right"/>
              <w:rPr>
                <w:rFonts w:ascii="宋体" w:hAnsi="宋体" w:cs="宋体" w:eastAsia="宋体" w:hint="default"/>
                <w:sz w:val="18"/>
                <w:szCs w:val="18"/>
              </w:rPr>
            </w:pPr>
            <w:r>
              <w:rPr>
                <w:rFonts w:ascii="宋体"/>
                <w:sz w:val="18"/>
              </w:rPr>
              <w:t>98</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884,605.6</w:t>
            </w:r>
          </w:p>
          <w:p>
            <w:pPr>
              <w:pStyle w:val="TableParagraph"/>
              <w:spacing w:line="234" w:lineRule="exact"/>
              <w:ind w:right="25"/>
              <w:jc w:val="right"/>
              <w:rPr>
                <w:rFonts w:ascii="宋体" w:hAnsi="宋体" w:cs="宋体" w:eastAsia="宋体" w:hint="default"/>
                <w:sz w:val="18"/>
                <w:szCs w:val="18"/>
              </w:rPr>
            </w:pPr>
            <w:r>
              <w:rPr>
                <w:rFonts w:ascii="宋体"/>
                <w:sz w:val="18"/>
              </w:rPr>
              <w:t>5</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6.5</w:t>
            </w:r>
          </w:p>
          <w:p>
            <w:pPr>
              <w:pStyle w:val="TableParagraph"/>
              <w:spacing w:line="234" w:lineRule="exact"/>
              <w:ind w:right="25"/>
              <w:jc w:val="right"/>
              <w:rPr>
                <w:rFonts w:ascii="宋体" w:hAnsi="宋体" w:cs="宋体" w:eastAsia="宋体" w:hint="default"/>
                <w:sz w:val="18"/>
                <w:szCs w:val="18"/>
              </w:rPr>
            </w:pPr>
            <w:r>
              <w:rPr>
                <w:rFonts w:ascii="宋体"/>
                <w:sz w:val="18"/>
              </w:rPr>
              <w:t>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12,608,469.</w:t>
            </w:r>
          </w:p>
          <w:p>
            <w:pPr>
              <w:pStyle w:val="TableParagraph"/>
              <w:spacing w:line="234" w:lineRule="exact"/>
              <w:ind w:right="23"/>
              <w:jc w:val="right"/>
              <w:rPr>
                <w:rFonts w:ascii="宋体" w:hAnsi="宋体" w:cs="宋体" w:eastAsia="宋体" w:hint="default"/>
                <w:sz w:val="18"/>
                <w:szCs w:val="18"/>
              </w:rPr>
            </w:pPr>
            <w:r>
              <w:rPr>
                <w:rFonts w:ascii="宋体"/>
                <w:sz w:val="18"/>
              </w:rPr>
              <w:t>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232,054,054.</w:t>
            </w:r>
          </w:p>
          <w:p>
            <w:pPr>
              <w:pStyle w:val="TableParagraph"/>
              <w:spacing w:line="234" w:lineRule="exact"/>
              <w:ind w:right="23"/>
              <w:jc w:val="right"/>
              <w:rPr>
                <w:rFonts w:ascii="宋体" w:hAnsi="宋体" w:cs="宋体" w:eastAsia="宋体" w:hint="default"/>
                <w:sz w:val="18"/>
                <w:szCs w:val="18"/>
              </w:rPr>
            </w:pPr>
            <w:r>
              <w:rPr>
                <w:rFonts w:ascii="宋体"/>
                <w:sz w:val="18"/>
              </w:rPr>
              <w:t>91</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99.5</w:t>
            </w:r>
          </w:p>
          <w:p>
            <w:pPr>
              <w:pStyle w:val="TableParagraph"/>
              <w:spacing w:line="234" w:lineRule="exact"/>
              <w:ind w:right="25"/>
              <w:jc w:val="right"/>
              <w:rPr>
                <w:rFonts w:ascii="宋体" w:hAnsi="宋体" w:cs="宋体" w:eastAsia="宋体" w:hint="default"/>
                <w:sz w:val="18"/>
                <w:szCs w:val="18"/>
              </w:rPr>
            </w:pPr>
            <w:r>
              <w:rPr>
                <w:rFonts w:ascii="宋体"/>
                <w:sz w:val="18"/>
              </w:rPr>
              <w:t>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7"/>
              <w:jc w:val="right"/>
              <w:rPr>
                <w:rFonts w:ascii="宋体" w:hAnsi="宋体" w:cs="宋体" w:eastAsia="宋体" w:hint="default"/>
                <w:sz w:val="18"/>
                <w:szCs w:val="18"/>
              </w:rPr>
            </w:pPr>
            <w:r>
              <w:rPr>
                <w:rFonts w:ascii="宋体"/>
                <w:spacing w:val="-1"/>
                <w:sz w:val="18"/>
              </w:rPr>
              <w:t>3,560,522.8</w:t>
            </w:r>
          </w:p>
          <w:p>
            <w:pPr>
              <w:pStyle w:val="TableParagraph"/>
              <w:spacing w:line="234" w:lineRule="exact"/>
              <w:ind w:right="28"/>
              <w:jc w:val="right"/>
              <w:rPr>
                <w:rFonts w:ascii="宋体" w:hAnsi="宋体" w:cs="宋体" w:eastAsia="宋体" w:hint="default"/>
                <w:sz w:val="18"/>
                <w:szCs w:val="18"/>
              </w:rPr>
            </w:pPr>
            <w:r>
              <w:rPr>
                <w:rFonts w:ascii="宋体"/>
                <w:sz w:val="18"/>
              </w:rPr>
              <w:t>7</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0" w:right="0"/>
              <w:jc w:val="left"/>
              <w:rPr>
                <w:rFonts w:ascii="宋体" w:hAnsi="宋体" w:cs="宋体" w:eastAsia="宋体" w:hint="default"/>
                <w:sz w:val="18"/>
                <w:szCs w:val="18"/>
              </w:rPr>
            </w:pPr>
            <w:r>
              <w:rPr>
                <w:rFonts w:ascii="宋体"/>
                <w:sz w:val="18"/>
              </w:rPr>
              <w:t>1.53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228,493,532.</w:t>
            </w:r>
          </w:p>
          <w:p>
            <w:pPr>
              <w:pStyle w:val="TableParagraph"/>
              <w:spacing w:line="234" w:lineRule="exact"/>
              <w:ind w:right="23"/>
              <w:jc w:val="right"/>
              <w:rPr>
                <w:rFonts w:ascii="宋体" w:hAnsi="宋体" w:cs="宋体" w:eastAsia="宋体" w:hint="default"/>
                <w:sz w:val="18"/>
                <w:szCs w:val="18"/>
              </w:rPr>
            </w:pPr>
            <w:r>
              <w:rPr>
                <w:rFonts w:ascii="宋体"/>
                <w:sz w:val="18"/>
              </w:rPr>
              <w:t>04</w:t>
            </w:r>
          </w:p>
        </w:tc>
      </w:tr>
    </w:tbl>
    <w:p>
      <w:pPr>
        <w:spacing w:after="0" w:line="234" w:lineRule="exact"/>
        <w:jc w:val="righ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4"/>
        <w:gridCol w:w="1138"/>
        <w:gridCol w:w="557"/>
        <w:gridCol w:w="891"/>
        <w:gridCol w:w="391"/>
        <w:gridCol w:w="1138"/>
        <w:gridCol w:w="1220"/>
        <w:gridCol w:w="475"/>
        <w:gridCol w:w="1057"/>
        <w:gridCol w:w="557"/>
        <w:gridCol w:w="1219"/>
      </w:tblGrid>
      <w:tr>
        <w:trPr>
          <w:trHeight w:val="6003" w:hRule="exact"/>
        </w:trPr>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3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1,021,121.00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 w:right="0"/>
              <w:jc w:val="center"/>
              <w:rPr>
                <w:rFonts w:ascii="宋体" w:hAnsi="宋体" w:cs="宋体" w:eastAsia="宋体" w:hint="default"/>
                <w:sz w:val="18"/>
                <w:szCs w:val="18"/>
              </w:rPr>
            </w:pPr>
            <w:r>
              <w:rPr>
                <w:rFonts w:ascii="宋体"/>
                <w:sz w:val="18"/>
              </w:rPr>
              <w:t>0.44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pacing w:val="-1"/>
                <w:sz w:val="18"/>
              </w:rPr>
              <w:t>1,021,121.0</w:t>
            </w:r>
          </w:p>
          <w:p>
            <w:pPr>
              <w:pStyle w:val="TableParagraph"/>
              <w:spacing w:line="234" w:lineRule="exact"/>
              <w:ind w:right="28"/>
              <w:jc w:val="right"/>
              <w:rPr>
                <w:rFonts w:ascii="宋体" w:hAnsi="宋体" w:cs="宋体" w:eastAsia="宋体" w:hint="default"/>
                <w:sz w:val="18"/>
                <w:szCs w:val="18"/>
              </w:rPr>
            </w:pPr>
            <w:r>
              <w:rPr>
                <w:rFonts w:ascii="宋体"/>
                <w:sz w:val="18"/>
              </w:rPr>
              <w:t>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13,493,074.</w:t>
            </w:r>
          </w:p>
          <w:p>
            <w:pPr>
              <w:pStyle w:val="TableParagraph"/>
              <w:spacing w:line="240" w:lineRule="auto"/>
              <w:ind w:right="23"/>
              <w:jc w:val="right"/>
              <w:rPr>
                <w:rFonts w:ascii="宋体" w:hAnsi="宋体" w:cs="宋体" w:eastAsia="宋体" w:hint="default"/>
                <w:sz w:val="18"/>
                <w:szCs w:val="18"/>
              </w:rPr>
            </w:pPr>
            <w:r>
              <w:rPr>
                <w:rFonts w:ascii="宋体"/>
                <w:sz w:val="18"/>
              </w:rPr>
              <w:t>98</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884,605.6</w:t>
            </w:r>
          </w:p>
          <w:p>
            <w:pPr>
              <w:pStyle w:val="TableParagraph"/>
              <w:spacing w:line="240" w:lineRule="auto"/>
              <w:ind w:right="25"/>
              <w:jc w:val="right"/>
              <w:rPr>
                <w:rFonts w:ascii="宋体" w:hAnsi="宋体" w:cs="宋体" w:eastAsia="宋体" w:hint="default"/>
                <w:sz w:val="18"/>
                <w:szCs w:val="18"/>
              </w:rPr>
            </w:pPr>
            <w:r>
              <w:rPr>
                <w:rFonts w:ascii="宋体"/>
                <w:sz w:val="18"/>
              </w:rPr>
              <w:t>5</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12,608,469.</w:t>
            </w:r>
          </w:p>
          <w:p>
            <w:pPr>
              <w:pStyle w:val="TableParagraph"/>
              <w:spacing w:line="240" w:lineRule="auto"/>
              <w:ind w:right="23"/>
              <w:jc w:val="right"/>
              <w:rPr>
                <w:rFonts w:ascii="宋体" w:hAnsi="宋体" w:cs="宋体" w:eastAsia="宋体" w:hint="default"/>
                <w:sz w:val="18"/>
                <w:szCs w:val="18"/>
              </w:rPr>
            </w:pPr>
            <w:r>
              <w:rPr>
                <w:rFonts w:ascii="宋体"/>
                <w:sz w:val="18"/>
              </w:rPr>
              <w:t>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233,075,175.</w:t>
            </w:r>
          </w:p>
          <w:p>
            <w:pPr>
              <w:pStyle w:val="TableParagraph"/>
              <w:spacing w:line="240" w:lineRule="auto"/>
              <w:ind w:right="23"/>
              <w:jc w:val="right"/>
              <w:rPr>
                <w:rFonts w:ascii="宋体" w:hAnsi="宋体" w:cs="宋体" w:eastAsia="宋体" w:hint="default"/>
                <w:sz w:val="18"/>
                <w:szCs w:val="18"/>
              </w:rPr>
            </w:pPr>
            <w:r>
              <w:rPr>
                <w:rFonts w:ascii="宋体"/>
                <w:sz w:val="18"/>
              </w:rPr>
              <w:t>91</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4,581,643.8</w:t>
            </w:r>
          </w:p>
          <w:p>
            <w:pPr>
              <w:pStyle w:val="TableParagraph"/>
              <w:spacing w:line="240" w:lineRule="auto"/>
              <w:ind w:right="28"/>
              <w:jc w:val="right"/>
              <w:rPr>
                <w:rFonts w:ascii="宋体" w:hAnsi="宋体" w:cs="宋体" w:eastAsia="宋体" w:hint="default"/>
                <w:sz w:val="18"/>
                <w:szCs w:val="18"/>
              </w:rPr>
            </w:pPr>
            <w:r>
              <w:rPr>
                <w:rFonts w:ascii="宋体"/>
                <w:sz w:val="18"/>
              </w:rPr>
              <w:t>7</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228,493,532.</w:t>
            </w:r>
          </w:p>
          <w:p>
            <w:pPr>
              <w:pStyle w:val="TableParagraph"/>
              <w:spacing w:line="240" w:lineRule="auto"/>
              <w:ind w:left="26" w:right="0"/>
              <w:jc w:val="left"/>
              <w:rPr>
                <w:rFonts w:ascii="宋体" w:hAnsi="宋体" w:cs="宋体" w:eastAsia="宋体" w:hint="default"/>
                <w:sz w:val="18"/>
                <w:szCs w:val="18"/>
              </w:rPr>
            </w:pPr>
            <w:r>
              <w:rPr>
                <w:rFonts w:ascii="宋体"/>
                <w:sz w:val="18"/>
              </w:rPr>
              <w:t>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660" w:right="1120"/>
        </w:sectPr>
      </w:pPr>
    </w:p>
    <w:p>
      <w:pPr>
        <w:pStyle w:val="BodyText"/>
        <w:spacing w:line="273" w:lineRule="exact" w:before="36"/>
        <w:ind w:left="138" w:right="0"/>
        <w:jc w:val="left"/>
      </w:pPr>
      <w:r>
        <w:rPr>
          <w:spacing w:val="-2"/>
        </w:rPr>
        <w:t>期末单项金额重大并单项计提坏帐准备的其他应收款</w:t>
      </w:r>
    </w:p>
    <w:p>
      <w:pPr>
        <w:pStyle w:val="BodyText"/>
        <w:spacing w:line="240" w:lineRule="auto"/>
        <w:ind w:left="1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894,714.64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26,841.43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894,714.64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26,841.43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5,305,883.34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265,294.17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184,101.71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27,615.26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51,609.30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15,482.79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68,744.00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34,372.00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515,000.00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515,000.00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7,020,052.99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884,605.65</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138" w:right="1046"/>
        <w:jc w:val="left"/>
      </w:pPr>
      <w:r>
        <w:rPr/>
        <w:t>确定该组合依据的说明：按账龄划分</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tabs>
          <w:tab w:pos="1497" w:val="left" w:leader="none"/>
        </w:tabs>
        <w:spacing w:line="240" w:lineRule="auto" w:before="36"/>
        <w:ind w:left="658" w:right="0"/>
        <w:jc w:val="left"/>
      </w:pPr>
      <w:r>
        <w:rPr/>
        <w:t>（</w:t>
      </w:r>
      <w:r>
        <w:rPr>
          <w:rFonts w:ascii="Times New Roman" w:hAnsi="Times New Roman" w:cs="Times New Roman" w:eastAsia="Times New Roman" w:hint="default"/>
        </w:rPr>
        <w:t>1</w:t>
      </w:r>
      <w:r>
        <w:rPr/>
        <w:t>）</w:t>
        <w:tab/>
        <w:t>组合中，采用低风险组合计提坏账准备的其他应收款</w:t>
      </w:r>
    </w:p>
    <w:p>
      <w:pPr>
        <w:spacing w:line="240" w:lineRule="auto" w:before="10"/>
        <w:rPr>
          <w:rFonts w:ascii="宋体" w:hAnsi="宋体" w:cs="宋体" w:eastAsia="宋体" w:hint="default"/>
          <w:sz w:val="11"/>
          <w:szCs w:val="11"/>
        </w:rPr>
      </w:pPr>
    </w:p>
    <w:p>
      <w:pPr>
        <w:spacing w:line="1819" w:lineRule="exact"/>
        <w:ind w:left="101"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54.65pt;height:91pt;mso-position-horizontal-relative:char;mso-position-vertical-relative:line" coordorigin="0,0" coordsize="9093,1820">
            <v:group style="position:absolute;left:29;top:14;width:3190;height:2" coordorigin="29,14" coordsize="3190,2">
              <v:shape style="position:absolute;left:29;top:14;width:3190;height:2" coordorigin="29,14" coordsize="3190,0" path="m29,14l3219,14e" filled="false" stroked="true" strokeweight="1.44pt" strokecolor="#000000">
                <v:path arrowok="t"/>
              </v:shape>
              <v:shape style="position:absolute;left:3219;top:29;width:10;height:2" type="#_x0000_t75" stroked="false">
                <v:imagedata r:id="rId88" o:title=""/>
              </v:shape>
            </v:group>
            <v:group style="position:absolute;left:3219;top:14;width:29;height:2" coordorigin="3219,14" coordsize="29,2">
              <v:shape style="position:absolute;left:3219;top:14;width:29;height:2" coordorigin="3219,14" coordsize="29,0" path="m3219,14l3248,14e" filled="false" stroked="true" strokeweight="1.44pt" strokecolor="#000000">
                <v:path arrowok="t"/>
              </v:shape>
            </v:group>
            <v:group style="position:absolute;left:3248;top:14;width:5831;height:2" coordorigin="3248,14" coordsize="5831,2">
              <v:shape style="position:absolute;left:3248;top:14;width:5831;height:2" coordorigin="3248,14" coordsize="5831,0" path="m3248,14l9078,14e" filled="false" stroked="true" strokeweight="1.44pt" strokecolor="#000000">
                <v:path arrowok="t"/>
              </v:shape>
            </v:group>
            <v:group style="position:absolute;left:3219;top:31;width:10;height:20" coordorigin="3219,31" coordsize="10,20">
              <v:shape style="position:absolute;left:3219;top:31;width:10;height:20" coordorigin="3219,31" coordsize="10,20" path="m3219,50l3229,50,3229,31,3219,31,3219,50xe" filled="true" fillcolor="#000000" stroked="false">
                <v:path arrowok="t"/>
                <v:fill type="solid"/>
              </v:shape>
            </v:group>
            <v:group style="position:absolute;left:3219;top:50;width:10;height:20" coordorigin="3219,50" coordsize="10,20">
              <v:shape style="position:absolute;left:3219;top:50;width:10;height:20" coordorigin="3219,50" coordsize="10,20" path="m3219,70l3229,70,3229,50,3219,50,3219,70xe" filled="true" fillcolor="#000000" stroked="false">
                <v:path arrowok="t"/>
                <v:fill type="solid"/>
              </v:shape>
            </v:group>
            <v:group style="position:absolute;left:3219;top:70;width:10;height:20" coordorigin="3219,70" coordsize="10,20">
              <v:shape style="position:absolute;left:3219;top:70;width:10;height:20" coordorigin="3219,70" coordsize="10,20" path="m3219,89l3229,89,3229,70,3219,70,3219,89xe" filled="true" fillcolor="#000000" stroked="false">
                <v:path arrowok="t"/>
                <v:fill type="solid"/>
              </v:shape>
            </v:group>
            <v:group style="position:absolute;left:3219;top:89;width:10;height:20" coordorigin="3219,89" coordsize="10,20">
              <v:shape style="position:absolute;left:3219;top:89;width:10;height:20" coordorigin="3219,89" coordsize="10,20" path="m3219,108l3229,108,3229,89,3219,89,3219,108xe" filled="true" fillcolor="#000000" stroked="false">
                <v:path arrowok="t"/>
                <v:fill type="solid"/>
              </v:shape>
            </v:group>
            <v:group style="position:absolute;left:3219;top:108;width:10;height:20" coordorigin="3219,108" coordsize="10,20">
              <v:shape style="position:absolute;left:3219;top:108;width:10;height:20" coordorigin="3219,108" coordsize="10,20" path="m3219,127l3229,127,3229,108,3219,108,3219,127xe" filled="true" fillcolor="#000000" stroked="false">
                <v:path arrowok="t"/>
                <v:fill type="solid"/>
              </v:shape>
            </v:group>
            <v:group style="position:absolute;left:3219;top:127;width:10;height:20" coordorigin="3219,127" coordsize="10,20">
              <v:shape style="position:absolute;left:3219;top:127;width:10;height:20" coordorigin="3219,127" coordsize="10,20" path="m3219,146l3229,146,3229,127,3219,127,3219,146xe" filled="true" fillcolor="#000000" stroked="false">
                <v:path arrowok="t"/>
                <v:fill type="solid"/>
              </v:shape>
            </v:group>
            <v:group style="position:absolute;left:3219;top:146;width:10;height:20" coordorigin="3219,146" coordsize="10,20">
              <v:shape style="position:absolute;left:3219;top:146;width:10;height:20" coordorigin="3219,146" coordsize="10,20" path="m3219,166l3229,166,3229,146,3219,146,3219,166xe" filled="true" fillcolor="#000000" stroked="false">
                <v:path arrowok="t"/>
                <v:fill type="solid"/>
              </v:shape>
            </v:group>
            <v:group style="position:absolute;left:3219;top:166;width:10;height:20" coordorigin="3219,166" coordsize="10,20">
              <v:shape style="position:absolute;left:3219;top:166;width:10;height:20" coordorigin="3219,166" coordsize="10,20" path="m3219,185l3229,185,3229,166,3219,166,3219,185xe" filled="true" fillcolor="#000000" stroked="false">
                <v:path arrowok="t"/>
                <v:fill type="solid"/>
              </v:shape>
            </v:group>
            <v:group style="position:absolute;left:3219;top:185;width:10;height:20" coordorigin="3219,185" coordsize="10,20">
              <v:shape style="position:absolute;left:3219;top:185;width:10;height:20" coordorigin="3219,185" coordsize="10,20" path="m3219,204l3229,204,3229,185,3219,185,3219,204xe" filled="true" fillcolor="#000000" stroked="false">
                <v:path arrowok="t"/>
                <v:fill type="solid"/>
              </v:shape>
            </v:group>
            <v:group style="position:absolute;left:3219;top:204;width:10;height:20" coordorigin="3219,204" coordsize="10,20">
              <v:shape style="position:absolute;left:3219;top:204;width:10;height:20" coordorigin="3219,204" coordsize="10,20" path="m3219,223l3229,223,3229,204,3219,204,3219,223xe" filled="true" fillcolor="#000000" stroked="false">
                <v:path arrowok="t"/>
                <v:fill type="solid"/>
              </v:shape>
            </v:group>
            <v:group style="position:absolute;left:3219;top:223;width:10;height:20" coordorigin="3219,223" coordsize="10,20">
              <v:shape style="position:absolute;left:3219;top:223;width:10;height:20" coordorigin="3219,223" coordsize="10,20" path="m3219,242l3229,242,3229,223,3219,223,3219,242xe" filled="true" fillcolor="#000000" stroked="false">
                <v:path arrowok="t"/>
                <v:fill type="solid"/>
              </v:shape>
            </v:group>
            <v:group style="position:absolute;left:3219;top:242;width:10;height:20" coordorigin="3219,242" coordsize="10,20">
              <v:shape style="position:absolute;left:3219;top:242;width:10;height:20" coordorigin="3219,242" coordsize="10,20" path="m3219,262l3229,262,3229,242,3219,242,3219,262xe" filled="true" fillcolor="#000000" stroked="false">
                <v:path arrowok="t"/>
                <v:fill type="solid"/>
              </v:shape>
            </v:group>
            <v:group style="position:absolute;left:3219;top:262;width:10;height:20" coordorigin="3219,262" coordsize="10,20">
              <v:shape style="position:absolute;left:3219;top:262;width:10;height:20" coordorigin="3219,262" coordsize="10,20" path="m3219,281l3229,281,3229,262,3219,262,3219,281xe" filled="true" fillcolor="#000000" stroked="false">
                <v:path arrowok="t"/>
                <v:fill type="solid"/>
              </v:shape>
            </v:group>
            <v:group style="position:absolute;left:3219;top:281;width:10;height:20" coordorigin="3219,281" coordsize="10,20">
              <v:shape style="position:absolute;left:3219;top:281;width:10;height:20" coordorigin="3219,281" coordsize="10,20" path="m3219,300l3229,300,3229,281,3219,281,3219,300xe" filled="true" fillcolor="#000000" stroked="false">
                <v:path arrowok="t"/>
                <v:fill type="solid"/>
              </v:shape>
            </v:group>
            <v:group style="position:absolute;left:3219;top:300;width:10;height:20" coordorigin="3219,300" coordsize="10,20">
              <v:shape style="position:absolute;left:3219;top:300;width:10;height:20" coordorigin="3219,300" coordsize="10,20" path="m3219,319l3229,319,3229,300,3219,300,3219,319xe" filled="true" fillcolor="#000000" stroked="false">
                <v:path arrowok="t"/>
                <v:fill type="solid"/>
              </v:shape>
            </v:group>
            <v:group style="position:absolute;left:3219;top:319;width:10;height:20" coordorigin="3219,319" coordsize="10,20">
              <v:shape style="position:absolute;left:3219;top:319;width:10;height:20" coordorigin="3219,319" coordsize="10,20" path="m3219,338l3229,338,3229,319,3219,319,3219,338xe" filled="true" fillcolor="#000000" stroked="false">
                <v:path arrowok="t"/>
                <v:fill type="solid"/>
              </v:shape>
            </v:group>
            <v:group style="position:absolute;left:3219;top:338;width:10;height:20" coordorigin="3219,338" coordsize="10,20">
              <v:shape style="position:absolute;left:3219;top:338;width:10;height:20" coordorigin="3219,338" coordsize="10,20" path="m3219,358l3229,358,3229,338,3219,338,3219,358xe" filled="true" fillcolor="#000000" stroked="false">
                <v:path arrowok="t"/>
                <v:fill type="solid"/>
              </v:shape>
            </v:group>
            <v:group style="position:absolute;left:3219;top:364;width:10;height:2" coordorigin="3219,364" coordsize="10,2">
              <v:shape style="position:absolute;left:3219;top:364;width:10;height:2" coordorigin="3219,364" coordsize="10,0" path="m3219,364l3229,364e" filled="false" stroked="true" strokeweight=".599980pt" strokecolor="#000000">
                <v:path arrowok="t"/>
              </v:shape>
            </v:group>
            <v:group style="position:absolute;left:3219;top:379;width:10;height:2" coordorigin="3219,379" coordsize="10,2">
              <v:shape style="position:absolute;left:3219;top:379;width:10;height:2" coordorigin="3219,379" coordsize="10,0" path="m3219,379l3229,379e" filled="false" stroked="true" strokeweight=".96002pt" strokecolor="#000000">
                <v:path arrowok="t"/>
              </v:shape>
            </v:group>
            <v:group style="position:absolute;left:3219;top:395;width:10;height:2" coordorigin="3219,395" coordsize="10,2">
              <v:shape style="position:absolute;left:3219;top:395;width:10;height:2" coordorigin="3219,395" coordsize="10,0" path="m3219,395l3229,395e" filled="false" stroked="true" strokeweight=".599980pt" strokecolor="#000000">
                <v:path arrowok="t"/>
              </v:shape>
            </v:group>
            <v:group style="position:absolute;left:3229;top:374;width:20;height:2" coordorigin="3229,374" coordsize="20,2">
              <v:shape style="position:absolute;left:3229;top:374;width:20;height:2" coordorigin="3229,374" coordsize="20,0" path="m3229,374l3248,374e" filled="false" stroked="true" strokeweight=".47998pt" strokecolor="#000000">
                <v:path arrowok="t"/>
              </v:shape>
            </v:group>
            <v:group style="position:absolute;left:3248;top:374;width:20;height:2" coordorigin="3248,374" coordsize="20,2">
              <v:shape style="position:absolute;left:3248;top:374;width:20;height:2" coordorigin="3248,374" coordsize="20,0" path="m3248,374l3267,374e" filled="false" stroked="true" strokeweight=".47998pt" strokecolor="#000000">
                <v:path arrowok="t"/>
              </v:shape>
            </v:group>
            <v:group style="position:absolute;left:3267;top:374;width:20;height:2" coordorigin="3267,374" coordsize="20,2">
              <v:shape style="position:absolute;left:3267;top:374;width:20;height:2" coordorigin="3267,374" coordsize="20,0" path="m3267,374l3286,374e" filled="false" stroked="true" strokeweight=".47998pt" strokecolor="#000000">
                <v:path arrowok="t"/>
              </v:shape>
            </v:group>
            <v:group style="position:absolute;left:3286;top:374;width:20;height:2" coordorigin="3286,374" coordsize="20,2">
              <v:shape style="position:absolute;left:3286;top:374;width:20;height:2" coordorigin="3286,374" coordsize="20,0" path="m3286,374l3305,374e" filled="false" stroked="true" strokeweight=".47998pt" strokecolor="#000000">
                <v:path arrowok="t"/>
              </v:shape>
            </v:group>
            <v:group style="position:absolute;left:3305;top:374;width:20;height:2" coordorigin="3305,374" coordsize="20,2">
              <v:shape style="position:absolute;left:3305;top:374;width:20;height:2" coordorigin="3305,374" coordsize="20,0" path="m3305,374l3325,374e" filled="false" stroked="true" strokeweight=".47998pt" strokecolor="#000000">
                <v:path arrowok="t"/>
              </v:shape>
            </v:group>
            <v:group style="position:absolute;left:3325;top:374;width:20;height:2" coordorigin="3325,374" coordsize="20,2">
              <v:shape style="position:absolute;left:3325;top:374;width:20;height:2" coordorigin="3325,374" coordsize="20,0" path="m3325,374l3344,374e" filled="false" stroked="true" strokeweight=".47998pt" strokecolor="#000000">
                <v:path arrowok="t"/>
              </v:shape>
            </v:group>
            <v:group style="position:absolute;left:3344;top:374;width:20;height:2" coordorigin="3344,374" coordsize="20,2">
              <v:shape style="position:absolute;left:3344;top:374;width:20;height:2" coordorigin="3344,374" coordsize="20,0" path="m3344,374l3363,374e" filled="false" stroked="true" strokeweight=".47998pt" strokecolor="#000000">
                <v:path arrowok="t"/>
              </v:shape>
            </v:group>
            <v:group style="position:absolute;left:3363;top:374;width:20;height:2" coordorigin="3363,374" coordsize="20,2">
              <v:shape style="position:absolute;left:3363;top:374;width:20;height:2" coordorigin="3363,374" coordsize="20,0" path="m3363,374l3382,374e" filled="false" stroked="true" strokeweight=".47998pt" strokecolor="#000000">
                <v:path arrowok="t"/>
              </v:shape>
            </v:group>
            <v:group style="position:absolute;left:3382;top:374;width:20;height:2" coordorigin="3382,374" coordsize="20,2">
              <v:shape style="position:absolute;left:3382;top:374;width:20;height:2" coordorigin="3382,374" coordsize="20,0" path="m3382,374l3401,374e" filled="false" stroked="true" strokeweight=".47998pt" strokecolor="#000000">
                <v:path arrowok="t"/>
              </v:shape>
            </v:group>
            <v:group style="position:absolute;left:3401;top:374;width:20;height:2" coordorigin="3401,374" coordsize="20,2">
              <v:shape style="position:absolute;left:3401;top:374;width:20;height:2" coordorigin="3401,374" coordsize="20,0" path="m3401,374l3421,374e" filled="false" stroked="true" strokeweight=".47998pt" strokecolor="#000000">
                <v:path arrowok="t"/>
              </v:shape>
            </v:group>
            <v:group style="position:absolute;left:3421;top:374;width:20;height:2" coordorigin="3421,374" coordsize="20,2">
              <v:shape style="position:absolute;left:3421;top:374;width:20;height:2" coordorigin="3421,374" coordsize="20,0" path="m3421,374l3440,374e" filled="false" stroked="true" strokeweight=".47998pt" strokecolor="#000000">
                <v:path arrowok="t"/>
              </v:shape>
            </v:group>
            <v:group style="position:absolute;left:3440;top:374;width:20;height:2" coordorigin="3440,374" coordsize="20,2">
              <v:shape style="position:absolute;left:3440;top:374;width:20;height:2" coordorigin="3440,374" coordsize="20,0" path="m3440,374l3459,374e" filled="false" stroked="true" strokeweight=".47998pt" strokecolor="#000000">
                <v:path arrowok="t"/>
              </v:shape>
            </v:group>
            <v:group style="position:absolute;left:3459;top:374;width:20;height:2" coordorigin="3459,374" coordsize="20,2">
              <v:shape style="position:absolute;left:3459;top:374;width:20;height:2" coordorigin="3459,374" coordsize="20,0" path="m3459,374l3478,374e" filled="false" stroked="true" strokeweight=".47998pt" strokecolor="#000000">
                <v:path arrowok="t"/>
              </v:shape>
            </v:group>
            <v:group style="position:absolute;left:3478;top:374;width:20;height:2" coordorigin="3478,374" coordsize="20,2">
              <v:shape style="position:absolute;left:3478;top:374;width:20;height:2" coordorigin="3478,374" coordsize="20,0" path="m3478,374l3497,374e" filled="false" stroked="true" strokeweight=".47998pt" strokecolor="#000000">
                <v:path arrowok="t"/>
              </v:shape>
            </v:group>
            <v:group style="position:absolute;left:3497;top:374;width:20;height:2" coordorigin="3497,374" coordsize="20,2">
              <v:shape style="position:absolute;left:3497;top:374;width:20;height:2" coordorigin="3497,374" coordsize="20,0" path="m3497,374l3517,374e" filled="false" stroked="true" strokeweight=".47998pt" strokecolor="#000000">
                <v:path arrowok="t"/>
              </v:shape>
            </v:group>
            <v:group style="position:absolute;left:3517;top:374;width:20;height:2" coordorigin="3517,374" coordsize="20,2">
              <v:shape style="position:absolute;left:3517;top:374;width:20;height:2" coordorigin="3517,374" coordsize="20,0" path="m3517,374l3536,374e" filled="false" stroked="true" strokeweight=".47998pt" strokecolor="#000000">
                <v:path arrowok="t"/>
              </v:shape>
            </v:group>
            <v:group style="position:absolute;left:3536;top:374;width:20;height:2" coordorigin="3536,374" coordsize="20,2">
              <v:shape style="position:absolute;left:3536;top:374;width:20;height:2" coordorigin="3536,374" coordsize="20,0" path="m3536,374l3555,374e" filled="false" stroked="true" strokeweight=".47998pt" strokecolor="#000000">
                <v:path arrowok="t"/>
              </v:shape>
            </v:group>
            <v:group style="position:absolute;left:3555;top:374;width:20;height:2" coordorigin="3555,374" coordsize="20,2">
              <v:shape style="position:absolute;left:3555;top:374;width:20;height:2" coordorigin="3555,374" coordsize="20,0" path="m3555,374l3574,374e" filled="false" stroked="true" strokeweight=".47998pt" strokecolor="#000000">
                <v:path arrowok="t"/>
              </v:shape>
            </v:group>
            <v:group style="position:absolute;left:3574;top:374;width:20;height:2" coordorigin="3574,374" coordsize="20,2">
              <v:shape style="position:absolute;left:3574;top:374;width:20;height:2" coordorigin="3574,374" coordsize="20,0" path="m3574,374l3593,374e" filled="false" stroked="true" strokeweight=".47998pt" strokecolor="#000000">
                <v:path arrowok="t"/>
              </v:shape>
            </v:group>
            <v:group style="position:absolute;left:3593;top:374;width:20;height:2" coordorigin="3593,374" coordsize="20,2">
              <v:shape style="position:absolute;left:3593;top:374;width:20;height:2" coordorigin="3593,374" coordsize="20,0" path="m3593,374l3613,374e" filled="false" stroked="true" strokeweight=".47998pt" strokecolor="#000000">
                <v:path arrowok="t"/>
              </v:shape>
            </v:group>
            <v:group style="position:absolute;left:3613;top:374;width:20;height:2" coordorigin="3613,374" coordsize="20,2">
              <v:shape style="position:absolute;left:3613;top:374;width:20;height:2" coordorigin="3613,374" coordsize="20,0" path="m3613,374l3632,374e" filled="false" stroked="true" strokeweight=".47998pt" strokecolor="#000000">
                <v:path arrowok="t"/>
              </v:shape>
            </v:group>
            <v:group style="position:absolute;left:3632;top:374;width:20;height:2" coordorigin="3632,374" coordsize="20,2">
              <v:shape style="position:absolute;left:3632;top:374;width:20;height:2" coordorigin="3632,374" coordsize="20,0" path="m3632,374l3651,374e" filled="false" stroked="true" strokeweight=".47998pt" strokecolor="#000000">
                <v:path arrowok="t"/>
              </v:shape>
            </v:group>
            <v:group style="position:absolute;left:3651;top:374;width:20;height:2" coordorigin="3651,374" coordsize="20,2">
              <v:shape style="position:absolute;left:3651;top:374;width:20;height:2" coordorigin="3651,374" coordsize="20,0" path="m3651,374l3670,374e" filled="false" stroked="true" strokeweight=".47998pt" strokecolor="#000000">
                <v:path arrowok="t"/>
              </v:shape>
            </v:group>
            <v:group style="position:absolute;left:3670;top:374;width:20;height:2" coordorigin="3670,374" coordsize="20,2">
              <v:shape style="position:absolute;left:3670;top:374;width:20;height:2" coordorigin="3670,374" coordsize="20,0" path="m3670,374l3689,374e" filled="false" stroked="true" strokeweight=".47998pt" strokecolor="#000000">
                <v:path arrowok="t"/>
              </v:shape>
            </v:group>
            <v:group style="position:absolute;left:3689;top:374;width:20;height:2" coordorigin="3689,374" coordsize="20,2">
              <v:shape style="position:absolute;left:3689;top:374;width:20;height:2" coordorigin="3689,374" coordsize="20,0" path="m3689,374l3709,374e" filled="false" stroked="true" strokeweight=".47998pt" strokecolor="#000000">
                <v:path arrowok="t"/>
              </v:shape>
            </v:group>
            <v:group style="position:absolute;left:3709;top:374;width:20;height:2" coordorigin="3709,374" coordsize="20,2">
              <v:shape style="position:absolute;left:3709;top:374;width:20;height:2" coordorigin="3709,374" coordsize="20,0" path="m3709,374l3728,374e" filled="false" stroked="true" strokeweight=".47998pt" strokecolor="#000000">
                <v:path arrowok="t"/>
              </v:shape>
            </v:group>
            <v:group style="position:absolute;left:3728;top:374;width:20;height:2" coordorigin="3728,374" coordsize="20,2">
              <v:shape style="position:absolute;left:3728;top:374;width:20;height:2" coordorigin="3728,374" coordsize="20,0" path="m3728,374l3747,374e" filled="false" stroked="true" strokeweight=".47998pt" strokecolor="#000000">
                <v:path arrowok="t"/>
              </v:shape>
            </v:group>
            <v:group style="position:absolute;left:3747;top:374;width:20;height:2" coordorigin="3747,374" coordsize="20,2">
              <v:shape style="position:absolute;left:3747;top:374;width:20;height:2" coordorigin="3747,374" coordsize="20,0" path="m3747,374l3766,374e" filled="false" stroked="true" strokeweight=".47998pt" strokecolor="#000000">
                <v:path arrowok="t"/>
              </v:shape>
            </v:group>
            <v:group style="position:absolute;left:3766;top:374;width:20;height:2" coordorigin="3766,374" coordsize="20,2">
              <v:shape style="position:absolute;left:3766;top:374;width:20;height:2" coordorigin="3766,374" coordsize="20,0" path="m3766,374l3785,374e" filled="false" stroked="true" strokeweight=".47998pt" strokecolor="#000000">
                <v:path arrowok="t"/>
              </v:shape>
            </v:group>
            <v:group style="position:absolute;left:3785;top:374;width:20;height:2" coordorigin="3785,374" coordsize="20,2">
              <v:shape style="position:absolute;left:3785;top:374;width:20;height:2" coordorigin="3785,374" coordsize="20,0" path="m3785,374l3805,374e" filled="false" stroked="true" strokeweight=".47998pt" strokecolor="#000000">
                <v:path arrowok="t"/>
              </v:shape>
            </v:group>
            <v:group style="position:absolute;left:3805;top:374;width:20;height:2" coordorigin="3805,374" coordsize="20,2">
              <v:shape style="position:absolute;left:3805;top:374;width:20;height:2" coordorigin="3805,374" coordsize="20,0" path="m3805,374l3824,374e" filled="false" stroked="true" strokeweight=".47998pt" strokecolor="#000000">
                <v:path arrowok="t"/>
              </v:shape>
            </v:group>
            <v:group style="position:absolute;left:3824;top:374;width:20;height:2" coordorigin="3824,374" coordsize="20,2">
              <v:shape style="position:absolute;left:3824;top:374;width:20;height:2" coordorigin="3824,374" coordsize="20,0" path="m3824,374l3843,374e" filled="false" stroked="true" strokeweight=".47998pt" strokecolor="#000000">
                <v:path arrowok="t"/>
              </v:shape>
            </v:group>
            <v:group style="position:absolute;left:3843;top:374;width:20;height:2" coordorigin="3843,374" coordsize="20,2">
              <v:shape style="position:absolute;left:3843;top:374;width:20;height:2" coordorigin="3843,374" coordsize="20,0" path="m3843,374l3862,374e" filled="false" stroked="true" strokeweight=".47998pt" strokecolor="#000000">
                <v:path arrowok="t"/>
              </v:shape>
            </v:group>
            <v:group style="position:absolute;left:3862;top:374;width:20;height:2" coordorigin="3862,374" coordsize="20,2">
              <v:shape style="position:absolute;left:3862;top:374;width:20;height:2" coordorigin="3862,374" coordsize="20,0" path="m3862,374l3881,374e" filled="false" stroked="true" strokeweight=".47998pt" strokecolor="#000000">
                <v:path arrowok="t"/>
              </v:shape>
            </v:group>
            <v:group style="position:absolute;left:3881;top:374;width:20;height:2" coordorigin="3881,374" coordsize="20,2">
              <v:shape style="position:absolute;left:3881;top:374;width:20;height:2" coordorigin="3881,374" coordsize="20,0" path="m3881,374l3901,374e" filled="false" stroked="true" strokeweight=".47998pt" strokecolor="#000000">
                <v:path arrowok="t"/>
              </v:shape>
            </v:group>
            <v:group style="position:absolute;left:3901;top:374;width:20;height:2" coordorigin="3901,374" coordsize="20,2">
              <v:shape style="position:absolute;left:3901;top:374;width:20;height:2" coordorigin="3901,374" coordsize="20,0" path="m3901,374l3920,374e" filled="false" stroked="true" strokeweight=".47998pt" strokecolor="#000000">
                <v:path arrowok="t"/>
              </v:shape>
            </v:group>
            <v:group style="position:absolute;left:3920;top:374;width:20;height:2" coordorigin="3920,374" coordsize="20,2">
              <v:shape style="position:absolute;left:3920;top:374;width:20;height:2" coordorigin="3920,374" coordsize="20,0" path="m3920,374l3939,374e" filled="false" stroked="true" strokeweight=".47998pt" strokecolor="#000000">
                <v:path arrowok="t"/>
              </v:shape>
            </v:group>
            <v:group style="position:absolute;left:3939;top:374;width:20;height:2" coordorigin="3939,374" coordsize="20,2">
              <v:shape style="position:absolute;left:3939;top:374;width:20;height:2" coordorigin="3939,374" coordsize="20,0" path="m3939,374l3958,374e" filled="false" stroked="true" strokeweight=".47998pt" strokecolor="#000000">
                <v:path arrowok="t"/>
              </v:shape>
            </v:group>
            <v:group style="position:absolute;left:3958;top:374;width:20;height:2" coordorigin="3958,374" coordsize="20,2">
              <v:shape style="position:absolute;left:3958;top:374;width:20;height:2" coordorigin="3958,374" coordsize="20,0" path="m3958,374l3977,374e" filled="false" stroked="true" strokeweight=".47998pt" strokecolor="#000000">
                <v:path arrowok="t"/>
              </v:shape>
            </v:group>
            <v:group style="position:absolute;left:3977;top:374;width:20;height:2" coordorigin="3977,374" coordsize="20,2">
              <v:shape style="position:absolute;left:3977;top:374;width:20;height:2" coordorigin="3977,374" coordsize="20,0" path="m3977,374l3997,374e" filled="false" stroked="true" strokeweight=".47998pt" strokecolor="#000000">
                <v:path arrowok="t"/>
              </v:shape>
            </v:group>
            <v:group style="position:absolute;left:3997;top:374;width:20;height:2" coordorigin="3997,374" coordsize="20,2">
              <v:shape style="position:absolute;left:3997;top:374;width:20;height:2" coordorigin="3997,374" coordsize="20,0" path="m3997,374l4016,374e" filled="false" stroked="true" strokeweight=".47998pt" strokecolor="#000000">
                <v:path arrowok="t"/>
              </v:shape>
            </v:group>
            <v:group style="position:absolute;left:4016;top:374;width:20;height:2" coordorigin="4016,374" coordsize="20,2">
              <v:shape style="position:absolute;left:4016;top:374;width:20;height:2" coordorigin="4016,374" coordsize="20,0" path="m4016,374l4035,374e" filled="false" stroked="true" strokeweight=".47998pt" strokecolor="#000000">
                <v:path arrowok="t"/>
              </v:shape>
            </v:group>
            <v:group style="position:absolute;left:4035;top:374;width:20;height:2" coordorigin="4035,374" coordsize="20,2">
              <v:shape style="position:absolute;left:4035;top:374;width:20;height:2" coordorigin="4035,374" coordsize="20,0" path="m4035,374l4054,374e" filled="false" stroked="true" strokeweight=".47998pt" strokecolor="#000000">
                <v:path arrowok="t"/>
              </v:shape>
            </v:group>
            <v:group style="position:absolute;left:4054;top:374;width:20;height:2" coordorigin="4054,374" coordsize="20,2">
              <v:shape style="position:absolute;left:4054;top:374;width:20;height:2" coordorigin="4054,374" coordsize="20,0" path="m4054,374l4073,374e" filled="false" stroked="true" strokeweight=".47998pt" strokecolor="#000000">
                <v:path arrowok="t"/>
              </v:shape>
            </v:group>
            <v:group style="position:absolute;left:4073;top:374;width:20;height:2" coordorigin="4073,374" coordsize="20,2">
              <v:shape style="position:absolute;left:4073;top:374;width:20;height:2" coordorigin="4073,374" coordsize="20,0" path="m4073,374l4093,374e" filled="false" stroked="true" strokeweight=".47998pt" strokecolor="#000000">
                <v:path arrowok="t"/>
              </v:shape>
            </v:group>
            <v:group style="position:absolute;left:4093;top:374;width:20;height:2" coordorigin="4093,374" coordsize="20,2">
              <v:shape style="position:absolute;left:4093;top:374;width:20;height:2" coordorigin="4093,374" coordsize="20,0" path="m4093,374l4112,374e" filled="false" stroked="true" strokeweight=".47998pt" strokecolor="#000000">
                <v:path arrowok="t"/>
              </v:shape>
            </v:group>
            <v:group style="position:absolute;left:4112;top:374;width:20;height:2" coordorigin="4112,374" coordsize="20,2">
              <v:shape style="position:absolute;left:4112;top:374;width:20;height:2" coordorigin="4112,374" coordsize="20,0" path="m4112,374l4131,374e" filled="false" stroked="true" strokeweight=".47998pt" strokecolor="#000000">
                <v:path arrowok="t"/>
              </v:shape>
            </v:group>
            <v:group style="position:absolute;left:4131;top:374;width:20;height:2" coordorigin="4131,374" coordsize="20,2">
              <v:shape style="position:absolute;left:4131;top:374;width:20;height:2" coordorigin="4131,374" coordsize="20,0" path="m4131,374l4150,374e" filled="false" stroked="true" strokeweight=".47998pt" strokecolor="#000000">
                <v:path arrowok="t"/>
              </v:shape>
            </v:group>
            <v:group style="position:absolute;left:4150;top:374;width:20;height:2" coordorigin="4150,374" coordsize="20,2">
              <v:shape style="position:absolute;left:4150;top:374;width:20;height:2" coordorigin="4150,374" coordsize="20,0" path="m4150,374l4169,374e" filled="false" stroked="true" strokeweight=".47998pt" strokecolor="#000000">
                <v:path arrowok="t"/>
              </v:shape>
            </v:group>
            <v:group style="position:absolute;left:4169;top:374;width:20;height:2" coordorigin="4169,374" coordsize="20,2">
              <v:shape style="position:absolute;left:4169;top:374;width:20;height:2" coordorigin="4169,374" coordsize="20,0" path="m4169,374l4189,374e" filled="false" stroked="true" strokeweight=".47998pt" strokecolor="#000000">
                <v:path arrowok="t"/>
              </v:shape>
            </v:group>
            <v:group style="position:absolute;left:4189;top:374;width:20;height:2" coordorigin="4189,374" coordsize="20,2">
              <v:shape style="position:absolute;left:4189;top:374;width:20;height:2" coordorigin="4189,374" coordsize="20,0" path="m4189,374l4208,374e" filled="false" stroked="true" strokeweight=".47998pt" strokecolor="#000000">
                <v:path arrowok="t"/>
              </v:shape>
            </v:group>
            <v:group style="position:absolute;left:4208;top:374;width:20;height:2" coordorigin="4208,374" coordsize="20,2">
              <v:shape style="position:absolute;left:4208;top:374;width:20;height:2" coordorigin="4208,374" coordsize="20,0" path="m4208,374l4227,374e" filled="false" stroked="true" strokeweight=".47998pt" strokecolor="#000000">
                <v:path arrowok="t"/>
              </v:shape>
            </v:group>
            <v:group style="position:absolute;left:4227;top:374;width:20;height:2" coordorigin="4227,374" coordsize="20,2">
              <v:shape style="position:absolute;left:4227;top:374;width:20;height:2" coordorigin="4227,374" coordsize="20,0" path="m4227,374l4246,374e" filled="false" stroked="true" strokeweight=".47998pt" strokecolor="#000000">
                <v:path arrowok="t"/>
              </v:shape>
            </v:group>
            <v:group style="position:absolute;left:4246;top:374;width:20;height:2" coordorigin="4246,374" coordsize="20,2">
              <v:shape style="position:absolute;left:4246;top:374;width:20;height:2" coordorigin="4246,374" coordsize="20,0" path="m4246,374l4265,374e" filled="false" stroked="true" strokeweight=".47998pt" strokecolor="#000000">
                <v:path arrowok="t"/>
              </v:shape>
            </v:group>
            <v:group style="position:absolute;left:4265;top:374;width:20;height:2" coordorigin="4265,374" coordsize="20,2">
              <v:shape style="position:absolute;left:4265;top:374;width:20;height:2" coordorigin="4265,374" coordsize="20,0" path="m4265,374l4285,374e" filled="false" stroked="true" strokeweight=".47998pt" strokecolor="#000000">
                <v:path arrowok="t"/>
              </v:shape>
            </v:group>
            <v:group style="position:absolute;left:4285;top:374;width:20;height:2" coordorigin="4285,374" coordsize="20,2">
              <v:shape style="position:absolute;left:4285;top:374;width:20;height:2" coordorigin="4285,374" coordsize="20,0" path="m4285,374l4304,374e" filled="false" stroked="true" strokeweight=".47998pt" strokecolor="#000000">
                <v:path arrowok="t"/>
              </v:shape>
            </v:group>
            <v:group style="position:absolute;left:4304;top:374;width:20;height:2" coordorigin="4304,374" coordsize="20,2">
              <v:shape style="position:absolute;left:4304;top:374;width:20;height:2" coordorigin="4304,374" coordsize="20,0" path="m4304,374l4323,374e" filled="false" stroked="true" strokeweight=".47998pt" strokecolor="#000000">
                <v:path arrowok="t"/>
              </v:shape>
            </v:group>
            <v:group style="position:absolute;left:4323;top:374;width:20;height:2" coordorigin="4323,374" coordsize="20,2">
              <v:shape style="position:absolute;left:4323;top:374;width:20;height:2" coordorigin="4323,374" coordsize="20,0" path="m4323,374l4342,374e" filled="false" stroked="true" strokeweight=".47998pt" strokecolor="#000000">
                <v:path arrowok="t"/>
              </v:shape>
            </v:group>
            <v:group style="position:absolute;left:4342;top:374;width:20;height:2" coordorigin="4342,374" coordsize="20,2">
              <v:shape style="position:absolute;left:4342;top:374;width:20;height:2" coordorigin="4342,374" coordsize="20,0" path="m4342,374l4361,374e" filled="false" stroked="true" strokeweight=".47998pt" strokecolor="#000000">
                <v:path arrowok="t"/>
              </v:shape>
            </v:group>
            <v:group style="position:absolute;left:4361;top:374;width:20;height:2" coordorigin="4361,374" coordsize="20,2">
              <v:shape style="position:absolute;left:4361;top:374;width:20;height:2" coordorigin="4361,374" coordsize="20,0" path="m4361,374l4381,374e" filled="false" stroked="true" strokeweight=".47998pt" strokecolor="#000000">
                <v:path arrowok="t"/>
              </v:shape>
            </v:group>
            <v:group style="position:absolute;left:4381;top:374;width:20;height:2" coordorigin="4381,374" coordsize="20,2">
              <v:shape style="position:absolute;left:4381;top:374;width:20;height:2" coordorigin="4381,374" coordsize="20,0" path="m4381,374l4400,374e" filled="false" stroked="true" strokeweight=".47998pt" strokecolor="#000000">
                <v:path arrowok="t"/>
              </v:shape>
            </v:group>
            <v:group style="position:absolute;left:4400;top:374;width:20;height:2" coordorigin="4400,374" coordsize="20,2">
              <v:shape style="position:absolute;left:4400;top:374;width:20;height:2" coordorigin="4400,374" coordsize="20,0" path="m4400,374l4419,374e" filled="false" stroked="true" strokeweight=".47998pt" strokecolor="#000000">
                <v:path arrowok="t"/>
              </v:shape>
            </v:group>
            <v:group style="position:absolute;left:4419;top:374;width:20;height:2" coordorigin="4419,374" coordsize="20,2">
              <v:shape style="position:absolute;left:4419;top:374;width:20;height:2" coordorigin="4419,374" coordsize="20,0" path="m4419,374l4438,374e" filled="false" stroked="true" strokeweight=".47998pt" strokecolor="#000000">
                <v:path arrowok="t"/>
              </v:shape>
            </v:group>
            <v:group style="position:absolute;left:4438;top:374;width:20;height:2" coordorigin="4438,374" coordsize="20,2">
              <v:shape style="position:absolute;left:4438;top:374;width:20;height:2" coordorigin="4438,374" coordsize="20,0" path="m4438,374l4457,374e" filled="false" stroked="true" strokeweight=".47998pt" strokecolor="#000000">
                <v:path arrowok="t"/>
              </v:shape>
            </v:group>
            <v:group style="position:absolute;left:4457;top:374;width:20;height:2" coordorigin="4457,374" coordsize="20,2">
              <v:shape style="position:absolute;left:4457;top:374;width:20;height:2" coordorigin="4457,374" coordsize="20,0" path="m4457,374l4477,374e" filled="false" stroked="true" strokeweight=".47998pt" strokecolor="#000000">
                <v:path arrowok="t"/>
              </v:shape>
            </v:group>
            <v:group style="position:absolute;left:4477;top:374;width:20;height:2" coordorigin="4477,374" coordsize="20,2">
              <v:shape style="position:absolute;left:4477;top:374;width:20;height:2" coordorigin="4477,374" coordsize="20,0" path="m4477,374l4496,374e" filled="false" stroked="true" strokeweight=".47998pt" strokecolor="#000000">
                <v:path arrowok="t"/>
              </v:shape>
            </v:group>
            <v:group style="position:absolute;left:4496;top:374;width:20;height:2" coordorigin="4496,374" coordsize="20,2">
              <v:shape style="position:absolute;left:4496;top:374;width:20;height:2" coordorigin="4496,374" coordsize="20,0" path="m4496,374l4515,374e" filled="false" stroked="true" strokeweight=".47998pt" strokecolor="#000000">
                <v:path arrowok="t"/>
              </v:shape>
            </v:group>
            <v:group style="position:absolute;left:4515;top:374;width:20;height:2" coordorigin="4515,374" coordsize="20,2">
              <v:shape style="position:absolute;left:4515;top:374;width:20;height:2" coordorigin="4515,374" coordsize="20,0" path="m4515,374l4534,374e" filled="false" stroked="true" strokeweight=".47998pt" strokecolor="#000000">
                <v:path arrowok="t"/>
              </v:shape>
            </v:group>
            <v:group style="position:absolute;left:4534;top:374;width:20;height:2" coordorigin="4534,374" coordsize="20,2">
              <v:shape style="position:absolute;left:4534;top:374;width:20;height:2" coordorigin="4534,374" coordsize="20,0" path="m4534,374l4553,374e" filled="false" stroked="true" strokeweight=".47998pt" strokecolor="#000000">
                <v:path arrowok="t"/>
              </v:shape>
            </v:group>
            <v:group style="position:absolute;left:4553;top:374;width:20;height:2" coordorigin="4553,374" coordsize="20,2">
              <v:shape style="position:absolute;left:4553;top:374;width:20;height:2" coordorigin="4553,374" coordsize="20,0" path="m4553,374l4573,374e" filled="false" stroked="true" strokeweight=".47998pt" strokecolor="#000000">
                <v:path arrowok="t"/>
              </v:shape>
            </v:group>
            <v:group style="position:absolute;left:4573;top:374;width:20;height:2" coordorigin="4573,374" coordsize="20,2">
              <v:shape style="position:absolute;left:4573;top:374;width:20;height:2" coordorigin="4573,374" coordsize="20,0" path="m4573,374l4592,374e" filled="false" stroked="true" strokeweight=".47998pt" strokecolor="#000000">
                <v:path arrowok="t"/>
              </v:shape>
            </v:group>
            <v:group style="position:absolute;left:4592;top:374;width:20;height:2" coordorigin="4592,374" coordsize="20,2">
              <v:shape style="position:absolute;left:4592;top:374;width:20;height:2" coordorigin="4592,374" coordsize="20,0" path="m4592,374l4611,374e" filled="false" stroked="true" strokeweight=".47998pt" strokecolor="#000000">
                <v:path arrowok="t"/>
              </v:shape>
            </v:group>
            <v:group style="position:absolute;left:4611;top:374;width:20;height:2" coordorigin="4611,374" coordsize="20,2">
              <v:shape style="position:absolute;left:4611;top:374;width:20;height:2" coordorigin="4611,374" coordsize="20,0" path="m4611,374l4630,374e" filled="false" stroked="true" strokeweight=".47998pt" strokecolor="#000000">
                <v:path arrowok="t"/>
              </v:shape>
            </v:group>
            <v:group style="position:absolute;left:4630;top:374;width:20;height:2" coordorigin="4630,374" coordsize="20,2">
              <v:shape style="position:absolute;left:4630;top:374;width:20;height:2" coordorigin="4630,374" coordsize="20,0" path="m4630,374l4649,374e" filled="false" stroked="true" strokeweight=".47998pt" strokecolor="#000000">
                <v:path arrowok="t"/>
              </v:shape>
            </v:group>
            <v:group style="position:absolute;left:4649;top:374;width:20;height:2" coordorigin="4649,374" coordsize="20,2">
              <v:shape style="position:absolute;left:4649;top:374;width:20;height:2" coordorigin="4649,374" coordsize="20,0" path="m4649,374l4669,374e" filled="false" stroked="true" strokeweight=".47998pt" strokecolor="#000000">
                <v:path arrowok="t"/>
              </v:shape>
            </v:group>
            <v:group style="position:absolute;left:4669;top:374;width:20;height:2" coordorigin="4669,374" coordsize="20,2">
              <v:shape style="position:absolute;left:4669;top:374;width:20;height:2" coordorigin="4669,374" coordsize="20,0" path="m4669,374l4688,374e" filled="false" stroked="true" strokeweight=".47998pt" strokecolor="#000000">
                <v:path arrowok="t"/>
              </v:shape>
            </v:group>
            <v:group style="position:absolute;left:4688;top:374;width:20;height:2" coordorigin="4688,374" coordsize="20,2">
              <v:shape style="position:absolute;left:4688;top:374;width:20;height:2" coordorigin="4688,374" coordsize="20,0" path="m4688,374l4707,374e" filled="false" stroked="true" strokeweight=".47998pt" strokecolor="#000000">
                <v:path arrowok="t"/>
              </v:shape>
            </v:group>
            <v:group style="position:absolute;left:4707;top:374;width:20;height:2" coordorigin="4707,374" coordsize="20,2">
              <v:shape style="position:absolute;left:4707;top:374;width:20;height:2" coordorigin="4707,374" coordsize="20,0" path="m4707,374l4727,374e" filled="false" stroked="true" strokeweight=".47998pt" strokecolor="#000000">
                <v:path arrowok="t"/>
              </v:shape>
            </v:group>
            <v:group style="position:absolute;left:4727;top:374;width:20;height:2" coordorigin="4727,374" coordsize="20,2">
              <v:shape style="position:absolute;left:4727;top:374;width:20;height:2" coordorigin="4727,374" coordsize="20,0" path="m4727,374l4746,374e" filled="false" stroked="true" strokeweight=".47998pt" strokecolor="#000000">
                <v:path arrowok="t"/>
              </v:shape>
            </v:group>
            <v:group style="position:absolute;left:4746;top:374;width:20;height:2" coordorigin="4746,374" coordsize="20,2">
              <v:shape style="position:absolute;left:4746;top:374;width:20;height:2" coordorigin="4746,374" coordsize="20,0" path="m4746,374l4765,374e" filled="false" stroked="true" strokeweight=".47998pt" strokecolor="#000000">
                <v:path arrowok="t"/>
              </v:shape>
            </v:group>
            <v:group style="position:absolute;left:4765;top:374;width:20;height:2" coordorigin="4765,374" coordsize="20,2">
              <v:shape style="position:absolute;left:4765;top:374;width:20;height:2" coordorigin="4765,374" coordsize="20,0" path="m4765,374l4784,374e" filled="false" stroked="true" strokeweight=".47998pt" strokecolor="#000000">
                <v:path arrowok="t"/>
              </v:shape>
            </v:group>
            <v:group style="position:absolute;left:4784;top:374;width:20;height:2" coordorigin="4784,374" coordsize="20,2">
              <v:shape style="position:absolute;left:4784;top:374;width:20;height:2" coordorigin="4784,374" coordsize="20,0" path="m4784,374l4803,374e" filled="false" stroked="true" strokeweight=".47998pt" strokecolor="#000000">
                <v:path arrowok="t"/>
              </v:shape>
            </v:group>
            <v:group style="position:absolute;left:4803;top:374;width:20;height:2" coordorigin="4803,374" coordsize="20,2">
              <v:shape style="position:absolute;left:4803;top:374;width:20;height:2" coordorigin="4803,374" coordsize="20,0" path="m4803,374l4823,374e" filled="false" stroked="true" strokeweight=".47998pt" strokecolor="#000000">
                <v:path arrowok="t"/>
              </v:shape>
            </v:group>
            <v:group style="position:absolute;left:4823;top:374;width:20;height:2" coordorigin="4823,374" coordsize="20,2">
              <v:shape style="position:absolute;left:4823;top:374;width:20;height:2" coordorigin="4823,374" coordsize="20,0" path="m4823,374l4842,374e" filled="false" stroked="true" strokeweight=".47998pt" strokecolor="#000000">
                <v:path arrowok="t"/>
              </v:shape>
            </v:group>
            <v:group style="position:absolute;left:4842;top:374;width:20;height:2" coordorigin="4842,374" coordsize="20,2">
              <v:shape style="position:absolute;left:4842;top:374;width:20;height:2" coordorigin="4842,374" coordsize="20,0" path="m4842,374l4861,374e" filled="false" stroked="true" strokeweight=".47998pt" strokecolor="#000000">
                <v:path arrowok="t"/>
              </v:shape>
            </v:group>
            <v:group style="position:absolute;left:4861;top:374;width:20;height:2" coordorigin="4861,374" coordsize="20,2">
              <v:shape style="position:absolute;left:4861;top:374;width:20;height:2" coordorigin="4861,374" coordsize="20,0" path="m4861,374l4880,374e" filled="false" stroked="true" strokeweight=".47998pt" strokecolor="#000000">
                <v:path arrowok="t"/>
              </v:shape>
            </v:group>
            <v:group style="position:absolute;left:4880;top:374;width:20;height:2" coordorigin="4880,374" coordsize="20,2">
              <v:shape style="position:absolute;left:4880;top:374;width:20;height:2" coordorigin="4880,374" coordsize="20,0" path="m4880,374l4899,374e" filled="false" stroked="true" strokeweight=".47998pt" strokecolor="#000000">
                <v:path arrowok="t"/>
              </v:shape>
            </v:group>
            <v:group style="position:absolute;left:4899;top:374;width:20;height:2" coordorigin="4899,374" coordsize="20,2">
              <v:shape style="position:absolute;left:4899;top:374;width:20;height:2" coordorigin="4899,374" coordsize="20,0" path="m4899,374l4919,374e" filled="false" stroked="true" strokeweight=".47998pt" strokecolor="#000000">
                <v:path arrowok="t"/>
              </v:shape>
            </v:group>
            <v:group style="position:absolute;left:4919;top:374;width:20;height:2" coordorigin="4919,374" coordsize="20,2">
              <v:shape style="position:absolute;left:4919;top:374;width:20;height:2" coordorigin="4919,374" coordsize="20,0" path="m4919,374l4938,374e" filled="false" stroked="true" strokeweight=".47998pt" strokecolor="#000000">
                <v:path arrowok="t"/>
              </v:shape>
            </v:group>
            <v:group style="position:absolute;left:4938;top:374;width:20;height:2" coordorigin="4938,374" coordsize="20,2">
              <v:shape style="position:absolute;left:4938;top:374;width:20;height:2" coordorigin="4938,374" coordsize="20,0" path="m4938,374l4957,374e" filled="false" stroked="true" strokeweight=".47998pt" strokecolor="#000000">
                <v:path arrowok="t"/>
              </v:shape>
            </v:group>
            <v:group style="position:absolute;left:4957;top:374;width:20;height:2" coordorigin="4957,374" coordsize="20,2">
              <v:shape style="position:absolute;left:4957;top:374;width:20;height:2" coordorigin="4957,374" coordsize="20,0" path="m4957,374l4976,374e" filled="false" stroked="true" strokeweight=".47998pt" strokecolor="#000000">
                <v:path arrowok="t"/>
              </v:shape>
            </v:group>
            <v:group style="position:absolute;left:4976;top:374;width:20;height:2" coordorigin="4976,374" coordsize="20,2">
              <v:shape style="position:absolute;left:4976;top:374;width:20;height:2" coordorigin="4976,374" coordsize="20,0" path="m4976,374l4995,374e" filled="false" stroked="true" strokeweight=".47998pt" strokecolor="#000000">
                <v:path arrowok="t"/>
              </v:shape>
            </v:group>
            <v:group style="position:absolute;left:4995;top:374;width:20;height:2" coordorigin="4995,374" coordsize="20,2">
              <v:shape style="position:absolute;left:4995;top:374;width:20;height:2" coordorigin="4995,374" coordsize="20,0" path="m4995,374l5015,374e" filled="false" stroked="true" strokeweight=".47998pt" strokecolor="#000000">
                <v:path arrowok="t"/>
              </v:shape>
            </v:group>
            <v:group style="position:absolute;left:5015;top:374;width:20;height:2" coordorigin="5015,374" coordsize="20,2">
              <v:shape style="position:absolute;left:5015;top:374;width:20;height:2" coordorigin="5015,374" coordsize="20,0" path="m5015,374l5034,374e" filled="false" stroked="true" strokeweight=".47998pt" strokecolor="#000000">
                <v:path arrowok="t"/>
              </v:shape>
            </v:group>
            <v:group style="position:absolute;left:5034;top:374;width:20;height:2" coordorigin="5034,374" coordsize="20,2">
              <v:shape style="position:absolute;left:5034;top:374;width:20;height:2" coordorigin="5034,374" coordsize="20,0" path="m5034,374l5053,374e" filled="false" stroked="true" strokeweight=".47998pt" strokecolor="#000000">
                <v:path arrowok="t"/>
              </v:shape>
            </v:group>
            <v:group style="position:absolute;left:5053;top:374;width:20;height:2" coordorigin="5053,374" coordsize="20,2">
              <v:shape style="position:absolute;left:5053;top:374;width:20;height:2" coordorigin="5053,374" coordsize="20,0" path="m5053,374l5072,374e" filled="false" stroked="true" strokeweight=".47998pt" strokecolor="#000000">
                <v:path arrowok="t"/>
              </v:shape>
            </v:group>
            <v:group style="position:absolute;left:5072;top:374;width:20;height:2" coordorigin="5072,374" coordsize="20,2">
              <v:shape style="position:absolute;left:5072;top:374;width:20;height:2" coordorigin="5072,374" coordsize="20,0" path="m5072,374l5091,374e" filled="false" stroked="true" strokeweight=".47998pt" strokecolor="#000000">
                <v:path arrowok="t"/>
              </v:shape>
            </v:group>
            <v:group style="position:absolute;left:5091;top:374;width:20;height:2" coordorigin="5091,374" coordsize="20,2">
              <v:shape style="position:absolute;left:5091;top:374;width:20;height:2" coordorigin="5091,374" coordsize="20,0" path="m5091,374l5111,374e" filled="false" stroked="true" strokeweight=".47998pt" strokecolor="#000000">
                <v:path arrowok="t"/>
              </v:shape>
            </v:group>
            <v:group style="position:absolute;left:5111;top:374;width:20;height:2" coordorigin="5111,374" coordsize="20,2">
              <v:shape style="position:absolute;left:5111;top:374;width:20;height:2" coordorigin="5111,374" coordsize="20,0" path="m5111,374l5130,374e" filled="false" stroked="true" strokeweight=".47998pt" strokecolor="#000000">
                <v:path arrowok="t"/>
              </v:shape>
            </v:group>
            <v:group style="position:absolute;left:5130;top:374;width:20;height:2" coordorigin="5130,374" coordsize="20,2">
              <v:shape style="position:absolute;left:5130;top:374;width:20;height:2" coordorigin="5130,374" coordsize="20,0" path="m5130,374l5149,374e" filled="false" stroked="true" strokeweight=".47998pt" strokecolor="#000000">
                <v:path arrowok="t"/>
              </v:shape>
            </v:group>
            <v:group style="position:absolute;left:5149;top:374;width:20;height:2" coordorigin="5149,374" coordsize="20,2">
              <v:shape style="position:absolute;left:5149;top:374;width:20;height:2" coordorigin="5149,374" coordsize="20,0" path="m5149,374l5168,374e" filled="false" stroked="true" strokeweight=".47998pt" strokecolor="#000000">
                <v:path arrowok="t"/>
              </v:shape>
            </v:group>
            <v:group style="position:absolute;left:5168;top:374;width:20;height:2" coordorigin="5168,374" coordsize="20,2">
              <v:shape style="position:absolute;left:5168;top:374;width:20;height:2" coordorigin="5168,374" coordsize="20,0" path="m5168,374l5187,374e" filled="false" stroked="true" strokeweight=".47998pt" strokecolor="#000000">
                <v:path arrowok="t"/>
              </v:shape>
            </v:group>
            <v:group style="position:absolute;left:5187;top:374;width:20;height:2" coordorigin="5187,374" coordsize="20,2">
              <v:shape style="position:absolute;left:5187;top:374;width:20;height:2" coordorigin="5187,374" coordsize="20,0" path="m5187,374l5207,374e" filled="false" stroked="true" strokeweight=".47998pt" strokecolor="#000000">
                <v:path arrowok="t"/>
              </v:shape>
            </v:group>
            <v:group style="position:absolute;left:5207;top:374;width:20;height:2" coordorigin="5207,374" coordsize="20,2">
              <v:shape style="position:absolute;left:5207;top:374;width:20;height:2" coordorigin="5207,374" coordsize="20,0" path="m5207,374l5226,374e" filled="false" stroked="true" strokeweight=".47998pt" strokecolor="#000000">
                <v:path arrowok="t"/>
              </v:shape>
            </v:group>
            <v:group style="position:absolute;left:5226;top:374;width:20;height:2" coordorigin="5226,374" coordsize="20,2">
              <v:shape style="position:absolute;left:5226;top:374;width:20;height:2" coordorigin="5226,374" coordsize="20,0" path="m5226,374l5245,374e" filled="false" stroked="true" strokeweight=".47998pt" strokecolor="#000000">
                <v:path arrowok="t"/>
              </v:shape>
            </v:group>
            <v:group style="position:absolute;left:5245;top:374;width:20;height:2" coordorigin="5245,374" coordsize="20,2">
              <v:shape style="position:absolute;left:5245;top:374;width:20;height:2" coordorigin="5245,374" coordsize="20,0" path="m5245,374l5264,374e" filled="false" stroked="true" strokeweight=".47998pt" strokecolor="#000000">
                <v:path arrowok="t"/>
              </v:shape>
            </v:group>
            <v:group style="position:absolute;left:5264;top:374;width:20;height:2" coordorigin="5264,374" coordsize="20,2">
              <v:shape style="position:absolute;left:5264;top:374;width:20;height:2" coordorigin="5264,374" coordsize="20,0" path="m5264,374l5283,374e" filled="false" stroked="true" strokeweight=".47998pt" strokecolor="#000000">
                <v:path arrowok="t"/>
              </v:shape>
            </v:group>
            <v:group style="position:absolute;left:5283;top:374;width:20;height:2" coordorigin="5283,374" coordsize="20,2">
              <v:shape style="position:absolute;left:5283;top:374;width:20;height:2" coordorigin="5283,374" coordsize="20,0" path="m5283,374l5303,374e" filled="false" stroked="true" strokeweight=".47998pt" strokecolor="#000000">
                <v:path arrowok="t"/>
              </v:shape>
            </v:group>
            <v:group style="position:absolute;left:5303;top:374;width:20;height:2" coordorigin="5303,374" coordsize="20,2">
              <v:shape style="position:absolute;left:5303;top:374;width:20;height:2" coordorigin="5303,374" coordsize="20,0" path="m5303,374l5322,374e" filled="false" stroked="true" strokeweight=".47998pt" strokecolor="#000000">
                <v:path arrowok="t"/>
              </v:shape>
            </v:group>
            <v:group style="position:absolute;left:5322;top:374;width:20;height:2" coordorigin="5322,374" coordsize="20,2">
              <v:shape style="position:absolute;left:5322;top:374;width:20;height:2" coordorigin="5322,374" coordsize="20,0" path="m5322,374l5341,374e" filled="false" stroked="true" strokeweight=".47998pt" strokecolor="#000000">
                <v:path arrowok="t"/>
              </v:shape>
            </v:group>
            <v:group style="position:absolute;left:5341;top:374;width:20;height:2" coordorigin="5341,374" coordsize="20,2">
              <v:shape style="position:absolute;left:5341;top:374;width:20;height:2" coordorigin="5341,374" coordsize="20,0" path="m5341,374l5360,374e" filled="false" stroked="true" strokeweight=".47998pt" strokecolor="#000000">
                <v:path arrowok="t"/>
              </v:shape>
            </v:group>
            <v:group style="position:absolute;left:5360;top:374;width:12;height:2" coordorigin="5360,374" coordsize="12,2">
              <v:shape style="position:absolute;left:5360;top:374;width:12;height:2" coordorigin="5360,374" coordsize="12,0" path="m5360,374l5372,374e" filled="false" stroked="true" strokeweight=".47998pt" strokecolor="#000000">
                <v:path arrowok="t"/>
              </v:shape>
            </v:group>
            <v:group style="position:absolute;left:5372;top:379;width:10;height:20" coordorigin="5372,379" coordsize="10,20">
              <v:shape style="position:absolute;left:5372;top:379;width:10;height:20" coordorigin="5372,379" coordsize="10,20" path="m5372,398l5382,398,5382,379,5372,379,5372,398xe" filled="true" fillcolor="#000000" stroked="false">
                <v:path arrowok="t"/>
                <v:fill type="solid"/>
              </v:shape>
              <v:shape style="position:absolute;left:5372;top:398;width:10;height:2" type="#_x0000_t75" stroked="false">
                <v:imagedata r:id="rId88" o:title=""/>
              </v:shape>
            </v:group>
            <v:group style="position:absolute;left:5372;top:374;width:10;height:2" coordorigin="5372,374" coordsize="10,2">
              <v:shape style="position:absolute;left:5372;top:374;width:10;height:2" coordorigin="5372,374" coordsize="10,0" path="m5372,374l5382,374e" filled="false" stroked="true" strokeweight=".47998pt" strokecolor="#000000">
                <v:path arrowok="t"/>
              </v:shape>
            </v:group>
            <v:group style="position:absolute;left:5382;top:374;width:20;height:2" coordorigin="5382,374" coordsize="20,2">
              <v:shape style="position:absolute;left:5382;top:374;width:20;height:2" coordorigin="5382,374" coordsize="20,0" path="m5382,374l5401,374e" filled="false" stroked="true" strokeweight=".47998pt" strokecolor="#000000">
                <v:path arrowok="t"/>
              </v:shape>
            </v:group>
            <v:group style="position:absolute;left:5401;top:374;width:20;height:2" coordorigin="5401,374" coordsize="20,2">
              <v:shape style="position:absolute;left:5401;top:374;width:20;height:2" coordorigin="5401,374" coordsize="20,0" path="m5401,374l5420,374e" filled="false" stroked="true" strokeweight=".47998pt" strokecolor="#000000">
                <v:path arrowok="t"/>
              </v:shape>
            </v:group>
            <v:group style="position:absolute;left:5420;top:374;width:20;height:2" coordorigin="5420,374" coordsize="20,2">
              <v:shape style="position:absolute;left:5420;top:374;width:20;height:2" coordorigin="5420,374" coordsize="20,0" path="m5420,374l5439,374e" filled="false" stroked="true" strokeweight=".47998pt" strokecolor="#000000">
                <v:path arrowok="t"/>
              </v:shape>
            </v:group>
            <v:group style="position:absolute;left:5439;top:374;width:20;height:2" coordorigin="5439,374" coordsize="20,2">
              <v:shape style="position:absolute;left:5439;top:374;width:20;height:2" coordorigin="5439,374" coordsize="20,0" path="m5439,374l5459,374e" filled="false" stroked="true" strokeweight=".47998pt" strokecolor="#000000">
                <v:path arrowok="t"/>
              </v:shape>
            </v:group>
            <v:group style="position:absolute;left:5459;top:374;width:20;height:2" coordorigin="5459,374" coordsize="20,2">
              <v:shape style="position:absolute;left:5459;top:374;width:20;height:2" coordorigin="5459,374" coordsize="20,0" path="m5459,374l5478,374e" filled="false" stroked="true" strokeweight=".47998pt" strokecolor="#000000">
                <v:path arrowok="t"/>
              </v:shape>
            </v:group>
            <v:group style="position:absolute;left:5478;top:374;width:20;height:2" coordorigin="5478,374" coordsize="20,2">
              <v:shape style="position:absolute;left:5478;top:374;width:20;height:2" coordorigin="5478,374" coordsize="20,0" path="m5478,374l5497,374e" filled="false" stroked="true" strokeweight=".47998pt" strokecolor="#000000">
                <v:path arrowok="t"/>
              </v:shape>
            </v:group>
            <v:group style="position:absolute;left:5497;top:374;width:20;height:2" coordorigin="5497,374" coordsize="20,2">
              <v:shape style="position:absolute;left:5497;top:374;width:20;height:2" coordorigin="5497,374" coordsize="20,0" path="m5497,374l5516,374e" filled="false" stroked="true" strokeweight=".47998pt" strokecolor="#000000">
                <v:path arrowok="t"/>
              </v:shape>
            </v:group>
            <v:group style="position:absolute;left:5516;top:374;width:20;height:2" coordorigin="5516,374" coordsize="20,2">
              <v:shape style="position:absolute;left:5516;top:374;width:20;height:2" coordorigin="5516,374" coordsize="20,0" path="m5516,374l5535,374e" filled="false" stroked="true" strokeweight=".47998pt" strokecolor="#000000">
                <v:path arrowok="t"/>
              </v:shape>
            </v:group>
            <v:group style="position:absolute;left:5535;top:374;width:20;height:2" coordorigin="5535,374" coordsize="20,2">
              <v:shape style="position:absolute;left:5535;top:374;width:20;height:2" coordorigin="5535,374" coordsize="20,0" path="m5535,374l5555,374e" filled="false" stroked="true" strokeweight=".47998pt" strokecolor="#000000">
                <v:path arrowok="t"/>
              </v:shape>
            </v:group>
            <v:group style="position:absolute;left:5555;top:374;width:20;height:2" coordorigin="5555,374" coordsize="20,2">
              <v:shape style="position:absolute;left:5555;top:374;width:20;height:2" coordorigin="5555,374" coordsize="20,0" path="m5555,374l5574,374e" filled="false" stroked="true" strokeweight=".47998pt" strokecolor="#000000">
                <v:path arrowok="t"/>
              </v:shape>
            </v:group>
            <v:group style="position:absolute;left:5574;top:374;width:20;height:2" coordorigin="5574,374" coordsize="20,2">
              <v:shape style="position:absolute;left:5574;top:374;width:20;height:2" coordorigin="5574,374" coordsize="20,0" path="m5574,374l5593,374e" filled="false" stroked="true" strokeweight=".47998pt" strokecolor="#000000">
                <v:path arrowok="t"/>
              </v:shape>
            </v:group>
            <v:group style="position:absolute;left:5593;top:374;width:20;height:2" coordorigin="5593,374" coordsize="20,2">
              <v:shape style="position:absolute;left:5593;top:374;width:20;height:2" coordorigin="5593,374" coordsize="20,0" path="m5593,374l5612,374e" filled="false" stroked="true" strokeweight=".47998pt" strokecolor="#000000">
                <v:path arrowok="t"/>
              </v:shape>
            </v:group>
            <v:group style="position:absolute;left:5612;top:374;width:20;height:2" coordorigin="5612,374" coordsize="20,2">
              <v:shape style="position:absolute;left:5612;top:374;width:20;height:2" coordorigin="5612,374" coordsize="20,0" path="m5612,374l5631,374e" filled="false" stroked="true" strokeweight=".47998pt" strokecolor="#000000">
                <v:path arrowok="t"/>
              </v:shape>
            </v:group>
            <v:group style="position:absolute;left:5631;top:374;width:20;height:2" coordorigin="5631,374" coordsize="20,2">
              <v:shape style="position:absolute;left:5631;top:374;width:20;height:2" coordorigin="5631,374" coordsize="20,0" path="m5631,374l5651,374e" filled="false" stroked="true" strokeweight=".47998pt" strokecolor="#000000">
                <v:path arrowok="t"/>
              </v:shape>
            </v:group>
            <v:group style="position:absolute;left:5651;top:374;width:20;height:2" coordorigin="5651,374" coordsize="20,2">
              <v:shape style="position:absolute;left:5651;top:374;width:20;height:2" coordorigin="5651,374" coordsize="20,0" path="m5651,374l5670,374e" filled="false" stroked="true" strokeweight=".47998pt" strokecolor="#000000">
                <v:path arrowok="t"/>
              </v:shape>
            </v:group>
            <v:group style="position:absolute;left:5670;top:374;width:20;height:2" coordorigin="5670,374" coordsize="20,2">
              <v:shape style="position:absolute;left:5670;top:374;width:20;height:2" coordorigin="5670,374" coordsize="20,0" path="m5670,374l5689,374e" filled="false" stroked="true" strokeweight=".47998pt" strokecolor="#000000">
                <v:path arrowok="t"/>
              </v:shape>
            </v:group>
            <v:group style="position:absolute;left:5689;top:374;width:20;height:2" coordorigin="5689,374" coordsize="20,2">
              <v:shape style="position:absolute;left:5689;top:374;width:20;height:2" coordorigin="5689,374" coordsize="20,0" path="m5689,374l5708,374e" filled="false" stroked="true" strokeweight=".47998pt" strokecolor="#000000">
                <v:path arrowok="t"/>
              </v:shape>
            </v:group>
            <v:group style="position:absolute;left:5708;top:374;width:20;height:2" coordorigin="5708,374" coordsize="20,2">
              <v:shape style="position:absolute;left:5708;top:374;width:20;height:2" coordorigin="5708,374" coordsize="20,0" path="m5708,374l5727,374e" filled="false" stroked="true" strokeweight=".47998pt" strokecolor="#000000">
                <v:path arrowok="t"/>
              </v:shape>
            </v:group>
            <v:group style="position:absolute;left:5727;top:374;width:20;height:2" coordorigin="5727,374" coordsize="20,2">
              <v:shape style="position:absolute;left:5727;top:374;width:20;height:2" coordorigin="5727,374" coordsize="20,0" path="m5727,374l5747,374e" filled="false" stroked="true" strokeweight=".47998pt" strokecolor="#000000">
                <v:path arrowok="t"/>
              </v:shape>
            </v:group>
            <v:group style="position:absolute;left:5747;top:374;width:20;height:2" coordorigin="5747,374" coordsize="20,2">
              <v:shape style="position:absolute;left:5747;top:374;width:20;height:2" coordorigin="5747,374" coordsize="20,0" path="m5747,374l5766,374e" filled="false" stroked="true" strokeweight=".47998pt" strokecolor="#000000">
                <v:path arrowok="t"/>
              </v:shape>
            </v:group>
            <v:group style="position:absolute;left:5766;top:374;width:20;height:2" coordorigin="5766,374" coordsize="20,2">
              <v:shape style="position:absolute;left:5766;top:374;width:20;height:2" coordorigin="5766,374" coordsize="20,0" path="m5766,374l5785,374e" filled="false" stroked="true" strokeweight=".47998pt" strokecolor="#000000">
                <v:path arrowok="t"/>
              </v:shape>
            </v:group>
            <v:group style="position:absolute;left:5785;top:374;width:20;height:2" coordorigin="5785,374" coordsize="20,2">
              <v:shape style="position:absolute;left:5785;top:374;width:20;height:2" coordorigin="5785,374" coordsize="20,0" path="m5785,374l5804,374e" filled="false" stroked="true" strokeweight=".47998pt" strokecolor="#000000">
                <v:path arrowok="t"/>
              </v:shape>
            </v:group>
            <v:group style="position:absolute;left:5804;top:374;width:20;height:2" coordorigin="5804,374" coordsize="20,2">
              <v:shape style="position:absolute;left:5804;top:374;width:20;height:2" coordorigin="5804,374" coordsize="20,0" path="m5804,374l5823,374e" filled="false" stroked="true" strokeweight=".47998pt" strokecolor="#000000">
                <v:path arrowok="t"/>
              </v:shape>
            </v:group>
            <v:group style="position:absolute;left:5823;top:374;width:20;height:2" coordorigin="5823,374" coordsize="20,2">
              <v:shape style="position:absolute;left:5823;top:374;width:20;height:2" coordorigin="5823,374" coordsize="20,0" path="m5823,374l5843,374e" filled="false" stroked="true" strokeweight=".47998pt" strokecolor="#000000">
                <v:path arrowok="t"/>
              </v:shape>
            </v:group>
            <v:group style="position:absolute;left:5843;top:374;width:20;height:2" coordorigin="5843,374" coordsize="20,2">
              <v:shape style="position:absolute;left:5843;top:374;width:20;height:2" coordorigin="5843,374" coordsize="20,0" path="m5843,374l5862,374e" filled="false" stroked="true" strokeweight=".47998pt" strokecolor="#000000">
                <v:path arrowok="t"/>
              </v:shape>
            </v:group>
            <v:group style="position:absolute;left:5862;top:374;width:20;height:2" coordorigin="5862,374" coordsize="20,2">
              <v:shape style="position:absolute;left:5862;top:374;width:20;height:2" coordorigin="5862,374" coordsize="20,0" path="m5862,374l5881,374e" filled="false" stroked="true" strokeweight=".47998pt" strokecolor="#000000">
                <v:path arrowok="t"/>
              </v:shape>
            </v:group>
            <v:group style="position:absolute;left:5881;top:374;width:20;height:2" coordorigin="5881,374" coordsize="20,2">
              <v:shape style="position:absolute;left:5881;top:374;width:20;height:2" coordorigin="5881,374" coordsize="20,0" path="m5881,374l5900,374e" filled="false" stroked="true" strokeweight=".47998pt" strokecolor="#000000">
                <v:path arrowok="t"/>
              </v:shape>
            </v:group>
            <v:group style="position:absolute;left:5900;top:374;width:20;height:2" coordorigin="5900,374" coordsize="20,2">
              <v:shape style="position:absolute;left:5900;top:374;width:20;height:2" coordorigin="5900,374" coordsize="20,0" path="m5900,374l5919,374e" filled="false" stroked="true" strokeweight=".47998pt" strokecolor="#000000">
                <v:path arrowok="t"/>
              </v:shape>
            </v:group>
            <v:group style="position:absolute;left:5919;top:374;width:20;height:2" coordorigin="5919,374" coordsize="20,2">
              <v:shape style="position:absolute;left:5919;top:374;width:20;height:2" coordorigin="5919,374" coordsize="20,0" path="m5919,374l5939,374e" filled="false" stroked="true" strokeweight=".47998pt" strokecolor="#000000">
                <v:path arrowok="t"/>
              </v:shape>
            </v:group>
            <v:group style="position:absolute;left:5939;top:374;width:20;height:2" coordorigin="5939,374" coordsize="20,2">
              <v:shape style="position:absolute;left:5939;top:374;width:20;height:2" coordorigin="5939,374" coordsize="20,0" path="m5939,374l5958,374e" filled="false" stroked="true" strokeweight=".47998pt" strokecolor="#000000">
                <v:path arrowok="t"/>
              </v:shape>
            </v:group>
            <v:group style="position:absolute;left:5958;top:374;width:20;height:2" coordorigin="5958,374" coordsize="20,2">
              <v:shape style="position:absolute;left:5958;top:374;width:20;height:2" coordorigin="5958,374" coordsize="20,0" path="m5958,374l5977,374e" filled="false" stroked="true" strokeweight=".47998pt" strokecolor="#000000">
                <v:path arrowok="t"/>
              </v:shape>
            </v:group>
            <v:group style="position:absolute;left:5977;top:374;width:20;height:2" coordorigin="5977,374" coordsize="20,2">
              <v:shape style="position:absolute;left:5977;top:374;width:20;height:2" coordorigin="5977,374" coordsize="20,0" path="m5977,374l5996,374e" filled="false" stroked="true" strokeweight=".47998pt" strokecolor="#000000">
                <v:path arrowok="t"/>
              </v:shape>
            </v:group>
            <v:group style="position:absolute;left:5996;top:374;width:20;height:2" coordorigin="5996,374" coordsize="20,2">
              <v:shape style="position:absolute;left:5996;top:374;width:20;height:2" coordorigin="5996,374" coordsize="20,0" path="m5996,374l6015,374e" filled="false" stroked="true" strokeweight=".47998pt" strokecolor="#000000">
                <v:path arrowok="t"/>
              </v:shape>
            </v:group>
            <v:group style="position:absolute;left:6015;top:374;width:20;height:2" coordorigin="6015,374" coordsize="20,2">
              <v:shape style="position:absolute;left:6015;top:374;width:20;height:2" coordorigin="6015,374" coordsize="20,0" path="m6015,374l6035,374e" filled="false" stroked="true" strokeweight=".47998pt" strokecolor="#000000">
                <v:path arrowok="t"/>
              </v:shape>
            </v:group>
            <v:group style="position:absolute;left:6035;top:374;width:20;height:2" coordorigin="6035,374" coordsize="20,2">
              <v:shape style="position:absolute;left:6035;top:374;width:20;height:2" coordorigin="6035,374" coordsize="20,0" path="m6035,374l6054,374e" filled="false" stroked="true" strokeweight=".47998pt" strokecolor="#000000">
                <v:path arrowok="t"/>
              </v:shape>
            </v:group>
            <v:group style="position:absolute;left:6054;top:374;width:20;height:2" coordorigin="6054,374" coordsize="20,2">
              <v:shape style="position:absolute;left:6054;top:374;width:20;height:2" coordorigin="6054,374" coordsize="20,0" path="m6054,374l6073,374e" filled="false" stroked="true" strokeweight=".47998pt" strokecolor="#000000">
                <v:path arrowok="t"/>
              </v:shape>
            </v:group>
            <v:group style="position:absolute;left:6073;top:374;width:20;height:2" coordorigin="6073,374" coordsize="20,2">
              <v:shape style="position:absolute;left:6073;top:374;width:20;height:2" coordorigin="6073,374" coordsize="20,0" path="m6073,374l6092,374e" filled="false" stroked="true" strokeweight=".47998pt" strokecolor="#000000">
                <v:path arrowok="t"/>
              </v:shape>
            </v:group>
            <v:group style="position:absolute;left:6092;top:374;width:20;height:2" coordorigin="6092,374" coordsize="20,2">
              <v:shape style="position:absolute;left:6092;top:374;width:20;height:2" coordorigin="6092,374" coordsize="20,0" path="m6092,374l6111,374e" filled="false" stroked="true" strokeweight=".47998pt" strokecolor="#000000">
                <v:path arrowok="t"/>
              </v:shape>
            </v:group>
            <v:group style="position:absolute;left:6111;top:374;width:20;height:2" coordorigin="6111,374" coordsize="20,2">
              <v:shape style="position:absolute;left:6111;top:374;width:20;height:2" coordorigin="6111,374" coordsize="20,0" path="m6111,374l6131,374e" filled="false" stroked="true" strokeweight=".47998pt" strokecolor="#000000">
                <v:path arrowok="t"/>
              </v:shape>
            </v:group>
            <v:group style="position:absolute;left:6131;top:374;width:20;height:2" coordorigin="6131,374" coordsize="20,2">
              <v:shape style="position:absolute;left:6131;top:374;width:20;height:2" coordorigin="6131,374" coordsize="20,0" path="m6131,374l6150,374e" filled="false" stroked="true" strokeweight=".47998pt" strokecolor="#000000">
                <v:path arrowok="t"/>
              </v:shape>
            </v:group>
            <v:group style="position:absolute;left:6150;top:374;width:20;height:2" coordorigin="6150,374" coordsize="20,2">
              <v:shape style="position:absolute;left:6150;top:374;width:20;height:2" coordorigin="6150,374" coordsize="20,0" path="m6150,374l6169,374e" filled="false" stroked="true" strokeweight=".47998pt" strokecolor="#000000">
                <v:path arrowok="t"/>
              </v:shape>
            </v:group>
            <v:group style="position:absolute;left:6169;top:374;width:20;height:2" coordorigin="6169,374" coordsize="20,2">
              <v:shape style="position:absolute;left:6169;top:374;width:20;height:2" coordorigin="6169,374" coordsize="20,0" path="m6169,374l6188,374e" filled="false" stroked="true" strokeweight=".47998pt" strokecolor="#000000">
                <v:path arrowok="t"/>
              </v:shape>
            </v:group>
            <v:group style="position:absolute;left:6188;top:374;width:20;height:2" coordorigin="6188,374" coordsize="20,2">
              <v:shape style="position:absolute;left:6188;top:374;width:20;height:2" coordorigin="6188,374" coordsize="20,0" path="m6188,374l6207,374e" filled="false" stroked="true" strokeweight=".47998pt" strokecolor="#000000">
                <v:path arrowok="t"/>
              </v:shape>
            </v:group>
            <v:group style="position:absolute;left:6207;top:374;width:20;height:2" coordorigin="6207,374" coordsize="20,2">
              <v:shape style="position:absolute;left:6207;top:374;width:20;height:2" coordorigin="6207,374" coordsize="20,0" path="m6207,374l6227,374e" filled="false" stroked="true" strokeweight=".47998pt" strokecolor="#000000">
                <v:path arrowok="t"/>
              </v:shape>
            </v:group>
            <v:group style="position:absolute;left:6227;top:374;width:20;height:2" coordorigin="6227,374" coordsize="20,2">
              <v:shape style="position:absolute;left:6227;top:374;width:20;height:2" coordorigin="6227,374" coordsize="20,0" path="m6227,374l6246,374e" filled="false" stroked="true" strokeweight=".47998pt" strokecolor="#000000">
                <v:path arrowok="t"/>
              </v:shape>
            </v:group>
            <v:group style="position:absolute;left:6246;top:374;width:20;height:2" coordorigin="6246,374" coordsize="20,2">
              <v:shape style="position:absolute;left:6246;top:374;width:20;height:2" coordorigin="6246,374" coordsize="20,0" path="m6246,374l6265,374e" filled="false" stroked="true" strokeweight=".47998pt" strokecolor="#000000">
                <v:path arrowok="t"/>
              </v:shape>
            </v:group>
            <v:group style="position:absolute;left:6265;top:374;width:20;height:2" coordorigin="6265,374" coordsize="20,2">
              <v:shape style="position:absolute;left:6265;top:374;width:20;height:2" coordorigin="6265,374" coordsize="20,0" path="m6265,374l6284,374e" filled="false" stroked="true" strokeweight=".47998pt" strokecolor="#000000">
                <v:path arrowok="t"/>
              </v:shape>
            </v:group>
            <v:group style="position:absolute;left:6284;top:374;width:20;height:2" coordorigin="6284,374" coordsize="20,2">
              <v:shape style="position:absolute;left:6284;top:374;width:20;height:2" coordorigin="6284,374" coordsize="20,0" path="m6284,374l6303,374e" filled="false" stroked="true" strokeweight=".47998pt" strokecolor="#000000">
                <v:path arrowok="t"/>
              </v:shape>
            </v:group>
            <v:group style="position:absolute;left:6303;top:374;width:20;height:2" coordorigin="6303,374" coordsize="20,2">
              <v:shape style="position:absolute;left:6303;top:374;width:20;height:2" coordorigin="6303,374" coordsize="20,0" path="m6303,374l6323,374e" filled="false" stroked="true" strokeweight=".47998pt" strokecolor="#000000">
                <v:path arrowok="t"/>
              </v:shape>
            </v:group>
            <v:group style="position:absolute;left:6323;top:374;width:20;height:2" coordorigin="6323,374" coordsize="20,2">
              <v:shape style="position:absolute;left:6323;top:374;width:20;height:2" coordorigin="6323,374" coordsize="20,0" path="m6323,374l6342,374e" filled="false" stroked="true" strokeweight=".47998pt" strokecolor="#000000">
                <v:path arrowok="t"/>
              </v:shape>
            </v:group>
            <v:group style="position:absolute;left:6342;top:374;width:20;height:2" coordorigin="6342,374" coordsize="20,2">
              <v:shape style="position:absolute;left:6342;top:374;width:20;height:2" coordorigin="6342,374" coordsize="20,0" path="m6342,374l6361,374e" filled="false" stroked="true" strokeweight=".47998pt" strokecolor="#000000">
                <v:path arrowok="t"/>
              </v:shape>
            </v:group>
            <v:group style="position:absolute;left:6361;top:374;width:20;height:2" coordorigin="6361,374" coordsize="20,2">
              <v:shape style="position:absolute;left:6361;top:374;width:20;height:2" coordorigin="6361,374" coordsize="20,0" path="m6361,374l6380,374e" filled="false" stroked="true" strokeweight=".47998pt" strokecolor="#000000">
                <v:path arrowok="t"/>
              </v:shape>
            </v:group>
            <v:group style="position:absolute;left:6380;top:374;width:20;height:2" coordorigin="6380,374" coordsize="20,2">
              <v:shape style="position:absolute;left:6380;top:374;width:20;height:2" coordorigin="6380,374" coordsize="20,0" path="m6380,374l6399,374e" filled="false" stroked="true" strokeweight=".47998pt" strokecolor="#000000">
                <v:path arrowok="t"/>
              </v:shape>
            </v:group>
            <v:group style="position:absolute;left:6399;top:374;width:20;height:2" coordorigin="6399,374" coordsize="20,2">
              <v:shape style="position:absolute;left:6399;top:374;width:20;height:2" coordorigin="6399,374" coordsize="20,0" path="m6399,374l6419,374e" filled="false" stroked="true" strokeweight=".47998pt" strokecolor="#000000">
                <v:path arrowok="t"/>
              </v:shape>
            </v:group>
            <v:group style="position:absolute;left:6419;top:374;width:20;height:2" coordorigin="6419,374" coordsize="20,2">
              <v:shape style="position:absolute;left:6419;top:374;width:20;height:2" coordorigin="6419,374" coordsize="20,0" path="m6419,374l6438,374e" filled="false" stroked="true" strokeweight=".47998pt" strokecolor="#000000">
                <v:path arrowok="t"/>
              </v:shape>
            </v:group>
            <v:group style="position:absolute;left:6438;top:374;width:20;height:2" coordorigin="6438,374" coordsize="20,2">
              <v:shape style="position:absolute;left:6438;top:374;width:20;height:2" coordorigin="6438,374" coordsize="20,0" path="m6438,374l6457,374e" filled="false" stroked="true" strokeweight=".47998pt" strokecolor="#000000">
                <v:path arrowok="t"/>
              </v:shape>
            </v:group>
            <v:group style="position:absolute;left:6457;top:374;width:20;height:2" coordorigin="6457,374" coordsize="20,2">
              <v:shape style="position:absolute;left:6457;top:374;width:20;height:2" coordorigin="6457,374" coordsize="20,0" path="m6457,374l6476,374e" filled="false" stroked="true" strokeweight=".47998pt" strokecolor="#000000">
                <v:path arrowok="t"/>
              </v:shape>
            </v:group>
            <v:group style="position:absolute;left:6476;top:374;width:20;height:2" coordorigin="6476,374" coordsize="20,2">
              <v:shape style="position:absolute;left:6476;top:374;width:20;height:2" coordorigin="6476,374" coordsize="20,0" path="m6476,374l6495,374e" filled="false" stroked="true" strokeweight=".47998pt" strokecolor="#000000">
                <v:path arrowok="t"/>
              </v:shape>
            </v:group>
            <v:group style="position:absolute;left:6495;top:374;width:20;height:2" coordorigin="6495,374" coordsize="20,2">
              <v:shape style="position:absolute;left:6495;top:374;width:20;height:2" coordorigin="6495,374" coordsize="20,0" path="m6495,374l6515,374e" filled="false" stroked="true" strokeweight=".47998pt" strokecolor="#000000">
                <v:path arrowok="t"/>
              </v:shape>
            </v:group>
            <v:group style="position:absolute;left:6515;top:374;width:20;height:2" coordorigin="6515,374" coordsize="20,2">
              <v:shape style="position:absolute;left:6515;top:374;width:20;height:2" coordorigin="6515,374" coordsize="20,0" path="m6515,374l6534,374e" filled="false" stroked="true" strokeweight=".47998pt" strokecolor="#000000">
                <v:path arrowok="t"/>
              </v:shape>
            </v:group>
            <v:group style="position:absolute;left:6534;top:374;width:20;height:2" coordorigin="6534,374" coordsize="20,2">
              <v:shape style="position:absolute;left:6534;top:374;width:20;height:2" coordorigin="6534,374" coordsize="20,0" path="m6534,374l6553,374e" filled="false" stroked="true" strokeweight=".47998pt" strokecolor="#000000">
                <v:path arrowok="t"/>
              </v:shape>
            </v:group>
            <v:group style="position:absolute;left:6553;top:374;width:20;height:2" coordorigin="6553,374" coordsize="20,2">
              <v:shape style="position:absolute;left:6553;top:374;width:20;height:2" coordorigin="6553,374" coordsize="20,0" path="m6553,374l6572,374e" filled="false" stroked="true" strokeweight=".47998pt" strokecolor="#000000">
                <v:path arrowok="t"/>
              </v:shape>
            </v:group>
            <v:group style="position:absolute;left:6572;top:374;width:20;height:2" coordorigin="6572,374" coordsize="20,2">
              <v:shape style="position:absolute;left:6572;top:374;width:20;height:2" coordorigin="6572,374" coordsize="20,0" path="m6572,374l6591,374e" filled="false" stroked="true" strokeweight=".47998pt" strokecolor="#000000">
                <v:path arrowok="t"/>
              </v:shape>
            </v:group>
            <v:group style="position:absolute;left:6591;top:374;width:20;height:2" coordorigin="6591,374" coordsize="20,2">
              <v:shape style="position:absolute;left:6591;top:374;width:20;height:2" coordorigin="6591,374" coordsize="20,0" path="m6591,374l6611,374e" filled="false" stroked="true" strokeweight=".47998pt" strokecolor="#000000">
                <v:path arrowok="t"/>
              </v:shape>
            </v:group>
            <v:group style="position:absolute;left:6611;top:374;width:20;height:2" coordorigin="6611,374" coordsize="20,2">
              <v:shape style="position:absolute;left:6611;top:374;width:20;height:2" coordorigin="6611,374" coordsize="20,0" path="m6611,374l6630,374e" filled="false" stroked="true" strokeweight=".47998pt" strokecolor="#000000">
                <v:path arrowok="t"/>
              </v:shape>
            </v:group>
            <v:group style="position:absolute;left:6630;top:374;width:20;height:2" coordorigin="6630,374" coordsize="20,2">
              <v:shape style="position:absolute;left:6630;top:374;width:20;height:2" coordorigin="6630,374" coordsize="20,0" path="m6630,374l6649,374e" filled="false" stroked="true" strokeweight=".47998pt" strokecolor="#000000">
                <v:path arrowok="t"/>
              </v:shape>
            </v:group>
            <v:group style="position:absolute;left:6649;top:374;width:20;height:2" coordorigin="6649,374" coordsize="20,2">
              <v:shape style="position:absolute;left:6649;top:374;width:20;height:2" coordorigin="6649,374" coordsize="20,0" path="m6649,374l6668,374e" filled="false" stroked="true" strokeweight=".47998pt" strokecolor="#000000">
                <v:path arrowok="t"/>
              </v:shape>
            </v:group>
            <v:group style="position:absolute;left:6668;top:374;width:20;height:2" coordorigin="6668,374" coordsize="20,2">
              <v:shape style="position:absolute;left:6668;top:374;width:20;height:2" coordorigin="6668,374" coordsize="20,0" path="m6668,374l6687,374e" filled="false" stroked="true" strokeweight=".47998pt" strokecolor="#000000">
                <v:path arrowok="t"/>
              </v:shape>
            </v:group>
            <v:group style="position:absolute;left:6687;top:374;width:20;height:2" coordorigin="6687,374" coordsize="20,2">
              <v:shape style="position:absolute;left:6687;top:374;width:20;height:2" coordorigin="6687,374" coordsize="20,0" path="m6687,374l6707,374e" filled="false" stroked="true" strokeweight=".47998pt" strokecolor="#000000">
                <v:path arrowok="t"/>
              </v:shape>
            </v:group>
            <v:group style="position:absolute;left:6707;top:374;width:20;height:2" coordorigin="6707,374" coordsize="20,2">
              <v:shape style="position:absolute;left:6707;top:374;width:20;height:2" coordorigin="6707,374" coordsize="20,0" path="m6707,374l6726,374e" filled="false" stroked="true" strokeweight=".47998pt" strokecolor="#000000">
                <v:path arrowok="t"/>
              </v:shape>
            </v:group>
            <v:group style="position:absolute;left:6726;top:374;width:20;height:2" coordorigin="6726,374" coordsize="20,2">
              <v:shape style="position:absolute;left:6726;top:374;width:20;height:2" coordorigin="6726,374" coordsize="20,0" path="m6726,374l6745,374e" filled="false" stroked="true" strokeweight=".47998pt" strokecolor="#000000">
                <v:path arrowok="t"/>
              </v:shape>
            </v:group>
            <v:group style="position:absolute;left:6745;top:374;width:20;height:2" coordorigin="6745,374" coordsize="20,2">
              <v:shape style="position:absolute;left:6745;top:374;width:20;height:2" coordorigin="6745,374" coordsize="20,0" path="m6745,374l6764,374e" filled="false" stroked="true" strokeweight=".47998pt" strokecolor="#000000">
                <v:path arrowok="t"/>
              </v:shape>
            </v:group>
            <v:group style="position:absolute;left:6764;top:374;width:20;height:2" coordorigin="6764,374" coordsize="20,2">
              <v:shape style="position:absolute;left:6764;top:374;width:20;height:2" coordorigin="6764,374" coordsize="20,0" path="m6764,374l6783,374e" filled="false" stroked="true" strokeweight=".47998pt" strokecolor="#000000">
                <v:path arrowok="t"/>
              </v:shape>
            </v:group>
            <v:group style="position:absolute;left:6783;top:374;width:20;height:2" coordorigin="6783,374" coordsize="20,2">
              <v:shape style="position:absolute;left:6783;top:374;width:20;height:2" coordorigin="6783,374" coordsize="20,0" path="m6783,374l6803,374e" filled="false" stroked="true" strokeweight=".47998pt" strokecolor="#000000">
                <v:path arrowok="t"/>
              </v:shape>
            </v:group>
            <v:group style="position:absolute;left:6803;top:374;width:20;height:2" coordorigin="6803,374" coordsize="20,2">
              <v:shape style="position:absolute;left:6803;top:374;width:20;height:2" coordorigin="6803,374" coordsize="20,0" path="m6803,374l6822,374e" filled="false" stroked="true" strokeweight=".47998pt" strokecolor="#000000">
                <v:path arrowok="t"/>
              </v:shape>
            </v:group>
            <v:group style="position:absolute;left:6822;top:374;width:20;height:2" coordorigin="6822,374" coordsize="20,2">
              <v:shape style="position:absolute;left:6822;top:374;width:20;height:2" coordorigin="6822,374" coordsize="20,0" path="m6822,374l6841,374e" filled="false" stroked="true" strokeweight=".47998pt" strokecolor="#000000">
                <v:path arrowok="t"/>
              </v:shape>
            </v:group>
            <v:group style="position:absolute;left:6841;top:374;width:20;height:2" coordorigin="6841,374" coordsize="20,2">
              <v:shape style="position:absolute;left:6841;top:374;width:20;height:2" coordorigin="6841,374" coordsize="20,0" path="m6841,374l6860,374e" filled="false" stroked="true" strokeweight=".47998pt" strokecolor="#000000">
                <v:path arrowok="t"/>
              </v:shape>
            </v:group>
            <v:group style="position:absolute;left:6860;top:374;width:20;height:2" coordorigin="6860,374" coordsize="20,2">
              <v:shape style="position:absolute;left:6860;top:374;width:20;height:2" coordorigin="6860,374" coordsize="20,0" path="m6860,374l6879,374e" filled="false" stroked="true" strokeweight=".47998pt" strokecolor="#000000">
                <v:path arrowok="t"/>
              </v:shape>
            </v:group>
            <v:group style="position:absolute;left:6879;top:374;width:20;height:2" coordorigin="6879,374" coordsize="20,2">
              <v:shape style="position:absolute;left:6879;top:374;width:20;height:2" coordorigin="6879,374" coordsize="20,0" path="m6879,374l6899,374e" filled="false" stroked="true" strokeweight=".47998pt" strokecolor="#000000">
                <v:path arrowok="t"/>
              </v:shape>
            </v:group>
            <v:group style="position:absolute;left:6899;top:374;width:20;height:2" coordorigin="6899,374" coordsize="20,2">
              <v:shape style="position:absolute;left:6899;top:374;width:20;height:2" coordorigin="6899,374" coordsize="20,0" path="m6899,374l6918,374e" filled="false" stroked="true" strokeweight=".47998pt" strokecolor="#000000">
                <v:path arrowok="t"/>
              </v:shape>
            </v:group>
            <v:group style="position:absolute;left:6918;top:374;width:20;height:2" coordorigin="6918,374" coordsize="20,2">
              <v:shape style="position:absolute;left:6918;top:374;width:20;height:2" coordorigin="6918,374" coordsize="20,0" path="m6918,374l6937,374e" filled="false" stroked="true" strokeweight=".47998pt" strokecolor="#000000">
                <v:path arrowok="t"/>
              </v:shape>
            </v:group>
            <v:group style="position:absolute;left:6937;top:374;width:20;height:2" coordorigin="6937,374" coordsize="20,2">
              <v:shape style="position:absolute;left:6937;top:374;width:20;height:2" coordorigin="6937,374" coordsize="20,0" path="m6937,374l6956,374e" filled="false" stroked="true" strokeweight=".47998pt" strokecolor="#000000">
                <v:path arrowok="t"/>
              </v:shape>
            </v:group>
            <v:group style="position:absolute;left:6956;top:374;width:20;height:2" coordorigin="6956,374" coordsize="20,2">
              <v:shape style="position:absolute;left:6956;top:374;width:20;height:2" coordorigin="6956,374" coordsize="20,0" path="m6956,374l6975,374e" filled="false" stroked="true" strokeweight=".47998pt" strokecolor="#000000">
                <v:path arrowok="t"/>
              </v:shape>
            </v:group>
            <v:group style="position:absolute;left:6975;top:374;width:20;height:2" coordorigin="6975,374" coordsize="20,2">
              <v:shape style="position:absolute;left:6975;top:374;width:20;height:2" coordorigin="6975,374" coordsize="20,0" path="m6975,374l6995,374e" filled="false" stroked="true" strokeweight=".47998pt" strokecolor="#000000">
                <v:path arrowok="t"/>
              </v:shape>
            </v:group>
            <v:group style="position:absolute;left:6995;top:374;width:20;height:2" coordorigin="6995,374" coordsize="20,2">
              <v:shape style="position:absolute;left:6995;top:374;width:20;height:2" coordorigin="6995,374" coordsize="20,0" path="m6995,374l7014,374e" filled="false" stroked="true" strokeweight=".47998pt" strokecolor="#000000">
                <v:path arrowok="t"/>
              </v:shape>
            </v:group>
            <v:group style="position:absolute;left:7014;top:374;width:20;height:2" coordorigin="7014,374" coordsize="20,2">
              <v:shape style="position:absolute;left:7014;top:374;width:20;height:2" coordorigin="7014,374" coordsize="20,0" path="m7014,374l7033,374e" filled="false" stroked="true" strokeweight=".47998pt" strokecolor="#000000">
                <v:path arrowok="t"/>
              </v:shape>
            </v:group>
            <v:group style="position:absolute;left:7033;top:374;width:20;height:2" coordorigin="7033,374" coordsize="20,2">
              <v:shape style="position:absolute;left:7033;top:374;width:20;height:2" coordorigin="7033,374" coordsize="20,0" path="m7033,374l7052,374e" filled="false" stroked="true" strokeweight=".47998pt" strokecolor="#000000">
                <v:path arrowok="t"/>
              </v:shape>
            </v:group>
            <v:group style="position:absolute;left:7052;top:374;width:20;height:2" coordorigin="7052,374" coordsize="20,2">
              <v:shape style="position:absolute;left:7052;top:374;width:20;height:2" coordorigin="7052,374" coordsize="20,0" path="m7052,374l7071,374e" filled="false" stroked="true" strokeweight=".47998pt" strokecolor="#000000">
                <v:path arrowok="t"/>
              </v:shape>
            </v:group>
            <v:group style="position:absolute;left:7071;top:374;width:20;height:2" coordorigin="7071,374" coordsize="20,2">
              <v:shape style="position:absolute;left:7071;top:374;width:20;height:2" coordorigin="7071,374" coordsize="20,0" path="m7071,374l7091,374e" filled="false" stroked="true" strokeweight=".47998pt" strokecolor="#000000">
                <v:path arrowok="t"/>
              </v:shape>
            </v:group>
            <v:group style="position:absolute;left:7091;top:374;width:20;height:2" coordorigin="7091,374" coordsize="20,2">
              <v:shape style="position:absolute;left:7091;top:374;width:20;height:2" coordorigin="7091,374" coordsize="20,0" path="m7091,374l7110,374e" filled="false" stroked="true" strokeweight=".47998pt" strokecolor="#000000">
                <v:path arrowok="t"/>
              </v:shape>
            </v:group>
            <v:group style="position:absolute;left:7110;top:374;width:20;height:2" coordorigin="7110,374" coordsize="20,2">
              <v:shape style="position:absolute;left:7110;top:374;width:20;height:2" coordorigin="7110,374" coordsize="20,0" path="m7110,374l7129,374e" filled="false" stroked="true" strokeweight=".47998pt" strokecolor="#000000">
                <v:path arrowok="t"/>
              </v:shape>
            </v:group>
            <v:group style="position:absolute;left:7129;top:374;width:20;height:2" coordorigin="7129,374" coordsize="20,2">
              <v:shape style="position:absolute;left:7129;top:374;width:20;height:2" coordorigin="7129,374" coordsize="20,0" path="m7129,374l7148,374e" filled="false" stroked="true" strokeweight=".47998pt" strokecolor="#000000">
                <v:path arrowok="t"/>
              </v:shape>
            </v:group>
            <v:group style="position:absolute;left:7148;top:374;width:20;height:2" coordorigin="7148,374" coordsize="20,2">
              <v:shape style="position:absolute;left:7148;top:374;width:20;height:2" coordorigin="7148,374" coordsize="20,0" path="m7148,374l7167,374e" filled="false" stroked="true" strokeweight=".47998pt" strokecolor="#000000">
                <v:path arrowok="t"/>
              </v:shape>
            </v:group>
            <v:group style="position:absolute;left:7167;top:374;width:20;height:2" coordorigin="7167,374" coordsize="20,2">
              <v:shape style="position:absolute;left:7167;top:374;width:20;height:2" coordorigin="7167,374" coordsize="20,0" path="m7167,374l7187,374e" filled="false" stroked="true" strokeweight=".47998pt" strokecolor="#000000">
                <v:path arrowok="t"/>
              </v:shape>
            </v:group>
            <v:group style="position:absolute;left:7187;top:374;width:20;height:2" coordorigin="7187,374" coordsize="20,2">
              <v:shape style="position:absolute;left:7187;top:374;width:20;height:2" coordorigin="7187,374" coordsize="20,0" path="m7187,374l7206,374e" filled="false" stroked="true" strokeweight=".47998pt" strokecolor="#000000">
                <v:path arrowok="t"/>
              </v:shape>
            </v:group>
            <v:group style="position:absolute;left:7206;top:374;width:20;height:2" coordorigin="7206,374" coordsize="20,2">
              <v:shape style="position:absolute;left:7206;top:374;width:20;height:2" coordorigin="7206,374" coordsize="20,0" path="m7206,374l7225,374e" filled="false" stroked="true" strokeweight=".47998pt" strokecolor="#000000">
                <v:path arrowok="t"/>
              </v:shape>
            </v:group>
            <v:group style="position:absolute;left:7226;top:374;width:20;height:2" coordorigin="7226,374" coordsize="20,2">
              <v:shape style="position:absolute;left:7226;top:374;width:20;height:2" coordorigin="7226,374" coordsize="20,0" path="m7226,374l7245,374e" filled="false" stroked="true" strokeweight=".47998pt" strokecolor="#000000">
                <v:path arrowok="t"/>
              </v:shape>
            </v:group>
            <v:group style="position:absolute;left:7245;top:374;width:20;height:2" coordorigin="7245,374" coordsize="20,2">
              <v:shape style="position:absolute;left:7245;top:374;width:20;height:2" coordorigin="7245,374" coordsize="20,0" path="m7245,374l7264,374e" filled="false" stroked="true" strokeweight=".47998pt" strokecolor="#000000">
                <v:path arrowok="t"/>
              </v:shape>
            </v:group>
            <v:group style="position:absolute;left:7264;top:374;width:20;height:2" coordorigin="7264,374" coordsize="20,2">
              <v:shape style="position:absolute;left:7264;top:374;width:20;height:2" coordorigin="7264,374" coordsize="20,0" path="m7264,374l7283,374e" filled="false" stroked="true" strokeweight=".47998pt" strokecolor="#000000">
                <v:path arrowok="t"/>
              </v:shape>
            </v:group>
            <v:group style="position:absolute;left:7283;top:374;width:20;height:2" coordorigin="7283,374" coordsize="20,2">
              <v:shape style="position:absolute;left:7283;top:374;width:20;height:2" coordorigin="7283,374" coordsize="20,0" path="m7283,374l7302,374e" filled="false" stroked="true" strokeweight=".47998pt" strokecolor="#000000">
                <v:path arrowok="t"/>
              </v:shape>
            </v:group>
            <v:group style="position:absolute;left:7302;top:374;width:20;height:2" coordorigin="7302,374" coordsize="20,2">
              <v:shape style="position:absolute;left:7302;top:374;width:20;height:2" coordorigin="7302,374" coordsize="20,0" path="m7302,374l7322,374e" filled="false" stroked="true" strokeweight=".47998pt" strokecolor="#000000">
                <v:path arrowok="t"/>
              </v:shape>
            </v:group>
            <v:group style="position:absolute;left:7322;top:374;width:20;height:2" coordorigin="7322,374" coordsize="20,2">
              <v:shape style="position:absolute;left:7322;top:374;width:20;height:2" coordorigin="7322,374" coordsize="20,0" path="m7322,374l7341,374e" filled="false" stroked="true" strokeweight=".47998pt" strokecolor="#000000">
                <v:path arrowok="t"/>
              </v:shape>
            </v:group>
            <v:group style="position:absolute;left:7341;top:374;width:20;height:2" coordorigin="7341,374" coordsize="20,2">
              <v:shape style="position:absolute;left:7341;top:374;width:20;height:2" coordorigin="7341,374" coordsize="20,0" path="m7341,374l7360,374e" filled="false" stroked="true" strokeweight=".47998pt" strokecolor="#000000">
                <v:path arrowok="t"/>
              </v:shape>
            </v:group>
            <v:group style="position:absolute;left:7360;top:374;width:20;height:2" coordorigin="7360,374" coordsize="20,2">
              <v:shape style="position:absolute;left:7360;top:374;width:20;height:2" coordorigin="7360,374" coordsize="20,0" path="m7360,374l7379,374e" filled="false" stroked="true" strokeweight=".47998pt" strokecolor="#000000">
                <v:path arrowok="t"/>
              </v:shape>
            </v:group>
            <v:group style="position:absolute;left:7379;top:374;width:20;height:2" coordorigin="7379,374" coordsize="20,2">
              <v:shape style="position:absolute;left:7379;top:374;width:20;height:2" coordorigin="7379,374" coordsize="20,0" path="m7379,374l7398,374e" filled="false" stroked="true" strokeweight=".47998pt" strokecolor="#000000">
                <v:path arrowok="t"/>
              </v:shape>
            </v:group>
            <v:group style="position:absolute;left:7398;top:374;width:20;height:2" coordorigin="7398,374" coordsize="20,2">
              <v:shape style="position:absolute;left:7398;top:374;width:20;height:2" coordorigin="7398,374" coordsize="20,0" path="m7398,374l7418,374e" filled="false" stroked="true" strokeweight=".47998pt" strokecolor="#000000">
                <v:path arrowok="t"/>
              </v:shape>
            </v:group>
            <v:group style="position:absolute;left:7418;top:374;width:20;height:2" coordorigin="7418,374" coordsize="20,2">
              <v:shape style="position:absolute;left:7418;top:374;width:20;height:2" coordorigin="7418,374" coordsize="20,0" path="m7418,374l7437,374e" filled="false" stroked="true" strokeweight=".47998pt" strokecolor="#000000">
                <v:path arrowok="t"/>
              </v:shape>
            </v:group>
            <v:group style="position:absolute;left:7437;top:374;width:20;height:2" coordorigin="7437,374" coordsize="20,2">
              <v:shape style="position:absolute;left:7437;top:374;width:20;height:2" coordorigin="7437,374" coordsize="20,0" path="m7437,374l7456,374e" filled="false" stroked="true" strokeweight=".47998pt" strokecolor="#000000">
                <v:path arrowok="t"/>
              </v:shape>
            </v:group>
            <v:group style="position:absolute;left:7456;top:374;width:20;height:2" coordorigin="7456,374" coordsize="20,2">
              <v:shape style="position:absolute;left:7456;top:374;width:20;height:2" coordorigin="7456,374" coordsize="20,0" path="m7456,374l7475,374e" filled="false" stroked="true" strokeweight=".47998pt" strokecolor="#000000">
                <v:path arrowok="t"/>
              </v:shape>
            </v:group>
            <v:group style="position:absolute;left:7475;top:374;width:20;height:2" coordorigin="7475,374" coordsize="20,2">
              <v:shape style="position:absolute;left:7475;top:374;width:20;height:2" coordorigin="7475,374" coordsize="20,0" path="m7475,374l7494,374e" filled="false" stroked="true" strokeweight=".47998pt" strokecolor="#000000">
                <v:path arrowok="t"/>
              </v:shape>
            </v:group>
            <v:group style="position:absolute;left:7494;top:374;width:20;height:2" coordorigin="7494,374" coordsize="20,2">
              <v:shape style="position:absolute;left:7494;top:374;width:20;height:2" coordorigin="7494,374" coordsize="20,0" path="m7494,374l7514,374e" filled="false" stroked="true" strokeweight=".47998pt" strokecolor="#000000">
                <v:path arrowok="t"/>
              </v:shape>
            </v:group>
            <v:group style="position:absolute;left:7514;top:374;width:15;height:2" coordorigin="7514,374" coordsize="15,2">
              <v:shape style="position:absolute;left:7514;top:374;width:15;height:2" coordorigin="7514,374" coordsize="15,0" path="m7514,374l7528,374e" filled="false" stroked="true" strokeweight=".47998pt" strokecolor="#000000">
                <v:path arrowok="t"/>
              </v:shape>
            </v:group>
            <v:group style="position:absolute;left:7528;top:379;width:10;height:20" coordorigin="7528,379" coordsize="10,20">
              <v:shape style="position:absolute;left:7528;top:379;width:10;height:20" coordorigin="7528,379" coordsize="10,20" path="m7528,398l7538,398,7538,379,7528,379,7528,398xe" filled="true" fillcolor="#000000" stroked="false">
                <v:path arrowok="t"/>
                <v:fill type="solid"/>
              </v:shape>
              <v:shape style="position:absolute;left:7528;top:398;width:10;height:2" type="#_x0000_t75" stroked="false">
                <v:imagedata r:id="rId88" o:title=""/>
              </v:shape>
            </v:group>
            <v:group style="position:absolute;left:7528;top:374;width:10;height:2" coordorigin="7528,374" coordsize="10,2">
              <v:shape style="position:absolute;left:7528;top:374;width:10;height:2" coordorigin="7528,374" coordsize="10,0" path="m7528,374l7538,374e" filled="false" stroked="true" strokeweight=".47998pt" strokecolor="#000000">
                <v:path arrowok="t"/>
              </v:shape>
            </v:group>
            <v:group style="position:absolute;left:7538;top:374;width:20;height:2" coordorigin="7538,374" coordsize="20,2">
              <v:shape style="position:absolute;left:7538;top:374;width:20;height:2" coordorigin="7538,374" coordsize="20,0" path="m7538,374l7557,374e" filled="false" stroked="true" strokeweight=".47998pt" strokecolor="#000000">
                <v:path arrowok="t"/>
              </v:shape>
            </v:group>
            <v:group style="position:absolute;left:7557;top:374;width:20;height:2" coordorigin="7557,374" coordsize="20,2">
              <v:shape style="position:absolute;left:7557;top:374;width:20;height:2" coordorigin="7557,374" coordsize="20,0" path="m7557,374l7576,374e" filled="false" stroked="true" strokeweight=".47998pt" strokecolor="#000000">
                <v:path arrowok="t"/>
              </v:shape>
            </v:group>
            <v:group style="position:absolute;left:7576;top:374;width:20;height:2" coordorigin="7576,374" coordsize="20,2">
              <v:shape style="position:absolute;left:7576;top:374;width:20;height:2" coordorigin="7576,374" coordsize="20,0" path="m7576,374l7595,374e" filled="false" stroked="true" strokeweight=".47998pt" strokecolor="#000000">
                <v:path arrowok="t"/>
              </v:shape>
            </v:group>
            <v:group style="position:absolute;left:7595;top:374;width:20;height:2" coordorigin="7595,374" coordsize="20,2">
              <v:shape style="position:absolute;left:7595;top:374;width:20;height:2" coordorigin="7595,374" coordsize="20,0" path="m7595,374l7614,374e" filled="false" stroked="true" strokeweight=".47998pt" strokecolor="#000000">
                <v:path arrowok="t"/>
              </v:shape>
            </v:group>
            <v:group style="position:absolute;left:7614;top:374;width:20;height:2" coordorigin="7614,374" coordsize="20,2">
              <v:shape style="position:absolute;left:7614;top:374;width:20;height:2" coordorigin="7614,374" coordsize="20,0" path="m7614,374l7634,374e" filled="false" stroked="true" strokeweight=".47998pt" strokecolor="#000000">
                <v:path arrowok="t"/>
              </v:shape>
            </v:group>
            <v:group style="position:absolute;left:7634;top:374;width:20;height:2" coordorigin="7634,374" coordsize="20,2">
              <v:shape style="position:absolute;left:7634;top:374;width:20;height:2" coordorigin="7634,374" coordsize="20,0" path="m7634,374l7653,374e" filled="false" stroked="true" strokeweight=".47998pt" strokecolor="#000000">
                <v:path arrowok="t"/>
              </v:shape>
            </v:group>
            <v:group style="position:absolute;left:7653;top:374;width:20;height:2" coordorigin="7653,374" coordsize="20,2">
              <v:shape style="position:absolute;left:7653;top:374;width:20;height:2" coordorigin="7653,374" coordsize="20,0" path="m7653,374l7672,374e" filled="false" stroked="true" strokeweight=".47998pt" strokecolor="#000000">
                <v:path arrowok="t"/>
              </v:shape>
            </v:group>
            <v:group style="position:absolute;left:7672;top:374;width:20;height:2" coordorigin="7672,374" coordsize="20,2">
              <v:shape style="position:absolute;left:7672;top:374;width:20;height:2" coordorigin="7672,374" coordsize="20,0" path="m7672,374l7691,374e" filled="false" stroked="true" strokeweight=".47998pt" strokecolor="#000000">
                <v:path arrowok="t"/>
              </v:shape>
            </v:group>
            <v:group style="position:absolute;left:7691;top:374;width:20;height:2" coordorigin="7691,374" coordsize="20,2">
              <v:shape style="position:absolute;left:7691;top:374;width:20;height:2" coordorigin="7691,374" coordsize="20,0" path="m7691,374l7710,374e" filled="false" stroked="true" strokeweight=".47998pt" strokecolor="#000000">
                <v:path arrowok="t"/>
              </v:shape>
            </v:group>
            <v:group style="position:absolute;left:7710;top:374;width:20;height:2" coordorigin="7710,374" coordsize="20,2">
              <v:shape style="position:absolute;left:7710;top:374;width:20;height:2" coordorigin="7710,374" coordsize="20,0" path="m7710,374l7730,374e" filled="false" stroked="true" strokeweight=".47998pt" strokecolor="#000000">
                <v:path arrowok="t"/>
              </v:shape>
            </v:group>
            <v:group style="position:absolute;left:7730;top:374;width:20;height:2" coordorigin="7730,374" coordsize="20,2">
              <v:shape style="position:absolute;left:7730;top:374;width:20;height:2" coordorigin="7730,374" coordsize="20,0" path="m7730,374l7749,374e" filled="false" stroked="true" strokeweight=".47998pt" strokecolor="#000000">
                <v:path arrowok="t"/>
              </v:shape>
            </v:group>
            <v:group style="position:absolute;left:7749;top:374;width:20;height:2" coordorigin="7749,374" coordsize="20,2">
              <v:shape style="position:absolute;left:7749;top:374;width:20;height:2" coordorigin="7749,374" coordsize="20,0" path="m7749,374l7768,374e" filled="false" stroked="true" strokeweight=".47998pt" strokecolor="#000000">
                <v:path arrowok="t"/>
              </v:shape>
            </v:group>
            <v:group style="position:absolute;left:7768;top:374;width:20;height:2" coordorigin="7768,374" coordsize="20,2">
              <v:shape style="position:absolute;left:7768;top:374;width:20;height:2" coordorigin="7768,374" coordsize="20,0" path="m7768,374l7787,374e" filled="false" stroked="true" strokeweight=".47998pt" strokecolor="#000000">
                <v:path arrowok="t"/>
              </v:shape>
            </v:group>
            <v:group style="position:absolute;left:7787;top:374;width:20;height:2" coordorigin="7787,374" coordsize="20,2">
              <v:shape style="position:absolute;left:7787;top:374;width:20;height:2" coordorigin="7787,374" coordsize="20,0" path="m7787,374l7806,374e" filled="false" stroked="true" strokeweight=".47998pt" strokecolor="#000000">
                <v:path arrowok="t"/>
              </v:shape>
            </v:group>
            <v:group style="position:absolute;left:7806;top:374;width:20;height:2" coordorigin="7806,374" coordsize="20,2">
              <v:shape style="position:absolute;left:7806;top:374;width:20;height:2" coordorigin="7806,374" coordsize="20,0" path="m7806,374l7826,374e" filled="false" stroked="true" strokeweight=".47998pt" strokecolor="#000000">
                <v:path arrowok="t"/>
              </v:shape>
            </v:group>
            <v:group style="position:absolute;left:7826;top:374;width:20;height:2" coordorigin="7826,374" coordsize="20,2">
              <v:shape style="position:absolute;left:7826;top:374;width:20;height:2" coordorigin="7826,374" coordsize="20,0" path="m7826,374l7845,374e" filled="false" stroked="true" strokeweight=".47998pt" strokecolor="#000000">
                <v:path arrowok="t"/>
              </v:shape>
            </v:group>
            <v:group style="position:absolute;left:7845;top:374;width:20;height:2" coordorigin="7845,374" coordsize="20,2">
              <v:shape style="position:absolute;left:7845;top:374;width:20;height:2" coordorigin="7845,374" coordsize="20,0" path="m7845,374l7864,374e" filled="false" stroked="true" strokeweight=".47998pt" strokecolor="#000000">
                <v:path arrowok="t"/>
              </v:shape>
            </v:group>
            <v:group style="position:absolute;left:7864;top:374;width:20;height:2" coordorigin="7864,374" coordsize="20,2">
              <v:shape style="position:absolute;left:7864;top:374;width:20;height:2" coordorigin="7864,374" coordsize="20,0" path="m7864,374l7883,374e" filled="false" stroked="true" strokeweight=".47998pt" strokecolor="#000000">
                <v:path arrowok="t"/>
              </v:shape>
            </v:group>
            <v:group style="position:absolute;left:7883;top:374;width:20;height:2" coordorigin="7883,374" coordsize="20,2">
              <v:shape style="position:absolute;left:7883;top:374;width:20;height:2" coordorigin="7883,374" coordsize="20,0" path="m7883,374l7902,374e" filled="false" stroked="true" strokeweight=".47998pt" strokecolor="#000000">
                <v:path arrowok="t"/>
              </v:shape>
            </v:group>
            <v:group style="position:absolute;left:7902;top:374;width:20;height:2" coordorigin="7902,374" coordsize="20,2">
              <v:shape style="position:absolute;left:7902;top:374;width:20;height:2" coordorigin="7902,374" coordsize="20,0" path="m7902,374l7922,374e" filled="false" stroked="true" strokeweight=".47998pt" strokecolor="#000000">
                <v:path arrowok="t"/>
              </v:shape>
            </v:group>
            <v:group style="position:absolute;left:7922;top:374;width:20;height:2" coordorigin="7922,374" coordsize="20,2">
              <v:shape style="position:absolute;left:7922;top:374;width:20;height:2" coordorigin="7922,374" coordsize="20,0" path="m7922,374l7941,374e" filled="false" stroked="true" strokeweight=".47998pt" strokecolor="#000000">
                <v:path arrowok="t"/>
              </v:shape>
            </v:group>
            <v:group style="position:absolute;left:7941;top:374;width:20;height:2" coordorigin="7941,374" coordsize="20,2">
              <v:shape style="position:absolute;left:7941;top:374;width:20;height:2" coordorigin="7941,374" coordsize="20,0" path="m7941,374l7960,374e" filled="false" stroked="true" strokeweight=".47998pt" strokecolor="#000000">
                <v:path arrowok="t"/>
              </v:shape>
            </v:group>
            <v:group style="position:absolute;left:7960;top:374;width:20;height:2" coordorigin="7960,374" coordsize="20,2">
              <v:shape style="position:absolute;left:7960;top:374;width:20;height:2" coordorigin="7960,374" coordsize="20,0" path="m7960,374l7979,374e" filled="false" stroked="true" strokeweight=".47998pt" strokecolor="#000000">
                <v:path arrowok="t"/>
              </v:shape>
            </v:group>
            <v:group style="position:absolute;left:7979;top:374;width:20;height:2" coordorigin="7979,374" coordsize="20,2">
              <v:shape style="position:absolute;left:7979;top:374;width:20;height:2" coordorigin="7979,374" coordsize="20,0" path="m7979,374l7998,374e" filled="false" stroked="true" strokeweight=".47998pt" strokecolor="#000000">
                <v:path arrowok="t"/>
              </v:shape>
            </v:group>
            <v:group style="position:absolute;left:7998;top:374;width:20;height:2" coordorigin="7998,374" coordsize="20,2">
              <v:shape style="position:absolute;left:7998;top:374;width:20;height:2" coordorigin="7998,374" coordsize="20,0" path="m7998,374l8018,374e" filled="false" stroked="true" strokeweight=".47998pt" strokecolor="#000000">
                <v:path arrowok="t"/>
              </v:shape>
            </v:group>
            <v:group style="position:absolute;left:8018;top:374;width:20;height:2" coordorigin="8018,374" coordsize="20,2">
              <v:shape style="position:absolute;left:8018;top:374;width:20;height:2" coordorigin="8018,374" coordsize="20,0" path="m8018,374l8037,374e" filled="false" stroked="true" strokeweight=".47998pt" strokecolor="#000000">
                <v:path arrowok="t"/>
              </v:shape>
            </v:group>
            <v:group style="position:absolute;left:8037;top:374;width:20;height:2" coordorigin="8037,374" coordsize="20,2">
              <v:shape style="position:absolute;left:8037;top:374;width:20;height:2" coordorigin="8037,374" coordsize="20,0" path="m8037,374l8056,374e" filled="false" stroked="true" strokeweight=".47998pt" strokecolor="#000000">
                <v:path arrowok="t"/>
              </v:shape>
            </v:group>
            <v:group style="position:absolute;left:8056;top:374;width:20;height:2" coordorigin="8056,374" coordsize="20,2">
              <v:shape style="position:absolute;left:8056;top:374;width:20;height:2" coordorigin="8056,374" coordsize="20,0" path="m8056,374l8075,374e" filled="false" stroked="true" strokeweight=".47998pt" strokecolor="#000000">
                <v:path arrowok="t"/>
              </v:shape>
            </v:group>
            <v:group style="position:absolute;left:8075;top:374;width:20;height:2" coordorigin="8075,374" coordsize="20,2">
              <v:shape style="position:absolute;left:8075;top:374;width:20;height:2" coordorigin="8075,374" coordsize="20,0" path="m8075,374l8094,374e" filled="false" stroked="true" strokeweight=".47998pt" strokecolor="#000000">
                <v:path arrowok="t"/>
              </v:shape>
            </v:group>
            <v:group style="position:absolute;left:8094;top:374;width:20;height:2" coordorigin="8094,374" coordsize="20,2">
              <v:shape style="position:absolute;left:8094;top:374;width:20;height:2" coordorigin="8094,374" coordsize="20,0" path="m8094,374l8114,374e" filled="false" stroked="true" strokeweight=".47998pt" strokecolor="#000000">
                <v:path arrowok="t"/>
              </v:shape>
            </v:group>
            <v:group style="position:absolute;left:8114;top:374;width:20;height:2" coordorigin="8114,374" coordsize="20,2">
              <v:shape style="position:absolute;left:8114;top:374;width:20;height:2" coordorigin="8114,374" coordsize="20,0" path="m8114,374l8133,374e" filled="false" stroked="true" strokeweight=".47998pt" strokecolor="#000000">
                <v:path arrowok="t"/>
              </v:shape>
            </v:group>
            <v:group style="position:absolute;left:8133;top:374;width:20;height:2" coordorigin="8133,374" coordsize="20,2">
              <v:shape style="position:absolute;left:8133;top:374;width:20;height:2" coordorigin="8133,374" coordsize="20,0" path="m8133,374l8152,374e" filled="false" stroked="true" strokeweight=".47998pt" strokecolor="#000000">
                <v:path arrowok="t"/>
              </v:shape>
            </v:group>
            <v:group style="position:absolute;left:8152;top:374;width:20;height:2" coordorigin="8152,374" coordsize="20,2">
              <v:shape style="position:absolute;left:8152;top:374;width:20;height:2" coordorigin="8152,374" coordsize="20,0" path="m8152,374l8171,374e" filled="false" stroked="true" strokeweight=".47998pt" strokecolor="#000000">
                <v:path arrowok="t"/>
              </v:shape>
            </v:group>
            <v:group style="position:absolute;left:8171;top:374;width:20;height:2" coordorigin="8171,374" coordsize="20,2">
              <v:shape style="position:absolute;left:8171;top:374;width:20;height:2" coordorigin="8171,374" coordsize="20,0" path="m8171,374l8190,374e" filled="false" stroked="true" strokeweight=".47998pt" strokecolor="#000000">
                <v:path arrowok="t"/>
              </v:shape>
            </v:group>
            <v:group style="position:absolute;left:8190;top:374;width:20;height:2" coordorigin="8190,374" coordsize="20,2">
              <v:shape style="position:absolute;left:8190;top:374;width:20;height:2" coordorigin="8190,374" coordsize="20,0" path="m8190,374l8210,374e" filled="false" stroked="true" strokeweight=".47998pt" strokecolor="#000000">
                <v:path arrowok="t"/>
              </v:shape>
            </v:group>
            <v:group style="position:absolute;left:8210;top:374;width:20;height:2" coordorigin="8210,374" coordsize="20,2">
              <v:shape style="position:absolute;left:8210;top:374;width:20;height:2" coordorigin="8210,374" coordsize="20,0" path="m8210,374l8229,374e" filled="false" stroked="true" strokeweight=".47998pt" strokecolor="#000000">
                <v:path arrowok="t"/>
              </v:shape>
            </v:group>
            <v:group style="position:absolute;left:8229;top:374;width:20;height:2" coordorigin="8229,374" coordsize="20,2">
              <v:shape style="position:absolute;left:8229;top:374;width:20;height:2" coordorigin="8229,374" coordsize="20,0" path="m8229,374l8248,374e" filled="false" stroked="true" strokeweight=".47998pt" strokecolor="#000000">
                <v:path arrowok="t"/>
              </v:shape>
            </v:group>
            <v:group style="position:absolute;left:8248;top:374;width:20;height:2" coordorigin="8248,374" coordsize="20,2">
              <v:shape style="position:absolute;left:8248;top:374;width:20;height:2" coordorigin="8248,374" coordsize="20,0" path="m8248,374l8267,374e" filled="false" stroked="true" strokeweight=".47998pt" strokecolor="#000000">
                <v:path arrowok="t"/>
              </v:shape>
            </v:group>
            <v:group style="position:absolute;left:8267;top:374;width:20;height:2" coordorigin="8267,374" coordsize="20,2">
              <v:shape style="position:absolute;left:8267;top:374;width:20;height:2" coordorigin="8267,374" coordsize="20,0" path="m8267,374l8286,374e" filled="false" stroked="true" strokeweight=".47998pt" strokecolor="#000000">
                <v:path arrowok="t"/>
              </v:shape>
            </v:group>
            <v:group style="position:absolute;left:8286;top:374;width:20;height:2" coordorigin="8286,374" coordsize="20,2">
              <v:shape style="position:absolute;left:8286;top:374;width:20;height:2" coordorigin="8286,374" coordsize="20,0" path="m8286,374l8306,374e" filled="false" stroked="true" strokeweight=".47998pt" strokecolor="#000000">
                <v:path arrowok="t"/>
              </v:shape>
            </v:group>
            <v:group style="position:absolute;left:8306;top:374;width:20;height:2" coordorigin="8306,374" coordsize="20,2">
              <v:shape style="position:absolute;left:8306;top:374;width:20;height:2" coordorigin="8306,374" coordsize="20,0" path="m8306,374l8325,374e" filled="false" stroked="true" strokeweight=".47998pt" strokecolor="#000000">
                <v:path arrowok="t"/>
              </v:shape>
            </v:group>
            <v:group style="position:absolute;left:8325;top:374;width:20;height:2" coordorigin="8325,374" coordsize="20,2">
              <v:shape style="position:absolute;left:8325;top:374;width:20;height:2" coordorigin="8325,374" coordsize="20,0" path="m8325,374l8344,374e" filled="false" stroked="true" strokeweight=".47998pt" strokecolor="#000000">
                <v:path arrowok="t"/>
              </v:shape>
            </v:group>
            <v:group style="position:absolute;left:8344;top:374;width:20;height:2" coordorigin="8344,374" coordsize="20,2">
              <v:shape style="position:absolute;left:8344;top:374;width:20;height:2" coordorigin="8344,374" coordsize="20,0" path="m8344,374l8363,374e" filled="false" stroked="true" strokeweight=".47998pt" strokecolor="#000000">
                <v:path arrowok="t"/>
              </v:shape>
            </v:group>
            <v:group style="position:absolute;left:8363;top:374;width:20;height:2" coordorigin="8363,374" coordsize="20,2">
              <v:shape style="position:absolute;left:8363;top:374;width:20;height:2" coordorigin="8363,374" coordsize="20,0" path="m8363,374l8382,374e" filled="false" stroked="true" strokeweight=".47998pt" strokecolor="#000000">
                <v:path arrowok="t"/>
              </v:shape>
            </v:group>
            <v:group style="position:absolute;left:8382;top:374;width:20;height:2" coordorigin="8382,374" coordsize="20,2">
              <v:shape style="position:absolute;left:8382;top:374;width:20;height:2" coordorigin="8382,374" coordsize="20,0" path="m8382,374l8402,374e" filled="false" stroked="true" strokeweight=".47998pt" strokecolor="#000000">
                <v:path arrowok="t"/>
              </v:shape>
            </v:group>
            <v:group style="position:absolute;left:8402;top:374;width:20;height:2" coordorigin="8402,374" coordsize="20,2">
              <v:shape style="position:absolute;left:8402;top:374;width:20;height:2" coordorigin="8402,374" coordsize="20,0" path="m8402,374l8421,374e" filled="false" stroked="true" strokeweight=".47998pt" strokecolor="#000000">
                <v:path arrowok="t"/>
              </v:shape>
            </v:group>
            <v:group style="position:absolute;left:8421;top:374;width:20;height:2" coordorigin="8421,374" coordsize="20,2">
              <v:shape style="position:absolute;left:8421;top:374;width:20;height:2" coordorigin="8421,374" coordsize="20,0" path="m8421,374l8440,374e" filled="false" stroked="true" strokeweight=".47998pt" strokecolor="#000000">
                <v:path arrowok="t"/>
              </v:shape>
            </v:group>
            <v:group style="position:absolute;left:8440;top:374;width:20;height:2" coordorigin="8440,374" coordsize="20,2">
              <v:shape style="position:absolute;left:8440;top:374;width:20;height:2" coordorigin="8440,374" coordsize="20,0" path="m8440,374l8459,374e" filled="false" stroked="true" strokeweight=".47998pt" strokecolor="#000000">
                <v:path arrowok="t"/>
              </v:shape>
            </v:group>
            <v:group style="position:absolute;left:8459;top:374;width:20;height:2" coordorigin="8459,374" coordsize="20,2">
              <v:shape style="position:absolute;left:8459;top:374;width:20;height:2" coordorigin="8459,374" coordsize="20,0" path="m8459,374l8478,374e" filled="false" stroked="true" strokeweight=".47998pt" strokecolor="#000000">
                <v:path arrowok="t"/>
              </v:shape>
            </v:group>
            <v:group style="position:absolute;left:8478;top:374;width:20;height:2" coordorigin="8478,374" coordsize="20,2">
              <v:shape style="position:absolute;left:8478;top:374;width:20;height:2" coordorigin="8478,374" coordsize="20,0" path="m8478,374l8498,374e" filled="false" stroked="true" strokeweight=".47998pt" strokecolor="#000000">
                <v:path arrowok="t"/>
              </v:shape>
            </v:group>
            <v:group style="position:absolute;left:8498;top:374;width:20;height:2" coordorigin="8498,374" coordsize="20,2">
              <v:shape style="position:absolute;left:8498;top:374;width:20;height:2" coordorigin="8498,374" coordsize="20,0" path="m8498,374l8517,374e" filled="false" stroked="true" strokeweight=".47998pt" strokecolor="#000000">
                <v:path arrowok="t"/>
              </v:shape>
            </v:group>
            <v:group style="position:absolute;left:8517;top:374;width:20;height:2" coordorigin="8517,374" coordsize="20,2">
              <v:shape style="position:absolute;left:8517;top:374;width:20;height:2" coordorigin="8517,374" coordsize="20,0" path="m8517,374l8536,374e" filled="false" stroked="true" strokeweight=".47998pt" strokecolor="#000000">
                <v:path arrowok="t"/>
              </v:shape>
            </v:group>
            <v:group style="position:absolute;left:8536;top:374;width:20;height:2" coordorigin="8536,374" coordsize="20,2">
              <v:shape style="position:absolute;left:8536;top:374;width:20;height:2" coordorigin="8536,374" coordsize="20,0" path="m8536,374l8555,374e" filled="false" stroked="true" strokeweight=".47998pt" strokecolor="#000000">
                <v:path arrowok="t"/>
              </v:shape>
            </v:group>
            <v:group style="position:absolute;left:8555;top:374;width:20;height:2" coordorigin="8555,374" coordsize="20,2">
              <v:shape style="position:absolute;left:8555;top:374;width:20;height:2" coordorigin="8555,374" coordsize="20,0" path="m8555,374l8574,374e" filled="false" stroked="true" strokeweight=".47998pt" strokecolor="#000000">
                <v:path arrowok="t"/>
              </v:shape>
            </v:group>
            <v:group style="position:absolute;left:8574;top:374;width:20;height:2" coordorigin="8574,374" coordsize="20,2">
              <v:shape style="position:absolute;left:8574;top:374;width:20;height:2" coordorigin="8574,374" coordsize="20,0" path="m8574,374l8594,374e" filled="false" stroked="true" strokeweight=".47998pt" strokecolor="#000000">
                <v:path arrowok="t"/>
              </v:shape>
            </v:group>
            <v:group style="position:absolute;left:8594;top:374;width:20;height:2" coordorigin="8594,374" coordsize="20,2">
              <v:shape style="position:absolute;left:8594;top:374;width:20;height:2" coordorigin="8594,374" coordsize="20,0" path="m8594,374l8613,374e" filled="false" stroked="true" strokeweight=".47998pt" strokecolor="#000000">
                <v:path arrowok="t"/>
              </v:shape>
            </v:group>
            <v:group style="position:absolute;left:8613;top:374;width:20;height:2" coordorigin="8613,374" coordsize="20,2">
              <v:shape style="position:absolute;left:8613;top:374;width:20;height:2" coordorigin="8613,374" coordsize="20,0" path="m8613,374l8632,374e" filled="false" stroked="true" strokeweight=".47998pt" strokecolor="#000000">
                <v:path arrowok="t"/>
              </v:shape>
            </v:group>
            <v:group style="position:absolute;left:8632;top:374;width:20;height:2" coordorigin="8632,374" coordsize="20,2">
              <v:shape style="position:absolute;left:8632;top:374;width:20;height:2" coordorigin="8632,374" coordsize="20,0" path="m8632,374l8651,374e" filled="false" stroked="true" strokeweight=".47998pt" strokecolor="#000000">
                <v:path arrowok="t"/>
              </v:shape>
            </v:group>
            <v:group style="position:absolute;left:8651;top:374;width:20;height:2" coordorigin="8651,374" coordsize="20,2">
              <v:shape style="position:absolute;left:8651;top:374;width:20;height:2" coordorigin="8651,374" coordsize="20,0" path="m8651,374l8670,374e" filled="false" stroked="true" strokeweight=".47998pt" strokecolor="#000000">
                <v:path arrowok="t"/>
              </v:shape>
            </v:group>
            <v:group style="position:absolute;left:8670;top:374;width:20;height:2" coordorigin="8670,374" coordsize="20,2">
              <v:shape style="position:absolute;left:8670;top:374;width:20;height:2" coordorigin="8670,374" coordsize="20,0" path="m8670,374l8690,374e" filled="false" stroked="true" strokeweight=".47998pt" strokecolor="#000000">
                <v:path arrowok="t"/>
              </v:shape>
            </v:group>
            <v:group style="position:absolute;left:8690;top:374;width:20;height:2" coordorigin="8690,374" coordsize="20,2">
              <v:shape style="position:absolute;left:8690;top:374;width:20;height:2" coordorigin="8690,374" coordsize="20,0" path="m8690,374l8709,374e" filled="false" stroked="true" strokeweight=".47998pt" strokecolor="#000000">
                <v:path arrowok="t"/>
              </v:shape>
            </v:group>
            <v:group style="position:absolute;left:8709;top:374;width:20;height:2" coordorigin="8709,374" coordsize="20,2">
              <v:shape style="position:absolute;left:8709;top:374;width:20;height:2" coordorigin="8709,374" coordsize="20,0" path="m8709,374l8728,374e" filled="false" stroked="true" strokeweight=".47998pt" strokecolor="#000000">
                <v:path arrowok="t"/>
              </v:shape>
            </v:group>
            <v:group style="position:absolute;left:8728;top:374;width:20;height:2" coordorigin="8728,374" coordsize="20,2">
              <v:shape style="position:absolute;left:8728;top:374;width:20;height:2" coordorigin="8728,374" coordsize="20,0" path="m8728,374l8747,374e" filled="false" stroked="true" strokeweight=".47998pt" strokecolor="#000000">
                <v:path arrowok="t"/>
              </v:shape>
            </v:group>
            <v:group style="position:absolute;left:8747;top:374;width:20;height:2" coordorigin="8747,374" coordsize="20,2">
              <v:shape style="position:absolute;left:8747;top:374;width:20;height:2" coordorigin="8747,374" coordsize="20,0" path="m8747,374l8766,374e" filled="false" stroked="true" strokeweight=".47998pt" strokecolor="#000000">
                <v:path arrowok="t"/>
              </v:shape>
            </v:group>
            <v:group style="position:absolute;left:8766;top:374;width:20;height:2" coordorigin="8766,374" coordsize="20,2">
              <v:shape style="position:absolute;left:8766;top:374;width:20;height:2" coordorigin="8766,374" coordsize="20,0" path="m8766,374l8786,374e" filled="false" stroked="true" strokeweight=".47998pt" strokecolor="#000000">
                <v:path arrowok="t"/>
              </v:shape>
            </v:group>
            <v:group style="position:absolute;left:8786;top:374;width:20;height:2" coordorigin="8786,374" coordsize="20,2">
              <v:shape style="position:absolute;left:8786;top:374;width:20;height:2" coordorigin="8786,374" coordsize="20,0" path="m8786,374l8805,374e" filled="false" stroked="true" strokeweight=".47998pt" strokecolor="#000000">
                <v:path arrowok="t"/>
              </v:shape>
            </v:group>
            <v:group style="position:absolute;left:8805;top:374;width:20;height:2" coordorigin="8805,374" coordsize="20,2">
              <v:shape style="position:absolute;left:8805;top:374;width:20;height:2" coordorigin="8805,374" coordsize="20,0" path="m8805,374l8824,374e" filled="false" stroked="true" strokeweight=".47998pt" strokecolor="#000000">
                <v:path arrowok="t"/>
              </v:shape>
            </v:group>
            <v:group style="position:absolute;left:8824;top:374;width:20;height:2" coordorigin="8824,374" coordsize="20,2">
              <v:shape style="position:absolute;left:8824;top:374;width:20;height:2" coordorigin="8824,374" coordsize="20,0" path="m8824,374l8843,374e" filled="false" stroked="true" strokeweight=".47998pt" strokecolor="#000000">
                <v:path arrowok="t"/>
              </v:shape>
            </v:group>
            <v:group style="position:absolute;left:8843;top:374;width:20;height:2" coordorigin="8843,374" coordsize="20,2">
              <v:shape style="position:absolute;left:8843;top:374;width:20;height:2" coordorigin="8843,374" coordsize="20,0" path="m8843,374l8862,374e" filled="false" stroked="true" strokeweight=".47998pt" strokecolor="#000000">
                <v:path arrowok="t"/>
              </v:shape>
            </v:group>
            <v:group style="position:absolute;left:8862;top:374;width:20;height:2" coordorigin="8862,374" coordsize="20,2">
              <v:shape style="position:absolute;left:8862;top:374;width:20;height:2" coordorigin="8862,374" coordsize="20,0" path="m8862,374l8882,374e" filled="false" stroked="true" strokeweight=".47998pt" strokecolor="#000000">
                <v:path arrowok="t"/>
              </v:shape>
            </v:group>
            <v:group style="position:absolute;left:8882;top:374;width:20;height:2" coordorigin="8882,374" coordsize="20,2">
              <v:shape style="position:absolute;left:8882;top:374;width:20;height:2" coordorigin="8882,374" coordsize="20,0" path="m8882,374l8901,374e" filled="false" stroked="true" strokeweight=".47998pt" strokecolor="#000000">
                <v:path arrowok="t"/>
              </v:shape>
            </v:group>
            <v:group style="position:absolute;left:8901;top:374;width:20;height:2" coordorigin="8901,374" coordsize="20,2">
              <v:shape style="position:absolute;left:8901;top:374;width:20;height:2" coordorigin="8901,374" coordsize="20,0" path="m8901,374l8920,374e" filled="false" stroked="true" strokeweight=".47998pt" strokecolor="#000000">
                <v:path arrowok="t"/>
              </v:shape>
            </v:group>
            <v:group style="position:absolute;left:8920;top:374;width:20;height:2" coordorigin="8920,374" coordsize="20,2">
              <v:shape style="position:absolute;left:8920;top:374;width:20;height:2" coordorigin="8920,374" coordsize="20,0" path="m8920,374l8939,374e" filled="false" stroked="true" strokeweight=".47998pt" strokecolor="#000000">
                <v:path arrowok="t"/>
              </v:shape>
            </v:group>
            <v:group style="position:absolute;left:8939;top:374;width:20;height:2" coordorigin="8939,374" coordsize="20,2">
              <v:shape style="position:absolute;left:8939;top:374;width:20;height:2" coordorigin="8939,374" coordsize="20,0" path="m8939,374l8958,374e" filled="false" stroked="true" strokeweight=".47998pt" strokecolor="#000000">
                <v:path arrowok="t"/>
              </v:shape>
            </v:group>
            <v:group style="position:absolute;left:8958;top:374;width:20;height:2" coordorigin="8958,374" coordsize="20,2">
              <v:shape style="position:absolute;left:8958;top:374;width:20;height:2" coordorigin="8958,374" coordsize="20,0" path="m8958,374l8978,374e" filled="false" stroked="true" strokeweight=".47998pt" strokecolor="#000000">
                <v:path arrowok="t"/>
              </v:shape>
            </v:group>
            <v:group style="position:absolute;left:8978;top:374;width:20;height:2" coordorigin="8978,374" coordsize="20,2">
              <v:shape style="position:absolute;left:8978;top:374;width:20;height:2" coordorigin="8978,374" coordsize="20,0" path="m8978,374l8997,374e" filled="false" stroked="true" strokeweight=".47998pt" strokecolor="#000000">
                <v:path arrowok="t"/>
              </v:shape>
            </v:group>
            <v:group style="position:absolute;left:8997;top:374;width:20;height:2" coordorigin="8997,374" coordsize="20,2">
              <v:shape style="position:absolute;left:8997;top:374;width:20;height:2" coordorigin="8997,374" coordsize="20,0" path="m8997,374l9016,374e" filled="false" stroked="true" strokeweight=".47998pt" strokecolor="#000000">
                <v:path arrowok="t"/>
              </v:shape>
            </v:group>
            <v:group style="position:absolute;left:9016;top:374;width:20;height:2" coordorigin="9016,374" coordsize="20,2">
              <v:shape style="position:absolute;left:9016;top:374;width:20;height:2" coordorigin="9016,374" coordsize="20,0" path="m9016,374l9035,374e" filled="false" stroked="true" strokeweight=".47998pt" strokecolor="#000000">
                <v:path arrowok="t"/>
              </v:shape>
            </v:group>
            <v:group style="position:absolute;left:9035;top:374;width:20;height:2" coordorigin="9035,374" coordsize="20,2">
              <v:shape style="position:absolute;left:9035;top:374;width:20;height:2" coordorigin="9035,374" coordsize="20,0" path="m9035,374l9054,374e" filled="false" stroked="true" strokeweight=".47998pt" strokecolor="#000000">
                <v:path arrowok="t"/>
              </v:shape>
            </v:group>
            <v:group style="position:absolute;left:9054;top:374;width:20;height:2" coordorigin="9054,374" coordsize="20,2">
              <v:shape style="position:absolute;left:9054;top:374;width:20;height:2" coordorigin="9054,374" coordsize="20,0" path="m9054,374l9074,374e" filled="false" stroked="true" strokeweight=".47998pt" strokecolor="#000000">
                <v:path arrowok="t"/>
              </v:shape>
            </v:group>
            <v:group style="position:absolute;left:9074;top:374;width:5;height:2" coordorigin="9074,374" coordsize="5,2">
              <v:shape style="position:absolute;left:9074;top:374;width:5;height:2" coordorigin="9074,374" coordsize="5,0" path="m9074,374l9078,374e" filled="false" stroked="true" strokeweight=".47998pt" strokecolor="#000000">
                <v:path arrowok="t"/>
              </v:shape>
            </v:group>
            <v:group style="position:absolute;left:3219;top:401;width:10;height:20" coordorigin="3219,401" coordsize="10,20">
              <v:shape style="position:absolute;left:3219;top:401;width:10;height:20" coordorigin="3219,401" coordsize="10,20" path="m3219,420l3229,420,3229,401,3219,401,3219,420xe" filled="true" fillcolor="#000000" stroked="false">
                <v:path arrowok="t"/>
                <v:fill type="solid"/>
              </v:shape>
            </v:group>
            <v:group style="position:absolute;left:3219;top:420;width:10;height:20" coordorigin="3219,420" coordsize="10,20">
              <v:shape style="position:absolute;left:3219;top:420;width:10;height:20" coordorigin="3219,420" coordsize="10,20" path="m3219,439l3229,439,3229,420,3219,420,3219,439xe" filled="true" fillcolor="#000000" stroked="false">
                <v:path arrowok="t"/>
                <v:fill type="solid"/>
              </v:shape>
            </v:group>
            <v:group style="position:absolute;left:3219;top:439;width:10;height:20" coordorigin="3219,439" coordsize="10,20">
              <v:shape style="position:absolute;left:3219;top:439;width:10;height:20" coordorigin="3219,439" coordsize="10,20" path="m3219,458l3229,458,3229,439,3219,439,3219,458xe" filled="true" fillcolor="#000000" stroked="false">
                <v:path arrowok="t"/>
                <v:fill type="solid"/>
              </v:shape>
            </v:group>
            <v:group style="position:absolute;left:3219;top:458;width:10;height:20" coordorigin="3219,458" coordsize="10,20">
              <v:shape style="position:absolute;left:3219;top:458;width:10;height:20" coordorigin="3219,458" coordsize="10,20" path="m3219,478l3229,478,3229,458,3219,458,3219,478xe" filled="true" fillcolor="#000000" stroked="false">
                <v:path arrowok="t"/>
                <v:fill type="solid"/>
              </v:shape>
            </v:group>
            <v:group style="position:absolute;left:3219;top:478;width:10;height:20" coordorigin="3219,478" coordsize="10,20">
              <v:shape style="position:absolute;left:3219;top:478;width:10;height:20" coordorigin="3219,478" coordsize="10,20" path="m3219,497l3229,497,3229,478,3219,478,3219,497xe" filled="true" fillcolor="#000000" stroked="false">
                <v:path arrowok="t"/>
                <v:fill type="solid"/>
              </v:shape>
            </v:group>
            <v:group style="position:absolute;left:3219;top:497;width:10;height:20" coordorigin="3219,497" coordsize="10,20">
              <v:shape style="position:absolute;left:3219;top:497;width:10;height:20" coordorigin="3219,497" coordsize="10,20" path="m3219,516l3229,516,3229,497,3219,497,3219,516xe" filled="true" fillcolor="#000000" stroked="false">
                <v:path arrowok="t"/>
                <v:fill type="solid"/>
              </v:shape>
            </v:group>
            <v:group style="position:absolute;left:3219;top:516;width:10;height:20" coordorigin="3219,516" coordsize="10,20">
              <v:shape style="position:absolute;left:3219;top:516;width:10;height:20" coordorigin="3219,516" coordsize="10,20" path="m3219,535l3229,535,3229,516,3219,516,3219,535xe" filled="true" fillcolor="#000000" stroked="false">
                <v:path arrowok="t"/>
                <v:fill type="solid"/>
              </v:shape>
            </v:group>
            <v:group style="position:absolute;left:3219;top:535;width:10;height:20" coordorigin="3219,535" coordsize="10,20">
              <v:shape style="position:absolute;left:3219;top:535;width:10;height:20" coordorigin="3219,535" coordsize="10,20" path="m3219,554l3229,554,3229,535,3219,535,3219,554xe" filled="true" fillcolor="#000000" stroked="false">
                <v:path arrowok="t"/>
                <v:fill type="solid"/>
              </v:shape>
            </v:group>
            <v:group style="position:absolute;left:3219;top:554;width:10;height:20" coordorigin="3219,554" coordsize="10,20">
              <v:shape style="position:absolute;left:3219;top:554;width:10;height:20" coordorigin="3219,554" coordsize="10,20" path="m3219,574l3229,574,3229,554,3219,554,3219,574xe" filled="true" fillcolor="#000000" stroked="false">
                <v:path arrowok="t"/>
                <v:fill type="solid"/>
              </v:shape>
            </v:group>
            <v:group style="position:absolute;left:3219;top:574;width:10;height:20" coordorigin="3219,574" coordsize="10,20">
              <v:shape style="position:absolute;left:3219;top:574;width:10;height:20" coordorigin="3219,574" coordsize="10,20" path="m3219,593l3229,593,3229,574,3219,574,3219,593xe" filled="true" fillcolor="#000000" stroked="false">
                <v:path arrowok="t"/>
                <v:fill type="solid"/>
              </v:shape>
            </v:group>
            <v:group style="position:absolute;left:3219;top:593;width:10;height:20" coordorigin="3219,593" coordsize="10,20">
              <v:shape style="position:absolute;left:3219;top:593;width:10;height:20" coordorigin="3219,593" coordsize="10,20" path="m3219,612l3229,612,3229,593,3219,593,3219,612xe" filled="true" fillcolor="#000000" stroked="false">
                <v:path arrowok="t"/>
                <v:fill type="solid"/>
              </v:shape>
            </v:group>
            <v:group style="position:absolute;left:3219;top:612;width:10;height:20" coordorigin="3219,612" coordsize="10,20">
              <v:shape style="position:absolute;left:3219;top:612;width:10;height:20" coordorigin="3219,612" coordsize="10,20" path="m3219,631l3229,631,3229,612,3219,612,3219,631xe" filled="true" fillcolor="#000000" stroked="false">
                <v:path arrowok="t"/>
                <v:fill type="solid"/>
              </v:shape>
            </v:group>
            <v:group style="position:absolute;left:3219;top:631;width:10;height:20" coordorigin="3219,631" coordsize="10,20">
              <v:shape style="position:absolute;left:3219;top:631;width:10;height:20" coordorigin="3219,631" coordsize="10,20" path="m3219,650l3229,650,3229,631,3219,631,3219,650xe" filled="true" fillcolor="#000000" stroked="false">
                <v:path arrowok="t"/>
                <v:fill type="solid"/>
              </v:shape>
            </v:group>
            <v:group style="position:absolute;left:3219;top:650;width:10;height:20" coordorigin="3219,650" coordsize="10,20">
              <v:shape style="position:absolute;left:3219;top:650;width:10;height:20" coordorigin="3219,650" coordsize="10,20" path="m3219,670l3229,670,3229,650,3219,650,3219,670xe" filled="true" fillcolor="#000000" stroked="false">
                <v:path arrowok="t"/>
                <v:fill type="solid"/>
              </v:shape>
            </v:group>
            <v:group style="position:absolute;left:3219;top:670;width:10;height:20" coordorigin="3219,670" coordsize="10,20">
              <v:shape style="position:absolute;left:3219;top:670;width:10;height:20" coordorigin="3219,670" coordsize="10,20" path="m3219,689l3229,689,3229,670,3219,670,3219,689xe" filled="true" fillcolor="#000000" stroked="false">
                <v:path arrowok="t"/>
                <v:fill type="solid"/>
              </v:shape>
            </v:group>
            <v:group style="position:absolute;left:3219;top:689;width:10;height:20" coordorigin="3219,689" coordsize="10,20">
              <v:shape style="position:absolute;left:3219;top:689;width:10;height:20" coordorigin="3219,689" coordsize="10,20" path="m3219,708l3229,708,3229,689,3219,689,3219,708xe" filled="true" fillcolor="#000000" stroked="false">
                <v:path arrowok="t"/>
                <v:fill type="solid"/>
              </v:shape>
            </v:group>
            <v:group style="position:absolute;left:3219;top:708;width:10;height:20" coordorigin="3219,708" coordsize="10,20">
              <v:shape style="position:absolute;left:3219;top:708;width:10;height:20" coordorigin="3219,708" coordsize="10,20" path="m3219,727l3229,727,3229,708,3219,708,3219,727xe" filled="true" fillcolor="#000000" stroked="false">
                <v:path arrowok="t"/>
                <v:fill type="solid"/>
              </v:shape>
            </v:group>
            <v:group style="position:absolute;left:3219;top:733;width:10;height:2" coordorigin="3219,733" coordsize="10,2">
              <v:shape style="position:absolute;left:3219;top:733;width:10;height:2" coordorigin="3219,733" coordsize="10,0" path="m3219,733l3229,733e" filled="false" stroked="true" strokeweight=".599980pt" strokecolor="#000000">
                <v:path arrowok="t"/>
              </v:shape>
            </v:group>
            <v:group style="position:absolute;left:5372;top:401;width:10;height:20" coordorigin="5372,401" coordsize="10,20">
              <v:shape style="position:absolute;left:5372;top:401;width:10;height:20" coordorigin="5372,401" coordsize="10,20" path="m5372,420l5382,420,5382,401,5372,401,5372,420xe" filled="true" fillcolor="#000000" stroked="false">
                <v:path arrowok="t"/>
                <v:fill type="solid"/>
              </v:shape>
            </v:group>
            <v:group style="position:absolute;left:5372;top:420;width:10;height:20" coordorigin="5372,420" coordsize="10,20">
              <v:shape style="position:absolute;left:5372;top:420;width:10;height:20" coordorigin="5372,420" coordsize="10,20" path="m5372,439l5382,439,5382,420,5372,420,5372,439xe" filled="true" fillcolor="#000000" stroked="false">
                <v:path arrowok="t"/>
                <v:fill type="solid"/>
              </v:shape>
            </v:group>
            <v:group style="position:absolute;left:5372;top:439;width:10;height:20" coordorigin="5372,439" coordsize="10,20">
              <v:shape style="position:absolute;left:5372;top:439;width:10;height:20" coordorigin="5372,439" coordsize="10,20" path="m5372,458l5382,458,5382,439,5372,439,5372,458xe" filled="true" fillcolor="#000000" stroked="false">
                <v:path arrowok="t"/>
                <v:fill type="solid"/>
              </v:shape>
            </v:group>
            <v:group style="position:absolute;left:5372;top:458;width:10;height:20" coordorigin="5372,458" coordsize="10,20">
              <v:shape style="position:absolute;left:5372;top:458;width:10;height:20" coordorigin="5372,458" coordsize="10,20" path="m5372,478l5382,478,5382,458,5372,458,5372,478xe" filled="true" fillcolor="#000000" stroked="false">
                <v:path arrowok="t"/>
                <v:fill type="solid"/>
              </v:shape>
            </v:group>
            <v:group style="position:absolute;left:5372;top:478;width:10;height:20" coordorigin="5372,478" coordsize="10,20">
              <v:shape style="position:absolute;left:5372;top:478;width:10;height:20" coordorigin="5372,478" coordsize="10,20" path="m5372,497l5382,497,5382,478,5372,478,5372,497xe" filled="true" fillcolor="#000000" stroked="false">
                <v:path arrowok="t"/>
                <v:fill type="solid"/>
              </v:shape>
            </v:group>
            <v:group style="position:absolute;left:5372;top:497;width:10;height:20" coordorigin="5372,497" coordsize="10,20">
              <v:shape style="position:absolute;left:5372;top:497;width:10;height:20" coordorigin="5372,497" coordsize="10,20" path="m5372,516l5382,516,5382,497,5372,497,5372,516xe" filled="true" fillcolor="#000000" stroked="false">
                <v:path arrowok="t"/>
                <v:fill type="solid"/>
              </v:shape>
            </v:group>
            <v:group style="position:absolute;left:5372;top:516;width:10;height:20" coordorigin="5372,516" coordsize="10,20">
              <v:shape style="position:absolute;left:5372;top:516;width:10;height:20" coordorigin="5372,516" coordsize="10,20" path="m5372,535l5382,535,5382,516,5372,516,5372,535xe" filled="true" fillcolor="#000000" stroked="false">
                <v:path arrowok="t"/>
                <v:fill type="solid"/>
              </v:shape>
            </v:group>
            <v:group style="position:absolute;left:5372;top:535;width:10;height:20" coordorigin="5372,535" coordsize="10,20">
              <v:shape style="position:absolute;left:5372;top:535;width:10;height:20" coordorigin="5372,535" coordsize="10,20" path="m5372,554l5382,554,5382,535,5372,535,5372,554xe" filled="true" fillcolor="#000000" stroked="false">
                <v:path arrowok="t"/>
                <v:fill type="solid"/>
              </v:shape>
            </v:group>
            <v:group style="position:absolute;left:5372;top:554;width:10;height:20" coordorigin="5372,554" coordsize="10,20">
              <v:shape style="position:absolute;left:5372;top:554;width:10;height:20" coordorigin="5372,554" coordsize="10,20" path="m5372,574l5382,574,5382,554,5372,554,5372,574xe" filled="true" fillcolor="#000000" stroked="false">
                <v:path arrowok="t"/>
                <v:fill type="solid"/>
              </v:shape>
            </v:group>
            <v:group style="position:absolute;left:5372;top:574;width:10;height:20" coordorigin="5372,574" coordsize="10,20">
              <v:shape style="position:absolute;left:5372;top:574;width:10;height:20" coordorigin="5372,574" coordsize="10,20" path="m5372,593l5382,593,5382,574,5372,574,5372,593xe" filled="true" fillcolor="#000000" stroked="false">
                <v:path arrowok="t"/>
                <v:fill type="solid"/>
              </v:shape>
            </v:group>
            <v:group style="position:absolute;left:5372;top:593;width:10;height:20" coordorigin="5372,593" coordsize="10,20">
              <v:shape style="position:absolute;left:5372;top:593;width:10;height:20" coordorigin="5372,593" coordsize="10,20" path="m5372,612l5382,612,5382,593,5372,593,5372,612xe" filled="true" fillcolor="#000000" stroked="false">
                <v:path arrowok="t"/>
                <v:fill type="solid"/>
              </v:shape>
            </v:group>
            <v:group style="position:absolute;left:5372;top:612;width:10;height:20" coordorigin="5372,612" coordsize="10,20">
              <v:shape style="position:absolute;left:5372;top:612;width:10;height:20" coordorigin="5372,612" coordsize="10,20" path="m5372,631l5382,631,5382,612,5372,612,5372,631xe" filled="true" fillcolor="#000000" stroked="false">
                <v:path arrowok="t"/>
                <v:fill type="solid"/>
              </v:shape>
            </v:group>
            <v:group style="position:absolute;left:5372;top:631;width:10;height:20" coordorigin="5372,631" coordsize="10,20">
              <v:shape style="position:absolute;left:5372;top:631;width:10;height:20" coordorigin="5372,631" coordsize="10,20" path="m5372,650l5382,650,5382,631,5372,631,5372,650xe" filled="true" fillcolor="#000000" stroked="false">
                <v:path arrowok="t"/>
                <v:fill type="solid"/>
              </v:shape>
            </v:group>
            <v:group style="position:absolute;left:5372;top:650;width:10;height:20" coordorigin="5372,650" coordsize="10,20">
              <v:shape style="position:absolute;left:5372;top:650;width:10;height:20" coordorigin="5372,650" coordsize="10,20" path="m5372,670l5382,670,5382,650,5372,650,5372,670xe" filled="true" fillcolor="#000000" stroked="false">
                <v:path arrowok="t"/>
                <v:fill type="solid"/>
              </v:shape>
            </v:group>
            <v:group style="position:absolute;left:5372;top:670;width:10;height:20" coordorigin="5372,670" coordsize="10,20">
              <v:shape style="position:absolute;left:5372;top:670;width:10;height:20" coordorigin="5372,670" coordsize="10,20" path="m5372,689l5382,689,5382,670,5372,670,5372,689xe" filled="true" fillcolor="#000000" stroked="false">
                <v:path arrowok="t"/>
                <v:fill type="solid"/>
              </v:shape>
            </v:group>
            <v:group style="position:absolute;left:5372;top:689;width:10;height:20" coordorigin="5372,689" coordsize="10,20">
              <v:shape style="position:absolute;left:5372;top:689;width:10;height:20" coordorigin="5372,689" coordsize="10,20" path="m5372,708l5382,708,5382,689,5372,689,5372,708xe" filled="true" fillcolor="#000000" stroked="false">
                <v:path arrowok="t"/>
                <v:fill type="solid"/>
              </v:shape>
            </v:group>
            <v:group style="position:absolute;left:5372;top:708;width:10;height:20" coordorigin="5372,708" coordsize="10,20">
              <v:shape style="position:absolute;left:5372;top:708;width:10;height:20" coordorigin="5372,708" coordsize="10,20" path="m5372,727l5382,727,5382,708,5372,708,5372,727xe" filled="true" fillcolor="#000000" stroked="false">
                <v:path arrowok="t"/>
                <v:fill type="solid"/>
              </v:shape>
            </v:group>
            <v:group style="position:absolute;left:5372;top:733;width:10;height:2" coordorigin="5372,733" coordsize="10,2">
              <v:shape style="position:absolute;left:5372;top:733;width:10;height:2" coordorigin="5372,733" coordsize="10,0" path="m5372,733l5382,733e" filled="false" stroked="true" strokeweight=".599980pt" strokecolor="#000000">
                <v:path arrowok="t"/>
              </v:shape>
            </v:group>
            <v:group style="position:absolute;left:7528;top:401;width:10;height:20" coordorigin="7528,401" coordsize="10,20">
              <v:shape style="position:absolute;left:7528;top:401;width:10;height:20" coordorigin="7528,401" coordsize="10,20" path="m7528,420l7538,420,7538,401,7528,401,7528,420xe" filled="true" fillcolor="#000000" stroked="false">
                <v:path arrowok="t"/>
                <v:fill type="solid"/>
              </v:shape>
            </v:group>
            <v:group style="position:absolute;left:7528;top:420;width:10;height:20" coordorigin="7528,420" coordsize="10,20">
              <v:shape style="position:absolute;left:7528;top:420;width:10;height:20" coordorigin="7528,420" coordsize="10,20" path="m7528,439l7538,439,7538,420,7528,420,7528,439xe" filled="true" fillcolor="#000000" stroked="false">
                <v:path arrowok="t"/>
                <v:fill type="solid"/>
              </v:shape>
            </v:group>
            <v:group style="position:absolute;left:7528;top:439;width:10;height:20" coordorigin="7528,439" coordsize="10,20">
              <v:shape style="position:absolute;left:7528;top:439;width:10;height:20" coordorigin="7528,439" coordsize="10,20" path="m7528,458l7538,458,7538,439,7528,439,7528,458xe" filled="true" fillcolor="#000000" stroked="false">
                <v:path arrowok="t"/>
                <v:fill type="solid"/>
              </v:shape>
            </v:group>
            <v:group style="position:absolute;left:7528;top:458;width:10;height:20" coordorigin="7528,458" coordsize="10,20">
              <v:shape style="position:absolute;left:7528;top:458;width:10;height:20" coordorigin="7528,458" coordsize="10,20" path="m7528,478l7538,478,7538,458,7528,458,7528,478xe" filled="true" fillcolor="#000000" stroked="false">
                <v:path arrowok="t"/>
                <v:fill type="solid"/>
              </v:shape>
            </v:group>
            <v:group style="position:absolute;left:7528;top:478;width:10;height:20" coordorigin="7528,478" coordsize="10,20">
              <v:shape style="position:absolute;left:7528;top:478;width:10;height:20" coordorigin="7528,478" coordsize="10,20" path="m7528,497l7538,497,7538,478,7528,478,7528,497xe" filled="true" fillcolor="#000000" stroked="false">
                <v:path arrowok="t"/>
                <v:fill type="solid"/>
              </v:shape>
            </v:group>
            <v:group style="position:absolute;left:7528;top:497;width:10;height:20" coordorigin="7528,497" coordsize="10,20">
              <v:shape style="position:absolute;left:7528;top:497;width:10;height:20" coordorigin="7528,497" coordsize="10,20" path="m7528,516l7538,516,7538,497,7528,497,7528,516xe" filled="true" fillcolor="#000000" stroked="false">
                <v:path arrowok="t"/>
                <v:fill type="solid"/>
              </v:shape>
            </v:group>
            <v:group style="position:absolute;left:7528;top:516;width:10;height:20" coordorigin="7528,516" coordsize="10,20">
              <v:shape style="position:absolute;left:7528;top:516;width:10;height:20" coordorigin="7528,516" coordsize="10,20" path="m7528,535l7538,535,7538,516,7528,516,7528,535xe" filled="true" fillcolor="#000000" stroked="false">
                <v:path arrowok="t"/>
                <v:fill type="solid"/>
              </v:shape>
            </v:group>
            <v:group style="position:absolute;left:7528;top:535;width:10;height:20" coordorigin="7528,535" coordsize="10,20">
              <v:shape style="position:absolute;left:7528;top:535;width:10;height:20" coordorigin="7528,535" coordsize="10,20" path="m7528,554l7538,554,7538,535,7528,535,7528,554xe" filled="true" fillcolor="#000000" stroked="false">
                <v:path arrowok="t"/>
                <v:fill type="solid"/>
              </v:shape>
            </v:group>
            <v:group style="position:absolute;left:7528;top:554;width:10;height:20" coordorigin="7528,554" coordsize="10,20">
              <v:shape style="position:absolute;left:7528;top:554;width:10;height:20" coordorigin="7528,554" coordsize="10,20" path="m7528,574l7538,574,7538,554,7528,554,7528,574xe" filled="true" fillcolor="#000000" stroked="false">
                <v:path arrowok="t"/>
                <v:fill type="solid"/>
              </v:shape>
            </v:group>
            <v:group style="position:absolute;left:7528;top:574;width:10;height:20" coordorigin="7528,574" coordsize="10,20">
              <v:shape style="position:absolute;left:7528;top:574;width:10;height:20" coordorigin="7528,574" coordsize="10,20" path="m7528,593l7538,593,7538,574,7528,574,7528,593xe" filled="true" fillcolor="#000000" stroked="false">
                <v:path arrowok="t"/>
                <v:fill type="solid"/>
              </v:shape>
            </v:group>
            <v:group style="position:absolute;left:7528;top:593;width:10;height:20" coordorigin="7528,593" coordsize="10,20">
              <v:shape style="position:absolute;left:7528;top:593;width:10;height:20" coordorigin="7528,593" coordsize="10,20" path="m7528,612l7538,612,7538,593,7528,593,7528,612xe" filled="true" fillcolor="#000000" stroked="false">
                <v:path arrowok="t"/>
                <v:fill type="solid"/>
              </v:shape>
            </v:group>
            <v:group style="position:absolute;left:7528;top:612;width:10;height:20" coordorigin="7528,612" coordsize="10,20">
              <v:shape style="position:absolute;left:7528;top:612;width:10;height:20" coordorigin="7528,612" coordsize="10,20" path="m7528,631l7538,631,7538,612,7528,612,7528,631xe" filled="true" fillcolor="#000000" stroked="false">
                <v:path arrowok="t"/>
                <v:fill type="solid"/>
              </v:shape>
            </v:group>
            <v:group style="position:absolute;left:7528;top:631;width:10;height:20" coordorigin="7528,631" coordsize="10,20">
              <v:shape style="position:absolute;left:7528;top:631;width:10;height:20" coordorigin="7528,631" coordsize="10,20" path="m7528,650l7538,650,7538,631,7528,631,7528,650xe" filled="true" fillcolor="#000000" stroked="false">
                <v:path arrowok="t"/>
                <v:fill type="solid"/>
              </v:shape>
            </v:group>
            <v:group style="position:absolute;left:7528;top:650;width:10;height:20" coordorigin="7528,650" coordsize="10,20">
              <v:shape style="position:absolute;left:7528;top:650;width:10;height:20" coordorigin="7528,650" coordsize="10,20" path="m7528,670l7538,670,7538,650,7528,650,7528,670xe" filled="true" fillcolor="#000000" stroked="false">
                <v:path arrowok="t"/>
                <v:fill type="solid"/>
              </v:shape>
            </v:group>
            <v:group style="position:absolute;left:7528;top:670;width:10;height:20" coordorigin="7528,670" coordsize="10,20">
              <v:shape style="position:absolute;left:7528;top:670;width:10;height:20" coordorigin="7528,670" coordsize="10,20" path="m7528,689l7538,689,7538,670,7528,670,7528,689xe" filled="true" fillcolor="#000000" stroked="false">
                <v:path arrowok="t"/>
                <v:fill type="solid"/>
              </v:shape>
            </v:group>
            <v:group style="position:absolute;left:7528;top:689;width:10;height:20" coordorigin="7528,689" coordsize="10,20">
              <v:shape style="position:absolute;left:7528;top:689;width:10;height:20" coordorigin="7528,689" coordsize="10,20" path="m7528,708l7538,708,7538,689,7528,689,7528,708xe" filled="true" fillcolor="#000000" stroked="false">
                <v:path arrowok="t"/>
                <v:fill type="solid"/>
              </v:shape>
            </v:group>
            <v:group style="position:absolute;left:7528;top:708;width:10;height:20" coordorigin="7528,708" coordsize="10,20">
              <v:shape style="position:absolute;left:7528;top:708;width:10;height:20" coordorigin="7528,708" coordsize="10,20" path="m7528,727l7538,727,7538,708,7528,708,7528,727xe" filled="true" fillcolor="#000000" stroked="false">
                <v:path arrowok="t"/>
                <v:fill type="solid"/>
              </v:shape>
            </v:group>
            <v:group style="position:absolute;left:7528;top:733;width:10;height:2" coordorigin="7528,733" coordsize="10,2">
              <v:shape style="position:absolute;left:7528;top:733;width:10;height:2" coordorigin="7528,733" coordsize="10,0" path="m7528,733l7538,733e" filled="false" stroked="true" strokeweight=".599980pt" strokecolor="#000000">
                <v:path arrowok="t"/>
              </v:shape>
              <v:shape style="position:absolute;left:29;top:739;width:3190;height:10" type="#_x0000_t75" stroked="false">
                <v:imagedata r:id="rId92" o:title=""/>
              </v:shape>
              <v:shape style="position:absolute;left:3214;top:739;width:2158;height:10" type="#_x0000_t75" stroked="false">
                <v:imagedata r:id="rId93" o:title=""/>
              </v:shape>
              <v:shape style="position:absolute;left:5367;top:739;width:2161;height:10" type="#_x0000_t75" stroked="false">
                <v:imagedata r:id="rId94" o:title=""/>
              </v:shape>
              <v:shape style="position:absolute;left:7523;top:739;width:1555;height:10" type="#_x0000_t75" stroked="false">
                <v:imagedata r:id="rId95" o:title=""/>
              </v:shape>
            </v:group>
            <v:group style="position:absolute;left:3219;top:749;width:10;height:20" coordorigin="3219,749" coordsize="10,20">
              <v:shape style="position:absolute;left:3219;top:749;width:10;height:20" coordorigin="3219,749" coordsize="10,20" path="m3219,768l3229,768,3229,749,3219,749,3219,768xe" filled="true" fillcolor="#000000" stroked="false">
                <v:path arrowok="t"/>
                <v:fill type="solid"/>
              </v:shape>
            </v:group>
            <v:group style="position:absolute;left:3219;top:768;width:10;height:20" coordorigin="3219,768" coordsize="10,20">
              <v:shape style="position:absolute;left:3219;top:768;width:10;height:20" coordorigin="3219,768" coordsize="10,20" path="m3219,787l3229,787,3229,768,3219,768,3219,787xe" filled="true" fillcolor="#000000" stroked="false">
                <v:path arrowok="t"/>
                <v:fill type="solid"/>
              </v:shape>
            </v:group>
            <v:group style="position:absolute;left:3219;top:787;width:10;height:20" coordorigin="3219,787" coordsize="10,20">
              <v:shape style="position:absolute;left:3219;top:787;width:10;height:20" coordorigin="3219,787" coordsize="10,20" path="m3219,806l3229,806,3229,787,3219,787,3219,806xe" filled="true" fillcolor="#000000" stroked="false">
                <v:path arrowok="t"/>
                <v:fill type="solid"/>
              </v:shape>
            </v:group>
            <v:group style="position:absolute;left:3219;top:806;width:10;height:20" coordorigin="3219,806" coordsize="10,20">
              <v:shape style="position:absolute;left:3219;top:806;width:10;height:20" coordorigin="3219,806" coordsize="10,20" path="m3219,826l3229,826,3229,806,3219,806,3219,826xe" filled="true" fillcolor="#000000" stroked="false">
                <v:path arrowok="t"/>
                <v:fill type="solid"/>
              </v:shape>
            </v:group>
            <v:group style="position:absolute;left:3219;top:826;width:10;height:20" coordorigin="3219,826" coordsize="10,20">
              <v:shape style="position:absolute;left:3219;top:826;width:10;height:20" coordorigin="3219,826" coordsize="10,20" path="m3219,845l3229,845,3229,826,3219,826,3219,845xe" filled="true" fillcolor="#000000" stroked="false">
                <v:path arrowok="t"/>
                <v:fill type="solid"/>
              </v:shape>
            </v:group>
            <v:group style="position:absolute;left:3219;top:845;width:10;height:20" coordorigin="3219,845" coordsize="10,20">
              <v:shape style="position:absolute;left:3219;top:845;width:10;height:20" coordorigin="3219,845" coordsize="10,20" path="m3219,864l3229,864,3229,845,3219,845,3219,864xe" filled="true" fillcolor="#000000" stroked="false">
                <v:path arrowok="t"/>
                <v:fill type="solid"/>
              </v:shape>
            </v:group>
            <v:group style="position:absolute;left:3219;top:864;width:10;height:20" coordorigin="3219,864" coordsize="10,20">
              <v:shape style="position:absolute;left:3219;top:864;width:10;height:20" coordorigin="3219,864" coordsize="10,20" path="m3219,883l3229,883,3229,864,3219,864,3219,883xe" filled="true" fillcolor="#000000" stroked="false">
                <v:path arrowok="t"/>
                <v:fill type="solid"/>
              </v:shape>
            </v:group>
            <v:group style="position:absolute;left:3219;top:883;width:10;height:20" coordorigin="3219,883" coordsize="10,20">
              <v:shape style="position:absolute;left:3219;top:883;width:10;height:20" coordorigin="3219,883" coordsize="10,20" path="m3219,902l3229,902,3229,883,3219,883,3219,902xe" filled="true" fillcolor="#000000" stroked="false">
                <v:path arrowok="t"/>
                <v:fill type="solid"/>
              </v:shape>
            </v:group>
            <v:group style="position:absolute;left:3219;top:902;width:10;height:20" coordorigin="3219,902" coordsize="10,20">
              <v:shape style="position:absolute;left:3219;top:902;width:10;height:20" coordorigin="3219,902" coordsize="10,20" path="m3219,922l3229,922,3229,902,3219,902,3219,922xe" filled="true" fillcolor="#000000" stroked="false">
                <v:path arrowok="t"/>
                <v:fill type="solid"/>
              </v:shape>
            </v:group>
            <v:group style="position:absolute;left:3219;top:922;width:10;height:20" coordorigin="3219,922" coordsize="10,20">
              <v:shape style="position:absolute;left:3219;top:922;width:10;height:20" coordorigin="3219,922" coordsize="10,20" path="m3219,941l3229,941,3229,922,3219,922,3219,941xe" filled="true" fillcolor="#000000" stroked="false">
                <v:path arrowok="t"/>
                <v:fill type="solid"/>
              </v:shape>
            </v:group>
            <v:group style="position:absolute;left:3219;top:941;width:10;height:20" coordorigin="3219,941" coordsize="10,20">
              <v:shape style="position:absolute;left:3219;top:941;width:10;height:20" coordorigin="3219,941" coordsize="10,20" path="m3219,960l3229,960,3229,941,3219,941,3219,960xe" filled="true" fillcolor="#000000" stroked="false">
                <v:path arrowok="t"/>
                <v:fill type="solid"/>
              </v:shape>
            </v:group>
            <v:group style="position:absolute;left:3219;top:960;width:10;height:20" coordorigin="3219,960" coordsize="10,20">
              <v:shape style="position:absolute;left:3219;top:960;width:10;height:20" coordorigin="3219,960" coordsize="10,20" path="m3219,979l3229,979,3229,960,3219,960,3219,979xe" filled="true" fillcolor="#000000" stroked="false">
                <v:path arrowok="t"/>
                <v:fill type="solid"/>
              </v:shape>
            </v:group>
            <v:group style="position:absolute;left:3219;top:979;width:10;height:20" coordorigin="3219,979" coordsize="10,20">
              <v:shape style="position:absolute;left:3219;top:979;width:10;height:20" coordorigin="3219,979" coordsize="10,20" path="m3219,998l3229,998,3229,979,3219,979,3219,998xe" filled="true" fillcolor="#000000" stroked="false">
                <v:path arrowok="t"/>
                <v:fill type="solid"/>
              </v:shape>
            </v:group>
            <v:group style="position:absolute;left:5372;top:749;width:10;height:20" coordorigin="5372,749" coordsize="10,20">
              <v:shape style="position:absolute;left:5372;top:749;width:10;height:20" coordorigin="5372,749" coordsize="10,20" path="m5372,768l5382,768,5382,749,5372,749,5372,768xe" filled="true" fillcolor="#000000" stroked="false">
                <v:path arrowok="t"/>
                <v:fill type="solid"/>
              </v:shape>
            </v:group>
            <v:group style="position:absolute;left:5372;top:768;width:10;height:20" coordorigin="5372,768" coordsize="10,20">
              <v:shape style="position:absolute;left:5372;top:768;width:10;height:20" coordorigin="5372,768" coordsize="10,20" path="m5372,787l5382,787,5382,768,5372,768,5372,787xe" filled="true" fillcolor="#000000" stroked="false">
                <v:path arrowok="t"/>
                <v:fill type="solid"/>
              </v:shape>
            </v:group>
            <v:group style="position:absolute;left:5372;top:787;width:10;height:20" coordorigin="5372,787" coordsize="10,20">
              <v:shape style="position:absolute;left:5372;top:787;width:10;height:20" coordorigin="5372,787" coordsize="10,20" path="m5372,806l5382,806,5382,787,5372,787,5372,806xe" filled="true" fillcolor="#000000" stroked="false">
                <v:path arrowok="t"/>
                <v:fill type="solid"/>
              </v:shape>
            </v:group>
            <v:group style="position:absolute;left:5372;top:806;width:10;height:20" coordorigin="5372,806" coordsize="10,20">
              <v:shape style="position:absolute;left:5372;top:806;width:10;height:20" coordorigin="5372,806" coordsize="10,20" path="m5372,826l5382,826,5382,806,5372,806,5372,826xe" filled="true" fillcolor="#000000" stroked="false">
                <v:path arrowok="t"/>
                <v:fill type="solid"/>
              </v:shape>
            </v:group>
            <v:group style="position:absolute;left:5372;top:826;width:10;height:20" coordorigin="5372,826" coordsize="10,20">
              <v:shape style="position:absolute;left:5372;top:826;width:10;height:20" coordorigin="5372,826" coordsize="10,20" path="m5372,845l5382,845,5382,826,5372,826,5372,845xe" filled="true" fillcolor="#000000" stroked="false">
                <v:path arrowok="t"/>
                <v:fill type="solid"/>
              </v:shape>
            </v:group>
            <v:group style="position:absolute;left:5372;top:845;width:10;height:20" coordorigin="5372,845" coordsize="10,20">
              <v:shape style="position:absolute;left:5372;top:845;width:10;height:20" coordorigin="5372,845" coordsize="10,20" path="m5372,864l5382,864,5382,845,5372,845,5372,864xe" filled="true" fillcolor="#000000" stroked="false">
                <v:path arrowok="t"/>
                <v:fill type="solid"/>
              </v:shape>
            </v:group>
            <v:group style="position:absolute;left:5372;top:864;width:10;height:20" coordorigin="5372,864" coordsize="10,20">
              <v:shape style="position:absolute;left:5372;top:864;width:10;height:20" coordorigin="5372,864" coordsize="10,20" path="m5372,883l5382,883,5382,864,5372,864,5372,883xe" filled="true" fillcolor="#000000" stroked="false">
                <v:path arrowok="t"/>
                <v:fill type="solid"/>
              </v:shape>
            </v:group>
            <v:group style="position:absolute;left:5372;top:883;width:10;height:20" coordorigin="5372,883" coordsize="10,20">
              <v:shape style="position:absolute;left:5372;top:883;width:10;height:20" coordorigin="5372,883" coordsize="10,20" path="m5372,902l5382,902,5382,883,5372,883,5372,902xe" filled="true" fillcolor="#000000" stroked="false">
                <v:path arrowok="t"/>
                <v:fill type="solid"/>
              </v:shape>
            </v:group>
            <v:group style="position:absolute;left:5372;top:902;width:10;height:20" coordorigin="5372,902" coordsize="10,20">
              <v:shape style="position:absolute;left:5372;top:902;width:10;height:20" coordorigin="5372,902" coordsize="10,20" path="m5372,922l5382,922,5382,902,5372,902,5372,922xe" filled="true" fillcolor="#000000" stroked="false">
                <v:path arrowok="t"/>
                <v:fill type="solid"/>
              </v:shape>
            </v:group>
            <v:group style="position:absolute;left:5372;top:922;width:10;height:20" coordorigin="5372,922" coordsize="10,20">
              <v:shape style="position:absolute;left:5372;top:922;width:10;height:20" coordorigin="5372,922" coordsize="10,20" path="m5372,941l5382,941,5382,922,5372,922,5372,941xe" filled="true" fillcolor="#000000" stroked="false">
                <v:path arrowok="t"/>
                <v:fill type="solid"/>
              </v:shape>
            </v:group>
            <v:group style="position:absolute;left:5372;top:941;width:10;height:20" coordorigin="5372,941" coordsize="10,20">
              <v:shape style="position:absolute;left:5372;top:941;width:10;height:20" coordorigin="5372,941" coordsize="10,20" path="m5372,960l5382,960,5382,941,5372,941,5372,960xe" filled="true" fillcolor="#000000" stroked="false">
                <v:path arrowok="t"/>
                <v:fill type="solid"/>
              </v:shape>
            </v:group>
            <v:group style="position:absolute;left:5372;top:960;width:10;height:20" coordorigin="5372,960" coordsize="10,20">
              <v:shape style="position:absolute;left:5372;top:960;width:10;height:20" coordorigin="5372,960" coordsize="10,20" path="m5372,979l5382,979,5382,960,5372,960,5372,979xe" filled="true" fillcolor="#000000" stroked="false">
                <v:path arrowok="t"/>
                <v:fill type="solid"/>
              </v:shape>
            </v:group>
            <v:group style="position:absolute;left:5372;top:979;width:10;height:20" coordorigin="5372,979" coordsize="10,20">
              <v:shape style="position:absolute;left:5372;top:979;width:10;height:20" coordorigin="5372,979" coordsize="10,20" path="m5372,998l5382,998,5382,979,5372,979,5372,998xe" filled="true" fillcolor="#000000" stroked="false">
                <v:path arrowok="t"/>
                <v:fill type="solid"/>
              </v:shape>
            </v:group>
            <v:group style="position:absolute;left:5372;top:998;width:10;height:20" coordorigin="5372,998" coordsize="10,20">
              <v:shape style="position:absolute;left:5372;top:998;width:10;height:20" coordorigin="5372,998" coordsize="10,20" path="m5372,1018l5382,1018,5382,998,5372,998,5372,1018xe" filled="true" fillcolor="#000000" stroked="false">
                <v:path arrowok="t"/>
                <v:fill type="solid"/>
              </v:shape>
            </v:group>
            <v:group style="position:absolute;left:5372;top:1018;width:10;height:20" coordorigin="5372,1018" coordsize="10,20">
              <v:shape style="position:absolute;left:5372;top:1018;width:10;height:20" coordorigin="5372,1018" coordsize="10,20" path="m5372,1037l5382,1037,5382,1018,5372,1018,5372,1037xe" filled="true" fillcolor="#000000" stroked="false">
                <v:path arrowok="t"/>
                <v:fill type="solid"/>
              </v:shape>
            </v:group>
            <v:group style="position:absolute;left:5372;top:1037;width:10;height:20" coordorigin="5372,1037" coordsize="10,20">
              <v:shape style="position:absolute;left:5372;top:1037;width:10;height:20" coordorigin="5372,1037" coordsize="10,20" path="m5372,1056l5382,1056,5382,1037,5372,1037,5372,1056xe" filled="true" fillcolor="#000000" stroked="false">
                <v:path arrowok="t"/>
                <v:fill type="solid"/>
              </v:shape>
            </v:group>
            <v:group style="position:absolute;left:5372;top:1056;width:10;height:20" coordorigin="5372,1056" coordsize="10,20">
              <v:shape style="position:absolute;left:5372;top:1056;width:10;height:20" coordorigin="5372,1056" coordsize="10,20" path="m5372,1075l5382,1075,5382,1056,5372,1056,5372,1075xe" filled="true" fillcolor="#000000" stroked="false">
                <v:path arrowok="t"/>
                <v:fill type="solid"/>
              </v:shape>
            </v:group>
            <v:group style="position:absolute;left:5372;top:1082;width:10;height:2" coordorigin="5372,1082" coordsize="10,2">
              <v:shape style="position:absolute;left:5372;top:1082;width:10;height:2" coordorigin="5372,1082" coordsize="10,0" path="m5372,1082l5382,1082e" filled="false" stroked="true" strokeweight=".72003pt" strokecolor="#000000">
                <v:path arrowok="t"/>
              </v:shape>
            </v:group>
            <v:group style="position:absolute;left:7528;top:749;width:10;height:20" coordorigin="7528,749" coordsize="10,20">
              <v:shape style="position:absolute;left:7528;top:749;width:10;height:20" coordorigin="7528,749" coordsize="10,20" path="m7528,768l7538,768,7538,749,7528,749,7528,768xe" filled="true" fillcolor="#000000" stroked="false">
                <v:path arrowok="t"/>
                <v:fill type="solid"/>
              </v:shape>
            </v:group>
            <v:group style="position:absolute;left:7528;top:768;width:10;height:20" coordorigin="7528,768" coordsize="10,20">
              <v:shape style="position:absolute;left:7528;top:768;width:10;height:20" coordorigin="7528,768" coordsize="10,20" path="m7528,787l7538,787,7538,768,7528,768,7528,787xe" filled="true" fillcolor="#000000" stroked="false">
                <v:path arrowok="t"/>
                <v:fill type="solid"/>
              </v:shape>
            </v:group>
            <v:group style="position:absolute;left:7528;top:787;width:10;height:20" coordorigin="7528,787" coordsize="10,20">
              <v:shape style="position:absolute;left:7528;top:787;width:10;height:20" coordorigin="7528,787" coordsize="10,20" path="m7528,806l7538,806,7538,787,7528,787,7528,806xe" filled="true" fillcolor="#000000" stroked="false">
                <v:path arrowok="t"/>
                <v:fill type="solid"/>
              </v:shape>
            </v:group>
            <v:group style="position:absolute;left:7528;top:806;width:10;height:20" coordorigin="7528,806" coordsize="10,20">
              <v:shape style="position:absolute;left:7528;top:806;width:10;height:20" coordorigin="7528,806" coordsize="10,20" path="m7528,826l7538,826,7538,806,7528,806,7528,826xe" filled="true" fillcolor="#000000" stroked="false">
                <v:path arrowok="t"/>
                <v:fill type="solid"/>
              </v:shape>
            </v:group>
            <v:group style="position:absolute;left:7528;top:826;width:10;height:20" coordorigin="7528,826" coordsize="10,20">
              <v:shape style="position:absolute;left:7528;top:826;width:10;height:20" coordorigin="7528,826" coordsize="10,20" path="m7528,845l7538,845,7538,826,7528,826,7528,845xe" filled="true" fillcolor="#000000" stroked="false">
                <v:path arrowok="t"/>
                <v:fill type="solid"/>
              </v:shape>
            </v:group>
            <v:group style="position:absolute;left:7528;top:845;width:10;height:20" coordorigin="7528,845" coordsize="10,20">
              <v:shape style="position:absolute;left:7528;top:845;width:10;height:20" coordorigin="7528,845" coordsize="10,20" path="m7528,864l7538,864,7538,845,7528,845,7528,864xe" filled="true" fillcolor="#000000" stroked="false">
                <v:path arrowok="t"/>
                <v:fill type="solid"/>
              </v:shape>
            </v:group>
            <v:group style="position:absolute;left:7528;top:864;width:10;height:20" coordorigin="7528,864" coordsize="10,20">
              <v:shape style="position:absolute;left:7528;top:864;width:10;height:20" coordorigin="7528,864" coordsize="10,20" path="m7528,883l7538,883,7538,864,7528,864,7528,883xe" filled="true" fillcolor="#000000" stroked="false">
                <v:path arrowok="t"/>
                <v:fill type="solid"/>
              </v:shape>
            </v:group>
            <v:group style="position:absolute;left:7528;top:883;width:10;height:20" coordorigin="7528,883" coordsize="10,20">
              <v:shape style="position:absolute;left:7528;top:883;width:10;height:20" coordorigin="7528,883" coordsize="10,20" path="m7528,902l7538,902,7538,883,7528,883,7528,902xe" filled="true" fillcolor="#000000" stroked="false">
                <v:path arrowok="t"/>
                <v:fill type="solid"/>
              </v:shape>
            </v:group>
            <v:group style="position:absolute;left:7528;top:902;width:10;height:20" coordorigin="7528,902" coordsize="10,20">
              <v:shape style="position:absolute;left:7528;top:902;width:10;height:20" coordorigin="7528,902" coordsize="10,20" path="m7528,922l7538,922,7538,902,7528,902,7528,922xe" filled="true" fillcolor="#000000" stroked="false">
                <v:path arrowok="t"/>
                <v:fill type="solid"/>
              </v:shape>
            </v:group>
            <v:group style="position:absolute;left:7528;top:922;width:10;height:20" coordorigin="7528,922" coordsize="10,20">
              <v:shape style="position:absolute;left:7528;top:922;width:10;height:20" coordorigin="7528,922" coordsize="10,20" path="m7528,941l7538,941,7538,922,7528,922,7528,941xe" filled="true" fillcolor="#000000" stroked="false">
                <v:path arrowok="t"/>
                <v:fill type="solid"/>
              </v:shape>
            </v:group>
            <v:group style="position:absolute;left:7528;top:941;width:10;height:20" coordorigin="7528,941" coordsize="10,20">
              <v:shape style="position:absolute;left:7528;top:941;width:10;height:20" coordorigin="7528,941" coordsize="10,20" path="m7528,960l7538,960,7538,941,7528,941,7528,960xe" filled="true" fillcolor="#000000" stroked="false">
                <v:path arrowok="t"/>
                <v:fill type="solid"/>
              </v:shape>
            </v:group>
            <v:group style="position:absolute;left:7528;top:960;width:10;height:20" coordorigin="7528,960" coordsize="10,20">
              <v:shape style="position:absolute;left:7528;top:960;width:10;height:20" coordorigin="7528,960" coordsize="10,20" path="m7528,979l7538,979,7538,960,7528,960,7528,979xe" filled="true" fillcolor="#000000" stroked="false">
                <v:path arrowok="t"/>
                <v:fill type="solid"/>
              </v:shape>
            </v:group>
            <v:group style="position:absolute;left:7528;top:979;width:10;height:20" coordorigin="7528,979" coordsize="10,20">
              <v:shape style="position:absolute;left:7528;top:979;width:10;height:20" coordorigin="7528,979" coordsize="10,20" path="m7528,998l7538,998,7538,979,7528,979,7528,998xe" filled="true" fillcolor="#000000" stroked="false">
                <v:path arrowok="t"/>
                <v:fill type="solid"/>
              </v:shape>
            </v:group>
            <v:group style="position:absolute;left:7528;top:998;width:10;height:20" coordorigin="7528,998" coordsize="10,20">
              <v:shape style="position:absolute;left:7528;top:998;width:10;height:20" coordorigin="7528,998" coordsize="10,20" path="m7528,1018l7538,1018,7538,998,7528,998,7528,1018xe" filled="true" fillcolor="#000000" stroked="false">
                <v:path arrowok="t"/>
                <v:fill type="solid"/>
              </v:shape>
            </v:group>
            <v:group style="position:absolute;left:7528;top:1018;width:10;height:20" coordorigin="7528,1018" coordsize="10,20">
              <v:shape style="position:absolute;left:7528;top:1018;width:10;height:20" coordorigin="7528,1018" coordsize="10,20" path="m7528,1037l7538,1037,7538,1018,7528,1018,7528,1037xe" filled="true" fillcolor="#000000" stroked="false">
                <v:path arrowok="t"/>
                <v:fill type="solid"/>
              </v:shape>
            </v:group>
            <v:group style="position:absolute;left:7528;top:1037;width:10;height:20" coordorigin="7528,1037" coordsize="10,20">
              <v:shape style="position:absolute;left:7528;top:1037;width:10;height:20" coordorigin="7528,1037" coordsize="10,20" path="m7528,1056l7538,1056,7538,1037,7528,1037,7528,1056xe" filled="true" fillcolor="#000000" stroked="false">
                <v:path arrowok="t"/>
                <v:fill type="solid"/>
              </v:shape>
            </v:group>
            <v:group style="position:absolute;left:7528;top:1056;width:10;height:20" coordorigin="7528,1056" coordsize="10,20">
              <v:shape style="position:absolute;left:7528;top:1056;width:10;height:20" coordorigin="7528,1056" coordsize="10,20" path="m7528,1075l7538,1075,7538,1056,7528,1056,7528,1075xe" filled="true" fillcolor="#000000" stroked="false">
                <v:path arrowok="t"/>
                <v:fill type="solid"/>
              </v:shape>
            </v:group>
            <v:group style="position:absolute;left:7528;top:1082;width:10;height:2" coordorigin="7528,1082" coordsize="10,2">
              <v:shape style="position:absolute;left:7528;top:1082;width:10;height:2" coordorigin="7528,1082" coordsize="10,0" path="m7528,1082l7538,1082e" filled="false" stroked="true" strokeweight=".72003pt" strokecolor="#000000">
                <v:path arrowok="t"/>
              </v:shape>
              <v:shape style="position:absolute;left:29;top:998;width:3209;height:101" type="#_x0000_t75" stroked="false">
                <v:imagedata r:id="rId96" o:title=""/>
              </v:shape>
              <v:shape style="position:absolute;left:3214;top:1090;width:2158;height:10" type="#_x0000_t75" stroked="false">
                <v:imagedata r:id="rId97" o:title=""/>
              </v:shape>
              <v:shape style="position:absolute;left:5367;top:1090;width:2161;height:10" type="#_x0000_t75" stroked="false">
                <v:imagedata r:id="rId98" o:title=""/>
              </v:shape>
              <v:shape style="position:absolute;left:7523;top:1090;width:1555;height:10" type="#_x0000_t75" stroked="false">
                <v:imagedata r:id="rId99" o:title=""/>
              </v:shape>
            </v:group>
            <v:group style="position:absolute;left:3219;top:1099;width:10;height:20" coordorigin="3219,1099" coordsize="10,20">
              <v:shape style="position:absolute;left:3219;top:1099;width:10;height:20" coordorigin="3219,1099" coordsize="10,20" path="m3219,1118l3229,1118,3229,1099,3219,1099,3219,1118xe" filled="true" fillcolor="#000000" stroked="false">
                <v:path arrowok="t"/>
                <v:fill type="solid"/>
              </v:shape>
            </v:group>
            <v:group style="position:absolute;left:3219;top:1118;width:10;height:20" coordorigin="3219,1118" coordsize="10,20">
              <v:shape style="position:absolute;left:3219;top:1118;width:10;height:20" coordorigin="3219,1118" coordsize="10,20" path="m3219,1138l3229,1138,3229,1118,3219,1118,3219,1138xe" filled="true" fillcolor="#000000" stroked="false">
                <v:path arrowok="t"/>
                <v:fill type="solid"/>
              </v:shape>
            </v:group>
            <v:group style="position:absolute;left:3219;top:1138;width:10;height:20" coordorigin="3219,1138" coordsize="10,20">
              <v:shape style="position:absolute;left:3219;top:1138;width:10;height:20" coordorigin="3219,1138" coordsize="10,20" path="m3219,1157l3229,1157,3229,1138,3219,1138,3219,1157xe" filled="true" fillcolor="#000000" stroked="false">
                <v:path arrowok="t"/>
                <v:fill type="solid"/>
              </v:shape>
            </v:group>
            <v:group style="position:absolute;left:3219;top:1157;width:10;height:20" coordorigin="3219,1157" coordsize="10,20">
              <v:shape style="position:absolute;left:3219;top:1157;width:10;height:20" coordorigin="3219,1157" coordsize="10,20" path="m3219,1176l3229,1176,3229,1157,3219,1157,3219,1176xe" filled="true" fillcolor="#000000" stroked="false">
                <v:path arrowok="t"/>
                <v:fill type="solid"/>
              </v:shape>
            </v:group>
            <v:group style="position:absolute;left:3219;top:1176;width:10;height:20" coordorigin="3219,1176" coordsize="10,20">
              <v:shape style="position:absolute;left:3219;top:1176;width:10;height:20" coordorigin="3219,1176" coordsize="10,20" path="m3219,1195l3229,1195,3229,1176,3219,1176,3219,1195xe" filled="true" fillcolor="#000000" stroked="false">
                <v:path arrowok="t"/>
                <v:fill type="solid"/>
              </v:shape>
            </v:group>
            <v:group style="position:absolute;left:3219;top:1195;width:10;height:20" coordorigin="3219,1195" coordsize="10,20">
              <v:shape style="position:absolute;left:3219;top:1195;width:10;height:20" coordorigin="3219,1195" coordsize="10,20" path="m3219,1214l3229,1214,3229,1195,3219,1195,3219,1214xe" filled="true" fillcolor="#000000" stroked="false">
                <v:path arrowok="t"/>
                <v:fill type="solid"/>
              </v:shape>
            </v:group>
            <v:group style="position:absolute;left:3219;top:1214;width:10;height:20" coordorigin="3219,1214" coordsize="10,20">
              <v:shape style="position:absolute;left:3219;top:1214;width:10;height:20" coordorigin="3219,1214" coordsize="10,20" path="m3219,1234l3229,1234,3229,1214,3219,1214,3219,1234xe" filled="true" fillcolor="#000000" stroked="false">
                <v:path arrowok="t"/>
                <v:fill type="solid"/>
              </v:shape>
            </v:group>
            <v:group style="position:absolute;left:3219;top:1234;width:10;height:20" coordorigin="3219,1234" coordsize="10,20">
              <v:shape style="position:absolute;left:3219;top:1234;width:10;height:20" coordorigin="3219,1234" coordsize="10,20" path="m3219,1253l3229,1253,3229,1234,3219,1234,3219,1253xe" filled="true" fillcolor="#000000" stroked="false">
                <v:path arrowok="t"/>
                <v:fill type="solid"/>
              </v:shape>
            </v:group>
            <v:group style="position:absolute;left:3219;top:1253;width:10;height:20" coordorigin="3219,1253" coordsize="10,20">
              <v:shape style="position:absolute;left:3219;top:1253;width:10;height:20" coordorigin="3219,1253" coordsize="10,20" path="m3219,1272l3229,1272,3229,1253,3219,1253,3219,1272xe" filled="true" fillcolor="#000000" stroked="false">
                <v:path arrowok="t"/>
                <v:fill type="solid"/>
              </v:shape>
            </v:group>
            <v:group style="position:absolute;left:3219;top:1272;width:10;height:20" coordorigin="3219,1272" coordsize="10,20">
              <v:shape style="position:absolute;left:3219;top:1272;width:10;height:20" coordorigin="3219,1272" coordsize="10,20" path="m3219,1291l3229,1291,3229,1272,3219,1272,3219,1291xe" filled="true" fillcolor="#000000" stroked="false">
                <v:path arrowok="t"/>
                <v:fill type="solid"/>
              </v:shape>
            </v:group>
            <v:group style="position:absolute;left:3219;top:1291;width:10;height:20" coordorigin="3219,1291" coordsize="10,20">
              <v:shape style="position:absolute;left:3219;top:1291;width:10;height:20" coordorigin="3219,1291" coordsize="10,20" path="m3219,1310l3229,1310,3229,1291,3219,1291,3219,1310xe" filled="true" fillcolor="#000000" stroked="false">
                <v:path arrowok="t"/>
                <v:fill type="solid"/>
              </v:shape>
            </v:group>
            <v:group style="position:absolute;left:3219;top:1310;width:10;height:20" coordorigin="3219,1310" coordsize="10,20">
              <v:shape style="position:absolute;left:3219;top:1310;width:10;height:20" coordorigin="3219,1310" coordsize="10,20" path="m3219,1330l3229,1330,3229,1310,3219,1310,3219,1330xe" filled="true" fillcolor="#000000" stroked="false">
                <v:path arrowok="t"/>
                <v:fill type="solid"/>
              </v:shape>
            </v:group>
            <v:group style="position:absolute;left:3219;top:1330;width:10;height:20" coordorigin="3219,1330" coordsize="10,20">
              <v:shape style="position:absolute;left:3219;top:1330;width:10;height:20" coordorigin="3219,1330" coordsize="10,20" path="m3219,1349l3229,1349,3229,1330,3219,1330,3219,1349xe" filled="true" fillcolor="#000000" stroked="false">
                <v:path arrowok="t"/>
                <v:fill type="solid"/>
              </v:shape>
            </v:group>
            <v:group style="position:absolute;left:5372;top:1099;width:10;height:20" coordorigin="5372,1099" coordsize="10,20">
              <v:shape style="position:absolute;left:5372;top:1099;width:10;height:20" coordorigin="5372,1099" coordsize="10,20" path="m5372,1118l5382,1118,5382,1099,5372,1099,5372,1118xe" filled="true" fillcolor="#000000" stroked="false">
                <v:path arrowok="t"/>
                <v:fill type="solid"/>
              </v:shape>
            </v:group>
            <v:group style="position:absolute;left:5372;top:1118;width:10;height:20" coordorigin="5372,1118" coordsize="10,20">
              <v:shape style="position:absolute;left:5372;top:1118;width:10;height:20" coordorigin="5372,1118" coordsize="10,20" path="m5372,1138l5382,1138,5382,1118,5372,1118,5372,1138xe" filled="true" fillcolor="#000000" stroked="false">
                <v:path arrowok="t"/>
                <v:fill type="solid"/>
              </v:shape>
            </v:group>
            <v:group style="position:absolute;left:5372;top:1138;width:10;height:20" coordorigin="5372,1138" coordsize="10,20">
              <v:shape style="position:absolute;left:5372;top:1138;width:10;height:20" coordorigin="5372,1138" coordsize="10,20" path="m5372,1157l5382,1157,5382,1138,5372,1138,5372,1157xe" filled="true" fillcolor="#000000" stroked="false">
                <v:path arrowok="t"/>
                <v:fill type="solid"/>
              </v:shape>
            </v:group>
            <v:group style="position:absolute;left:5372;top:1157;width:10;height:20" coordorigin="5372,1157" coordsize="10,20">
              <v:shape style="position:absolute;left:5372;top:1157;width:10;height:20" coordorigin="5372,1157" coordsize="10,20" path="m5372,1176l5382,1176,5382,1157,5372,1157,5372,1176xe" filled="true" fillcolor="#000000" stroked="false">
                <v:path arrowok="t"/>
                <v:fill type="solid"/>
              </v:shape>
            </v:group>
            <v:group style="position:absolute;left:5372;top:1176;width:10;height:20" coordorigin="5372,1176" coordsize="10,20">
              <v:shape style="position:absolute;left:5372;top:1176;width:10;height:20" coordorigin="5372,1176" coordsize="10,20" path="m5372,1195l5382,1195,5382,1176,5372,1176,5372,1195xe" filled="true" fillcolor="#000000" stroked="false">
                <v:path arrowok="t"/>
                <v:fill type="solid"/>
              </v:shape>
            </v:group>
            <v:group style="position:absolute;left:5372;top:1195;width:10;height:20" coordorigin="5372,1195" coordsize="10,20">
              <v:shape style="position:absolute;left:5372;top:1195;width:10;height:20" coordorigin="5372,1195" coordsize="10,20" path="m5372,1214l5382,1214,5382,1195,5372,1195,5372,1214xe" filled="true" fillcolor="#000000" stroked="false">
                <v:path arrowok="t"/>
                <v:fill type="solid"/>
              </v:shape>
            </v:group>
            <v:group style="position:absolute;left:5372;top:1214;width:10;height:20" coordorigin="5372,1214" coordsize="10,20">
              <v:shape style="position:absolute;left:5372;top:1214;width:10;height:20" coordorigin="5372,1214" coordsize="10,20" path="m5372,1234l5382,1234,5382,1214,5372,1214,5372,1234xe" filled="true" fillcolor="#000000" stroked="false">
                <v:path arrowok="t"/>
                <v:fill type="solid"/>
              </v:shape>
            </v:group>
            <v:group style="position:absolute;left:5372;top:1234;width:10;height:20" coordorigin="5372,1234" coordsize="10,20">
              <v:shape style="position:absolute;left:5372;top:1234;width:10;height:20" coordorigin="5372,1234" coordsize="10,20" path="m5372,1253l5382,1253,5382,1234,5372,1234,5372,1253xe" filled="true" fillcolor="#000000" stroked="false">
                <v:path arrowok="t"/>
                <v:fill type="solid"/>
              </v:shape>
            </v:group>
            <v:group style="position:absolute;left:5372;top:1253;width:10;height:20" coordorigin="5372,1253" coordsize="10,20">
              <v:shape style="position:absolute;left:5372;top:1253;width:10;height:20" coordorigin="5372,1253" coordsize="10,20" path="m5372,1272l5382,1272,5382,1253,5372,1253,5372,1272xe" filled="true" fillcolor="#000000" stroked="false">
                <v:path arrowok="t"/>
                <v:fill type="solid"/>
              </v:shape>
            </v:group>
            <v:group style="position:absolute;left:5372;top:1272;width:10;height:20" coordorigin="5372,1272" coordsize="10,20">
              <v:shape style="position:absolute;left:5372;top:1272;width:10;height:20" coordorigin="5372,1272" coordsize="10,20" path="m5372,1291l5382,1291,5382,1272,5372,1272,5372,1291xe" filled="true" fillcolor="#000000" stroked="false">
                <v:path arrowok="t"/>
                <v:fill type="solid"/>
              </v:shape>
            </v:group>
            <v:group style="position:absolute;left:5372;top:1291;width:10;height:20" coordorigin="5372,1291" coordsize="10,20">
              <v:shape style="position:absolute;left:5372;top:1291;width:10;height:20" coordorigin="5372,1291" coordsize="10,20" path="m5372,1310l5382,1310,5382,1291,5372,1291,5372,1310xe" filled="true" fillcolor="#000000" stroked="false">
                <v:path arrowok="t"/>
                <v:fill type="solid"/>
              </v:shape>
            </v:group>
            <v:group style="position:absolute;left:5372;top:1310;width:10;height:20" coordorigin="5372,1310" coordsize="10,20">
              <v:shape style="position:absolute;left:5372;top:1310;width:10;height:20" coordorigin="5372,1310" coordsize="10,20" path="m5372,1330l5382,1330,5382,1310,5372,1310,5372,1330xe" filled="true" fillcolor="#000000" stroked="false">
                <v:path arrowok="t"/>
                <v:fill type="solid"/>
              </v:shape>
            </v:group>
            <v:group style="position:absolute;left:5372;top:1330;width:10;height:20" coordorigin="5372,1330" coordsize="10,20">
              <v:shape style="position:absolute;left:5372;top:1330;width:10;height:20" coordorigin="5372,1330" coordsize="10,20" path="m5372,1349l5382,1349,5382,1330,5372,1330,5372,1349xe" filled="true" fillcolor="#000000" stroked="false">
                <v:path arrowok="t"/>
                <v:fill type="solid"/>
              </v:shape>
            </v:group>
            <v:group style="position:absolute;left:5372;top:1349;width:10;height:20" coordorigin="5372,1349" coordsize="10,20">
              <v:shape style="position:absolute;left:5372;top:1349;width:10;height:20" coordorigin="5372,1349" coordsize="10,20" path="m5372,1368l5382,1368,5382,1349,5372,1349,5372,1368xe" filled="true" fillcolor="#000000" stroked="false">
                <v:path arrowok="t"/>
                <v:fill type="solid"/>
              </v:shape>
            </v:group>
            <v:group style="position:absolute;left:5372;top:1368;width:10;height:20" coordorigin="5372,1368" coordsize="10,20">
              <v:shape style="position:absolute;left:5372;top:1368;width:10;height:20" coordorigin="5372,1368" coordsize="10,20" path="m5372,1387l5382,1387,5382,1368,5372,1368,5372,1387xe" filled="true" fillcolor="#000000" stroked="false">
                <v:path arrowok="t"/>
                <v:fill type="solid"/>
              </v:shape>
            </v:group>
            <v:group style="position:absolute;left:5372;top:1387;width:10;height:20" coordorigin="5372,1387" coordsize="10,20">
              <v:shape style="position:absolute;left:5372;top:1387;width:10;height:20" coordorigin="5372,1387" coordsize="10,20" path="m5372,1406l5382,1406,5382,1387,5372,1387,5372,1406xe" filled="true" fillcolor="#000000" stroked="false">
                <v:path arrowok="t"/>
                <v:fill type="solid"/>
              </v:shape>
            </v:group>
            <v:group style="position:absolute;left:5372;top:1406;width:10;height:20" coordorigin="5372,1406" coordsize="10,20">
              <v:shape style="position:absolute;left:5372;top:1406;width:10;height:20" coordorigin="5372,1406" coordsize="10,20" path="m5372,1426l5382,1426,5382,1406,5372,1406,5372,1426xe" filled="true" fillcolor="#000000" stroked="false">
                <v:path arrowok="t"/>
                <v:fill type="solid"/>
              </v:shape>
            </v:group>
            <v:group style="position:absolute;left:5372;top:1433;width:10;height:2" coordorigin="5372,1433" coordsize="10,2">
              <v:shape style="position:absolute;left:5372;top:1433;width:10;height:2" coordorigin="5372,1433" coordsize="10,0" path="m5372,1433l5382,1433e" filled="false" stroked="true" strokeweight=".72003pt" strokecolor="#000000">
                <v:path arrowok="t"/>
              </v:shape>
            </v:group>
            <v:group style="position:absolute;left:7528;top:1099;width:10;height:20" coordorigin="7528,1099" coordsize="10,20">
              <v:shape style="position:absolute;left:7528;top:1099;width:10;height:20" coordorigin="7528,1099" coordsize="10,20" path="m7528,1118l7538,1118,7538,1099,7528,1099,7528,1118xe" filled="true" fillcolor="#000000" stroked="false">
                <v:path arrowok="t"/>
                <v:fill type="solid"/>
              </v:shape>
            </v:group>
            <v:group style="position:absolute;left:7528;top:1118;width:10;height:20" coordorigin="7528,1118" coordsize="10,20">
              <v:shape style="position:absolute;left:7528;top:1118;width:10;height:20" coordorigin="7528,1118" coordsize="10,20" path="m7528,1138l7538,1138,7538,1118,7528,1118,7528,1138xe" filled="true" fillcolor="#000000" stroked="false">
                <v:path arrowok="t"/>
                <v:fill type="solid"/>
              </v:shape>
            </v:group>
            <v:group style="position:absolute;left:7528;top:1138;width:10;height:20" coordorigin="7528,1138" coordsize="10,20">
              <v:shape style="position:absolute;left:7528;top:1138;width:10;height:20" coordorigin="7528,1138" coordsize="10,20" path="m7528,1157l7538,1157,7538,1138,7528,1138,7528,1157xe" filled="true" fillcolor="#000000" stroked="false">
                <v:path arrowok="t"/>
                <v:fill type="solid"/>
              </v:shape>
            </v:group>
            <v:group style="position:absolute;left:7528;top:1157;width:10;height:20" coordorigin="7528,1157" coordsize="10,20">
              <v:shape style="position:absolute;left:7528;top:1157;width:10;height:20" coordorigin="7528,1157" coordsize="10,20" path="m7528,1176l7538,1176,7538,1157,7528,1157,7528,1176xe" filled="true" fillcolor="#000000" stroked="false">
                <v:path arrowok="t"/>
                <v:fill type="solid"/>
              </v:shape>
            </v:group>
            <v:group style="position:absolute;left:7528;top:1176;width:10;height:20" coordorigin="7528,1176" coordsize="10,20">
              <v:shape style="position:absolute;left:7528;top:1176;width:10;height:20" coordorigin="7528,1176" coordsize="10,20" path="m7528,1195l7538,1195,7538,1176,7528,1176,7528,1195xe" filled="true" fillcolor="#000000" stroked="false">
                <v:path arrowok="t"/>
                <v:fill type="solid"/>
              </v:shape>
            </v:group>
            <v:group style="position:absolute;left:7528;top:1195;width:10;height:20" coordorigin="7528,1195" coordsize="10,20">
              <v:shape style="position:absolute;left:7528;top:1195;width:10;height:20" coordorigin="7528,1195" coordsize="10,20" path="m7528,1214l7538,1214,7538,1195,7528,1195,7528,1214xe" filled="true" fillcolor="#000000" stroked="false">
                <v:path arrowok="t"/>
                <v:fill type="solid"/>
              </v:shape>
            </v:group>
            <v:group style="position:absolute;left:7528;top:1214;width:10;height:20" coordorigin="7528,1214" coordsize="10,20">
              <v:shape style="position:absolute;left:7528;top:1214;width:10;height:20" coordorigin="7528,1214" coordsize="10,20" path="m7528,1234l7538,1234,7538,1214,7528,1214,7528,1234xe" filled="true" fillcolor="#000000" stroked="false">
                <v:path arrowok="t"/>
                <v:fill type="solid"/>
              </v:shape>
            </v:group>
            <v:group style="position:absolute;left:7528;top:1234;width:10;height:20" coordorigin="7528,1234" coordsize="10,20">
              <v:shape style="position:absolute;left:7528;top:1234;width:10;height:20" coordorigin="7528,1234" coordsize="10,20" path="m7528,1253l7538,1253,7538,1234,7528,1234,7528,1253xe" filled="true" fillcolor="#000000" stroked="false">
                <v:path arrowok="t"/>
                <v:fill type="solid"/>
              </v:shape>
            </v:group>
            <v:group style="position:absolute;left:7528;top:1253;width:10;height:20" coordorigin="7528,1253" coordsize="10,20">
              <v:shape style="position:absolute;left:7528;top:1253;width:10;height:20" coordorigin="7528,1253" coordsize="10,20" path="m7528,1272l7538,1272,7538,1253,7528,1253,7528,1272xe" filled="true" fillcolor="#000000" stroked="false">
                <v:path arrowok="t"/>
                <v:fill type="solid"/>
              </v:shape>
            </v:group>
            <v:group style="position:absolute;left:7528;top:1272;width:10;height:20" coordorigin="7528,1272" coordsize="10,20">
              <v:shape style="position:absolute;left:7528;top:1272;width:10;height:20" coordorigin="7528,1272" coordsize="10,20" path="m7528,1291l7538,1291,7538,1272,7528,1272,7528,1291xe" filled="true" fillcolor="#000000" stroked="false">
                <v:path arrowok="t"/>
                <v:fill type="solid"/>
              </v:shape>
            </v:group>
            <v:group style="position:absolute;left:7528;top:1291;width:10;height:20" coordorigin="7528,1291" coordsize="10,20">
              <v:shape style="position:absolute;left:7528;top:1291;width:10;height:20" coordorigin="7528,1291" coordsize="10,20" path="m7528,1310l7538,1310,7538,1291,7528,1291,7528,1310xe" filled="true" fillcolor="#000000" stroked="false">
                <v:path arrowok="t"/>
                <v:fill type="solid"/>
              </v:shape>
            </v:group>
            <v:group style="position:absolute;left:7528;top:1310;width:10;height:20" coordorigin="7528,1310" coordsize="10,20">
              <v:shape style="position:absolute;left:7528;top:1310;width:10;height:20" coordorigin="7528,1310" coordsize="10,20" path="m7528,1330l7538,1330,7538,1310,7528,1310,7528,1330xe" filled="true" fillcolor="#000000" stroked="false">
                <v:path arrowok="t"/>
                <v:fill type="solid"/>
              </v:shape>
            </v:group>
            <v:group style="position:absolute;left:7528;top:1330;width:10;height:20" coordorigin="7528,1330" coordsize="10,20">
              <v:shape style="position:absolute;left:7528;top:1330;width:10;height:20" coordorigin="7528,1330" coordsize="10,20" path="m7528,1349l7538,1349,7538,1330,7528,1330,7528,1349xe" filled="true" fillcolor="#000000" stroked="false">
                <v:path arrowok="t"/>
                <v:fill type="solid"/>
              </v:shape>
            </v:group>
            <v:group style="position:absolute;left:7528;top:1349;width:10;height:20" coordorigin="7528,1349" coordsize="10,20">
              <v:shape style="position:absolute;left:7528;top:1349;width:10;height:20" coordorigin="7528,1349" coordsize="10,20" path="m7528,1368l7538,1368,7538,1349,7528,1349,7528,1368xe" filled="true" fillcolor="#000000" stroked="false">
                <v:path arrowok="t"/>
                <v:fill type="solid"/>
              </v:shape>
            </v:group>
            <v:group style="position:absolute;left:7528;top:1368;width:10;height:20" coordorigin="7528,1368" coordsize="10,20">
              <v:shape style="position:absolute;left:7528;top:1368;width:10;height:20" coordorigin="7528,1368" coordsize="10,20" path="m7528,1387l7538,1387,7538,1368,7528,1368,7528,1387xe" filled="true" fillcolor="#000000" stroked="false">
                <v:path arrowok="t"/>
                <v:fill type="solid"/>
              </v:shape>
            </v:group>
            <v:group style="position:absolute;left:7528;top:1387;width:10;height:20" coordorigin="7528,1387" coordsize="10,20">
              <v:shape style="position:absolute;left:7528;top:1387;width:10;height:20" coordorigin="7528,1387" coordsize="10,20" path="m7528,1406l7538,1406,7538,1387,7528,1387,7528,1406xe" filled="true" fillcolor="#000000" stroked="false">
                <v:path arrowok="t"/>
                <v:fill type="solid"/>
              </v:shape>
            </v:group>
            <v:group style="position:absolute;left:7528;top:1406;width:10;height:20" coordorigin="7528,1406" coordsize="10,20">
              <v:shape style="position:absolute;left:7528;top:1406;width:10;height:20" coordorigin="7528,1406" coordsize="10,20" path="m7528,1426l7538,1426,7538,1406,7528,1406,7528,1426xe" filled="true" fillcolor="#000000" stroked="false">
                <v:path arrowok="t"/>
                <v:fill type="solid"/>
              </v:shape>
            </v:group>
            <v:group style="position:absolute;left:7528;top:1433;width:10;height:2" coordorigin="7528,1433" coordsize="10,2">
              <v:shape style="position:absolute;left:7528;top:1433;width:10;height:2" coordorigin="7528,1433" coordsize="10,0" path="m7528,1433l7538,1433e" filled="false" stroked="true" strokeweight=".72003pt" strokecolor="#000000">
                <v:path arrowok="t"/>
              </v:shape>
              <v:shape style="position:absolute;left:29;top:1349;width:3209;height:101" type="#_x0000_t75" stroked="false">
                <v:imagedata r:id="rId96" o:title=""/>
              </v:shape>
              <v:shape style="position:absolute;left:3214;top:1440;width:2158;height:10" type="#_x0000_t75" stroked="false">
                <v:imagedata r:id="rId97" o:title=""/>
              </v:shape>
              <v:shape style="position:absolute;left:5367;top:1440;width:2161;height:10" type="#_x0000_t75" stroked="false">
                <v:imagedata r:id="rId98" o:title=""/>
              </v:shape>
              <v:shape style="position:absolute;left:7523;top:1440;width:1555;height:10" type="#_x0000_t75" stroked="false">
                <v:imagedata r:id="rId99" o:title=""/>
              </v:shape>
            </v:group>
            <v:group style="position:absolute;left:3219;top:1450;width:10;height:20" coordorigin="3219,1450" coordsize="10,20">
              <v:shape style="position:absolute;left:3219;top:1450;width:10;height:20" coordorigin="3219,1450" coordsize="10,20" path="m3219,1469l3229,1469,3229,1450,3219,1450,3219,1469xe" filled="true" fillcolor="#000000" stroked="false">
                <v:path arrowok="t"/>
                <v:fill type="solid"/>
              </v:shape>
            </v:group>
            <v:group style="position:absolute;left:3219;top:1469;width:10;height:20" coordorigin="3219,1469" coordsize="10,20">
              <v:shape style="position:absolute;left:3219;top:1469;width:10;height:20" coordorigin="3219,1469" coordsize="10,20" path="m3219,1488l3229,1488,3229,1469,3219,1469,3219,1488xe" filled="true" fillcolor="#000000" stroked="false">
                <v:path arrowok="t"/>
                <v:fill type="solid"/>
              </v:shape>
            </v:group>
            <v:group style="position:absolute;left:3219;top:1488;width:10;height:20" coordorigin="3219,1488" coordsize="10,20">
              <v:shape style="position:absolute;left:3219;top:1488;width:10;height:20" coordorigin="3219,1488" coordsize="10,20" path="m3219,1507l3229,1507,3229,1488,3219,1488,3219,1507xe" filled="true" fillcolor="#000000" stroked="false">
                <v:path arrowok="t"/>
                <v:fill type="solid"/>
              </v:shape>
            </v:group>
            <v:group style="position:absolute;left:3219;top:1507;width:10;height:20" coordorigin="3219,1507" coordsize="10,20">
              <v:shape style="position:absolute;left:3219;top:1507;width:10;height:20" coordorigin="3219,1507" coordsize="10,20" path="m3219,1526l3229,1526,3229,1507,3219,1507,3219,1526xe" filled="true" fillcolor="#000000" stroked="false">
                <v:path arrowok="t"/>
                <v:fill type="solid"/>
              </v:shape>
            </v:group>
            <v:group style="position:absolute;left:3219;top:1526;width:10;height:20" coordorigin="3219,1526" coordsize="10,20">
              <v:shape style="position:absolute;left:3219;top:1526;width:10;height:20" coordorigin="3219,1526" coordsize="10,20" path="m3219,1546l3229,1546,3229,1526,3219,1526,3219,1546xe" filled="true" fillcolor="#000000" stroked="false">
                <v:path arrowok="t"/>
                <v:fill type="solid"/>
              </v:shape>
            </v:group>
            <v:group style="position:absolute;left:3219;top:1546;width:10;height:20" coordorigin="3219,1546" coordsize="10,20">
              <v:shape style="position:absolute;left:3219;top:1546;width:10;height:20" coordorigin="3219,1546" coordsize="10,20" path="m3219,1565l3229,1565,3229,1546,3219,1546,3219,1565xe" filled="true" fillcolor="#000000" stroked="false">
                <v:path arrowok="t"/>
                <v:fill type="solid"/>
              </v:shape>
            </v:group>
            <v:group style="position:absolute;left:3219;top:1565;width:10;height:20" coordorigin="3219,1565" coordsize="10,20">
              <v:shape style="position:absolute;left:3219;top:1565;width:10;height:20" coordorigin="3219,1565" coordsize="10,20" path="m3219,1584l3229,1584,3229,1565,3219,1565,3219,1584xe" filled="true" fillcolor="#000000" stroked="false">
                <v:path arrowok="t"/>
                <v:fill type="solid"/>
              </v:shape>
            </v:group>
            <v:group style="position:absolute;left:3219;top:1584;width:10;height:20" coordorigin="3219,1584" coordsize="10,20">
              <v:shape style="position:absolute;left:3219;top:1584;width:10;height:20" coordorigin="3219,1584" coordsize="10,20" path="m3219,1603l3229,1603,3229,1584,3219,1584,3219,1603xe" filled="true" fillcolor="#000000" stroked="false">
                <v:path arrowok="t"/>
                <v:fill type="solid"/>
              </v:shape>
            </v:group>
            <v:group style="position:absolute;left:3219;top:1603;width:10;height:20" coordorigin="3219,1603" coordsize="10,20">
              <v:shape style="position:absolute;left:3219;top:1603;width:10;height:20" coordorigin="3219,1603" coordsize="10,20" path="m3219,1622l3229,1622,3229,1603,3219,1603,3219,1622xe" filled="true" fillcolor="#000000" stroked="false">
                <v:path arrowok="t"/>
                <v:fill type="solid"/>
              </v:shape>
            </v:group>
            <v:group style="position:absolute;left:3219;top:1622;width:10;height:20" coordorigin="3219,1622" coordsize="10,20">
              <v:shape style="position:absolute;left:3219;top:1622;width:10;height:20" coordorigin="3219,1622" coordsize="10,20" path="m3219,1642l3229,1642,3229,1622,3219,1622,3219,1642xe" filled="true" fillcolor="#000000" stroked="false">
                <v:path arrowok="t"/>
                <v:fill type="solid"/>
              </v:shape>
            </v:group>
            <v:group style="position:absolute;left:3219;top:1642;width:10;height:20" coordorigin="3219,1642" coordsize="10,20">
              <v:shape style="position:absolute;left:3219;top:1642;width:10;height:20" coordorigin="3219,1642" coordsize="10,20" path="m3219,1661l3229,1661,3229,1642,3219,1642,3219,1661xe" filled="true" fillcolor="#000000" stroked="false">
                <v:path arrowok="t"/>
                <v:fill type="solid"/>
              </v:shape>
            </v:group>
            <v:group style="position:absolute;left:3219;top:1661;width:10;height:20" coordorigin="3219,1661" coordsize="10,20">
              <v:shape style="position:absolute;left:3219;top:1661;width:10;height:20" coordorigin="3219,1661" coordsize="10,20" path="m3219,1680l3229,1680,3229,1661,3219,1661,3219,1680xe" filled="true" fillcolor="#000000" stroked="false">
                <v:path arrowok="t"/>
                <v:fill type="solid"/>
              </v:shape>
            </v:group>
            <v:group style="position:absolute;left:3219;top:1680;width:10;height:20" coordorigin="3219,1680" coordsize="10,20">
              <v:shape style="position:absolute;left:3219;top:1680;width:10;height:20" coordorigin="3219,1680" coordsize="10,20" path="m3219,1699l3229,1699,3229,1680,3219,1680,3219,1699xe" filled="true" fillcolor="#000000" stroked="false">
                <v:path arrowok="t"/>
                <v:fill type="solid"/>
              </v:shape>
            </v:group>
            <v:group style="position:absolute;left:3219;top:1699;width:10;height:20" coordorigin="3219,1699" coordsize="10,20">
              <v:shape style="position:absolute;left:3219;top:1699;width:10;height:20" coordorigin="3219,1699" coordsize="10,20" path="m3219,1718l3229,1718,3229,1699,3219,1699,3219,1718xe" filled="true" fillcolor="#000000" stroked="false">
                <v:path arrowok="t"/>
                <v:fill type="solid"/>
              </v:shape>
            </v:group>
            <v:group style="position:absolute;left:14;top:1805;width:3205;height:2" coordorigin="14,1805" coordsize="3205,2">
              <v:shape style="position:absolute;left:14;top:1805;width:3205;height:2" coordorigin="14,1805" coordsize="3205,0" path="m14,1805l3219,1805e" filled="false" stroked="true" strokeweight="1.44pt" strokecolor="#000000">
                <v:path arrowok="t"/>
              </v:shape>
            </v:group>
            <v:group style="position:absolute;left:3219;top:1718;width:10;height:20" coordorigin="3219,1718" coordsize="10,20">
              <v:shape style="position:absolute;left:3219;top:1718;width:10;height:20" coordorigin="3219,1718" coordsize="10,20" path="m3219,1738l3229,1738,3229,1718,3219,1718,3219,1738xe" filled="true" fillcolor="#000000" stroked="false">
                <v:path arrowok="t"/>
                <v:fill type="solid"/>
              </v:shape>
            </v:group>
            <v:group style="position:absolute;left:3219;top:1738;width:10;height:20" coordorigin="3219,1738" coordsize="10,20">
              <v:shape style="position:absolute;left:3219;top:1738;width:10;height:20" coordorigin="3219,1738" coordsize="10,20" path="m3219,1757l3229,1757,3229,1738,3219,1738,3219,1757xe" filled="true" fillcolor="#000000" stroked="false">
                <v:path arrowok="t"/>
                <v:fill type="solid"/>
              </v:shape>
            </v:group>
            <v:group style="position:absolute;left:3219;top:1757;width:10;height:20" coordorigin="3219,1757" coordsize="10,20">
              <v:shape style="position:absolute;left:3219;top:1757;width:10;height:20" coordorigin="3219,1757" coordsize="10,20" path="m3219,1776l3229,1776,3229,1757,3219,1757,3219,1776xe" filled="true" fillcolor="#000000" stroked="false">
                <v:path arrowok="t"/>
                <v:fill type="solid"/>
              </v:shape>
            </v:group>
            <v:group style="position:absolute;left:3219;top:1783;width:10;height:2" coordorigin="3219,1783" coordsize="10,2">
              <v:shape style="position:absolute;left:3219;top:1783;width:10;height:2" coordorigin="3219,1783" coordsize="10,0" path="m3219,1783l3229,1783e" filled="false" stroked="true" strokeweight=".71997pt" strokecolor="#000000">
                <v:path arrowok="t"/>
              </v:shape>
            </v:group>
            <v:group style="position:absolute;left:3219;top:1805;width:29;height:2" coordorigin="3219,1805" coordsize="29,2">
              <v:shape style="position:absolute;left:3219;top:1805;width:29;height:2" coordorigin="3219,1805" coordsize="29,0" path="m3219,1805l3248,1805e" filled="false" stroked="true" strokeweight="1.44pt" strokecolor="#000000">
                <v:path arrowok="t"/>
              </v:shape>
            </v:group>
            <v:group style="position:absolute;left:3248;top:1805;width:2125;height:2" coordorigin="3248,1805" coordsize="2125,2">
              <v:shape style="position:absolute;left:3248;top:1805;width:2125;height:2" coordorigin="3248,1805" coordsize="2125,0" path="m3248,1805l5372,1805e" filled="false" stroked="true" strokeweight="1.44pt" strokecolor="#000000">
                <v:path arrowok="t"/>
              </v:shape>
            </v:group>
            <v:group style="position:absolute;left:5372;top:1450;width:10;height:20" coordorigin="5372,1450" coordsize="10,20">
              <v:shape style="position:absolute;left:5372;top:1450;width:10;height:20" coordorigin="5372,1450" coordsize="10,20" path="m5372,1469l5382,1469,5382,1450,5372,1450,5372,1469xe" filled="true" fillcolor="#000000" stroked="false">
                <v:path arrowok="t"/>
                <v:fill type="solid"/>
              </v:shape>
            </v:group>
            <v:group style="position:absolute;left:5372;top:1469;width:10;height:20" coordorigin="5372,1469" coordsize="10,20">
              <v:shape style="position:absolute;left:5372;top:1469;width:10;height:20" coordorigin="5372,1469" coordsize="10,20" path="m5372,1488l5382,1488,5382,1469,5372,1469,5372,1488xe" filled="true" fillcolor="#000000" stroked="false">
                <v:path arrowok="t"/>
                <v:fill type="solid"/>
              </v:shape>
            </v:group>
            <v:group style="position:absolute;left:5372;top:1488;width:10;height:20" coordorigin="5372,1488" coordsize="10,20">
              <v:shape style="position:absolute;left:5372;top:1488;width:10;height:20" coordorigin="5372,1488" coordsize="10,20" path="m5372,1507l5382,1507,5382,1488,5372,1488,5372,1507xe" filled="true" fillcolor="#000000" stroked="false">
                <v:path arrowok="t"/>
                <v:fill type="solid"/>
              </v:shape>
            </v:group>
            <v:group style="position:absolute;left:5372;top:1507;width:10;height:20" coordorigin="5372,1507" coordsize="10,20">
              <v:shape style="position:absolute;left:5372;top:1507;width:10;height:20" coordorigin="5372,1507" coordsize="10,20" path="m5372,1526l5382,1526,5382,1507,5372,1507,5372,1526xe" filled="true" fillcolor="#000000" stroked="false">
                <v:path arrowok="t"/>
                <v:fill type="solid"/>
              </v:shape>
            </v:group>
            <v:group style="position:absolute;left:5372;top:1526;width:10;height:20" coordorigin="5372,1526" coordsize="10,20">
              <v:shape style="position:absolute;left:5372;top:1526;width:10;height:20" coordorigin="5372,1526" coordsize="10,20" path="m5372,1546l5382,1546,5382,1526,5372,1526,5372,1546xe" filled="true" fillcolor="#000000" stroked="false">
                <v:path arrowok="t"/>
                <v:fill type="solid"/>
              </v:shape>
            </v:group>
            <v:group style="position:absolute;left:5372;top:1546;width:10;height:20" coordorigin="5372,1546" coordsize="10,20">
              <v:shape style="position:absolute;left:5372;top:1546;width:10;height:20" coordorigin="5372,1546" coordsize="10,20" path="m5372,1565l5382,1565,5382,1546,5372,1546,5372,1565xe" filled="true" fillcolor="#000000" stroked="false">
                <v:path arrowok="t"/>
                <v:fill type="solid"/>
              </v:shape>
            </v:group>
            <v:group style="position:absolute;left:5372;top:1565;width:10;height:20" coordorigin="5372,1565" coordsize="10,20">
              <v:shape style="position:absolute;left:5372;top:1565;width:10;height:20" coordorigin="5372,1565" coordsize="10,20" path="m5372,1584l5382,1584,5382,1565,5372,1565,5372,1584xe" filled="true" fillcolor="#000000" stroked="false">
                <v:path arrowok="t"/>
                <v:fill type="solid"/>
              </v:shape>
            </v:group>
            <v:group style="position:absolute;left:5372;top:1584;width:10;height:20" coordorigin="5372,1584" coordsize="10,20">
              <v:shape style="position:absolute;left:5372;top:1584;width:10;height:20" coordorigin="5372,1584" coordsize="10,20" path="m5372,1603l5382,1603,5382,1584,5372,1584,5372,1603xe" filled="true" fillcolor="#000000" stroked="false">
                <v:path arrowok="t"/>
                <v:fill type="solid"/>
              </v:shape>
            </v:group>
            <v:group style="position:absolute;left:5372;top:1603;width:10;height:20" coordorigin="5372,1603" coordsize="10,20">
              <v:shape style="position:absolute;left:5372;top:1603;width:10;height:20" coordorigin="5372,1603" coordsize="10,20" path="m5372,1622l5382,1622,5382,1603,5372,1603,5372,1622xe" filled="true" fillcolor="#000000" stroked="false">
                <v:path arrowok="t"/>
                <v:fill type="solid"/>
              </v:shape>
            </v:group>
            <v:group style="position:absolute;left:5372;top:1622;width:10;height:20" coordorigin="5372,1622" coordsize="10,20">
              <v:shape style="position:absolute;left:5372;top:1622;width:10;height:20" coordorigin="5372,1622" coordsize="10,20" path="m5372,1642l5382,1642,5382,1622,5372,1622,5372,1642xe" filled="true" fillcolor="#000000" stroked="false">
                <v:path arrowok="t"/>
                <v:fill type="solid"/>
              </v:shape>
            </v:group>
            <v:group style="position:absolute;left:5372;top:1642;width:10;height:20" coordorigin="5372,1642" coordsize="10,20">
              <v:shape style="position:absolute;left:5372;top:1642;width:10;height:20" coordorigin="5372,1642" coordsize="10,20" path="m5372,1661l5382,1661,5382,1642,5372,1642,5372,1661xe" filled="true" fillcolor="#000000" stroked="false">
                <v:path arrowok="t"/>
                <v:fill type="solid"/>
              </v:shape>
            </v:group>
            <v:group style="position:absolute;left:5372;top:1661;width:10;height:20" coordorigin="5372,1661" coordsize="10,20">
              <v:shape style="position:absolute;left:5372;top:1661;width:10;height:20" coordorigin="5372,1661" coordsize="10,20" path="m5372,1680l5382,1680,5382,1661,5372,1661,5372,1680xe" filled="true" fillcolor="#000000" stroked="false">
                <v:path arrowok="t"/>
                <v:fill type="solid"/>
              </v:shape>
            </v:group>
            <v:group style="position:absolute;left:5372;top:1680;width:10;height:20" coordorigin="5372,1680" coordsize="10,20">
              <v:shape style="position:absolute;left:5372;top:1680;width:10;height:20" coordorigin="5372,1680" coordsize="10,20" path="m5372,1699l5382,1699,5382,1680,5372,1680,5372,1699xe" filled="true" fillcolor="#000000" stroked="false">
                <v:path arrowok="t"/>
                <v:fill type="solid"/>
              </v:shape>
            </v:group>
            <v:group style="position:absolute;left:5372;top:1699;width:10;height:20" coordorigin="5372,1699" coordsize="10,20">
              <v:shape style="position:absolute;left:5372;top:1699;width:10;height:20" coordorigin="5372,1699" coordsize="10,20" path="m5372,1718l5382,1718,5382,1699,5372,1699,5372,1718xe" filled="true" fillcolor="#000000" stroked="false">
                <v:path arrowok="t"/>
                <v:fill type="solid"/>
              </v:shape>
            </v:group>
            <v:group style="position:absolute;left:5372;top:1718;width:10;height:20" coordorigin="5372,1718" coordsize="10,20">
              <v:shape style="position:absolute;left:5372;top:1718;width:10;height:20" coordorigin="5372,1718" coordsize="10,20" path="m5372,1738l5382,1738,5382,1718,5372,1718,5372,1738xe" filled="true" fillcolor="#000000" stroked="false">
                <v:path arrowok="t"/>
                <v:fill type="solid"/>
              </v:shape>
            </v:group>
            <v:group style="position:absolute;left:5372;top:1738;width:10;height:20" coordorigin="5372,1738" coordsize="10,20">
              <v:shape style="position:absolute;left:5372;top:1738;width:10;height:20" coordorigin="5372,1738" coordsize="10,20" path="m5372,1757l5382,1757,5382,1738,5372,1738,5372,1757xe" filled="true" fillcolor="#000000" stroked="false">
                <v:path arrowok="t"/>
                <v:fill type="solid"/>
              </v:shape>
            </v:group>
            <v:group style="position:absolute;left:5372;top:1757;width:10;height:20" coordorigin="5372,1757" coordsize="10,20">
              <v:shape style="position:absolute;left:5372;top:1757;width:10;height:20" coordorigin="5372,1757" coordsize="10,20" path="m5372,1776l5382,1776,5382,1757,5372,1757,5372,1776xe" filled="true" fillcolor="#000000" stroked="false">
                <v:path arrowok="t"/>
                <v:fill type="solid"/>
              </v:shape>
            </v:group>
            <v:group style="position:absolute;left:5372;top:1783;width:10;height:2" coordorigin="5372,1783" coordsize="10,2">
              <v:shape style="position:absolute;left:5372;top:1783;width:10;height:2" coordorigin="5372,1783" coordsize="10,0" path="m5372,1783l5382,1783e" filled="false" stroked="true" strokeweight=".71997pt" strokecolor="#000000">
                <v:path arrowok="t"/>
              </v:shape>
            </v:group>
            <v:group style="position:absolute;left:5372;top:1805;width:29;height:2" coordorigin="5372,1805" coordsize="29,2">
              <v:shape style="position:absolute;left:5372;top:1805;width:29;height:2" coordorigin="5372,1805" coordsize="29,0" path="m5372,1805l5401,1805e" filled="false" stroked="true" strokeweight="1.44pt" strokecolor="#000000">
                <v:path arrowok="t"/>
              </v:shape>
            </v:group>
            <v:group style="position:absolute;left:5401;top:1805;width:2127;height:2" coordorigin="5401,1805" coordsize="2127,2">
              <v:shape style="position:absolute;left:5401;top:1805;width:2127;height:2" coordorigin="5401,1805" coordsize="2127,0" path="m5401,1805l7528,1805e" filled="false" stroked="true" strokeweight="1.44pt" strokecolor="#000000">
                <v:path arrowok="t"/>
              </v:shape>
            </v:group>
            <v:group style="position:absolute;left:7528;top:1450;width:10;height:20" coordorigin="7528,1450" coordsize="10,20">
              <v:shape style="position:absolute;left:7528;top:1450;width:10;height:20" coordorigin="7528,1450" coordsize="10,20" path="m7528,1469l7538,1469,7538,1450,7528,1450,7528,1469xe" filled="true" fillcolor="#000000" stroked="false">
                <v:path arrowok="t"/>
                <v:fill type="solid"/>
              </v:shape>
            </v:group>
            <v:group style="position:absolute;left:7528;top:1469;width:10;height:20" coordorigin="7528,1469" coordsize="10,20">
              <v:shape style="position:absolute;left:7528;top:1469;width:10;height:20" coordorigin="7528,1469" coordsize="10,20" path="m7528,1488l7538,1488,7538,1469,7528,1469,7528,1488xe" filled="true" fillcolor="#000000" stroked="false">
                <v:path arrowok="t"/>
                <v:fill type="solid"/>
              </v:shape>
            </v:group>
            <v:group style="position:absolute;left:7528;top:1488;width:10;height:20" coordorigin="7528,1488" coordsize="10,20">
              <v:shape style="position:absolute;left:7528;top:1488;width:10;height:20" coordorigin="7528,1488" coordsize="10,20" path="m7528,1507l7538,1507,7538,1488,7528,1488,7528,1507xe" filled="true" fillcolor="#000000" stroked="false">
                <v:path arrowok="t"/>
                <v:fill type="solid"/>
              </v:shape>
            </v:group>
            <v:group style="position:absolute;left:7528;top:1507;width:10;height:20" coordorigin="7528,1507" coordsize="10,20">
              <v:shape style="position:absolute;left:7528;top:1507;width:10;height:20" coordorigin="7528,1507" coordsize="10,20" path="m7528,1526l7538,1526,7538,1507,7528,1507,7528,1526xe" filled="true" fillcolor="#000000" stroked="false">
                <v:path arrowok="t"/>
                <v:fill type="solid"/>
              </v:shape>
            </v:group>
            <v:group style="position:absolute;left:7528;top:1526;width:10;height:20" coordorigin="7528,1526" coordsize="10,20">
              <v:shape style="position:absolute;left:7528;top:1526;width:10;height:20" coordorigin="7528,1526" coordsize="10,20" path="m7528,1546l7538,1546,7538,1526,7528,1526,7528,1546xe" filled="true" fillcolor="#000000" stroked="false">
                <v:path arrowok="t"/>
                <v:fill type="solid"/>
              </v:shape>
            </v:group>
            <v:group style="position:absolute;left:7528;top:1546;width:10;height:20" coordorigin="7528,1546" coordsize="10,20">
              <v:shape style="position:absolute;left:7528;top:1546;width:10;height:20" coordorigin="7528,1546" coordsize="10,20" path="m7528,1565l7538,1565,7538,1546,7528,1546,7528,1565xe" filled="true" fillcolor="#000000" stroked="false">
                <v:path arrowok="t"/>
                <v:fill type="solid"/>
              </v:shape>
            </v:group>
            <v:group style="position:absolute;left:7528;top:1565;width:10;height:20" coordorigin="7528,1565" coordsize="10,20">
              <v:shape style="position:absolute;left:7528;top:1565;width:10;height:20" coordorigin="7528,1565" coordsize="10,20" path="m7528,1584l7538,1584,7538,1565,7528,1565,7528,1584xe" filled="true" fillcolor="#000000" stroked="false">
                <v:path arrowok="t"/>
                <v:fill type="solid"/>
              </v:shape>
            </v:group>
            <v:group style="position:absolute;left:7528;top:1584;width:10;height:20" coordorigin="7528,1584" coordsize="10,20">
              <v:shape style="position:absolute;left:7528;top:1584;width:10;height:20" coordorigin="7528,1584" coordsize="10,20" path="m7528,1603l7538,1603,7538,1584,7528,1584,7528,1603xe" filled="true" fillcolor="#000000" stroked="false">
                <v:path arrowok="t"/>
                <v:fill type="solid"/>
              </v:shape>
            </v:group>
            <v:group style="position:absolute;left:7528;top:1603;width:10;height:20" coordorigin="7528,1603" coordsize="10,20">
              <v:shape style="position:absolute;left:7528;top:1603;width:10;height:20" coordorigin="7528,1603" coordsize="10,20" path="m7528,1622l7538,1622,7538,1603,7528,1603,7528,1622xe" filled="true" fillcolor="#000000" stroked="false">
                <v:path arrowok="t"/>
                <v:fill type="solid"/>
              </v:shape>
            </v:group>
            <v:group style="position:absolute;left:7528;top:1622;width:10;height:20" coordorigin="7528,1622" coordsize="10,20">
              <v:shape style="position:absolute;left:7528;top:1622;width:10;height:20" coordorigin="7528,1622" coordsize="10,20" path="m7528,1642l7538,1642,7538,1622,7528,1622,7528,1642xe" filled="true" fillcolor="#000000" stroked="false">
                <v:path arrowok="t"/>
                <v:fill type="solid"/>
              </v:shape>
            </v:group>
            <v:group style="position:absolute;left:7528;top:1642;width:10;height:20" coordorigin="7528,1642" coordsize="10,20">
              <v:shape style="position:absolute;left:7528;top:1642;width:10;height:20" coordorigin="7528,1642" coordsize="10,20" path="m7528,1661l7538,1661,7538,1642,7528,1642,7528,1661xe" filled="true" fillcolor="#000000" stroked="false">
                <v:path arrowok="t"/>
                <v:fill type="solid"/>
              </v:shape>
            </v:group>
            <v:group style="position:absolute;left:7528;top:1661;width:10;height:20" coordorigin="7528,1661" coordsize="10,20">
              <v:shape style="position:absolute;left:7528;top:1661;width:10;height:20" coordorigin="7528,1661" coordsize="10,20" path="m7528,1680l7538,1680,7538,1661,7528,1661,7528,1680xe" filled="true" fillcolor="#000000" stroked="false">
                <v:path arrowok="t"/>
                <v:fill type="solid"/>
              </v:shape>
            </v:group>
            <v:group style="position:absolute;left:7528;top:1680;width:10;height:20" coordorigin="7528,1680" coordsize="10,20">
              <v:shape style="position:absolute;left:7528;top:1680;width:10;height:20" coordorigin="7528,1680" coordsize="10,20" path="m7528,1699l7538,1699,7538,1680,7528,1680,7528,1699xe" filled="true" fillcolor="#000000" stroked="false">
                <v:path arrowok="t"/>
                <v:fill type="solid"/>
              </v:shape>
            </v:group>
            <v:group style="position:absolute;left:7528;top:1699;width:10;height:20" coordorigin="7528,1699" coordsize="10,20">
              <v:shape style="position:absolute;left:7528;top:1699;width:10;height:20" coordorigin="7528,1699" coordsize="10,20" path="m7528,1718l7538,1718,7538,1699,7528,1699,7528,1718xe" filled="true" fillcolor="#000000" stroked="false">
                <v:path arrowok="t"/>
                <v:fill type="solid"/>
              </v:shape>
            </v:group>
            <v:group style="position:absolute;left:7528;top:1718;width:10;height:20" coordorigin="7528,1718" coordsize="10,20">
              <v:shape style="position:absolute;left:7528;top:1718;width:10;height:20" coordorigin="7528,1718" coordsize="10,20" path="m7528,1738l7538,1738,7538,1718,7528,1718,7528,1738xe" filled="true" fillcolor="#000000" stroked="false">
                <v:path arrowok="t"/>
                <v:fill type="solid"/>
              </v:shape>
            </v:group>
            <v:group style="position:absolute;left:7528;top:1738;width:10;height:20" coordorigin="7528,1738" coordsize="10,20">
              <v:shape style="position:absolute;left:7528;top:1738;width:10;height:20" coordorigin="7528,1738" coordsize="10,20" path="m7528,1757l7538,1757,7538,1738,7528,1738,7528,1757xe" filled="true" fillcolor="#000000" stroked="false">
                <v:path arrowok="t"/>
                <v:fill type="solid"/>
              </v:shape>
            </v:group>
            <v:group style="position:absolute;left:7528;top:1757;width:10;height:20" coordorigin="7528,1757" coordsize="10,20">
              <v:shape style="position:absolute;left:7528;top:1757;width:10;height:20" coordorigin="7528,1757" coordsize="10,20" path="m7528,1776l7538,1776,7538,1757,7528,1757,7528,1776xe" filled="true" fillcolor="#000000" stroked="false">
                <v:path arrowok="t"/>
                <v:fill type="solid"/>
              </v:shape>
            </v:group>
            <v:group style="position:absolute;left:7528;top:1783;width:10;height:2" coordorigin="7528,1783" coordsize="10,2">
              <v:shape style="position:absolute;left:7528;top:1783;width:10;height:2" coordorigin="7528,1783" coordsize="10,0" path="m7528,1783l7538,1783e" filled="false" stroked="true" strokeweight=".71997pt" strokecolor="#000000">
                <v:path arrowok="t"/>
              </v:shape>
            </v:group>
            <v:group style="position:absolute;left:7528;top:1805;width:29;height:2" coordorigin="7528,1805" coordsize="29,2">
              <v:shape style="position:absolute;left:7528;top:1805;width:29;height:2" coordorigin="7528,1805" coordsize="29,0" path="m7528,1805l7557,1805e" filled="false" stroked="true" strokeweight="1.44pt" strokecolor="#000000">
                <v:path arrowok="t"/>
              </v:shape>
            </v:group>
            <v:group style="position:absolute;left:7557;top:1805;width:1522;height:2" coordorigin="7557,1805" coordsize="1522,2">
              <v:shape style="position:absolute;left:7557;top:1805;width:1522;height:2" coordorigin="7557,1805" coordsize="1522,0" path="m7557,1805l9078,1805e" filled="false" stroked="true" strokeweight="1.44pt" strokecolor="#000000">
                <v:path arrowok="t"/>
              </v:shape>
              <v:shape style="position:absolute;left:5792;top:10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265;top:29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组合名称</w:t>
                      </w:r>
                    </w:p>
                  </w:txbxContent>
                </v:textbox>
                <w10:wrap type="none"/>
              </v:shape>
              <v:shape style="position:absolute;left:3850;top:477;width:1420;height:12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p>
                      <w:pPr>
                        <w:spacing w:before="115"/>
                        <w:ind w:left="338" w:right="0" w:firstLine="0"/>
                        <w:jc w:val="left"/>
                        <w:rPr>
                          <w:rFonts w:ascii="宋体" w:hAnsi="宋体" w:cs="宋体" w:eastAsia="宋体" w:hint="default"/>
                          <w:sz w:val="18"/>
                          <w:szCs w:val="18"/>
                        </w:rPr>
                      </w:pPr>
                      <w:r>
                        <w:rPr>
                          <w:rFonts w:ascii="宋体"/>
                          <w:sz w:val="18"/>
                        </w:rPr>
                        <w:t>4,713,021.99</w:t>
                      </w:r>
                    </w:p>
                    <w:p>
                      <w:pPr>
                        <w:spacing w:before="115"/>
                        <w:ind w:left="338" w:right="0" w:firstLine="0"/>
                        <w:jc w:val="left"/>
                        <w:rPr>
                          <w:rFonts w:ascii="宋体" w:hAnsi="宋体" w:cs="宋体" w:eastAsia="宋体" w:hint="default"/>
                          <w:sz w:val="18"/>
                          <w:szCs w:val="18"/>
                        </w:rPr>
                      </w:pPr>
                      <w:r>
                        <w:rPr>
                          <w:rFonts w:ascii="宋体"/>
                          <w:sz w:val="18"/>
                        </w:rPr>
                        <w:t>1,760,000.00</w:t>
                      </w:r>
                    </w:p>
                    <w:p>
                      <w:pPr>
                        <w:spacing w:before="115"/>
                        <w:ind w:left="338" w:right="0" w:firstLine="0"/>
                        <w:jc w:val="left"/>
                        <w:rPr>
                          <w:rFonts w:ascii="宋体" w:hAnsi="宋体" w:cs="宋体" w:eastAsia="宋体" w:hint="default"/>
                          <w:sz w:val="18"/>
                          <w:szCs w:val="18"/>
                        </w:rPr>
                      </w:pPr>
                      <w:r>
                        <w:rPr>
                          <w:rFonts w:ascii="宋体"/>
                          <w:sz w:val="18"/>
                        </w:rPr>
                        <w:t>6,473,021.99</w:t>
                      </w:r>
                    </w:p>
                  </w:txbxContent>
                </v:textbox>
                <w10:wrap type="none"/>
              </v:shape>
              <v:shape style="position:absolute;left:6095;top:4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698;top:477;width:1210;height:188"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shape style="position:absolute;left:137;top:827;width:2117;height:88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代垫费用（说明</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其他（说明</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p>
                      <w:pPr>
                        <w:spacing w:before="115"/>
                        <w:ind w:left="1307"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group>
          </v:group>
        </w:pict>
      </w:r>
      <w:r>
        <w:rPr>
          <w:rFonts w:ascii="宋体" w:hAnsi="宋体" w:cs="宋体" w:eastAsia="宋体" w:hint="default"/>
          <w:position w:val="-35"/>
          <w:sz w:val="20"/>
          <w:szCs w:val="20"/>
        </w:rPr>
      </w:r>
    </w:p>
    <w:p>
      <w:pPr>
        <w:pStyle w:val="BodyText"/>
        <w:spacing w:line="241" w:lineRule="exact"/>
        <w:ind w:left="658" w:right="0"/>
        <w:jc w:val="left"/>
      </w:pPr>
      <w:r>
        <w:rPr/>
        <w:t>确定该组合依据的说明：</w:t>
      </w:r>
    </w:p>
    <w:p>
      <w:pPr>
        <w:pStyle w:val="BodyText"/>
        <w:spacing w:line="357" w:lineRule="auto" w:before="133"/>
        <w:ind w:left="238" w:right="227" w:firstLine="419"/>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2017</w:t>
      </w:r>
      <w:r>
        <w:rPr>
          <w:rFonts w:ascii="宋体" w:hAnsi="宋体" w:cs="宋体" w:eastAsia="宋体" w:hint="default"/>
          <w:spacing w:val="-41"/>
        </w:rPr>
        <w:t> </w:t>
      </w:r>
      <w:r>
        <w:rPr/>
        <w:t>年</w:t>
      </w:r>
      <w:r>
        <w:rPr>
          <w:spacing w:val="-38"/>
        </w:rPr>
        <w:t> </w:t>
      </w:r>
      <w:r>
        <w:rPr>
          <w:rFonts w:ascii="宋体" w:hAnsi="宋体" w:cs="宋体" w:eastAsia="宋体" w:hint="default"/>
        </w:rPr>
        <w:t>3</w:t>
      </w:r>
      <w:r>
        <w:rPr>
          <w:rFonts w:ascii="宋体" w:hAnsi="宋体" w:cs="宋体" w:eastAsia="宋体" w:hint="default"/>
          <w:spacing w:val="-41"/>
        </w:rPr>
        <w:t> </w:t>
      </w:r>
      <w:r>
        <w:rPr>
          <w:spacing w:val="-5"/>
        </w:rPr>
        <w:t>月，本公司及上海慧球通信科技有限公司、科塞威智能（深圳）有限公司（现</w:t>
      </w:r>
      <w:r>
        <w:rPr>
          <w:w w:val="100"/>
        </w:rPr>
        <w:t> </w:t>
      </w:r>
      <w:r>
        <w:rPr>
          <w:spacing w:val="-8"/>
        </w:rPr>
        <w:t>已更名为慧金科技（深圳）有限公司）分别与上海躬盛网络科技有限公司签订一揽子协议，就 </w:t>
      </w:r>
      <w:r>
        <w:rPr>
          <w:rFonts w:ascii="宋体" w:hAnsi="宋体" w:cs="宋体" w:eastAsia="宋体" w:hint="default"/>
        </w:rPr>
        <w:t>2016</w:t>
      </w:r>
      <w:r>
        <w:rPr>
          <w:rFonts w:ascii="宋体" w:hAnsi="宋体" w:cs="宋体" w:eastAsia="宋体" w:hint="default"/>
          <w:spacing w:val="-79"/>
        </w:rPr>
        <w:t> </w:t>
      </w:r>
      <w:r>
        <w:rPr>
          <w:rFonts w:ascii="宋体" w:hAnsi="宋体" w:cs="宋体" w:eastAsia="宋体" w:hint="default"/>
          <w:spacing w:val="-79"/>
        </w:rPr>
      </w:r>
      <w:r>
        <w:rPr>
          <w:spacing w:val="-6"/>
          <w:w w:val="100"/>
        </w:rPr>
        <w:t>年度本公司及科塞威智能（深圳）有限公司支付并且应由上海躬盛网络科技有限公司承担的费用，</w:t>
      </w:r>
      <w:r>
        <w:rPr>
          <w:w w:val="100"/>
        </w:rPr>
        <w:t> </w:t>
      </w:r>
      <w:r>
        <w:rPr/>
        <w:t>金额合计</w:t>
      </w:r>
      <w:r>
        <w:rPr>
          <w:spacing w:val="-54"/>
        </w:rPr>
        <w:t> </w:t>
      </w:r>
      <w:r>
        <w:rPr>
          <w:rFonts w:ascii="宋体" w:hAnsi="宋体" w:cs="宋体" w:eastAsia="宋体" w:hint="default"/>
        </w:rPr>
        <w:t>14,745,573.78</w:t>
      </w:r>
      <w:r>
        <w:rPr>
          <w:rFonts w:ascii="宋体" w:hAnsi="宋体" w:cs="宋体" w:eastAsia="宋体" w:hint="default"/>
          <w:spacing w:val="-56"/>
        </w:rPr>
        <w:t> </w:t>
      </w:r>
      <w:r>
        <w:rPr/>
        <w:t>元，与本公司所应付该公司款项中相等金额进行抵消。</w:t>
      </w:r>
    </w:p>
    <w:p>
      <w:pPr>
        <w:pStyle w:val="BodyText"/>
        <w:spacing w:line="240" w:lineRule="auto" w:before="30"/>
        <w:ind w:left="658" w:right="0"/>
        <w:jc w:val="left"/>
      </w:pPr>
      <w:r>
        <w:rPr>
          <w:rFonts w:ascii="宋体" w:hAnsi="宋体" w:cs="宋体" w:eastAsia="宋体" w:hint="default"/>
        </w:rPr>
        <w:t>2017</w:t>
      </w:r>
      <w:r>
        <w:rPr>
          <w:rFonts w:ascii="宋体" w:hAnsi="宋体" w:cs="宋体" w:eastAsia="宋体" w:hint="default"/>
          <w:spacing w:val="13"/>
        </w:rPr>
        <w:t> </w:t>
      </w:r>
      <w:r>
        <w:rPr>
          <w:spacing w:val="-3"/>
        </w:rPr>
        <w:t>年度，本公司及慧金科技（深圳）有限公司支付并且应由上海躬盛网络科技有限公司承</w:t>
      </w:r>
    </w:p>
    <w:p>
      <w:pPr>
        <w:pStyle w:val="BodyText"/>
        <w:spacing w:line="355" w:lineRule="auto" w:before="133"/>
        <w:ind w:left="238" w:right="0"/>
        <w:jc w:val="left"/>
      </w:pPr>
      <w:r>
        <w:rPr>
          <w:spacing w:val="-2"/>
          <w:w w:val="100"/>
        </w:rPr>
        <w:t>担的费用金额合计</w:t>
      </w:r>
      <w:r>
        <w:rPr>
          <w:spacing w:val="-47"/>
          <w:w w:val="100"/>
        </w:rPr>
        <w:t> </w:t>
      </w:r>
      <w:r>
        <w:rPr>
          <w:rFonts w:ascii="宋体" w:hAnsi="宋体" w:cs="宋体" w:eastAsia="宋体" w:hint="default"/>
          <w:spacing w:val="-1"/>
          <w:w w:val="100"/>
        </w:rPr>
        <w:t>4,713,021.99</w:t>
      </w:r>
      <w:r>
        <w:rPr>
          <w:rFonts w:ascii="宋体" w:hAnsi="宋体" w:cs="宋体" w:eastAsia="宋体" w:hint="default"/>
          <w:spacing w:val="-46"/>
          <w:w w:val="100"/>
        </w:rPr>
        <w:t> </w:t>
      </w:r>
      <w:r>
        <w:rPr>
          <w:spacing w:val="-5"/>
          <w:w w:val="100"/>
        </w:rPr>
        <w:t>元，本公司判断上述垫付款项可与本公司所应付该公司及关联方</w:t>
      </w:r>
      <w:r>
        <w:rPr>
          <w:spacing w:val="-103"/>
          <w:w w:val="100"/>
        </w:rPr>
        <w:t> </w:t>
      </w:r>
      <w:r>
        <w:rPr>
          <w:spacing w:val="-103"/>
          <w:w w:val="100"/>
        </w:rPr>
      </w:r>
      <w:r>
        <w:rPr/>
        <w:t>款项中相等金额进行抵消，因此不计提坏账准备。</w:t>
      </w:r>
    </w:p>
    <w:p>
      <w:pPr>
        <w:pStyle w:val="BodyText"/>
        <w:spacing w:line="240" w:lineRule="auto" w:before="34"/>
        <w:ind w:left="658" w:right="0"/>
        <w:jc w:val="left"/>
      </w:pPr>
      <w:r>
        <w:rPr/>
        <w:t>（</w:t>
      </w:r>
      <w:r>
        <w:rPr>
          <w:rFonts w:ascii="宋体" w:hAnsi="宋体" w:cs="宋体" w:eastAsia="宋体" w:hint="default"/>
        </w:rPr>
        <w:t>2</w:t>
      </w:r>
      <w:r>
        <w:rPr/>
        <w:t>）本公司于</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日与泰兴市中泰城市建设投资有限公司（以下简称“泰兴中</w:t>
      </w:r>
    </w:p>
    <w:p>
      <w:pPr>
        <w:pStyle w:val="BodyText"/>
        <w:spacing w:line="357" w:lineRule="auto" w:before="133"/>
        <w:ind w:left="238" w:right="227"/>
        <w:jc w:val="both"/>
      </w:pPr>
      <w:r>
        <w:rPr>
          <w:spacing w:val="-11"/>
          <w:w w:val="100"/>
        </w:rPr>
        <w:t>泰”）签订了《泰兴市智慧城市建设顶层设计咨询项目服务合同》，本公司于</w:t>
      </w:r>
      <w:r>
        <w:rPr>
          <w:spacing w:val="-40"/>
          <w:w w:val="100"/>
        </w:rPr>
        <w:t> </w:t>
      </w:r>
      <w:r>
        <w:rPr>
          <w:rFonts w:ascii="宋体" w:hAnsi="宋体" w:cs="宋体" w:eastAsia="宋体" w:hint="default"/>
          <w:spacing w:val="-2"/>
          <w:w w:val="100"/>
        </w:rPr>
        <w:t>2015</w:t>
      </w:r>
      <w:r>
        <w:rPr>
          <w:rFonts w:ascii="宋体" w:hAnsi="宋体" w:cs="宋体" w:eastAsia="宋体" w:hint="default"/>
          <w:spacing w:val="-39"/>
          <w:w w:val="100"/>
        </w:rPr>
        <w:t> </w:t>
      </w:r>
      <w:r>
        <w:rPr>
          <w:spacing w:val="-2"/>
          <w:w w:val="100"/>
        </w:rPr>
        <w:t>年已完成相关工</w:t>
      </w:r>
      <w:r>
        <w:rPr>
          <w:spacing w:val="-101"/>
          <w:w w:val="100"/>
        </w:rPr>
        <w:t> </w:t>
      </w:r>
      <w:r>
        <w:rPr>
          <w:spacing w:val="-101"/>
          <w:w w:val="100"/>
        </w:rPr>
      </w:r>
      <w:r>
        <w:rPr>
          <w:spacing w:val="-10"/>
          <w:w w:val="100"/>
        </w:rPr>
        <w:t>作，并交付了有关工作成果，当年确认相关收入</w:t>
      </w:r>
      <w:r>
        <w:rPr>
          <w:spacing w:val="-48"/>
          <w:w w:val="100"/>
        </w:rPr>
        <w:t> </w:t>
      </w:r>
      <w:r>
        <w:rPr>
          <w:rFonts w:ascii="宋体" w:hAnsi="宋体" w:cs="宋体" w:eastAsia="宋体" w:hint="default"/>
          <w:spacing w:val="-1"/>
          <w:w w:val="100"/>
        </w:rPr>
        <w:t>880</w:t>
      </w:r>
      <w:r>
        <w:rPr>
          <w:rFonts w:ascii="宋体" w:hAnsi="宋体" w:cs="宋体" w:eastAsia="宋体" w:hint="default"/>
          <w:spacing w:val="-50"/>
          <w:w w:val="100"/>
        </w:rPr>
        <w:t> </w:t>
      </w:r>
      <w:r>
        <w:rPr>
          <w:spacing w:val="-13"/>
          <w:w w:val="100"/>
        </w:rPr>
        <w:t>万元，</w:t>
      </w:r>
      <w:r>
        <w:rPr>
          <w:rFonts w:ascii="宋体" w:hAnsi="宋体" w:cs="宋体" w:eastAsia="宋体" w:hint="default"/>
          <w:spacing w:val="-13"/>
          <w:w w:val="100"/>
        </w:rPr>
        <w:t>2016</w:t>
      </w:r>
      <w:r>
        <w:rPr>
          <w:rFonts w:ascii="宋体" w:hAnsi="宋体" w:cs="宋体" w:eastAsia="宋体" w:hint="default"/>
          <w:spacing w:val="-48"/>
          <w:w w:val="100"/>
        </w:rPr>
        <w:t> </w:t>
      </w:r>
      <w:r>
        <w:rPr>
          <w:spacing w:val="-2"/>
          <w:w w:val="100"/>
        </w:rPr>
        <w:t>年受公司实际控制人变更的影响，</w:t>
      </w:r>
      <w:r>
        <w:rPr>
          <w:spacing w:val="-103"/>
          <w:w w:val="100"/>
        </w:rPr>
        <w:t> </w:t>
      </w:r>
      <w:r>
        <w:rPr>
          <w:spacing w:val="-103"/>
          <w:w w:val="100"/>
        </w:rPr>
      </w:r>
      <w:r>
        <w:rPr>
          <w:spacing w:val="-4"/>
        </w:rPr>
        <w:t>该项目后续业务停滞，泰兴中泰亦未组织项目最终的验收，截止</w:t>
      </w:r>
      <w:r>
        <w:rPr>
          <w:spacing w:val="-44"/>
        </w:rPr>
        <w:t> </w:t>
      </w:r>
      <w:r>
        <w:rPr>
          <w:rFonts w:ascii="宋体" w:hAnsi="宋体" w:cs="宋体" w:eastAsia="宋体" w:hint="default"/>
        </w:rPr>
        <w:t>2016</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spacing w:val="-6"/>
        </w:rPr>
        <w:t>日，上述款项尚</w:t>
      </w:r>
      <w:r>
        <w:rPr>
          <w:spacing w:val="-101"/>
        </w:rPr>
        <w:t> </w:t>
      </w:r>
      <w:r>
        <w:rPr>
          <w:spacing w:val="-101"/>
        </w:rPr>
      </w:r>
      <w:r>
        <w:rPr/>
        <w:t>未收回。</w:t>
      </w:r>
    </w:p>
    <w:p>
      <w:pPr>
        <w:pStyle w:val="BodyText"/>
        <w:spacing w:line="240" w:lineRule="auto" w:before="30"/>
        <w:ind w:left="658" w:right="0"/>
        <w:jc w:val="left"/>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spacing w:val="-3"/>
          <w:w w:val="100"/>
        </w:rPr>
        <w:t>日</w:t>
      </w:r>
      <w:r>
        <w:rPr>
          <w:w w:val="100"/>
        </w:rPr>
        <w:t>，</w:t>
      </w:r>
      <w:r>
        <w:rPr>
          <w:spacing w:val="-3"/>
          <w:w w:val="100"/>
        </w:rPr>
        <w:t>公司</w:t>
      </w:r>
      <w:r>
        <w:rPr>
          <w:w w:val="100"/>
        </w:rPr>
        <w:t>与江</w:t>
      </w:r>
      <w:r>
        <w:rPr>
          <w:spacing w:val="-3"/>
          <w:w w:val="100"/>
        </w:rPr>
        <w:t>苏</w:t>
      </w:r>
      <w:r>
        <w:rPr>
          <w:w w:val="100"/>
        </w:rPr>
        <w:t>中</w:t>
      </w:r>
      <w:r>
        <w:rPr>
          <w:spacing w:val="-3"/>
          <w:w w:val="100"/>
        </w:rPr>
        <w:t>兴</w:t>
      </w:r>
      <w:r>
        <w:rPr>
          <w:w w:val="100"/>
        </w:rPr>
        <w:t>新</w:t>
      </w:r>
      <w:r>
        <w:rPr>
          <w:spacing w:val="-3"/>
          <w:w w:val="100"/>
        </w:rPr>
        <w:t>泰</w:t>
      </w:r>
      <w:r>
        <w:rPr>
          <w:w w:val="100"/>
        </w:rPr>
        <w:t>物</w:t>
      </w:r>
      <w:r>
        <w:rPr>
          <w:spacing w:val="-3"/>
          <w:w w:val="100"/>
        </w:rPr>
        <w:t>联</w:t>
      </w:r>
      <w:r>
        <w:rPr>
          <w:w w:val="100"/>
        </w:rPr>
        <w:t>网</w:t>
      </w:r>
      <w:r>
        <w:rPr>
          <w:spacing w:val="-3"/>
          <w:w w:val="100"/>
        </w:rPr>
        <w:t>科</w:t>
      </w:r>
      <w:r>
        <w:rPr>
          <w:w w:val="100"/>
        </w:rPr>
        <w:t>技园</w:t>
      </w:r>
      <w:r>
        <w:rPr>
          <w:spacing w:val="-3"/>
          <w:w w:val="100"/>
        </w:rPr>
        <w:t>有</w:t>
      </w:r>
      <w:r>
        <w:rPr>
          <w:w w:val="100"/>
        </w:rPr>
        <w:t>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w w:val="100"/>
        </w:rPr>
        <w:t>“中</w:t>
      </w:r>
      <w:r>
        <w:rPr>
          <w:spacing w:val="-3"/>
          <w:w w:val="100"/>
        </w:rPr>
        <w:t>兴</w:t>
      </w:r>
      <w:r>
        <w:rPr>
          <w:w w:val="100"/>
        </w:rPr>
        <w:t>新</w:t>
      </w:r>
      <w:r>
        <w:rPr>
          <w:spacing w:val="-3"/>
          <w:w w:val="100"/>
        </w:rPr>
        <w:t>泰</w:t>
      </w:r>
      <w:r>
        <w:rPr>
          <w:spacing w:val="-106"/>
          <w:w w:val="100"/>
        </w:rPr>
        <w:t>”</w:t>
      </w:r>
      <w:r>
        <w:rPr>
          <w:w w:val="100"/>
        </w:rPr>
        <w:t>）</w:t>
      </w:r>
    </w:p>
    <w:p>
      <w:pPr>
        <w:pStyle w:val="BodyText"/>
        <w:spacing w:line="355" w:lineRule="auto" w:before="133"/>
        <w:ind w:left="238" w:right="233"/>
        <w:jc w:val="left"/>
      </w:pPr>
      <w:r>
        <w:rPr/>
        <w:t>签订协议，将上述债权作价人民币</w:t>
      </w:r>
      <w:r>
        <w:rPr>
          <w:spacing w:val="-55"/>
        </w:rPr>
        <w:t> </w:t>
      </w:r>
      <w:r>
        <w:rPr>
          <w:rFonts w:ascii="宋体" w:hAnsi="宋体" w:cs="宋体" w:eastAsia="宋体" w:hint="default"/>
        </w:rPr>
        <w:t>440</w:t>
      </w:r>
      <w:r>
        <w:rPr>
          <w:rFonts w:ascii="宋体" w:hAnsi="宋体" w:cs="宋体" w:eastAsia="宋体" w:hint="default"/>
          <w:spacing w:val="-55"/>
        </w:rPr>
        <w:t> </w:t>
      </w:r>
      <w:r>
        <w:rPr/>
        <w:t>万元转让给中兴新泰，关于泰兴市智慧城市项目的后续子</w:t>
      </w:r>
      <w:r>
        <w:rPr>
          <w:w w:val="100"/>
        </w:rPr>
        <w:t> </w:t>
      </w:r>
      <w:r>
        <w:rPr/>
        <w:t>项目收入分配，双方将根据提供资源情况另行约定。</w:t>
      </w:r>
    </w:p>
    <w:p>
      <w:pPr>
        <w:pStyle w:val="BodyText"/>
        <w:spacing w:line="357" w:lineRule="auto" w:before="32"/>
        <w:ind w:left="238" w:right="0" w:firstLine="419"/>
        <w:jc w:val="left"/>
      </w:pP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日，已收到款项</w:t>
      </w:r>
      <w:r>
        <w:rPr>
          <w:spacing w:val="-53"/>
        </w:rPr>
        <w:t> </w:t>
      </w:r>
      <w:r>
        <w:rPr>
          <w:rFonts w:ascii="宋体" w:hAnsi="宋体" w:cs="宋体" w:eastAsia="宋体" w:hint="default"/>
        </w:rPr>
        <w:t>264</w:t>
      </w:r>
      <w:r>
        <w:rPr>
          <w:rFonts w:ascii="宋体" w:hAnsi="宋体" w:cs="宋体" w:eastAsia="宋体" w:hint="default"/>
          <w:spacing w:val="-55"/>
        </w:rPr>
        <w:t> </w:t>
      </w:r>
      <w:r>
        <w:rPr/>
        <w:t>万元，余款于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月收回，因此不计提坏账</w:t>
      </w:r>
      <w:r>
        <w:rPr>
          <w:w w:val="100"/>
        </w:rPr>
        <w:t> </w:t>
      </w:r>
      <w:r>
        <w:rPr/>
        <w:t>准备。</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73" w:lineRule="exact"/>
        <w:ind w:left="238" w:right="0"/>
        <w:jc w:val="both"/>
      </w:pPr>
      <w:r>
        <w:rPr/>
        <w:t>组合中，采用余额百分比法计提坏账准备的其他应收款：</w:t>
      </w:r>
    </w:p>
    <w:p>
      <w:pPr>
        <w:pStyle w:val="BodyText"/>
        <w:spacing w:line="273" w:lineRule="exact"/>
        <w:ind w:left="23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left="238" w:right="0"/>
        <w:jc w:val="both"/>
      </w:pPr>
      <w:r>
        <w:rPr/>
        <w:t>组合中，采用其他方法计提坏账准备的其他应收款：</w:t>
      </w:r>
    </w:p>
    <w:p>
      <w:pPr>
        <w:pStyle w:val="BodyText"/>
        <w:spacing w:line="273" w:lineRule="exact"/>
        <w:ind w:left="2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38" w:right="0"/>
        <w:jc w:val="both"/>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left="238" w:right="2124"/>
        <w:jc w:val="left"/>
      </w:pPr>
      <w:r>
        <w:rPr/>
        <w:t>本期计提坏账准备金额</w:t>
      </w:r>
      <w:r>
        <w:rPr>
          <w:spacing w:val="-53"/>
        </w:rPr>
        <w:t> </w:t>
      </w:r>
      <w:r>
        <w:rPr>
          <w:rFonts w:ascii="Times New Roman" w:hAnsi="Times New Roman" w:cs="Times New Roman" w:eastAsia="Times New Roman" w:hint="default"/>
        </w:rPr>
        <w:t>171,401.55</w:t>
      </w:r>
      <w:r>
        <w:rPr>
          <w:rFonts w:ascii="Times New Roman" w:hAnsi="Times New Roman" w:cs="Times New Roman" w:eastAsia="Times New Roman" w:hint="default"/>
          <w:spacing w:val="-1"/>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left="238" w:right="0"/>
        <w:jc w:val="both"/>
      </w:pPr>
      <w:r>
        <w:rPr/>
        <w:t>□适用</w:t>
      </w:r>
      <w:r>
        <w:rPr>
          <w:spacing w:val="-1"/>
        </w:rPr>
        <w:t> </w:t>
      </w:r>
      <w:r>
        <w:rPr/>
        <w:t>√不适用</w:t>
      </w:r>
    </w:p>
    <w:p>
      <w:pPr>
        <w:spacing w:after="0" w:line="249" w:lineRule="exact"/>
        <w:jc w:val="both"/>
        <w:sectPr>
          <w:pgSz w:w="11910" w:h="16840"/>
          <w:pgMar w:header="882" w:footer="1195" w:top="1120" w:bottom="1380" w:left="1560" w:right="1040"/>
        </w:sectPr>
      </w:pPr>
    </w:p>
    <w:p>
      <w:pPr>
        <w:spacing w:line="240" w:lineRule="auto" w:before="1"/>
        <w:rPr>
          <w:rFonts w:ascii="宋体" w:hAnsi="宋体" w:cs="宋体" w:eastAsia="宋体" w:hint="default"/>
          <w:sz w:val="25"/>
          <w:szCs w:val="25"/>
        </w:rPr>
      </w:pPr>
    </w:p>
    <w:p>
      <w:pPr>
        <w:pStyle w:val="Heading4"/>
        <w:spacing w:line="240" w:lineRule="auto" w:before="36"/>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2" w:lineRule="exact" w:before="86"/>
        <w:ind w:right="4688"/>
        <w:jc w:val="left"/>
      </w:pPr>
      <w:r>
        <w:rPr/>
        <w:t>□适用</w:t>
      </w:r>
      <w:r>
        <w:rPr>
          <w:spacing w:val="-2"/>
        </w:rPr>
        <w:t> </w:t>
      </w:r>
      <w:r>
        <w:rPr/>
        <w:t>√不适用</w:t>
      </w:r>
      <w:r>
        <w:rPr>
          <w:w w:val="100"/>
        </w:rPr>
        <w:t> </w:t>
      </w:r>
      <w:r>
        <w:rPr>
          <w:spacing w:val="-2"/>
        </w:rPr>
        <w:t>其中重要的其他应收款核销情况：</w:t>
      </w:r>
    </w:p>
    <w:p>
      <w:pPr>
        <w:pStyle w:val="BodyText"/>
        <w:spacing w:line="272" w:lineRule="exact" w:before="1"/>
        <w:ind w:right="6920"/>
        <w:jc w:val="left"/>
      </w:pPr>
      <w:r>
        <w:rPr/>
        <w:t>□适用</w:t>
      </w:r>
      <w:r>
        <w:rPr>
          <w:spacing w:val="-2"/>
        </w:rPr>
        <w:t> </w:t>
      </w:r>
      <w:r>
        <w:rPr/>
        <w:t>√不适用</w:t>
      </w:r>
      <w:r>
        <w:rPr>
          <w:w w:val="100"/>
        </w:rPr>
        <w:t> </w:t>
      </w:r>
      <w:r>
        <w:rPr>
          <w:spacing w:val="-2"/>
        </w:rPr>
        <w:t>其他应收款核销说明：</w:t>
      </w:r>
    </w:p>
    <w:p>
      <w:pPr>
        <w:pStyle w:val="BodyText"/>
        <w:spacing w:line="249"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投标保证金、押金及备用金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991,343.98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4,054,002.36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资产转让款（保证金尾款）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贵州项目合作款（逾期转入）</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53,496,667.00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7,788,709.01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10,278,932.77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4,713,021.99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14,745,573.78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增资款转往来款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13,493,074.98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233,075,175.91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82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7"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上海躬盛网络</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4,713,021.99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34.93</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七彩文旅资产</w:t>
            </w:r>
          </w:p>
          <w:p>
            <w:pPr>
              <w:pStyle w:val="TableParagraph"/>
              <w:spacing w:line="237" w:lineRule="auto"/>
              <w:ind w:left="26" w:right="182"/>
              <w:jc w:val="both"/>
              <w:rPr>
                <w:rFonts w:ascii="宋体" w:hAnsi="宋体" w:cs="宋体" w:eastAsia="宋体" w:hint="default"/>
                <w:sz w:val="21"/>
                <w:szCs w:val="21"/>
              </w:rPr>
            </w:pPr>
            <w:r>
              <w:rPr>
                <w:rFonts w:ascii="宋体" w:hAnsi="宋体" w:cs="宋体" w:eastAsia="宋体" w:hint="default"/>
                <w:sz w:val="21"/>
                <w:szCs w:val="21"/>
              </w:rPr>
              <w:t>管理（浙江）</w:t>
            </w:r>
            <w:r>
              <w:rPr>
                <w:rFonts w:ascii="宋体" w:hAnsi="宋体" w:cs="宋体" w:eastAsia="宋体" w:hint="default"/>
                <w:w w:val="100"/>
                <w:sz w:val="21"/>
                <w:szCs w:val="21"/>
              </w:rPr>
              <w:t> </w:t>
            </w:r>
            <w:r>
              <w:rPr>
                <w:rFonts w:ascii="宋体" w:hAnsi="宋体" w:cs="宋体" w:eastAsia="宋体" w:hint="default"/>
                <w:sz w:val="21"/>
                <w:szCs w:val="21"/>
              </w:rPr>
              <w:t>有限公司杭州</w:t>
            </w:r>
            <w:r>
              <w:rPr>
                <w:rFonts w:ascii="宋体" w:hAnsi="宋体" w:cs="宋体" w:eastAsia="宋体" w:hint="default"/>
                <w:w w:val="100"/>
                <w:sz w:val="21"/>
                <w:szCs w:val="21"/>
              </w:rPr>
              <w:t> </w:t>
            </w:r>
            <w:r>
              <w:rPr>
                <w:rFonts w:ascii="宋体" w:hAnsi="宋体" w:cs="宋体" w:eastAsia="宋体" w:hint="default"/>
                <w:sz w:val="21"/>
                <w:szCs w:val="21"/>
              </w:rPr>
              <w:t>分公司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125,000.00</w:t>
            </w:r>
          </w:p>
        </w:tc>
      </w:tr>
      <w:tr>
        <w:trPr>
          <w:trHeight w:val="82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江苏中兴新泰</w:t>
            </w:r>
          </w:p>
          <w:p>
            <w:pPr>
              <w:pStyle w:val="TableParagraph"/>
              <w:spacing w:line="240" w:lineRule="auto"/>
              <w:ind w:left="26" w:right="182"/>
              <w:jc w:val="left"/>
              <w:rPr>
                <w:rFonts w:ascii="宋体" w:hAnsi="宋体" w:cs="宋体" w:eastAsia="宋体" w:hint="default"/>
                <w:sz w:val="21"/>
                <w:szCs w:val="21"/>
              </w:rPr>
            </w:pPr>
            <w:r>
              <w:rPr>
                <w:rFonts w:ascii="宋体" w:hAnsi="宋体" w:cs="宋体" w:eastAsia="宋体" w:hint="default"/>
                <w:sz w:val="21"/>
                <w:szCs w:val="21"/>
              </w:rPr>
              <w:t>物联网科技园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13.04</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长沙浏阳河产</w:t>
            </w:r>
          </w:p>
          <w:p>
            <w:pPr>
              <w:pStyle w:val="TableParagraph"/>
              <w:spacing w:line="272" w:lineRule="exact" w:before="27"/>
              <w:ind w:left="26" w:right="182"/>
              <w:jc w:val="left"/>
              <w:rPr>
                <w:rFonts w:ascii="宋体" w:hAnsi="宋体" w:cs="宋体" w:eastAsia="宋体" w:hint="default"/>
                <w:sz w:val="21"/>
                <w:szCs w:val="21"/>
              </w:rPr>
            </w:pPr>
            <w:r>
              <w:rPr>
                <w:rFonts w:ascii="宋体" w:hAnsi="宋体" w:cs="宋体" w:eastAsia="宋体" w:hint="default"/>
                <w:sz w:val="21"/>
                <w:szCs w:val="21"/>
              </w:rPr>
              <w:t>业带建设有限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1,743,045.71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79,862.51</w:t>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湖南中锴置业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981,862.54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49,093.13</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11,697,930.24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86.70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253,955.64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1046"/>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40" w:lineRule="auto" w:before="56"/>
        <w:ind w:left="138" w:right="1046"/>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1046"/>
        <w:jc w:val="left"/>
      </w:pPr>
      <w:r>
        <w:rPr/>
        <w:t>其他说明：</w:t>
      </w:r>
    </w:p>
    <w:p>
      <w:pPr>
        <w:pStyle w:val="BodyText"/>
        <w:spacing w:line="274" w:lineRule="exact"/>
        <w:ind w:left="138" w:right="104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0"/>
          <w:pgSz w:w="11910" w:h="16840"/>
          <w:pgMar w:footer="1195" w:header="882" w:top="1120" w:bottom="1380" w:left="1660" w:right="1120"/>
        </w:sectPr>
      </w:pPr>
    </w:p>
    <w:p>
      <w:pPr>
        <w:pStyle w:val="Heading4"/>
        <w:tabs>
          <w:tab w:pos="769" w:val="left" w:leader="none"/>
          <w:tab w:pos="977" w:val="left" w:leader="none"/>
        </w:tabs>
        <w:spacing w:line="290" w:lineRule="auto" w:before="36"/>
        <w:ind w:left="138"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4"/>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02"/>
        <w:gridCol w:w="1193"/>
        <w:gridCol w:w="1248"/>
        <w:gridCol w:w="1251"/>
        <w:gridCol w:w="1229"/>
        <w:gridCol w:w="1239"/>
        <w:gridCol w:w="1234"/>
      </w:tblGrid>
      <w:tr>
        <w:trPr>
          <w:trHeight w:val="281"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02"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172,633.30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172,633.30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169,054.35</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169,054.35</w:t>
            </w: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40" w:lineRule="auto"/>
              <w:ind w:left="26" w:right="201"/>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172,633.30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172,633.30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169,054.35</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169,054.35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769" w:val="left" w:leader="none"/>
        </w:tabs>
        <w:spacing w:line="240" w:lineRule="auto" w:before="36"/>
        <w:ind w:left="138" w:right="1046"/>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138" w:right="1046"/>
        <w:jc w:val="left"/>
      </w:pPr>
      <w:r>
        <w:rPr/>
        <w:t>□适用</w:t>
      </w:r>
      <w:r>
        <w:rPr>
          <w:spacing w:val="-1"/>
        </w:rPr>
        <w:t> </w:t>
      </w:r>
      <w:r>
        <w:rPr/>
        <w:t>√不适用</w:t>
      </w:r>
    </w:p>
    <w:p>
      <w:pPr>
        <w:pStyle w:val="Heading4"/>
        <w:tabs>
          <w:tab w:pos="769" w:val="left" w:leader="none"/>
        </w:tabs>
        <w:spacing w:line="240" w:lineRule="auto" w:before="56"/>
        <w:ind w:left="138" w:right="1046"/>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69" w:val="left" w:leader="none"/>
        </w:tabs>
        <w:spacing w:line="240" w:lineRule="auto"/>
        <w:ind w:left="138" w:right="1046"/>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7"/>
        <w:ind w:left="138" w:right="7394"/>
        <w:jc w:val="left"/>
      </w:pPr>
      <w:r>
        <w:rPr/>
        <w:t>□适用</w:t>
      </w:r>
      <w:r>
        <w:rPr>
          <w:spacing w:val="-1"/>
        </w:rPr>
        <w:t> </w:t>
      </w:r>
      <w:r>
        <w:rPr/>
        <w:t>√不适用</w:t>
      </w:r>
      <w:r>
        <w:rPr>
          <w:w w:val="100"/>
        </w:rPr>
        <w:t> </w:t>
      </w:r>
      <w:r>
        <w:rPr/>
        <w:t>其他说明</w:t>
      </w:r>
    </w:p>
    <w:p>
      <w:pPr>
        <w:pStyle w:val="BodyText"/>
        <w:spacing w:line="271" w:lineRule="exact"/>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left="138" w:right="1046"/>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1"/>
          <w:pgSz w:w="11910" w:h="16840"/>
          <w:pgMar w:footer="1195" w:header="882" w:top="1120" w:bottom="1380" w:left="1580" w:right="1040"/>
          <w:pgNumType w:start="111"/>
        </w:sectPr>
      </w:pPr>
    </w:p>
    <w:p>
      <w:pPr>
        <w:pStyle w:val="Heading4"/>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多缴个人所得税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631.34</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631.34</w:t>
            </w:r>
          </w:p>
        </w:tc>
        <w:tc>
          <w:tcPr>
            <w:tcW w:w="28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465"/>
        <w:jc w:val="left"/>
      </w:pPr>
      <w:r>
        <w:rPr/>
        <w:t>其他说明</w:t>
      </w:r>
    </w:p>
    <w:p>
      <w:pPr>
        <w:pStyle w:val="BodyText"/>
        <w:spacing w:line="273" w:lineRule="exact"/>
        <w:ind w:right="2465"/>
        <w:jc w:val="left"/>
      </w:pPr>
      <w:r>
        <w:rPr/>
        <w:t>其他流动资产为公司多缴的个人所得税。</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4"/>
        <w:tabs>
          <w:tab w:pos="861" w:val="left" w:leader="none"/>
        </w:tabs>
        <w:spacing w:line="240" w:lineRule="auto" w:before="57"/>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8"/>
        <w:ind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71" w:space="3550"/>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57"/>
        <w:gridCol w:w="1428"/>
        <w:gridCol w:w="1018"/>
        <w:gridCol w:w="1428"/>
        <w:gridCol w:w="974"/>
        <w:gridCol w:w="989"/>
        <w:gridCol w:w="1001"/>
      </w:tblGrid>
      <w:tr>
        <w:trPr>
          <w:trHeight w:val="283" w:hRule="exact"/>
        </w:trPr>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057"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42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14,454,675.01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14,454,675.01</w:t>
            </w: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42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14,454,675.01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14,454,675.01</w:t>
            </w: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5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14,454,675.01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14,454,675.01</w:t>
            </w: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tabs>
          <w:tab w:pos="861" w:val="left" w:leader="none"/>
        </w:tabs>
        <w:spacing w:line="240" w:lineRule="auto" w:before="36"/>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right="0"/>
        <w:jc w:val="left"/>
      </w:pPr>
      <w:r>
        <w:rPr/>
        <w:t>□适用</w:t>
      </w:r>
      <w:r>
        <w:rPr>
          <w:spacing w:val="-1"/>
        </w:rPr>
        <w:t> </w:t>
      </w:r>
      <w:r>
        <w:rPr/>
        <w:t>√不适用</w:t>
      </w:r>
    </w:p>
    <w:p>
      <w:pPr>
        <w:pStyle w:val="Heading4"/>
        <w:tabs>
          <w:tab w:pos="861" w:val="left" w:leader="none"/>
        </w:tabs>
        <w:spacing w:line="240" w:lineRule="auto" w:before="56"/>
        <w:ind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823"/>
        <w:gridCol w:w="821"/>
        <w:gridCol w:w="823"/>
        <w:gridCol w:w="823"/>
        <w:gridCol w:w="824"/>
        <w:gridCol w:w="823"/>
        <w:gridCol w:w="823"/>
        <w:gridCol w:w="821"/>
        <w:gridCol w:w="881"/>
        <w:gridCol w:w="763"/>
      </w:tblGrid>
      <w:tr>
        <w:trPr>
          <w:trHeight w:val="71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96" w:right="192"/>
              <w:jc w:val="center"/>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5"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237" w:lineRule="auto" w:before="78"/>
              <w:ind w:left="120" w:right="11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65" w:right="16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02" w:hRule="exact"/>
        </w:trPr>
        <w:tc>
          <w:tcPr>
            <w:tcW w:w="823" w:type="dxa"/>
            <w:vMerge/>
            <w:tcBorders>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6" w:right="19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6"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8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9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上海慧</w:t>
            </w:r>
          </w:p>
          <w:p>
            <w:pPr>
              <w:pStyle w:val="TableParagraph"/>
              <w:spacing w:line="232" w:lineRule="exact" w:before="24"/>
              <w:ind w:left="103" w:right="168"/>
              <w:jc w:val="both"/>
              <w:rPr>
                <w:rFonts w:ascii="宋体" w:hAnsi="宋体" w:cs="宋体" w:eastAsia="宋体" w:hint="default"/>
                <w:sz w:val="18"/>
                <w:szCs w:val="18"/>
              </w:rPr>
            </w:pPr>
            <w:r>
              <w:rPr>
                <w:rFonts w:ascii="宋体" w:hAnsi="宋体" w:cs="宋体" w:eastAsia="宋体" w:hint="default"/>
                <w:sz w:val="18"/>
                <w:szCs w:val="18"/>
              </w:rPr>
              <w:t>球通信 科技有 限公司</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14,45</w:t>
            </w:r>
          </w:p>
          <w:p>
            <w:pPr>
              <w:pStyle w:val="TableParagraph"/>
              <w:spacing w:line="272" w:lineRule="exact"/>
              <w:ind w:left="184" w:right="0"/>
              <w:jc w:val="left"/>
              <w:rPr>
                <w:rFonts w:ascii="宋体" w:hAnsi="宋体" w:cs="宋体" w:eastAsia="宋体" w:hint="default"/>
                <w:sz w:val="21"/>
                <w:szCs w:val="21"/>
              </w:rPr>
            </w:pPr>
            <w:r>
              <w:rPr>
                <w:rFonts w:ascii="宋体"/>
                <w:sz w:val="21"/>
              </w:rPr>
              <w:t>4,675</w:t>
            </w:r>
          </w:p>
          <w:p>
            <w:pPr>
              <w:pStyle w:val="TableParagraph"/>
              <w:spacing w:line="273" w:lineRule="exact"/>
              <w:ind w:left="396" w:right="0"/>
              <w:jc w:val="left"/>
              <w:rPr>
                <w:rFonts w:ascii="宋体" w:hAnsi="宋体" w:cs="宋体" w:eastAsia="宋体" w:hint="default"/>
                <w:sz w:val="21"/>
                <w:szCs w:val="21"/>
              </w:rPr>
            </w:pPr>
            <w:r>
              <w:rPr>
                <w:rFonts w:ascii="宋体"/>
                <w:sz w:val="21"/>
              </w:rPr>
              <w:t>.01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14,45</w:t>
            </w:r>
          </w:p>
          <w:p>
            <w:pPr>
              <w:pStyle w:val="TableParagraph"/>
              <w:spacing w:line="272" w:lineRule="exact"/>
              <w:ind w:left="184" w:right="0"/>
              <w:jc w:val="left"/>
              <w:rPr>
                <w:rFonts w:ascii="宋体" w:hAnsi="宋体" w:cs="宋体" w:eastAsia="宋体" w:hint="default"/>
                <w:sz w:val="21"/>
                <w:szCs w:val="21"/>
              </w:rPr>
            </w:pPr>
            <w:r>
              <w:rPr>
                <w:rFonts w:ascii="宋体"/>
                <w:sz w:val="21"/>
              </w:rPr>
              <w:t>4,675</w:t>
            </w:r>
          </w:p>
          <w:p>
            <w:pPr>
              <w:pStyle w:val="TableParagraph"/>
              <w:spacing w:line="273" w:lineRule="exact"/>
              <w:ind w:left="395" w:right="0"/>
              <w:jc w:val="left"/>
              <w:rPr>
                <w:rFonts w:ascii="宋体" w:hAnsi="宋体" w:cs="宋体" w:eastAsia="宋体" w:hint="default"/>
                <w:sz w:val="21"/>
                <w:szCs w:val="21"/>
              </w:rPr>
            </w:pPr>
            <w:r>
              <w:rPr>
                <w:rFonts w:ascii="宋体"/>
                <w:sz w:val="21"/>
              </w:rPr>
              <w:t>.01</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sz w:val="21"/>
              </w:rPr>
              <w:t>5%</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14,45</w:t>
            </w:r>
          </w:p>
          <w:p>
            <w:pPr>
              <w:pStyle w:val="TableParagraph"/>
              <w:spacing w:line="272" w:lineRule="exact"/>
              <w:ind w:left="184" w:right="0"/>
              <w:jc w:val="left"/>
              <w:rPr>
                <w:rFonts w:ascii="宋体" w:hAnsi="宋体" w:cs="宋体" w:eastAsia="宋体" w:hint="default"/>
                <w:sz w:val="21"/>
                <w:szCs w:val="21"/>
              </w:rPr>
            </w:pPr>
            <w:r>
              <w:rPr>
                <w:rFonts w:ascii="宋体"/>
                <w:sz w:val="21"/>
              </w:rPr>
              <w:t>4,675</w:t>
            </w:r>
          </w:p>
          <w:p>
            <w:pPr>
              <w:pStyle w:val="TableParagraph"/>
              <w:spacing w:line="273" w:lineRule="exact"/>
              <w:ind w:left="396" w:right="0"/>
              <w:jc w:val="left"/>
              <w:rPr>
                <w:rFonts w:ascii="宋体" w:hAnsi="宋体" w:cs="宋体" w:eastAsia="宋体" w:hint="default"/>
                <w:sz w:val="21"/>
                <w:szCs w:val="21"/>
              </w:rPr>
            </w:pPr>
            <w:r>
              <w:rPr>
                <w:rFonts w:ascii="宋体"/>
                <w:sz w:val="21"/>
              </w:rPr>
              <w:t>.01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14,45</w:t>
            </w:r>
          </w:p>
          <w:p>
            <w:pPr>
              <w:pStyle w:val="TableParagraph"/>
              <w:spacing w:line="272" w:lineRule="exact"/>
              <w:ind w:left="184" w:right="0"/>
              <w:jc w:val="left"/>
              <w:rPr>
                <w:rFonts w:ascii="宋体" w:hAnsi="宋体" w:cs="宋体" w:eastAsia="宋体" w:hint="default"/>
                <w:sz w:val="21"/>
                <w:szCs w:val="21"/>
              </w:rPr>
            </w:pPr>
            <w:r>
              <w:rPr>
                <w:rFonts w:ascii="宋体"/>
                <w:sz w:val="21"/>
              </w:rPr>
              <w:t>4,675</w:t>
            </w:r>
          </w:p>
          <w:p>
            <w:pPr>
              <w:pStyle w:val="TableParagraph"/>
              <w:spacing w:line="273" w:lineRule="exact"/>
              <w:ind w:left="395" w:right="0"/>
              <w:jc w:val="left"/>
              <w:rPr>
                <w:rFonts w:ascii="宋体" w:hAnsi="宋体" w:cs="宋体" w:eastAsia="宋体" w:hint="default"/>
                <w:sz w:val="21"/>
                <w:szCs w:val="21"/>
              </w:rPr>
            </w:pPr>
            <w:r>
              <w:rPr>
                <w:rFonts w:ascii="宋体"/>
                <w:sz w:val="21"/>
              </w:rPr>
              <w:t>.01</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tabs>
          <w:tab w:pos="861" w:val="left" w:leader="none"/>
        </w:tabs>
        <w:spacing w:line="240" w:lineRule="auto" w:before="36"/>
        <w:ind w:right="2465"/>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8"/>
        <w:ind w:right="2465"/>
        <w:jc w:val="left"/>
      </w:pPr>
      <w:r>
        <w:rPr/>
        <w:t>□适用</w:t>
      </w:r>
      <w:r>
        <w:rPr>
          <w:spacing w:val="-1"/>
        </w:rPr>
        <w:t> </w:t>
      </w:r>
      <w:r>
        <w:rPr/>
        <w:t>√不适用</w:t>
      </w:r>
    </w:p>
    <w:p>
      <w:pPr>
        <w:pStyle w:val="Heading4"/>
        <w:tabs>
          <w:tab w:pos="861" w:val="left" w:leader="none"/>
        </w:tabs>
        <w:spacing w:line="240" w:lineRule="auto" w:before="56"/>
        <w:ind w:right="97"/>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7"/>
        <w:ind w:right="7474"/>
        <w:jc w:val="left"/>
      </w:pPr>
      <w:r>
        <w:rPr/>
        <w:t>□适用</w:t>
      </w:r>
      <w:r>
        <w:rPr>
          <w:spacing w:val="-1"/>
        </w:rPr>
        <w:t> </w:t>
      </w:r>
      <w:r>
        <w:rPr/>
        <w:t>√不适用</w:t>
      </w:r>
      <w:r>
        <w:rPr>
          <w:w w:val="100"/>
        </w:rPr>
        <w:t> </w:t>
      </w:r>
      <w:r>
        <w:rPr/>
        <w:t>其他说明</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left="138" w:right="643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6" w:lineRule="exact"/>
        <w:ind w:left="138" w:right="1046"/>
        <w:jc w:val="left"/>
      </w:pPr>
      <w:r>
        <w:rPr/>
        <w:t>□适用</w:t>
      </w:r>
      <w:r>
        <w:rPr>
          <w:spacing w:val="-1"/>
        </w:rPr>
        <w:t> </w:t>
      </w:r>
      <w:r>
        <w:rPr/>
        <w:t>√不适用</w:t>
      </w:r>
    </w:p>
    <w:p>
      <w:pPr>
        <w:pStyle w:val="Heading4"/>
        <w:spacing w:line="272" w:lineRule="exact"/>
        <w:ind w:left="138" w:right="1046"/>
        <w:jc w:val="left"/>
        <w:rPr>
          <w:b w:val="0"/>
          <w:bCs w:val="0"/>
        </w:rPr>
      </w:pPr>
      <w:r>
        <w:rPr>
          <w:rFonts w:ascii="宋体" w:hAnsi="宋体" w:cs="宋体" w:eastAsia="宋体" w:hint="default"/>
        </w:rPr>
        <w:t>(2).</w:t>
      </w:r>
      <w:r>
        <w:rPr/>
        <w:t>期末重要的持有至到期投资：</w:t>
      </w:r>
      <w:r>
        <w:rPr>
          <w:b w:val="0"/>
          <w:bCs w:val="0"/>
        </w:rPr>
      </w:r>
    </w:p>
    <w:p>
      <w:pPr>
        <w:spacing w:before="0"/>
        <w:ind w:left="138" w:right="559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71" w:lineRule="exact"/>
        <w:ind w:left="138" w:right="1046"/>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1046"/>
        <w:jc w:val="left"/>
      </w:pPr>
      <w:r>
        <w:rPr/>
        <w:t>其他说明：</w:t>
      </w:r>
    </w:p>
    <w:p>
      <w:pPr>
        <w:pStyle w:val="BodyText"/>
        <w:spacing w:line="274" w:lineRule="exact"/>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4"/>
        <w:spacing w:line="240" w:lineRule="auto" w:before="56"/>
        <w:ind w:left="138" w:right="1046"/>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8"/>
        <w:ind w:left="138" w:right="1046"/>
        <w:jc w:val="left"/>
      </w:pPr>
      <w:r>
        <w:rPr/>
        <w:t>□适用</w:t>
      </w:r>
      <w:r>
        <w:rPr>
          <w:spacing w:val="-1"/>
        </w:rPr>
        <w:t> </w:t>
      </w:r>
      <w:r>
        <w:rPr/>
        <w:t>√不适用</w:t>
      </w:r>
    </w:p>
    <w:p>
      <w:pPr>
        <w:pStyle w:val="Heading4"/>
        <w:spacing w:line="240" w:lineRule="auto" w:before="56"/>
        <w:ind w:left="138" w:right="1046"/>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left="138" w:right="1046"/>
        <w:jc w:val="left"/>
      </w:pPr>
      <w:r>
        <w:rPr/>
        <w:t>其他说明</w:t>
      </w:r>
    </w:p>
    <w:p>
      <w:pPr>
        <w:pStyle w:val="BodyText"/>
        <w:spacing w:line="273" w:lineRule="exact"/>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4"/>
        <w:spacing w:line="240" w:lineRule="auto" w:before="36"/>
        <w:ind w:left="138" w:right="-19"/>
        <w:jc w:val="left"/>
        <w:rPr>
          <w:b w:val="0"/>
          <w:bCs w:val="0"/>
        </w:rPr>
      </w:pPr>
      <w:r>
        <w:rPr>
          <w:rFonts w:ascii="宋体" w:hAnsi="宋体" w:cs="宋体" w:eastAsia="宋体" w:hint="default"/>
        </w:rPr>
        <w:t>18</w:t>
      </w:r>
      <w:r>
        <w:rPr/>
        <w:t>、</w:t>
      </w:r>
      <w:r>
        <w:rPr>
          <w:spacing w:val="-25"/>
        </w:rPr>
        <w:t> </w:t>
      </w:r>
      <w:r>
        <w:rPr/>
        <w:t>固定资产</w:t>
      </w:r>
      <w:r>
        <w:rPr>
          <w:b w:val="0"/>
          <w:bCs w:val="0"/>
        </w:rPr>
      </w:r>
    </w:p>
    <w:p>
      <w:pPr>
        <w:pStyle w:val="Heading4"/>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994" w:space="452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93"/>
        <w:gridCol w:w="1262"/>
        <w:gridCol w:w="1320"/>
        <w:gridCol w:w="1262"/>
        <w:gridCol w:w="1321"/>
        <w:gridCol w:w="1438"/>
      </w:tblGrid>
      <w:tr>
        <w:trPr>
          <w:trHeight w:val="55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2,188,377.35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sz w:val="21"/>
              </w:rPr>
              <w:t>440,452.86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1,977,125.50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4,605,955.71</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33,601.26</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179,538.77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213,140.03</w:t>
            </w: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33,601.26</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179,538.77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213,140.03</w:t>
            </w:r>
          </w:p>
        </w:tc>
      </w:tr>
      <w:tr>
        <w:trPr>
          <w:trHeight w:val="55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1,528,002.50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1,853,680.00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3,381,682.50</w:t>
            </w:r>
          </w:p>
        </w:tc>
      </w:tr>
      <w:tr>
        <w:trPr>
          <w:trHeight w:val="28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901,100.00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1,853,680.00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2,754,780.00</w:t>
            </w: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18"/>
                <w:szCs w:val="18"/>
              </w:rPr>
            </w:pPr>
            <w:r>
              <w:rPr>
                <w:rFonts w:ascii="宋体" w:hAnsi="宋体" w:cs="宋体" w:eastAsia="宋体" w:hint="default"/>
                <w:sz w:val="21"/>
                <w:szCs w:val="21"/>
              </w:rPr>
              <w:t>(2)</w:t>
            </w:r>
            <w:r>
              <w:rPr>
                <w:rFonts w:ascii="宋体" w:hAnsi="宋体" w:cs="宋体" w:eastAsia="宋体" w:hint="default"/>
                <w:sz w:val="18"/>
                <w:szCs w:val="18"/>
              </w:rPr>
              <w:t>处置子公司</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626,902.50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626,902.50</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693,976.11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440,452.86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302,984.27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1,437,413.24</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293"/>
        <w:gridCol w:w="1262"/>
        <w:gridCol w:w="1320"/>
        <w:gridCol w:w="1262"/>
        <w:gridCol w:w="1321"/>
        <w:gridCol w:w="1438"/>
      </w:tblGrid>
      <w:tr>
        <w:trPr>
          <w:trHeight w:val="28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649,192.92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237,399.20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186,666.09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1,073,258.21</w:t>
            </w: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114,026.57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53,370.40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18,412.55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185,809.52</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114,026.57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53,370.40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18,412.55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185,809.52</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204,217.25</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107,548.25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311,765.50</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40,751.84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107,548.25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148,300.09</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18"/>
                <w:szCs w:val="18"/>
              </w:rPr>
            </w:pPr>
            <w:r>
              <w:rPr>
                <w:rFonts w:ascii="宋体" w:hAnsi="宋体" w:cs="宋体" w:eastAsia="宋体" w:hint="default"/>
                <w:sz w:val="21"/>
                <w:szCs w:val="21"/>
              </w:rPr>
              <w:t>(2)</w:t>
            </w:r>
            <w:r>
              <w:rPr>
                <w:rFonts w:ascii="宋体" w:hAnsi="宋体" w:cs="宋体" w:eastAsia="宋体" w:hint="default"/>
                <w:sz w:val="18"/>
                <w:szCs w:val="18"/>
              </w:rPr>
              <w:t>处置子公司</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163,465.41</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163,465.41</w:t>
            </w: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559,002.24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290,769.60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97,530.39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947,302.23</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134,973.87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149,683.26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205,453.88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490,111.01</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2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1,539,184.43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203,053.66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1,790,459.41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3,532,697.50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138" w:right="1046"/>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138" w:right="1046"/>
        <w:jc w:val="left"/>
      </w:pPr>
      <w:r>
        <w:rPr/>
        <w:t>□适用</w:t>
      </w:r>
      <w:r>
        <w:rPr>
          <w:spacing w:val="-1"/>
        </w:rPr>
        <w:t> </w:t>
      </w:r>
      <w:r>
        <w:rPr/>
        <w:t>√不适用</w:t>
      </w:r>
    </w:p>
    <w:p>
      <w:pPr>
        <w:pStyle w:val="Heading4"/>
        <w:spacing w:line="240" w:lineRule="auto" w:before="56"/>
        <w:ind w:left="138" w:right="1046"/>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138" w:right="1046"/>
        <w:jc w:val="left"/>
      </w:pPr>
      <w:r>
        <w:rPr/>
        <w:t>□适用</w:t>
      </w:r>
      <w:r>
        <w:rPr>
          <w:spacing w:val="-1"/>
        </w:rPr>
        <w:t> </w:t>
      </w:r>
      <w:r>
        <w:rPr/>
        <w:t>√不适用</w:t>
      </w:r>
    </w:p>
    <w:p>
      <w:pPr>
        <w:pStyle w:val="Heading4"/>
        <w:spacing w:line="240" w:lineRule="auto" w:before="58"/>
        <w:ind w:left="138" w:right="1046"/>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138" w:right="1046"/>
        <w:jc w:val="left"/>
      </w:pPr>
      <w:r>
        <w:rPr/>
        <w:t>□适用</w:t>
      </w:r>
      <w:r>
        <w:rPr>
          <w:spacing w:val="-1"/>
        </w:rPr>
        <w:t> </w:t>
      </w:r>
      <w:r>
        <w:rPr/>
        <w:t>√不适用</w:t>
      </w:r>
    </w:p>
    <w:p>
      <w:pPr>
        <w:pStyle w:val="Heading4"/>
        <w:spacing w:line="240" w:lineRule="auto" w:before="58"/>
        <w:ind w:left="138" w:right="1046"/>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138" w:right="7394"/>
        <w:jc w:val="left"/>
      </w:pPr>
      <w:r>
        <w:rPr/>
        <w:t>□适用</w:t>
      </w:r>
      <w:r>
        <w:rPr>
          <w:spacing w:val="-1"/>
        </w:rPr>
        <w:t> </w:t>
      </w:r>
      <w:r>
        <w:rPr/>
        <w:t>√不适用</w:t>
      </w:r>
      <w:r>
        <w:rPr>
          <w:w w:val="100"/>
        </w:rPr>
        <w:t> </w:t>
      </w:r>
      <w:r>
        <w:rPr/>
        <w:t>其他说明：</w:t>
      </w:r>
    </w:p>
    <w:p>
      <w:pPr>
        <w:pStyle w:val="BodyText"/>
        <w:spacing w:line="271" w:lineRule="exact"/>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19</w:t>
      </w:r>
      <w:r>
        <w:rPr/>
        <w:t>、</w:t>
      </w:r>
      <w:r>
        <w:rPr>
          <w:spacing w:val="-25"/>
        </w:rPr>
        <w:t> </w:t>
      </w:r>
      <w:r>
        <w:rPr/>
        <w:t>在建工程</w:t>
      </w:r>
      <w:r>
        <w:rPr>
          <w:b w:val="0"/>
          <w:bCs w:val="0"/>
        </w:rPr>
      </w:r>
    </w:p>
    <w:p>
      <w:pPr>
        <w:pStyle w:val="Heading4"/>
        <w:spacing w:line="240" w:lineRule="auto" w:before="58"/>
        <w:ind w:left="138" w:right="1046"/>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6"/>
        <w:ind w:left="138" w:right="1046"/>
        <w:jc w:val="left"/>
      </w:pPr>
      <w:r>
        <w:rPr/>
        <w:t>□适用</w:t>
      </w:r>
      <w:r>
        <w:rPr>
          <w:spacing w:val="-1"/>
        </w:rPr>
        <w:t> </w:t>
      </w:r>
      <w:r>
        <w:rPr/>
        <w:t>√不适用</w:t>
      </w:r>
    </w:p>
    <w:p>
      <w:pPr>
        <w:pStyle w:val="Heading4"/>
        <w:spacing w:line="240" w:lineRule="auto" w:before="58"/>
        <w:ind w:left="138" w:right="1046"/>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138" w:right="1046"/>
        <w:jc w:val="left"/>
      </w:pPr>
      <w:r>
        <w:rPr/>
        <w:t>□适用</w:t>
      </w:r>
      <w:r>
        <w:rPr>
          <w:spacing w:val="-1"/>
        </w:rPr>
        <w:t> </w:t>
      </w:r>
      <w:r>
        <w:rPr/>
        <w:t>√不适用</w:t>
      </w:r>
    </w:p>
    <w:p>
      <w:pPr>
        <w:pStyle w:val="Heading4"/>
        <w:spacing w:line="240" w:lineRule="auto" w:before="58"/>
        <w:ind w:left="138" w:right="1046"/>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6"/>
        <w:ind w:left="138" w:right="7394"/>
        <w:jc w:val="left"/>
      </w:pPr>
      <w:r>
        <w:rPr/>
        <w:t>□适用</w:t>
      </w:r>
      <w:r>
        <w:rPr>
          <w:spacing w:val="-1"/>
        </w:rPr>
        <w:t> </w:t>
      </w:r>
      <w:r>
        <w:rPr/>
        <w:t>√不适用</w:t>
      </w:r>
      <w:r>
        <w:rPr>
          <w:w w:val="100"/>
        </w:rPr>
        <w:t> </w:t>
      </w:r>
      <w:r>
        <w:rPr/>
        <w:t>其他说明</w:t>
      </w:r>
    </w:p>
    <w:p>
      <w:pPr>
        <w:pStyle w:val="BodyText"/>
        <w:spacing w:line="271" w:lineRule="exact"/>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20</w:t>
      </w:r>
      <w:r>
        <w:rPr/>
        <w:t>、</w:t>
      </w:r>
      <w:r>
        <w:rPr>
          <w:spacing w:val="-25"/>
        </w:rPr>
        <w:t> </w:t>
      </w:r>
      <w:r>
        <w:rPr/>
        <w:t>工程物资</w:t>
      </w:r>
      <w:r>
        <w:rPr>
          <w:b w:val="0"/>
          <w:bCs w:val="0"/>
        </w:rPr>
      </w:r>
    </w:p>
    <w:p>
      <w:pPr>
        <w:pStyle w:val="BodyText"/>
        <w:spacing w:line="240" w:lineRule="auto" w:before="58"/>
        <w:ind w:left="138" w:right="1046"/>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right="2465"/>
        <w:jc w:val="left"/>
        <w:rPr>
          <w:b w:val="0"/>
          <w:bCs w:val="0"/>
        </w:rPr>
      </w:pPr>
      <w:r>
        <w:rPr>
          <w:rFonts w:ascii="宋体" w:hAnsi="宋体" w:cs="宋体" w:eastAsia="宋体" w:hint="default"/>
        </w:rPr>
        <w:t>21</w:t>
      </w:r>
      <w:r>
        <w:rPr/>
        <w:t>、</w:t>
      </w:r>
      <w:r>
        <w:rPr>
          <w:spacing w:val="-24"/>
        </w:rPr>
        <w:t> </w:t>
      </w:r>
      <w:r>
        <w:rPr/>
        <w:t>固定资产清理</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22</w:t>
      </w:r>
      <w:r>
        <w:rPr/>
        <w:t>、</w:t>
      </w:r>
      <w:r>
        <w:rPr>
          <w:spacing w:val="-24"/>
        </w:rPr>
        <w:t> </w:t>
      </w:r>
      <w:r>
        <w:rPr/>
        <w:t>生产性生物资产</w:t>
      </w:r>
      <w:r>
        <w:rPr>
          <w:b w:val="0"/>
          <w:bCs w:val="0"/>
        </w:rPr>
      </w:r>
    </w:p>
    <w:p>
      <w:pPr>
        <w:pStyle w:val="Heading4"/>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right="2465"/>
        <w:jc w:val="left"/>
      </w:pPr>
      <w:r>
        <w:rPr/>
        <w:t>□适用</w:t>
      </w:r>
      <w:r>
        <w:rPr>
          <w:spacing w:val="-1"/>
        </w:rPr>
        <w:t> </w:t>
      </w:r>
      <w:r>
        <w:rPr/>
        <w:t>√不适用</w:t>
      </w:r>
    </w:p>
    <w:p>
      <w:pPr>
        <w:pStyle w:val="Heading4"/>
        <w:spacing w:line="240" w:lineRule="auto" w:before="58"/>
        <w:ind w:right="2465"/>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23</w:t>
      </w:r>
      <w:r>
        <w:rPr/>
        <w:t>、</w:t>
      </w:r>
      <w:r>
        <w:rPr>
          <w:spacing w:val="-25"/>
        </w:rPr>
        <w:t> </w:t>
      </w:r>
      <w:r>
        <w:rPr/>
        <w:t>油气资产</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24</w:t>
      </w:r>
      <w:r>
        <w:rPr/>
        <w:t>、</w:t>
      </w:r>
      <w:r>
        <w:rPr>
          <w:spacing w:val="-25"/>
        </w:rPr>
        <w:t> </w:t>
      </w:r>
      <w:r>
        <w:rPr/>
        <w:t>无形资产</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60" w:val="left" w:leader="none"/>
        </w:tabs>
        <w:spacing w:line="240" w:lineRule="auto" w:before="58"/>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2"/>
        <w:gridCol w:w="1373"/>
        <w:gridCol w:w="1373"/>
        <w:gridCol w:w="1327"/>
        <w:gridCol w:w="1388"/>
        <w:gridCol w:w="1596"/>
      </w:tblGrid>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227,425.00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227,425.00</w:t>
            </w:r>
          </w:p>
        </w:tc>
      </w:tr>
      <w:tr>
        <w:trPr>
          <w:trHeight w:val="557"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227,425.00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227,425.00</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16,494.38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16,494.38</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21,605.35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21,605.35</w:t>
            </w: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21,605.35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21,605.35</w:t>
            </w:r>
          </w:p>
        </w:tc>
      </w:tr>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92"/>
        <w:gridCol w:w="1373"/>
        <w:gridCol w:w="1373"/>
        <w:gridCol w:w="1327"/>
        <w:gridCol w:w="1388"/>
        <w:gridCol w:w="1596"/>
      </w:tblGrid>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07"/>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38,099.73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38,099.73</w:t>
            </w: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9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189,325.27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189,325.27</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210,930.62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210,930.62</w:t>
            </w:r>
          </w:p>
        </w:tc>
      </w:tr>
    </w:tbl>
    <w:p>
      <w:pPr>
        <w:spacing w:line="240" w:lineRule="auto" w:before="2"/>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25</w:t>
      </w:r>
      <w:r>
        <w:rPr/>
        <w:t>、</w:t>
      </w:r>
      <w:r>
        <w:rPr>
          <w:spacing w:val="-25"/>
        </w:rPr>
        <w:t> </w:t>
      </w:r>
      <w:r>
        <w:rPr/>
        <w:t>开发支出</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26</w:t>
      </w:r>
      <w:r>
        <w:rPr/>
        <w:t>、</w:t>
      </w:r>
      <w:r>
        <w:rPr>
          <w:spacing w:val="-26"/>
        </w:rPr>
        <w:t> </w:t>
      </w:r>
      <w:r>
        <w:rPr/>
        <w:t>商誉</w:t>
      </w:r>
      <w:r>
        <w:rPr>
          <w:b w:val="0"/>
          <w:bCs w:val="0"/>
        </w:rPr>
      </w:r>
    </w:p>
    <w:p>
      <w:pPr>
        <w:pStyle w:val="Heading4"/>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spacing w:line="290" w:lineRule="auto" w:before="57"/>
        <w:ind w:left="218" w:right="71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40" w:lineRule="auto" w:before="12"/>
        <w:ind w:right="2465"/>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71"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其他说明</w:t>
      </w:r>
    </w:p>
    <w:p>
      <w:pPr>
        <w:spacing w:line="290" w:lineRule="auto" w:before="0"/>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4"/>
        <w:ind w:right="2465"/>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90" w:lineRule="auto" w:before="36"/>
        <w:ind w:right="-18"/>
        <w:jc w:val="left"/>
        <w:rPr>
          <w:b w:val="0"/>
          <w:bCs w:val="0"/>
        </w:rPr>
      </w:pPr>
      <w:r>
        <w:rPr>
          <w:rFonts w:ascii="宋体" w:hAnsi="宋体" w:cs="宋体" w:eastAsia="宋体" w:hint="default"/>
        </w:rPr>
        <w:t>28</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1,582,562.22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395,640.56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1,063,509.93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265,877.48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1,582,562.22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395,640.56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1,063,509.93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265,877.48</w:t>
            </w:r>
          </w:p>
        </w:tc>
      </w:tr>
    </w:tbl>
    <w:p>
      <w:pPr>
        <w:spacing w:line="240" w:lineRule="auto" w:before="2"/>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2465"/>
        <w:jc w:val="left"/>
      </w:pPr>
      <w:r>
        <w:rPr/>
        <w:t>□适用</w:t>
      </w:r>
      <w:r>
        <w:rPr>
          <w:spacing w:val="-1"/>
        </w:rPr>
        <w:t> </w:t>
      </w:r>
      <w:r>
        <w:rPr/>
        <w:t>√不适用</w:t>
      </w:r>
    </w:p>
    <w:p>
      <w:pPr>
        <w:pStyle w:val="Heading4"/>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2465"/>
        <w:jc w:val="left"/>
      </w:pPr>
      <w:r>
        <w:rPr/>
        <w:t>□适用</w:t>
      </w:r>
      <w:r>
        <w:rPr>
          <w:spacing w:val="-1"/>
        </w:rPr>
        <w:t> </w:t>
      </w:r>
      <w:r>
        <w:rPr/>
        <w:t>√不适用</w:t>
      </w:r>
    </w:p>
    <w:p>
      <w:pPr>
        <w:pStyle w:val="Heading4"/>
        <w:spacing w:line="240" w:lineRule="auto" w:before="56"/>
        <w:ind w:right="2465"/>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2465"/>
        <w:jc w:val="left"/>
      </w:pPr>
      <w:r>
        <w:rPr/>
        <w:t>□适用</w:t>
      </w:r>
      <w:r>
        <w:rPr>
          <w:spacing w:val="-1"/>
        </w:rPr>
        <w:t> </w:t>
      </w:r>
      <w:r>
        <w:rPr/>
        <w:t>√不适用</w:t>
      </w:r>
    </w:p>
    <w:p>
      <w:pPr>
        <w:pStyle w:val="Heading4"/>
        <w:spacing w:line="240" w:lineRule="auto" w:before="56"/>
        <w:ind w:right="2465"/>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72" w:lineRule="exact" w:before="87"/>
        <w:ind w:right="7474"/>
        <w:jc w:val="left"/>
      </w:pPr>
      <w:r>
        <w:rPr/>
        <w:t>□适用</w:t>
      </w:r>
      <w:r>
        <w:rPr>
          <w:spacing w:val="-1"/>
        </w:rPr>
        <w:t> </w:t>
      </w:r>
      <w:r>
        <w:rPr/>
        <w:t>√不适用</w:t>
      </w:r>
      <w:r>
        <w:rPr>
          <w:w w:val="100"/>
        </w:rPr>
        <w:t> </w:t>
      </w:r>
      <w:r>
        <w:rPr/>
        <w:t>其他说明：</w:t>
      </w:r>
    </w:p>
    <w:p>
      <w:pPr>
        <w:pStyle w:val="BodyText"/>
        <w:spacing w:line="249"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29</w:t>
      </w:r>
      <w:r>
        <w:rPr/>
        <w:t>、</w:t>
      </w:r>
      <w:r>
        <w:rPr>
          <w:spacing w:val="-24"/>
        </w:rPr>
        <w:t> </w:t>
      </w:r>
      <w:r>
        <w:rPr/>
        <w:t>其他非流动资产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9,000,000.00</w:t>
            </w:r>
          </w:p>
        </w:tc>
      </w:tr>
    </w:tbl>
    <w:p>
      <w:pPr>
        <w:pStyle w:val="BodyText"/>
        <w:spacing w:line="240" w:lineRule="exact"/>
        <w:ind w:right="2465"/>
        <w:jc w:val="left"/>
      </w:pPr>
      <w:r>
        <w:rPr/>
        <w:t>其他说明：</w:t>
      </w:r>
    </w:p>
    <w:p>
      <w:pPr>
        <w:pStyle w:val="BodyText"/>
        <w:spacing w:line="273" w:lineRule="exact"/>
        <w:ind w:right="2465"/>
        <w:jc w:val="left"/>
      </w:pPr>
      <w:r>
        <w:rPr>
          <w:w w:val="100"/>
        </w:rPr>
        <w:t>无</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30</w:t>
      </w:r>
      <w:r>
        <w:rPr/>
        <w:t>、</w:t>
      </w:r>
      <w:r>
        <w:rPr>
          <w:spacing w:val="-25"/>
        </w:rPr>
        <w:t> </w:t>
      </w:r>
      <w:r>
        <w:rPr/>
        <w:t>短期借款</w:t>
      </w:r>
      <w:r>
        <w:rPr>
          <w:b w:val="0"/>
          <w:bCs w:val="0"/>
        </w:rPr>
      </w:r>
    </w:p>
    <w:p>
      <w:pPr>
        <w:pStyle w:val="Heading4"/>
        <w:tabs>
          <w:tab w:pos="849" w:val="left" w:leader="none"/>
        </w:tabs>
        <w:spacing w:line="240" w:lineRule="auto" w:before="58"/>
        <w:ind w:right="2465"/>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849" w:val="left" w:leader="none"/>
        </w:tabs>
        <w:spacing w:line="240" w:lineRule="auto"/>
        <w:ind w:right="2465"/>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2465"/>
        <w:jc w:val="left"/>
      </w:pPr>
      <w:r>
        <w:rPr/>
        <w:t>其中重要的已逾期未偿还的短期借款情况如下：</w:t>
      </w:r>
    </w:p>
    <w:p>
      <w:pPr>
        <w:pStyle w:val="BodyText"/>
        <w:spacing w:line="272" w:lineRule="exact" w:before="27"/>
        <w:ind w:right="7474"/>
        <w:jc w:val="left"/>
      </w:pPr>
      <w:r>
        <w:rPr/>
        <w:t>□适用</w:t>
      </w:r>
      <w:r>
        <w:rPr>
          <w:spacing w:val="-1"/>
        </w:rPr>
        <w:t> </w:t>
      </w:r>
      <w:r>
        <w:rPr/>
        <w:t>√不适用</w:t>
      </w:r>
      <w:r>
        <w:rPr>
          <w:w w:val="100"/>
        </w:rPr>
        <w:t> </w:t>
      </w:r>
      <w:r>
        <w:rPr/>
        <w:t>其他说明</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31</w:t>
      </w:r>
      <w:r>
        <w:rPr/>
        <w:t>、</w:t>
      </w:r>
      <w:r>
        <w:rPr>
          <w:spacing w:val="-27"/>
        </w:rPr>
        <w:t> </w:t>
      </w:r>
      <w:r>
        <w:rPr/>
        <w:t>以公允价值计量且其变动计入当期损益的金融负债</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32</w:t>
      </w:r>
      <w:r>
        <w:rPr/>
        <w:t>、</w:t>
      </w:r>
      <w:r>
        <w:rPr>
          <w:spacing w:val="-24"/>
        </w:rPr>
        <w:t> </w:t>
      </w:r>
      <w:r>
        <w:rPr/>
        <w:t>衍生金融负债</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33</w:t>
      </w:r>
      <w:r>
        <w:rPr/>
        <w:t>、</w:t>
      </w:r>
      <w:r>
        <w:rPr>
          <w:spacing w:val="-25"/>
        </w:rPr>
        <w:t> </w:t>
      </w:r>
      <w:r>
        <w:rPr/>
        <w:t>应付票据</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1,314,407.00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1,314,407.00</w:t>
            </w:r>
          </w:p>
        </w:tc>
      </w:tr>
    </w:tbl>
    <w:p>
      <w:pPr>
        <w:pStyle w:val="BodyText"/>
        <w:spacing w:line="241" w:lineRule="exact"/>
        <w:ind w:right="2465"/>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34</w:t>
      </w:r>
      <w:r>
        <w:rPr/>
        <w:t>、</w:t>
      </w:r>
      <w:r>
        <w:rPr>
          <w:spacing w:val="-25"/>
        </w:rPr>
        <w:t> </w:t>
      </w:r>
      <w:r>
        <w:rPr/>
        <w:t>应付账款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应付项目款</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833,643.70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3,007,686.33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443,760.33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3,007,686.33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1,277,404.03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before="36"/>
        <w:ind w:right="2465"/>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72" w:lineRule="exact" w:before="69"/>
        <w:ind w:right="7474"/>
        <w:jc w:val="left"/>
      </w:pPr>
      <w:r>
        <w:rPr/>
        <w:t>□适用</w:t>
      </w:r>
      <w:r>
        <w:rPr>
          <w:spacing w:val="-1"/>
        </w:rPr>
        <w:t> </w:t>
      </w:r>
      <w:r>
        <w:rPr/>
        <w:t>√不适用</w:t>
      </w:r>
      <w:r>
        <w:rPr>
          <w:w w:val="100"/>
        </w:rPr>
        <w:t> </w:t>
      </w:r>
      <w:r>
        <w:rPr/>
        <w:t>其他说明</w:t>
      </w:r>
    </w:p>
    <w:p>
      <w:pPr>
        <w:pStyle w:val="BodyText"/>
        <w:spacing w:line="249"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35</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预收物业管理费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2,232,587.11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5,074,183.24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2,232,587.11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5,074,183.24</w:t>
            </w:r>
          </w:p>
        </w:tc>
      </w:tr>
    </w:tbl>
    <w:p>
      <w:pPr>
        <w:spacing w:line="240" w:lineRule="auto" w:before="2"/>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90" w:lineRule="auto" w:before="36"/>
        <w:ind w:right="-16"/>
        <w:jc w:val="left"/>
        <w:rPr>
          <w:b w:val="0"/>
          <w:bCs w:val="0"/>
        </w:rPr>
      </w:pPr>
      <w:r>
        <w:rPr>
          <w:rFonts w:ascii="宋体" w:hAnsi="宋体" w:cs="宋体" w:eastAsia="宋体" w:hint="default"/>
        </w:rPr>
        <w:t>36</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437,094.27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21,998,203.49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19,270,716.55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3,164,581.21</w:t>
            </w:r>
          </w:p>
        </w:tc>
      </w:tr>
      <w:tr>
        <w:trPr>
          <w:trHeight w:val="55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1,392,611.90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1,392,611.90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437,094.27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23,390,815.39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20,663,328.45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3,164,581.21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319,501.72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19,334,757.33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16,607,270.39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3,046,988.66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1,032,520.23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1,032,520.23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108,352.00</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949,006.72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949,006.72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843,447.93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843,447.93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40,946.98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40,946.98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64,611.81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64,611.81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527,098.00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527,098.00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9,240.55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140,279.00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140,279.00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9,240.55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21"/>
                <w:szCs w:val="21"/>
              </w:rPr>
              <w:t>八、</w:t>
            </w:r>
            <w:r>
              <w:rPr>
                <w:rFonts w:ascii="宋体" w:hAnsi="宋体" w:cs="宋体" w:eastAsia="宋体" w:hint="default"/>
                <w:sz w:val="18"/>
                <w:szCs w:val="18"/>
              </w:rPr>
              <w:t>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14,542.21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14,542.21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437,094.27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21,998,203.49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19,270,716.55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3,164,581.21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1,320,402.83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1,320,402.83</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72,209.07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72,209.07</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1,392,611.90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1,392,611.90</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37</w:t>
      </w:r>
      <w:r>
        <w:rPr/>
        <w:t>、</w:t>
      </w:r>
      <w:r>
        <w:rPr>
          <w:spacing w:val="-25"/>
        </w:rPr>
        <w:t> </w:t>
      </w:r>
      <w:r>
        <w:rPr/>
        <w:t>应交税费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840,131.75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635,170.11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518,066.20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538,115.11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31,949.30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70,008.66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69,870.77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41,407.20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47,744.48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29,955.26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43,141.71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43,141.71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36,771.41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15,784.30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1,587,675.62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1,373,582.35</w:t>
            </w: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4"/>
        <w:rPr>
          <w:rFonts w:ascii="宋体" w:hAnsi="宋体" w:cs="宋体" w:eastAsia="宋体" w:hint="default"/>
          <w:sz w:val="23"/>
          <w:szCs w:val="23"/>
        </w:rPr>
      </w:pPr>
    </w:p>
    <w:p>
      <w:pPr>
        <w:pStyle w:val="Heading4"/>
        <w:spacing w:line="240" w:lineRule="auto"/>
        <w:ind w:right="2465"/>
        <w:jc w:val="left"/>
        <w:rPr>
          <w:b w:val="0"/>
          <w:bCs w:val="0"/>
        </w:rPr>
      </w:pPr>
      <w:r>
        <w:rPr>
          <w:rFonts w:ascii="宋体" w:hAnsi="宋体" w:cs="宋体" w:eastAsia="宋体" w:hint="default"/>
        </w:rPr>
        <w:t>38</w:t>
      </w:r>
      <w:r>
        <w:rPr/>
        <w:t>、</w:t>
      </w:r>
      <w:r>
        <w:rPr>
          <w:spacing w:val="-25"/>
        </w:rPr>
        <w:t> </w:t>
      </w:r>
      <w:r>
        <w:rPr/>
        <w:t>应付利息</w:t>
      </w:r>
      <w:r>
        <w:rPr>
          <w:b w:val="0"/>
          <w:bCs w:val="0"/>
        </w:rPr>
      </w:r>
    </w:p>
    <w:p>
      <w:pPr>
        <w:pStyle w:val="BodyText"/>
        <w:spacing w:line="240" w:lineRule="auto" w:before="56"/>
        <w:ind w:right="4688"/>
        <w:jc w:val="left"/>
      </w:pPr>
      <w:r>
        <w:rPr/>
        <w:t>□适用</w:t>
      </w:r>
      <w:r>
        <w:rPr>
          <w:spacing w:val="-2"/>
        </w:rPr>
        <w:t> </w:t>
      </w:r>
      <w:r>
        <w:rPr/>
        <w:t>√不适用</w:t>
      </w:r>
      <w:r>
        <w:rPr>
          <w:w w:val="100"/>
        </w:rPr>
        <w:t> </w:t>
      </w:r>
      <w:r>
        <w:rPr>
          <w:spacing w:val="-2"/>
        </w:rPr>
        <w:t>重要的已逾期未支付的利息情况：</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3"/>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right="2465"/>
        <w:jc w:val="left"/>
        <w:rPr>
          <w:b w:val="0"/>
          <w:bCs w:val="0"/>
        </w:rPr>
      </w:pPr>
      <w:r>
        <w:rPr>
          <w:rFonts w:ascii="宋体" w:hAnsi="宋体" w:cs="宋体" w:eastAsia="宋体" w:hint="default"/>
        </w:rPr>
        <w:t>39</w:t>
      </w:r>
      <w:r>
        <w:rPr/>
        <w:t>、</w:t>
      </w:r>
      <w:r>
        <w:rPr>
          <w:spacing w:val="-25"/>
        </w:rPr>
        <w:t> </w:t>
      </w:r>
      <w:r>
        <w:rPr/>
        <w:t>应付股利</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40</w:t>
      </w:r>
      <w:r>
        <w:rPr/>
        <w:t>、</w:t>
      </w:r>
      <w:r>
        <w:rPr>
          <w:spacing w:val="-25"/>
        </w:rPr>
        <w:t> </w:t>
      </w:r>
      <w:r>
        <w:rPr/>
        <w:t>其他应付款</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1,997,316.90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4,339,725.04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5,468,925.52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9,450,371.66</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22,970,518.99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183,800,000.00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3,824,375.52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3,251,647.68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34,261,136.93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200,841,744.38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02"/>
          <w:pgSz w:w="11910" w:h="16840"/>
          <w:pgMar w:footer="1195" w:header="882" w:top="1120" w:bottom="1380" w:left="1580" w:right="1040"/>
        </w:sectPr>
      </w:pPr>
    </w:p>
    <w:p>
      <w:pPr>
        <w:pStyle w:val="Heading4"/>
        <w:spacing w:line="240" w:lineRule="auto" w:before="36"/>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暂无后续处理方案</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19,170,518.99</w:t>
            </w: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22,970,518.99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5"/>
          <w:szCs w:val="15"/>
        </w:rPr>
      </w:pPr>
    </w:p>
    <w:p>
      <w:pPr>
        <w:pStyle w:val="BodyText"/>
        <w:spacing w:line="273" w:lineRule="exact" w:before="36"/>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41</w:t>
      </w:r>
      <w:r>
        <w:rPr/>
        <w:t>、</w:t>
      </w:r>
      <w:r>
        <w:rPr>
          <w:spacing w:val="-24"/>
        </w:rPr>
        <w:t> </w:t>
      </w:r>
      <w:r>
        <w:rPr/>
        <w:t>持有待售负债</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42</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279" w:firstLine="0"/>
        <w:jc w:val="left"/>
        <w:rPr>
          <w:rFonts w:ascii="宋体" w:hAnsi="宋体" w:cs="宋体" w:eastAsia="宋体" w:hint="default"/>
          <w:sz w:val="21"/>
          <w:szCs w:val="21"/>
        </w:rPr>
      </w:pPr>
      <w:r>
        <w:rPr>
          <w:rFonts w:ascii="宋体" w:hAnsi="宋体" w:cs="宋体" w:eastAsia="宋体" w:hint="default"/>
          <w:b/>
          <w:bCs/>
          <w:sz w:val="21"/>
          <w:szCs w:val="21"/>
        </w:rPr>
        <w:t>43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spacing w:line="226" w:lineRule="exact"/>
        <w:ind w:right="2465"/>
        <w:jc w:val="left"/>
      </w:pPr>
      <w:r>
        <w:rPr/>
        <w:t>□适用</w:t>
      </w:r>
      <w:r>
        <w:rPr>
          <w:spacing w:val="-1"/>
        </w:rPr>
        <w:t> </w:t>
      </w:r>
      <w:r>
        <w:rPr/>
        <w:t>√不适用</w:t>
      </w:r>
    </w:p>
    <w:p>
      <w:pPr>
        <w:pStyle w:val="BodyText"/>
        <w:spacing w:line="272" w:lineRule="exact"/>
        <w:ind w:right="2465"/>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2"/>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right="2465"/>
        <w:jc w:val="left"/>
        <w:rPr>
          <w:b w:val="0"/>
          <w:bCs w:val="0"/>
        </w:rPr>
      </w:pPr>
      <w:r>
        <w:rPr>
          <w:rFonts w:ascii="宋体" w:hAnsi="宋体" w:cs="宋体" w:eastAsia="宋体" w:hint="default"/>
        </w:rPr>
        <w:t>44</w:t>
      </w:r>
      <w:r>
        <w:rPr/>
        <w:t>、</w:t>
      </w:r>
      <w:r>
        <w:rPr>
          <w:spacing w:val="-25"/>
        </w:rPr>
        <w:t> </w:t>
      </w:r>
      <w:r>
        <w:rPr/>
        <w:t>长期借款</w:t>
      </w:r>
      <w:r>
        <w:rPr>
          <w:b w:val="0"/>
          <w:bCs w:val="0"/>
        </w:rPr>
      </w:r>
    </w:p>
    <w:p>
      <w:pPr>
        <w:pStyle w:val="Heading4"/>
        <w:tabs>
          <w:tab w:pos="849" w:val="left" w:leader="none"/>
        </w:tabs>
        <w:spacing w:line="240" w:lineRule="auto" w:before="58"/>
        <w:ind w:right="2465"/>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73" w:lineRule="exact"/>
        <w:ind w:right="2465"/>
        <w:jc w:val="left"/>
      </w:pPr>
      <w:r>
        <w:rPr/>
        <w:t>其他说明，包括利率区间：</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889" w:val="left" w:leader="none"/>
        </w:tabs>
        <w:spacing w:line="290" w:lineRule="auto"/>
        <w:ind w:right="7549"/>
        <w:jc w:val="left"/>
        <w:rPr>
          <w:b w:val="0"/>
          <w:bCs w:val="0"/>
        </w:rPr>
      </w:pPr>
      <w:r>
        <w:rPr>
          <w:rFonts w:ascii="宋体" w:hAnsi="宋体" w:cs="宋体" w:eastAsia="宋体" w:hint="default"/>
        </w:rPr>
        <w:t>45</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right="2465"/>
        <w:jc w:val="left"/>
      </w:pPr>
      <w:r>
        <w:rPr/>
        <w:t>□适用</w:t>
      </w:r>
      <w:r>
        <w:rPr>
          <w:spacing w:val="-1"/>
        </w:rPr>
        <w:t> </w:t>
      </w:r>
      <w:r>
        <w:rPr/>
        <w:t>√不适用</w:t>
      </w:r>
    </w:p>
    <w:p>
      <w:pPr>
        <w:pStyle w:val="Heading4"/>
        <w:tabs>
          <w:tab w:pos="889" w:val="left" w:leader="none"/>
        </w:tabs>
        <w:spacing w:line="240" w:lineRule="auto" w:before="56"/>
        <w:ind w:right="97"/>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right="2465"/>
        <w:jc w:val="left"/>
      </w:pPr>
      <w:r>
        <w:rPr/>
        <w:t>□适用</w:t>
      </w:r>
      <w:r>
        <w:rPr>
          <w:spacing w:val="-1"/>
        </w:rPr>
        <w:t> </w:t>
      </w:r>
      <w:r>
        <w:rPr/>
        <w:t>√不适用</w:t>
      </w:r>
    </w:p>
    <w:p>
      <w:pPr>
        <w:pStyle w:val="Heading4"/>
        <w:tabs>
          <w:tab w:pos="889" w:val="left" w:leader="none"/>
        </w:tabs>
        <w:spacing w:line="240" w:lineRule="auto" w:before="56"/>
        <w:ind w:right="2465"/>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889" w:val="left" w:leader="none"/>
        </w:tabs>
        <w:spacing w:line="290" w:lineRule="auto" w:before="175"/>
        <w:ind w:left="218" w:right="38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30"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期末发行在外的优先股、永续债等金融工具变动情况表</w:t>
      </w:r>
    </w:p>
    <w:p>
      <w:pPr>
        <w:pStyle w:val="BodyText"/>
        <w:spacing w:line="290" w:lineRule="auto"/>
        <w:ind w:right="4688"/>
        <w:jc w:val="left"/>
      </w:pPr>
      <w:r>
        <w:rPr/>
        <w:t>□适用</w:t>
      </w:r>
      <w:r>
        <w:rPr>
          <w:spacing w:val="-2"/>
        </w:rPr>
        <w:t> </w:t>
      </w:r>
      <w:r>
        <w:rPr/>
        <w:t>√不适用</w:t>
      </w:r>
      <w:r>
        <w:rPr>
          <w:w w:val="100"/>
        </w:rPr>
        <w:t> </w:t>
      </w:r>
      <w:r>
        <w:rPr>
          <w:spacing w:val="-2"/>
        </w:rPr>
        <w:t>其他金融工具划分为金融负债的依据说明</w:t>
      </w:r>
    </w:p>
    <w:p>
      <w:pPr>
        <w:pStyle w:val="BodyText"/>
        <w:spacing w:line="240" w:lineRule="auto" w:before="12"/>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right="2465"/>
        <w:jc w:val="left"/>
      </w:pPr>
      <w:r>
        <w:rPr/>
        <w:t>其他说明：</w:t>
      </w:r>
    </w:p>
    <w:p>
      <w:pPr>
        <w:pStyle w:val="BodyText"/>
        <w:spacing w:line="240" w:lineRule="auto" w:before="59"/>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right="2465"/>
        <w:jc w:val="left"/>
        <w:rPr>
          <w:b w:val="0"/>
          <w:bCs w:val="0"/>
        </w:rPr>
      </w:pPr>
      <w:r>
        <w:rPr>
          <w:rFonts w:ascii="宋体" w:hAnsi="宋体" w:cs="宋体" w:eastAsia="宋体" w:hint="default"/>
        </w:rPr>
        <w:t>46</w:t>
      </w:r>
      <w:r>
        <w:rPr/>
        <w:t>、</w:t>
      </w:r>
      <w:r>
        <w:rPr>
          <w:spacing w:val="-25"/>
        </w:rPr>
        <w:t> </w:t>
      </w:r>
      <w:r>
        <w:rPr/>
        <w:t>长期应付款</w:t>
      </w:r>
      <w:r>
        <w:rPr>
          <w:b w:val="0"/>
          <w:bCs w:val="0"/>
        </w:rPr>
      </w:r>
    </w:p>
    <w:p>
      <w:pPr>
        <w:pStyle w:val="Heading4"/>
        <w:spacing w:line="274" w:lineRule="exact" w:before="56"/>
        <w:ind w:right="2465"/>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47</w:t>
      </w:r>
      <w:r>
        <w:rPr/>
        <w:t>、</w:t>
      </w:r>
      <w:r>
        <w:rPr>
          <w:spacing w:val="-24"/>
        </w:rPr>
        <w:t> </w:t>
      </w:r>
      <w:r>
        <w:rPr/>
        <w:t>长期应付职工薪酬</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48</w:t>
      </w:r>
      <w:r>
        <w:rPr/>
        <w:t>、</w:t>
      </w:r>
      <w:r>
        <w:rPr>
          <w:spacing w:val="-25"/>
        </w:rPr>
        <w:t> </w:t>
      </w:r>
      <w:r>
        <w:rPr/>
        <w:t>专项应付款</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49</w:t>
      </w:r>
      <w:r>
        <w:rPr/>
        <w:t>、</w:t>
      </w:r>
      <w:r>
        <w:rPr>
          <w:spacing w:val="-25"/>
        </w:rPr>
        <w:t> </w:t>
      </w:r>
      <w:r>
        <w:rPr/>
        <w:t>预计负债</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218" w:right="7701" w:firstLine="0"/>
        <w:jc w:val="left"/>
        <w:rPr>
          <w:rFonts w:ascii="宋体" w:hAnsi="宋体" w:cs="宋体" w:eastAsia="宋体" w:hint="default"/>
          <w:sz w:val="21"/>
          <w:szCs w:val="21"/>
        </w:rPr>
      </w:pP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30" w:lineRule="exact"/>
        <w:ind w:right="2465"/>
        <w:jc w:val="left"/>
      </w:pPr>
      <w:r>
        <w:rPr/>
        <w:t>□适用</w:t>
      </w:r>
      <w:r>
        <w:rPr>
          <w:spacing w:val="-1"/>
        </w:rPr>
        <w:t> </w:t>
      </w:r>
      <w:r>
        <w:rPr/>
        <w:t>√不适用</w:t>
      </w:r>
    </w:p>
    <w:p>
      <w:pPr>
        <w:pStyle w:val="BodyText"/>
        <w:spacing w:line="240" w:lineRule="auto" w:before="56"/>
        <w:ind w:right="2465"/>
        <w:jc w:val="left"/>
      </w:pPr>
      <w:r>
        <w:rPr/>
        <w:t>涉及政府补助的项目：</w:t>
      </w:r>
    </w:p>
    <w:p>
      <w:pPr>
        <w:pStyle w:val="BodyText"/>
        <w:spacing w:line="290" w:lineRule="auto" w:before="58"/>
        <w:ind w:right="7474"/>
        <w:jc w:val="left"/>
      </w:pPr>
      <w:r>
        <w:rPr/>
        <w:t>□适用</w:t>
      </w:r>
      <w:r>
        <w:rPr>
          <w:spacing w:val="-1"/>
        </w:rPr>
        <w:t> </w:t>
      </w:r>
      <w:r>
        <w:rPr/>
        <w:t>√不适用</w:t>
      </w:r>
      <w:r>
        <w:rPr>
          <w:w w:val="100"/>
        </w:rPr>
        <w:t> </w:t>
      </w:r>
      <w:r>
        <w:rPr/>
        <w:t>其他说明：</w:t>
      </w:r>
    </w:p>
    <w:p>
      <w:pPr>
        <w:pStyle w:val="BodyText"/>
        <w:spacing w:line="240" w:lineRule="auto" w:before="14"/>
        <w:ind w:right="2465"/>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03"/>
          <w:pgSz w:w="11910" w:h="16840"/>
          <w:pgMar w:footer="1195" w:header="882" w:top="1120" w:bottom="1380" w:left="1580" w:right="1040"/>
          <w:pgNumType w:start="121"/>
        </w:sectPr>
      </w:pPr>
    </w:p>
    <w:p>
      <w:pPr>
        <w:pStyle w:val="Heading4"/>
        <w:spacing w:line="240" w:lineRule="auto" w:before="36"/>
        <w:ind w:right="-18"/>
        <w:jc w:val="left"/>
        <w:rPr>
          <w:b w:val="0"/>
          <w:bCs w:val="0"/>
        </w:rPr>
      </w:pPr>
      <w:r>
        <w:rPr>
          <w:rFonts w:ascii="宋体" w:hAnsi="宋体" w:cs="宋体" w:eastAsia="宋体" w:hint="default"/>
        </w:rPr>
        <w:t>51</w:t>
      </w:r>
      <w:r>
        <w:rPr/>
        <w:t>、</w:t>
      </w:r>
      <w:r>
        <w:rPr>
          <w:spacing w:val="-24"/>
        </w:rPr>
        <w:t> </w:t>
      </w:r>
      <w:r>
        <w:rPr/>
        <w:t>其他非流动负债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物业管理商业用房维修基金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3,435,143.69</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3,064,451.86</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3,435,143.69</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3,064,451.86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90" w:lineRule="auto" w:before="175"/>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52</w:t>
      </w:r>
      <w:r>
        <w:rPr/>
        <w:t>、</w:t>
      </w:r>
      <w:r>
        <w:rPr>
          <w:spacing w:val="-26"/>
        </w:rPr>
        <w:t> </w:t>
      </w:r>
      <w:r>
        <w:rPr/>
        <w:t>股本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1"/>
        <w:gridCol w:w="1685"/>
        <w:gridCol w:w="840"/>
        <w:gridCol w:w="893"/>
        <w:gridCol w:w="963"/>
        <w:gridCol w:w="979"/>
        <w:gridCol w:w="953"/>
        <w:gridCol w:w="1685"/>
      </w:tblGrid>
      <w:tr>
        <w:trPr>
          <w:trHeight w:val="281" w:hRule="exact"/>
        </w:trPr>
        <w:tc>
          <w:tcPr>
            <w:tcW w:w="1051"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051"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394,793,708.00</w:t>
            </w:r>
          </w:p>
        </w:tc>
        <w:tc>
          <w:tcPr>
            <w:tcW w:w="84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394,793,708.00</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4"/>
        <w:spacing w:line="240" w:lineRule="auto"/>
        <w:ind w:right="2465"/>
        <w:jc w:val="left"/>
        <w:rPr>
          <w:b w:val="0"/>
          <w:bCs w:val="0"/>
        </w:rPr>
      </w:pPr>
      <w:r>
        <w:rPr>
          <w:rFonts w:ascii="宋体" w:hAnsi="宋体" w:cs="宋体" w:eastAsia="宋体" w:hint="default"/>
        </w:rPr>
        <w:t>53</w:t>
      </w:r>
      <w:r>
        <w:rPr/>
        <w:t>、</w:t>
      </w:r>
      <w:r>
        <w:rPr>
          <w:spacing w:val="-24"/>
        </w:rPr>
        <w:t> </w:t>
      </w:r>
      <w:r>
        <w:rPr/>
        <w:t>其他权益工具</w:t>
      </w:r>
      <w:r>
        <w:rPr>
          <w:b w:val="0"/>
          <w:bCs w:val="0"/>
        </w:rPr>
      </w:r>
    </w:p>
    <w:p>
      <w:pPr>
        <w:pStyle w:val="Heading4"/>
        <w:spacing w:line="240" w:lineRule="auto" w:before="58"/>
        <w:ind w:right="2465"/>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2" w:lineRule="exact" w:before="86"/>
        <w:ind w:right="890"/>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49"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54</w:t>
      </w:r>
      <w:r>
        <w:rPr/>
        <w:t>、</w:t>
      </w:r>
      <w:r>
        <w:rPr>
          <w:spacing w:val="-25"/>
        </w:rPr>
        <w:t> </w:t>
      </w:r>
      <w:r>
        <w:rPr/>
        <w:t>资本公积</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344,618,224.96</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344,618,224.96</w:t>
            </w:r>
          </w:p>
        </w:tc>
      </w:tr>
      <w:tr>
        <w:trPr>
          <w:trHeight w:val="28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111,267,787.31</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111,267,787.31</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455,886,012.27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455,886,012.27</w:t>
            </w:r>
          </w:p>
        </w:tc>
      </w:tr>
    </w:tbl>
    <w:p>
      <w:pPr>
        <w:spacing w:line="240" w:lineRule="auto" w:before="5"/>
        <w:rPr>
          <w:rFonts w:ascii="宋体" w:hAnsi="宋体" w:cs="宋体" w:eastAsia="宋体" w:hint="default"/>
          <w:sz w:val="15"/>
          <w:szCs w:val="15"/>
        </w:rPr>
      </w:pPr>
    </w:p>
    <w:p>
      <w:pPr>
        <w:pStyle w:val="BodyText"/>
        <w:spacing w:line="240" w:lineRule="auto" w:before="36"/>
        <w:ind w:right="4094"/>
        <w:jc w:val="left"/>
      </w:pPr>
      <w:r>
        <w:rPr>
          <w:spacing w:val="-2"/>
        </w:rPr>
        <w:t>其他说明，包括本期增减变动情况、变动原因说明：</w:t>
      </w:r>
      <w:r>
        <w:rPr>
          <w:spacing w:val="-62"/>
        </w:rPr>
        <w:t> </w:t>
      </w:r>
      <w:r>
        <w:rPr>
          <w:spacing w:val="-62"/>
        </w:rPr>
      </w:r>
      <w:r>
        <w:rPr/>
        <w:t>无</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55</w:t>
      </w:r>
      <w:r>
        <w:rPr/>
        <w:t>、</w:t>
      </w:r>
      <w:r>
        <w:rPr>
          <w:spacing w:val="-25"/>
        </w:rPr>
        <w:t> </w:t>
      </w:r>
      <w:r>
        <w:rPr/>
        <w:t>库存股</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1046"/>
        <w:jc w:val="left"/>
        <w:rPr>
          <w:b w:val="0"/>
          <w:bCs w:val="0"/>
        </w:rPr>
      </w:pPr>
      <w:r>
        <w:rPr>
          <w:rFonts w:ascii="宋体" w:hAnsi="宋体" w:cs="宋体" w:eastAsia="宋体" w:hint="default"/>
        </w:rPr>
        <w:t>56</w:t>
      </w:r>
      <w:r>
        <w:rPr/>
        <w:t>、</w:t>
      </w:r>
      <w:r>
        <w:rPr>
          <w:spacing w:val="-24"/>
        </w:rPr>
        <w:t> </w:t>
      </w:r>
      <w:r>
        <w:rPr/>
        <w:t>其他综合收益</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57</w:t>
      </w:r>
      <w:r>
        <w:rPr/>
        <w:t>、</w:t>
      </w:r>
      <w:r>
        <w:rPr>
          <w:spacing w:val="-25"/>
        </w:rPr>
        <w:t> </w:t>
      </w:r>
      <w:r>
        <w:rPr/>
        <w:t>专项储备</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20"/>
        </w:sectPr>
      </w:pPr>
    </w:p>
    <w:p>
      <w:pPr>
        <w:pStyle w:val="Heading4"/>
        <w:spacing w:line="240" w:lineRule="auto" w:before="36"/>
        <w:ind w:left="138" w:right="-18"/>
        <w:jc w:val="left"/>
        <w:rPr>
          <w:b w:val="0"/>
          <w:bCs w:val="0"/>
        </w:rPr>
      </w:pPr>
      <w:r>
        <w:rPr>
          <w:rFonts w:ascii="宋体" w:hAnsi="宋体" w:cs="宋体" w:eastAsia="宋体" w:hint="default"/>
        </w:rPr>
        <w:t>58</w:t>
      </w:r>
      <w:r>
        <w:rPr/>
        <w:t>、</w:t>
      </w:r>
      <w:r>
        <w:rPr>
          <w:spacing w:val="-25"/>
        </w:rPr>
        <w:t> </w:t>
      </w:r>
      <w:r>
        <w:rPr/>
        <w:t>盈余公积</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38,483,861.71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38,483,861.71</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38,483,861.71</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38,483,861.71</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pStyle w:val="BodyText"/>
        <w:spacing w:line="290" w:lineRule="auto" w:before="26"/>
        <w:ind w:left="138" w:right="0"/>
        <w:jc w:val="left"/>
      </w:pPr>
      <w:r>
        <w:rPr>
          <w:spacing w:val="-2"/>
        </w:rPr>
        <w:t>盈余公积说明，包括本期增减变动情况、变动原因说明：</w:t>
      </w:r>
      <w:r>
        <w:rPr>
          <w:spacing w:val="-55"/>
        </w:rPr>
        <w:t> </w:t>
      </w:r>
      <w:r>
        <w:rPr>
          <w:spacing w:val="-55"/>
        </w:rPr>
      </w:r>
      <w:r>
        <w:rPr/>
        <w:t>无</w:t>
      </w:r>
    </w:p>
    <w:p>
      <w:pPr>
        <w:pStyle w:val="Heading4"/>
        <w:spacing w:line="240" w:lineRule="auto" w:before="12"/>
        <w:ind w:left="138" w:right="0"/>
        <w:jc w:val="left"/>
        <w:rPr>
          <w:b w:val="0"/>
          <w:bCs w:val="0"/>
        </w:rPr>
      </w:pPr>
      <w:r>
        <w:rPr>
          <w:rFonts w:ascii="宋体" w:hAnsi="宋体" w:cs="宋体" w:eastAsia="宋体" w:hint="default"/>
        </w:rPr>
        <w:t>59</w:t>
      </w:r>
      <w:r>
        <w:rPr/>
        <w:t>、</w:t>
      </w:r>
      <w:r>
        <w:rPr>
          <w:spacing w:val="-25"/>
        </w:rPr>
        <w:t> </w:t>
      </w:r>
      <w:r>
        <w:rPr/>
        <w:t>未分配利润</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395" w:space="112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
              <w:jc w:val="right"/>
              <w:rPr>
                <w:rFonts w:ascii="宋体" w:hAnsi="宋体" w:cs="宋体" w:eastAsia="宋体" w:hint="default"/>
                <w:sz w:val="21"/>
                <w:szCs w:val="21"/>
              </w:rPr>
            </w:pPr>
            <w:r>
              <w:rPr>
                <w:rFonts w:ascii="宋体"/>
                <w:spacing w:val="-1"/>
                <w:sz w:val="21"/>
              </w:rPr>
              <w:t>-814,706,315.12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-788,347,444.48</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-814,706,315.12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-788,347,444.48</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3,169,006.41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-26,358,870.64</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-811,537,308.71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
              <w:jc w:val="right"/>
              <w:rPr>
                <w:rFonts w:ascii="宋体" w:hAnsi="宋体" w:cs="宋体" w:eastAsia="宋体" w:hint="default"/>
                <w:sz w:val="21"/>
                <w:szCs w:val="21"/>
              </w:rPr>
            </w:pPr>
            <w:r>
              <w:rPr>
                <w:rFonts w:ascii="宋体"/>
                <w:spacing w:val="-1"/>
                <w:sz w:val="21"/>
              </w:rPr>
              <w:t>-814,706,315.12</w:t>
            </w:r>
          </w:p>
        </w:tc>
      </w:tr>
    </w:tbl>
    <w:p>
      <w:pPr>
        <w:spacing w:line="240" w:lineRule="auto" w:before="2"/>
        <w:rPr>
          <w:rFonts w:ascii="宋体" w:hAnsi="宋体" w:cs="宋体" w:eastAsia="宋体" w:hint="default"/>
          <w:sz w:val="20"/>
          <w:szCs w:val="20"/>
        </w:rPr>
      </w:pPr>
    </w:p>
    <w:p>
      <w:pPr>
        <w:pStyle w:val="BodyText"/>
        <w:spacing w:line="290" w:lineRule="auto" w:before="36"/>
        <w:ind w:left="138" w:right="104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8" w:lineRule="exact"/>
        <w:ind w:left="138" w:right="1046"/>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138" w:right="1046"/>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138" w:right="1046"/>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138" w:right="1046"/>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after="0" w:line="273"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60</w:t>
      </w:r>
      <w:r>
        <w:rPr/>
        <w:t>、</w:t>
      </w:r>
      <w:r>
        <w:rPr>
          <w:spacing w:val="-23"/>
        </w:rPr>
        <w:t> </w:t>
      </w:r>
      <w:r>
        <w:rPr/>
        <w:t>营业收入和营业成本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61,353,896.86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48,604,343.09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43,439,901.66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39,331,197.01</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4,471,175.57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1,871,353.51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3,442,190.87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871,684.17</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65,825,072.43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50,475,696.60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46,882,092.53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40,202,881.18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
        <w:jc w:val="left"/>
        <w:rPr>
          <w:b w:val="0"/>
          <w:bCs w:val="0"/>
        </w:rPr>
      </w:pPr>
      <w:r>
        <w:rPr>
          <w:rFonts w:ascii="宋体" w:hAnsi="宋体" w:cs="宋体" w:eastAsia="宋体" w:hint="default"/>
        </w:rPr>
        <w:t>61</w:t>
      </w:r>
      <w:r>
        <w:rPr/>
        <w:t>、</w:t>
      </w:r>
      <w:r>
        <w:rPr>
          <w:spacing w:val="-25"/>
        </w:rPr>
        <w:t> </w:t>
      </w:r>
      <w:r>
        <w:rPr/>
        <w:t>税金及附加</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11,452.33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530,279.86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153,714.59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149,911.38</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103,141.43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107,041.15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280,834.99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33,064.33</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2,474.18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41,921.39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551,617.52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862,218.11</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62</w:t>
      </w:r>
      <w:r>
        <w:rPr/>
        <w:t>、</w:t>
      </w:r>
      <w:r>
        <w:rPr>
          <w:spacing w:val="-25"/>
        </w:rPr>
        <w:t> </w:t>
      </w:r>
      <w:r>
        <w:rPr/>
        <w:t>销售费用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1,001,907.21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8,700.00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1,010,607.21</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63</w:t>
      </w:r>
      <w:r>
        <w:rPr/>
        <w:t>、</w:t>
      </w:r>
      <w:r>
        <w:rPr>
          <w:spacing w:val="-25"/>
        </w:rPr>
        <w:t> </w:t>
      </w:r>
      <w:r>
        <w:rPr/>
        <w:t>管理费用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10,581,958.13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12,494,910.54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1,029,031.32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1,332,674.39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1,275,984.01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219,228.56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565,604.86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152,416.82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106,893.00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913,838.69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审计评估费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1,205,200.00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966,838.69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25,600.00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1,105,379.00</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161,341.23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517,202.82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149,330.19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357,881.23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146,069.00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2,508,707.81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471,189.12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1,112,986.69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16,797,979.86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20,602,286.24</w:t>
            </w:r>
          </w:p>
        </w:tc>
      </w:tr>
    </w:tbl>
    <w:p>
      <w:pPr>
        <w:spacing w:line="240" w:lineRule="auto" w:before="5"/>
        <w:rPr>
          <w:rFonts w:ascii="宋体" w:hAnsi="宋体" w:cs="宋体" w:eastAsia="宋体" w:hint="default"/>
          <w:sz w:val="15"/>
          <w:szCs w:val="15"/>
        </w:rPr>
      </w:pPr>
    </w:p>
    <w:p>
      <w:pPr>
        <w:pStyle w:val="BodyText"/>
        <w:spacing w:line="240" w:lineRule="auto" w:before="36"/>
        <w:ind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64</w:t>
      </w:r>
      <w:r>
        <w:rPr/>
        <w:t>、</w:t>
      </w:r>
      <w:r>
        <w:rPr>
          <w:spacing w:val="-25"/>
        </w:rPr>
        <w:t> </w:t>
      </w:r>
      <w:r>
        <w:rPr/>
        <w:t>财务费用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82,937.58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862,908.90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-156,567.03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-214,839.71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48,426.62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140,050.89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-25,202.83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788,120.08</w:t>
            </w: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65</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1,419,950.46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8,343,359.07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1,419,950.46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8,343,359.07</w:t>
            </w:r>
          </w:p>
        </w:tc>
      </w:tr>
    </w:tbl>
    <w:p>
      <w:pPr>
        <w:pStyle w:val="BodyText"/>
        <w:spacing w:line="290" w:lineRule="auto" w:before="26"/>
        <w:ind w:right="7998"/>
        <w:jc w:val="left"/>
      </w:pPr>
      <w:r>
        <w:rPr/>
        <w:t>其他说明：</w:t>
      </w:r>
      <w:r>
        <w:rPr>
          <w:spacing w:val="-102"/>
        </w:rPr>
        <w:t> </w:t>
      </w:r>
      <w:r>
        <w:rPr>
          <w:spacing w:val="-102"/>
        </w:rPr>
      </w:r>
      <w:r>
        <w:rPr/>
        <w:t>无</w:t>
      </w:r>
    </w:p>
    <w:p>
      <w:pPr>
        <w:spacing w:after="0" w:line="29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108"/>
        <w:jc w:val="left"/>
        <w:rPr>
          <w:b w:val="0"/>
          <w:bCs w:val="0"/>
        </w:rPr>
      </w:pPr>
      <w:r>
        <w:rPr>
          <w:rFonts w:ascii="宋体" w:hAnsi="宋体" w:cs="宋体" w:eastAsia="宋体" w:hint="default"/>
        </w:rPr>
        <w:t>66</w:t>
      </w:r>
      <w:r>
        <w:rPr/>
        <w:t>、</w:t>
      </w:r>
      <w:r>
        <w:rPr>
          <w:spacing w:val="-24"/>
        </w:rPr>
        <w:t> </w:t>
      </w:r>
      <w:r>
        <w:rPr/>
        <w:t>公允价值变动收益</w:t>
      </w:r>
      <w:r>
        <w:rPr>
          <w:b w:val="0"/>
          <w:bCs w:val="0"/>
        </w:rPr>
      </w:r>
    </w:p>
    <w:p>
      <w:pPr>
        <w:pStyle w:val="BodyText"/>
        <w:spacing w:line="240" w:lineRule="auto" w:before="56"/>
        <w:ind w:right="10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980"/>
        </w:sectPr>
      </w:pPr>
    </w:p>
    <w:p>
      <w:pPr>
        <w:pStyle w:val="Heading4"/>
        <w:spacing w:line="240" w:lineRule="auto" w:before="36"/>
        <w:ind w:right="-18"/>
        <w:jc w:val="left"/>
        <w:rPr>
          <w:b w:val="0"/>
          <w:bCs w:val="0"/>
        </w:rPr>
      </w:pPr>
      <w:r>
        <w:rPr>
          <w:rFonts w:ascii="宋体" w:hAnsi="宋体" w:cs="宋体" w:eastAsia="宋体" w:hint="default"/>
        </w:rPr>
        <w:t>67</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980"/>
          <w:cols w:num="2" w:equalWidth="0">
            <w:col w:w="1795" w:space="4726"/>
            <w:col w:w="282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9,332,339.05</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9,332,339.05</w:t>
            </w: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right="108"/>
        <w:jc w:val="left"/>
      </w:pPr>
      <w:r>
        <w:rPr/>
        <w:t>其他说明：</w:t>
      </w:r>
    </w:p>
    <w:p>
      <w:pPr>
        <w:pStyle w:val="BodyText"/>
        <w:spacing w:line="357" w:lineRule="auto" w:before="68"/>
        <w:ind w:right="108" w:firstLine="419"/>
        <w:jc w:val="left"/>
        <w:rPr>
          <w:rFonts w:ascii="Times New Roman" w:hAnsi="Times New Roman" w:cs="Times New Roman" w:eastAsia="Times New Roman" w:hint="default"/>
        </w:rPr>
      </w:pPr>
      <w:r>
        <w:rPr>
          <w:w w:val="100"/>
        </w:rPr>
        <w:t>公司</w:t>
      </w:r>
      <w:r>
        <w:rPr>
          <w:spacing w:val="-3"/>
          <w:w w:val="100"/>
        </w:rPr>
        <w:t>全</w:t>
      </w:r>
      <w:r>
        <w:rPr>
          <w:w w:val="100"/>
        </w:rPr>
        <w:t>资</w:t>
      </w:r>
      <w:r>
        <w:rPr>
          <w:spacing w:val="-3"/>
          <w:w w:val="100"/>
        </w:rPr>
        <w:t>子</w:t>
      </w:r>
      <w:r>
        <w:rPr>
          <w:w w:val="100"/>
        </w:rPr>
        <w:t>公</w:t>
      </w:r>
      <w:r>
        <w:rPr>
          <w:spacing w:val="-3"/>
          <w:w w:val="100"/>
        </w:rPr>
        <w:t>司</w:t>
      </w:r>
      <w:r>
        <w:rPr>
          <w:w w:val="100"/>
        </w:rPr>
        <w:t>杭</w:t>
      </w:r>
      <w:r>
        <w:rPr>
          <w:spacing w:val="-3"/>
          <w:w w:val="100"/>
        </w:rPr>
        <w:t>州</w:t>
      </w:r>
      <w:r>
        <w:rPr>
          <w:w w:val="100"/>
        </w:rPr>
        <w:t>郡</w:t>
      </w:r>
      <w:r>
        <w:rPr>
          <w:spacing w:val="-3"/>
          <w:w w:val="100"/>
        </w:rPr>
        <w:t>原</w:t>
      </w:r>
      <w:r>
        <w:rPr>
          <w:w w:val="100"/>
        </w:rPr>
        <w:t>物业</w:t>
      </w:r>
      <w:r>
        <w:rPr>
          <w:spacing w:val="-3"/>
          <w:w w:val="100"/>
        </w:rPr>
        <w:t>服</w:t>
      </w:r>
      <w:r>
        <w:rPr>
          <w:w w:val="100"/>
        </w:rPr>
        <w:t>务</w:t>
      </w:r>
      <w:r>
        <w:rPr>
          <w:spacing w:val="-3"/>
          <w:w w:val="100"/>
        </w:rPr>
        <w:t>有</w:t>
      </w:r>
      <w:r>
        <w:rPr>
          <w:w w:val="100"/>
        </w:rPr>
        <w:t>限</w:t>
      </w:r>
      <w:r>
        <w:rPr>
          <w:spacing w:val="-3"/>
          <w:w w:val="100"/>
        </w:rPr>
        <w:t>公</w:t>
      </w:r>
      <w:r>
        <w:rPr>
          <w:spacing w:val="-32"/>
          <w:w w:val="100"/>
        </w:rPr>
        <w:t>司</w:t>
      </w:r>
      <w:r>
        <w:rPr>
          <w:spacing w:val="-3"/>
          <w:w w:val="100"/>
        </w:rPr>
        <w:t>（</w:t>
      </w:r>
      <w:r>
        <w:rPr>
          <w:w w:val="100"/>
        </w:rPr>
        <w:t>下</w:t>
      </w:r>
      <w:r>
        <w:rPr>
          <w:spacing w:val="-34"/>
          <w:w w:val="100"/>
        </w:rPr>
        <w:t>称</w:t>
      </w:r>
      <w:r>
        <w:rPr>
          <w:w w:val="100"/>
        </w:rPr>
        <w:t>“郡</w:t>
      </w:r>
      <w:r>
        <w:rPr>
          <w:spacing w:val="-3"/>
          <w:w w:val="100"/>
        </w:rPr>
        <w:t>原</w:t>
      </w:r>
      <w:r>
        <w:rPr>
          <w:w w:val="100"/>
        </w:rPr>
        <w:t>物业</w:t>
      </w:r>
      <w:r>
        <w:rPr>
          <w:spacing w:val="-108"/>
          <w:w w:val="100"/>
        </w:rPr>
        <w:t>”</w:t>
      </w:r>
      <w:r>
        <w:rPr>
          <w:spacing w:val="-32"/>
          <w:w w:val="100"/>
        </w:rPr>
        <w:t>）</w:t>
      </w:r>
      <w:r>
        <w:rPr>
          <w:spacing w:val="-3"/>
          <w:w w:val="100"/>
        </w:rPr>
        <w:t>与</w:t>
      </w:r>
      <w:r>
        <w:rPr>
          <w:w w:val="100"/>
        </w:rPr>
        <w:t>沈</w:t>
      </w:r>
      <w:r>
        <w:rPr>
          <w:spacing w:val="-3"/>
          <w:w w:val="100"/>
        </w:rPr>
        <w:t>阳</w:t>
      </w:r>
      <w:r>
        <w:rPr>
          <w:w w:val="100"/>
        </w:rPr>
        <w:t>华</w:t>
      </w:r>
      <w:r>
        <w:rPr>
          <w:spacing w:val="-3"/>
          <w:w w:val="100"/>
        </w:rPr>
        <w:t>凌</w:t>
      </w:r>
      <w:r>
        <w:rPr>
          <w:w w:val="100"/>
        </w:rPr>
        <w:t>房地</w:t>
      </w:r>
      <w:r>
        <w:rPr>
          <w:spacing w:val="-3"/>
          <w:w w:val="100"/>
        </w:rPr>
        <w:t>产</w:t>
      </w:r>
      <w:r>
        <w:rPr>
          <w:w w:val="100"/>
        </w:rPr>
        <w:t>有</w:t>
      </w:r>
      <w:r>
        <w:rPr>
          <w:spacing w:val="-3"/>
          <w:w w:val="100"/>
        </w:rPr>
        <w:t>限公</w:t>
      </w:r>
      <w:r>
        <w:rPr>
          <w:w w:val="100"/>
        </w:rPr>
        <w:t>司</w:t>
      </w:r>
      <w:r>
        <w:rPr>
          <w:w w:val="100"/>
        </w:rPr>
        <w:t> 签署</w:t>
      </w:r>
      <w:r>
        <w:rPr>
          <w:spacing w:val="-48"/>
          <w:w w:val="100"/>
        </w:rPr>
        <w:t>了</w:t>
      </w:r>
      <w:r>
        <w:rPr>
          <w:spacing w:val="-3"/>
          <w:w w:val="100"/>
        </w:rPr>
        <w:t>《</w:t>
      </w:r>
      <w:r>
        <w:rPr>
          <w:w w:val="100"/>
        </w:rPr>
        <w:t>股</w:t>
      </w:r>
      <w:r>
        <w:rPr>
          <w:spacing w:val="-3"/>
          <w:w w:val="100"/>
        </w:rPr>
        <w:t>权</w:t>
      </w:r>
      <w:r>
        <w:rPr>
          <w:w w:val="100"/>
        </w:rPr>
        <w:t>转</w:t>
      </w:r>
      <w:r>
        <w:rPr>
          <w:spacing w:val="-3"/>
          <w:w w:val="100"/>
        </w:rPr>
        <w:t>让</w:t>
      </w:r>
      <w:r>
        <w:rPr>
          <w:w w:val="100"/>
        </w:rPr>
        <w:t>协议</w:t>
      </w:r>
      <w:r>
        <w:rPr>
          <w:spacing w:val="-108"/>
          <w:w w:val="100"/>
        </w:rPr>
        <w:t>》</w:t>
      </w:r>
      <w:r>
        <w:rPr>
          <w:spacing w:val="-48"/>
          <w:w w:val="100"/>
        </w:rPr>
        <w:t>，</w:t>
      </w:r>
      <w:r>
        <w:rPr>
          <w:w w:val="100"/>
        </w:rPr>
        <w:t>郡原</w:t>
      </w:r>
      <w:r>
        <w:rPr>
          <w:spacing w:val="-3"/>
          <w:w w:val="100"/>
        </w:rPr>
        <w:t>物</w:t>
      </w:r>
      <w:r>
        <w:rPr>
          <w:w w:val="100"/>
        </w:rPr>
        <w:t>业</w:t>
      </w:r>
      <w:r>
        <w:rPr>
          <w:spacing w:val="-3"/>
          <w:w w:val="100"/>
        </w:rPr>
        <w:t>向</w:t>
      </w:r>
      <w:r>
        <w:rPr>
          <w:w w:val="100"/>
        </w:rPr>
        <w:t>沈</w:t>
      </w:r>
      <w:r>
        <w:rPr>
          <w:spacing w:val="-3"/>
          <w:w w:val="100"/>
        </w:rPr>
        <w:t>阳</w:t>
      </w:r>
      <w:r>
        <w:rPr>
          <w:w w:val="100"/>
        </w:rPr>
        <w:t>华</w:t>
      </w:r>
      <w:r>
        <w:rPr>
          <w:spacing w:val="-3"/>
          <w:w w:val="100"/>
        </w:rPr>
        <w:t>凌</w:t>
      </w:r>
      <w:r>
        <w:rPr>
          <w:w w:val="100"/>
        </w:rPr>
        <w:t>房</w:t>
      </w:r>
      <w:r>
        <w:rPr>
          <w:spacing w:val="-3"/>
          <w:w w:val="100"/>
        </w:rPr>
        <w:t>地</w:t>
      </w:r>
      <w:r>
        <w:rPr>
          <w:w w:val="100"/>
        </w:rPr>
        <w:t>产有</w:t>
      </w:r>
      <w:r>
        <w:rPr>
          <w:spacing w:val="-3"/>
          <w:w w:val="100"/>
        </w:rPr>
        <w:t>限</w:t>
      </w:r>
      <w:r>
        <w:rPr>
          <w:w w:val="100"/>
        </w:rPr>
        <w:t>公</w:t>
      </w:r>
      <w:r>
        <w:rPr>
          <w:spacing w:val="-3"/>
          <w:w w:val="100"/>
        </w:rPr>
        <w:t>司</w:t>
      </w:r>
      <w:r>
        <w:rPr>
          <w:w w:val="100"/>
        </w:rPr>
        <w:t>转</w:t>
      </w:r>
      <w:r>
        <w:rPr>
          <w:spacing w:val="-3"/>
          <w:w w:val="100"/>
        </w:rPr>
        <w:t>让</w:t>
      </w:r>
      <w:r>
        <w:rPr>
          <w:w w:val="100"/>
        </w:rPr>
        <w:t>旗</w:t>
      </w:r>
      <w:r>
        <w:rPr>
          <w:spacing w:val="-3"/>
          <w:w w:val="100"/>
        </w:rPr>
        <w:t>下</w:t>
      </w:r>
      <w:r>
        <w:rPr>
          <w:w w:val="100"/>
        </w:rPr>
        <w:t>全</w:t>
      </w:r>
      <w:r>
        <w:rPr>
          <w:spacing w:val="-3"/>
          <w:w w:val="100"/>
        </w:rPr>
        <w:t>资</w:t>
      </w:r>
      <w:r>
        <w:rPr>
          <w:w w:val="100"/>
        </w:rPr>
        <w:t>子公</w:t>
      </w:r>
      <w:r>
        <w:rPr>
          <w:spacing w:val="-3"/>
          <w:w w:val="100"/>
        </w:rPr>
        <w:t>司</w:t>
      </w:r>
      <w:r>
        <w:rPr>
          <w:w w:val="100"/>
        </w:rPr>
        <w:t>辽</w:t>
      </w:r>
      <w:r>
        <w:rPr>
          <w:spacing w:val="-3"/>
          <w:w w:val="100"/>
        </w:rPr>
        <w:t>原</w:t>
      </w:r>
      <w:r>
        <w:rPr>
          <w:w w:val="100"/>
        </w:rPr>
        <w:t>物业</w:t>
      </w:r>
      <w:r>
        <w:rPr>
          <w:spacing w:val="-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00</w:t>
      </w:r>
      <w:r>
        <w:rPr>
          <w:rFonts w:ascii="Times New Roman" w:hAnsi="Times New Roman" w:cs="Times New Roman" w:eastAsia="Times New Roman" w:hint="default"/>
          <w:w w:val="100"/>
        </w:rPr>
        <w:t>%</w:t>
      </w:r>
    </w:p>
    <w:p>
      <w:pPr>
        <w:pStyle w:val="BodyText"/>
        <w:spacing w:line="240" w:lineRule="auto" w:before="3"/>
        <w:ind w:right="108"/>
        <w:jc w:val="left"/>
        <w:rPr>
          <w:rFonts w:ascii="Times New Roman" w:hAnsi="Times New Roman" w:cs="Times New Roman" w:eastAsia="Times New Roman" w:hint="default"/>
        </w:rPr>
      </w:pPr>
      <w:r>
        <w:rPr/>
        <w:t>股权，转让时公司净资产为人民币</w:t>
      </w:r>
      <w:r>
        <w:rPr>
          <w:rFonts w:ascii="Times New Roman" w:hAnsi="Times New Roman" w:cs="Times New Roman" w:eastAsia="Times New Roman" w:hint="default"/>
        </w:rPr>
        <w:t>-9,332,338.05</w:t>
      </w:r>
      <w:r>
        <w:rPr>
          <w:rFonts w:ascii="Times New Roman" w:hAnsi="Times New Roman" w:cs="Times New Roman" w:eastAsia="Times New Roman" w:hint="default"/>
          <w:spacing w:val="-2"/>
        </w:rPr>
        <w:t> </w:t>
      </w:r>
      <w:r>
        <w:rPr/>
        <w:t>元，转让价格为人民币</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元，差额</w:t>
      </w:r>
      <w:r>
        <w:rPr>
          <w:spacing w:val="-54"/>
        </w:rPr>
        <w:t> </w:t>
      </w:r>
      <w:r>
        <w:rPr>
          <w:rFonts w:ascii="Times New Roman" w:hAnsi="Times New Roman" w:cs="Times New Roman" w:eastAsia="Times New Roman" w:hint="default"/>
        </w:rPr>
        <w:t>9,332,339.05</w:t>
      </w:r>
    </w:p>
    <w:p>
      <w:pPr>
        <w:pStyle w:val="BodyText"/>
        <w:spacing w:line="240" w:lineRule="auto" w:before="118"/>
        <w:ind w:right="108"/>
        <w:jc w:val="left"/>
      </w:pPr>
      <w:r>
        <w:rPr/>
        <w:t>元计入投资收益，为非经常性损益。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980"/>
        </w:sectPr>
      </w:pPr>
    </w:p>
    <w:p>
      <w:pPr>
        <w:spacing w:line="240" w:lineRule="auto" w:before="9"/>
        <w:rPr>
          <w:rFonts w:ascii="宋体" w:hAnsi="宋体" w:cs="宋体" w:eastAsia="宋体" w:hint="default"/>
          <w:sz w:val="15"/>
          <w:szCs w:val="15"/>
        </w:rPr>
      </w:pPr>
    </w:p>
    <w:p>
      <w:pPr>
        <w:spacing w:line="290" w:lineRule="auto" w:before="0"/>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29"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80"/>
          <w:cols w:num="2" w:equalWidth="0">
            <w:col w:w="1901" w:space="4621"/>
            <w:col w:w="282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100,846.00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1,042,637.33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33,122.98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1,340,659.87</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1,062,637.33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133,968.98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1,360,659.87</w:t>
            </w:r>
          </w:p>
        </w:tc>
      </w:tr>
    </w:tbl>
    <w:p>
      <w:pPr>
        <w:pStyle w:val="BodyText"/>
        <w:spacing w:line="241" w:lineRule="exact"/>
        <w:ind w:left="638" w:right="97"/>
        <w:jc w:val="left"/>
      </w:pPr>
      <w:r>
        <w:rPr>
          <w:spacing w:val="-4"/>
        </w:rPr>
        <w:t>本公司前身为广西北生药业股份有限公司，</w:t>
      </w:r>
      <w:r>
        <w:rPr>
          <w:rFonts w:ascii="宋体" w:hAnsi="宋体" w:cs="宋体" w:eastAsia="宋体" w:hint="default"/>
          <w:spacing w:val="-4"/>
        </w:rPr>
        <w:t>2008</w:t>
      </w:r>
      <w:r>
        <w:rPr>
          <w:rFonts w:ascii="宋体" w:hAnsi="宋体" w:cs="宋体" w:eastAsia="宋体" w:hint="default"/>
          <w:spacing w:val="20"/>
        </w:rPr>
        <w:t> </w:t>
      </w:r>
      <w:r>
        <w:rPr/>
        <w:t>年</w:t>
      </w:r>
      <w:r>
        <w:rPr>
          <w:spacing w:val="-45"/>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spacing w:val="-5"/>
        </w:rPr>
        <w:t>日，经广西壮族自治区北海市中</w:t>
      </w:r>
    </w:p>
    <w:p>
      <w:pPr>
        <w:pStyle w:val="BodyText"/>
        <w:spacing w:line="360" w:lineRule="auto" w:before="133"/>
        <w:ind w:left="638" w:right="97" w:hanging="420"/>
        <w:jc w:val="left"/>
      </w:pPr>
      <w:r>
        <w:rPr/>
        <w:t>级人民法院批准重整计划，执行期限从</w:t>
      </w:r>
      <w:r>
        <w:rPr>
          <w:spacing w:val="-53"/>
        </w:rPr>
        <w:t> </w:t>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日止。</w:t>
      </w:r>
      <w:r>
        <w:rPr>
          <w:spacing w:val="-101"/>
        </w:rPr>
        <w:t> </w:t>
      </w:r>
      <w:r>
        <w:rPr>
          <w:spacing w:val="-2"/>
        </w:rPr>
        <w:t>重整计划完成后，本公司陆续收到长春市宽区人民法院、深圳市海王星辰医药有限公司、云</w:t>
      </w:r>
    </w:p>
    <w:p>
      <w:pPr>
        <w:pStyle w:val="BodyText"/>
        <w:spacing w:line="240" w:lineRule="auto" w:before="28"/>
        <w:ind w:right="97"/>
        <w:jc w:val="left"/>
      </w:pPr>
      <w:r>
        <w:rPr/>
        <w:t>南鸿翔一心堂药业（集团）股份有限公司退回款项合计</w:t>
      </w:r>
      <w:r>
        <w:rPr>
          <w:spacing w:val="-54"/>
        </w:rPr>
        <w:t> </w:t>
      </w:r>
      <w:r>
        <w:rPr>
          <w:rFonts w:ascii="宋体" w:hAnsi="宋体" w:cs="宋体" w:eastAsia="宋体" w:hint="default"/>
        </w:rPr>
        <w:t>1,342,045.36</w:t>
      </w:r>
      <w:r>
        <w:rPr>
          <w:rFonts w:ascii="宋体" w:hAnsi="宋体" w:cs="宋体" w:eastAsia="宋体" w:hint="default"/>
          <w:spacing w:val="-56"/>
        </w:rPr>
        <w:t> </w:t>
      </w:r>
      <w:r>
        <w:rPr/>
        <w:t>元。</w:t>
      </w:r>
    </w:p>
    <w:p>
      <w:pPr>
        <w:pStyle w:val="BodyText"/>
        <w:spacing w:line="357" w:lineRule="auto" w:before="133"/>
        <w:ind w:right="237" w:firstLine="419"/>
        <w:jc w:val="both"/>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6"/>
        </w:rPr>
        <w:t> </w:t>
      </w:r>
      <w:r>
        <w:rPr/>
        <w:t>年度公司会同律师对现金、银行存款、固定资产、无形资产、对外投资等资产进</w:t>
      </w:r>
      <w:r>
        <w:rPr>
          <w:w w:val="100"/>
        </w:rPr>
        <w:t> </w:t>
      </w:r>
      <w:r>
        <w:rPr>
          <w:spacing w:val="-2"/>
        </w:rPr>
        <w:t>行了盘点、核实，以确认公司资产的权属、安全与完整，通过查找历史档案、联系当事人及债权</w:t>
      </w:r>
      <w:r>
        <w:rPr>
          <w:spacing w:val="-25"/>
        </w:rPr>
        <w:t> </w:t>
      </w:r>
      <w:r>
        <w:rPr>
          <w:spacing w:val="-25"/>
        </w:rPr>
      </w:r>
      <w:r>
        <w:rPr>
          <w:spacing w:val="-2"/>
        </w:rPr>
        <w:t>债务人等方式对公司的长期挂账的往来款项进行清理、核实，并进行催收与偿付，经过核实，本</w:t>
      </w:r>
      <w:r>
        <w:rPr>
          <w:spacing w:val="-25"/>
        </w:rPr>
        <w:t> </w:t>
      </w:r>
      <w:r>
        <w:rPr>
          <w:spacing w:val="-25"/>
        </w:rPr>
      </w:r>
      <w:r>
        <w:rPr/>
        <w:t>公司将确认无法支付的其他应付款 </w:t>
      </w:r>
      <w:r>
        <w:rPr>
          <w:rFonts w:ascii="宋体" w:hAnsi="宋体" w:cs="宋体" w:eastAsia="宋体" w:hint="default"/>
        </w:rPr>
        <w:t>1,036,014.80</w:t>
      </w:r>
      <w:r>
        <w:rPr>
          <w:rFonts w:ascii="宋体" w:hAnsi="宋体" w:cs="宋体" w:eastAsia="宋体" w:hint="default"/>
          <w:spacing w:val="-3"/>
        </w:rPr>
        <w:t> </w:t>
      </w:r>
      <w:r>
        <w:rPr/>
        <w:t>元转入营业外收入，计入非经常性损益。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杭州市西湖区人民政</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府灵隐街道办事处奖</w:t>
            </w:r>
            <w:r>
              <w:rPr>
                <w:rFonts w:ascii="宋体" w:hAnsi="宋体" w:cs="宋体" w:eastAsia="宋体" w:hint="default"/>
                <w:w w:val="100"/>
                <w:sz w:val="21"/>
                <w:szCs w:val="21"/>
              </w:rPr>
              <w:t> </w:t>
            </w:r>
            <w:r>
              <w:rPr>
                <w:rFonts w:ascii="宋体" w:hAnsi="宋体" w:cs="宋体" w:eastAsia="宋体" w:hint="default"/>
                <w:sz w:val="21"/>
                <w:szCs w:val="21"/>
              </w:rPr>
              <w:t>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建德市财政局物业补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69,846.00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100,846.00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36"/>
        <w:ind w:right="2465"/>
        <w:jc w:val="left"/>
      </w:pPr>
      <w:r>
        <w:rPr/>
        <w:t>其他说明：</w:t>
      </w:r>
    </w:p>
    <w:p>
      <w:pPr>
        <w:pStyle w:val="BodyText"/>
        <w:spacing w:line="240" w:lineRule="auto" w:before="145"/>
        <w:ind w:right="2465"/>
        <w:jc w:val="left"/>
      </w:pPr>
      <w:r>
        <w:rPr/>
        <w:t>□适用</w:t>
      </w:r>
      <w:r>
        <w:rPr>
          <w:spacing w:val="-1"/>
        </w:rPr>
        <w:t> </w:t>
      </w:r>
      <w:r>
        <w:rPr/>
        <w:t>√不适用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4"/>
        <w:spacing w:line="240" w:lineRule="auto" w:before="36"/>
        <w:ind w:right="-12"/>
        <w:jc w:val="left"/>
        <w:rPr>
          <w:b w:val="0"/>
          <w:bCs w:val="0"/>
        </w:rPr>
      </w:pPr>
      <w:r>
        <w:rPr>
          <w:rFonts w:ascii="宋体" w:hAnsi="宋体" w:cs="宋体" w:eastAsia="宋体" w:hint="default"/>
        </w:rPr>
        <w:t>69</w:t>
      </w:r>
      <w:r>
        <w:rPr/>
        <w:t>、</w:t>
      </w:r>
      <w:r>
        <w:rPr>
          <w:spacing w:val="-25"/>
        </w:rPr>
        <w:t> </w:t>
      </w:r>
      <w:r>
        <w:rPr/>
        <w:t>营业外支出</w:t>
      </w:r>
      <w:r>
        <w:rPr>
          <w:b w:val="0"/>
          <w:bCs w:val="0"/>
        </w:rPr>
      </w:r>
    </w:p>
    <w:p>
      <w:pPr>
        <w:pStyle w:val="BodyText"/>
        <w:tabs>
          <w:tab w:pos="1060" w:val="left" w:leader="none"/>
        </w:tabs>
        <w:spacing w:line="240" w:lineRule="auto" w:before="58"/>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977.00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977.00</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977.00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977.00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2,400,500.00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2,400,500.00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520,361.89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278,305.95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520,361.89</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2,921,838.89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278,305.95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2,921,838.89</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pStyle w:val="BodyText"/>
        <w:spacing w:line="355" w:lineRule="auto" w:before="57"/>
        <w:ind w:right="223" w:firstLine="419"/>
        <w:jc w:val="left"/>
      </w:pPr>
      <w:r>
        <w:rPr>
          <w:spacing w:val="-8"/>
        </w:rPr>
        <w:t>（</w:t>
      </w:r>
      <w:r>
        <w:rPr>
          <w:rFonts w:ascii="宋体" w:hAnsi="宋体" w:cs="宋体" w:eastAsia="宋体" w:hint="default"/>
          <w:spacing w:val="-8"/>
        </w:rPr>
        <w:t>1</w:t>
      </w:r>
      <w:r>
        <w:rPr>
          <w:spacing w:val="-8"/>
        </w:rPr>
        <w:t>）本公司于 </w:t>
      </w:r>
      <w:r>
        <w:rPr>
          <w:rFonts w:ascii="宋体" w:hAnsi="宋体" w:cs="宋体" w:eastAsia="宋体" w:hint="default"/>
        </w:rPr>
        <w:t>2017 </w:t>
      </w:r>
      <w:r>
        <w:rPr/>
        <w:t>年 </w:t>
      </w:r>
      <w:r>
        <w:rPr>
          <w:rFonts w:ascii="宋体" w:hAnsi="宋体" w:cs="宋体" w:eastAsia="宋体" w:hint="default"/>
        </w:rPr>
        <w:t>1 </w:t>
      </w:r>
      <w:r>
        <w:rPr/>
        <w:t>月 </w:t>
      </w:r>
      <w:r>
        <w:rPr>
          <w:rFonts w:ascii="宋体" w:hAnsi="宋体" w:cs="宋体" w:eastAsia="宋体" w:hint="default"/>
        </w:rPr>
        <w:t>6</w:t>
      </w:r>
      <w:r>
        <w:rPr>
          <w:rFonts w:ascii="宋体" w:hAnsi="宋体" w:cs="宋体" w:eastAsia="宋体" w:hint="default"/>
          <w:spacing w:val="69"/>
        </w:rPr>
        <w:t> </w:t>
      </w:r>
      <w:r>
        <w:rPr>
          <w:spacing w:val="-4"/>
        </w:rPr>
        <w:t>日收到上海证券交易所监管一部下发的《关于要求公司披露</w:t>
      </w:r>
      <w:r>
        <w:rPr>
          <w:w w:val="100"/>
        </w:rPr>
        <w:t> </w:t>
      </w:r>
      <w:r>
        <w:rPr/>
        <w:t>立案调查事项及行政监管措施决定书的监管工作函》（上证公函</w:t>
      </w:r>
      <w:r>
        <w:rPr>
          <w:rFonts w:ascii="宋体" w:hAnsi="宋体" w:cs="宋体" w:eastAsia="宋体" w:hint="default"/>
        </w:rPr>
        <w:t>[2017]0044</w:t>
      </w:r>
      <w:r>
        <w:rPr>
          <w:rFonts w:ascii="宋体" w:hAnsi="宋体" w:cs="宋体" w:eastAsia="宋体" w:hint="default"/>
          <w:spacing w:val="-5"/>
        </w:rPr>
        <w:t> </w:t>
      </w:r>
      <w:r>
        <w:rPr/>
        <w:t>号）</w:t>
      </w:r>
    </w:p>
    <w:p>
      <w:pPr>
        <w:pStyle w:val="BodyText"/>
        <w:spacing w:line="357" w:lineRule="auto" w:before="32"/>
        <w:ind w:right="97" w:firstLine="419"/>
        <w:jc w:val="left"/>
      </w:pPr>
      <w:r>
        <w:rPr>
          <w:spacing w:val="-5"/>
        </w:rPr>
        <w:t>（</w:t>
      </w:r>
      <w:r>
        <w:rPr>
          <w:rFonts w:ascii="宋体" w:hAnsi="宋体" w:cs="宋体" w:eastAsia="宋体" w:hint="default"/>
          <w:spacing w:val="-5"/>
        </w:rPr>
        <w:t>2</w:t>
      </w:r>
      <w:r>
        <w:rPr>
          <w:spacing w:val="-5"/>
        </w:rPr>
        <w:t>）</w:t>
      </w:r>
      <w:r>
        <w:rPr>
          <w:rFonts w:ascii="宋体" w:hAnsi="宋体" w:cs="宋体" w:eastAsia="宋体" w:hint="default"/>
          <w:spacing w:val="-5"/>
        </w:rPr>
        <w:t>2017 </w:t>
      </w:r>
      <w:r>
        <w:rPr/>
        <w:t>年 </w:t>
      </w:r>
      <w:r>
        <w:rPr>
          <w:rFonts w:ascii="宋体" w:hAnsi="宋体" w:cs="宋体" w:eastAsia="宋体" w:hint="default"/>
        </w:rPr>
        <w:t>2 </w:t>
      </w:r>
      <w:r>
        <w:rPr/>
        <w:t>月 </w:t>
      </w:r>
      <w:r>
        <w:rPr>
          <w:rFonts w:ascii="宋体" w:hAnsi="宋体" w:cs="宋体" w:eastAsia="宋体" w:hint="default"/>
        </w:rPr>
        <w:t>23</w:t>
      </w:r>
      <w:r>
        <w:rPr>
          <w:rFonts w:ascii="宋体" w:hAnsi="宋体" w:cs="宋体" w:eastAsia="宋体" w:hint="default"/>
          <w:spacing w:val="56"/>
        </w:rPr>
        <w:t> </w:t>
      </w:r>
      <w:r>
        <w:rPr>
          <w:spacing w:val="-4"/>
        </w:rPr>
        <w:t>日，本公司收到中国证券监督管理委员会《行政处罚及市场禁入事先</w:t>
      </w:r>
      <w:r>
        <w:rPr>
          <w:w w:val="100"/>
        </w:rPr>
        <w:t> </w:t>
      </w:r>
      <w:r>
        <w:rPr/>
        <w:t>告知书》处罚字</w:t>
      </w:r>
      <w:r>
        <w:rPr>
          <w:rFonts w:ascii="宋体" w:hAnsi="宋体" w:cs="宋体" w:eastAsia="宋体" w:hint="default"/>
        </w:rPr>
        <w:t>[2017]16 </w:t>
      </w:r>
      <w:r>
        <w:rPr/>
        <w:t>号、《行政处罚及市场禁入事先告知书》处罚字</w:t>
      </w:r>
      <w:r>
        <w:rPr>
          <w:rFonts w:ascii="宋体" w:hAnsi="宋体" w:cs="宋体" w:eastAsia="宋体" w:hint="default"/>
        </w:rPr>
        <w:t>[2017]17</w:t>
      </w:r>
      <w:r>
        <w:rPr>
          <w:rFonts w:ascii="宋体" w:hAnsi="宋体" w:cs="宋体" w:eastAsia="宋体" w:hint="default"/>
          <w:spacing w:val="-9"/>
        </w:rPr>
        <w:t> </w:t>
      </w:r>
      <w:r>
        <w:rPr/>
        <w:t>号、《行政</w:t>
      </w:r>
      <w:r>
        <w:rPr>
          <w:w w:val="100"/>
        </w:rPr>
        <w:t> </w:t>
      </w:r>
      <w:r>
        <w:rPr/>
        <w:t>处罚及市场禁入事先告知书》处罚字</w:t>
      </w:r>
      <w:r>
        <w:rPr>
          <w:rFonts w:ascii="宋体" w:hAnsi="宋体" w:cs="宋体" w:eastAsia="宋体" w:hint="default"/>
        </w:rPr>
        <w:t>[2017]18</w:t>
      </w:r>
      <w:r>
        <w:rPr>
          <w:rFonts w:ascii="宋体" w:hAnsi="宋体" w:cs="宋体" w:eastAsia="宋体" w:hint="default"/>
          <w:spacing w:val="-4"/>
        </w:rPr>
        <w:t> </w:t>
      </w:r>
      <w:r>
        <w:rPr/>
        <w:t>号、《行政处罚及市场禁入事先告知书》处罚字</w:t>
      </w:r>
      <w:r>
        <w:rPr>
          <w:w w:val="100"/>
        </w:rPr>
        <w:t> </w:t>
      </w:r>
      <w:r>
        <w:rPr>
          <w:rFonts w:ascii="宋体" w:hAnsi="宋体" w:cs="宋体" w:eastAsia="宋体" w:hint="default"/>
        </w:rPr>
        <w:t>[2017]19</w:t>
      </w:r>
      <w:r>
        <w:rPr>
          <w:rFonts w:ascii="宋体" w:hAnsi="宋体" w:cs="宋体" w:eastAsia="宋体" w:hint="default"/>
          <w:spacing w:val="2"/>
        </w:rPr>
        <w:t> </w:t>
      </w:r>
      <w:r>
        <w:rPr/>
        <w:t>号。</w:t>
      </w:r>
    </w:p>
    <w:p>
      <w:pPr>
        <w:pStyle w:val="BodyText"/>
        <w:spacing w:line="240" w:lineRule="auto" w:before="30"/>
        <w:ind w:left="638" w:right="2465"/>
        <w:jc w:val="left"/>
      </w:pPr>
      <w:r>
        <w:rPr/>
        <w:t>据此，本公司合计被处以</w:t>
      </w:r>
      <w:r>
        <w:rPr>
          <w:spacing w:val="-56"/>
        </w:rPr>
        <w:t> </w:t>
      </w:r>
      <w:r>
        <w:rPr>
          <w:rFonts w:ascii="宋体" w:hAnsi="宋体" w:cs="宋体" w:eastAsia="宋体" w:hint="default"/>
        </w:rPr>
        <w:t>240</w:t>
      </w:r>
      <w:r>
        <w:rPr>
          <w:rFonts w:ascii="宋体" w:hAnsi="宋体" w:cs="宋体" w:eastAsia="宋体" w:hint="default"/>
          <w:spacing w:val="-54"/>
        </w:rPr>
        <w:t> </w:t>
      </w:r>
      <w:r>
        <w:rPr/>
        <w:t>万元的罚款。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6"/>
        <w:rPr>
          <w:rFonts w:ascii="宋体" w:hAnsi="宋体" w:cs="宋体" w:eastAsia="宋体" w:hint="default"/>
          <w:sz w:val="16"/>
          <w:szCs w:val="16"/>
        </w:rPr>
      </w:pPr>
    </w:p>
    <w:p>
      <w:pPr>
        <w:pStyle w:val="Heading4"/>
        <w:spacing w:line="290" w:lineRule="auto"/>
        <w:ind w:right="-20"/>
        <w:jc w:val="left"/>
        <w:rPr>
          <w:b w:val="0"/>
          <w:bCs w:val="0"/>
        </w:rPr>
      </w:pPr>
      <w:r>
        <w:rPr>
          <w:rFonts w:ascii="宋体" w:hAnsi="宋体" w:cs="宋体" w:eastAsia="宋体" w:hint="default"/>
        </w:rPr>
        <w:t>70</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90"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882,591.94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1,484,791.00</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-129,763.08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-52,557.17</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
        </w:tc>
        <w:tc>
          <w:tcPr>
            <w:tcW w:w="28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752,828.86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1,432,233.83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4"/>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4,025,921.74</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1,006,480.44</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3,488.76</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-71,825.70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117,144.23</w:t>
            </w: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-1,466,109.25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1,163,650.38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752,828.86</w:t>
            </w:r>
          </w:p>
        </w:tc>
      </w:tr>
    </w:tbl>
    <w:p>
      <w:pPr>
        <w:spacing w:line="240" w:lineRule="auto" w:before="12"/>
        <w:rPr>
          <w:rFonts w:ascii="宋体" w:hAnsi="宋体" w:cs="宋体" w:eastAsia="宋体" w:hint="default"/>
          <w:sz w:val="19"/>
          <w:szCs w:val="19"/>
        </w:rPr>
      </w:pPr>
    </w:p>
    <w:p>
      <w:pPr>
        <w:pStyle w:val="BodyText"/>
        <w:spacing w:line="240" w:lineRule="auto" w:before="36"/>
        <w:ind w:left="158" w:right="5054"/>
        <w:jc w:val="left"/>
      </w:pPr>
      <w:r>
        <w:rPr/>
        <w:t>其他说明：</w:t>
      </w:r>
    </w:p>
    <w:p>
      <w:pPr>
        <w:pStyle w:val="BodyText"/>
        <w:spacing w:line="240" w:lineRule="auto" w:before="58"/>
        <w:ind w:left="158" w:right="5054"/>
        <w:jc w:val="left"/>
      </w:pPr>
      <w:r>
        <w:rPr/>
        <w:t>□适用</w:t>
      </w:r>
      <w:r>
        <w:rPr>
          <w:spacing w:val="-1"/>
        </w:rPr>
        <w:t> </w:t>
      </w:r>
      <w:r>
        <w:rPr/>
        <w:t>√不适用</w:t>
      </w:r>
    </w:p>
    <w:p>
      <w:pPr>
        <w:spacing w:line="240" w:lineRule="auto" w:before="8"/>
        <w:rPr>
          <w:rFonts w:ascii="宋体" w:hAnsi="宋体" w:cs="宋体" w:eastAsia="宋体" w:hint="default"/>
          <w:sz w:val="29"/>
          <w:szCs w:val="29"/>
        </w:rPr>
      </w:pPr>
    </w:p>
    <w:p>
      <w:pPr>
        <w:pStyle w:val="Heading4"/>
        <w:spacing w:line="240" w:lineRule="auto"/>
        <w:ind w:left="158" w:right="5054"/>
        <w:jc w:val="left"/>
        <w:rPr>
          <w:b w:val="0"/>
          <w:bCs w:val="0"/>
        </w:rPr>
      </w:pPr>
      <w:r>
        <w:rPr>
          <w:rFonts w:ascii="宋体" w:hAnsi="宋体" w:cs="宋体" w:eastAsia="宋体" w:hint="default"/>
        </w:rPr>
        <w:t>71</w:t>
      </w:r>
      <w:r>
        <w:rPr/>
        <w:t>、</w:t>
      </w:r>
      <w:r>
        <w:rPr>
          <w:spacing w:val="-24"/>
        </w:rPr>
        <w:t> </w:t>
      </w:r>
      <w:r>
        <w:rPr/>
        <w:t>其他综合收益</w:t>
      </w:r>
      <w:r>
        <w:rPr>
          <w:b w:val="0"/>
          <w:bCs w:val="0"/>
        </w:rPr>
      </w:r>
    </w:p>
    <w:p>
      <w:pPr>
        <w:pStyle w:val="BodyText"/>
        <w:spacing w:line="240" w:lineRule="auto" w:before="58"/>
        <w:ind w:left="158" w:right="505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40" w:right="1120"/>
        </w:sectPr>
      </w:pPr>
    </w:p>
    <w:p>
      <w:pPr>
        <w:pStyle w:val="Heading4"/>
        <w:spacing w:line="240" w:lineRule="auto" w:before="36"/>
        <w:ind w:left="158" w:right="-2"/>
        <w:jc w:val="left"/>
        <w:rPr>
          <w:b w:val="0"/>
          <w:bCs w:val="0"/>
        </w:rPr>
      </w:pPr>
      <w:r>
        <w:rPr>
          <w:rFonts w:ascii="宋体" w:hAnsi="宋体" w:cs="宋体" w:eastAsia="宋体" w:hint="default"/>
        </w:rPr>
        <w:t>72</w:t>
      </w:r>
      <w:r>
        <w:rPr/>
        <w:t>、</w:t>
      </w:r>
      <w:r>
        <w:rPr>
          <w:spacing w:val="-24"/>
        </w:rPr>
        <w:t> </w:t>
      </w:r>
      <w:r>
        <w:rPr/>
        <w:t>现金流量表项目</w:t>
      </w:r>
      <w:r>
        <w:rPr>
          <w:b w:val="0"/>
          <w:bCs w:val="0"/>
        </w:rPr>
      </w:r>
    </w:p>
    <w:p>
      <w:pPr>
        <w:pStyle w:val="Heading4"/>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354,208.88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236,180.40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100,846.00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27,610,000.00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18,800,000.00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收湖北柯塞威数据往来款</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25,804,049.28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12,567,495.11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收回中科建合作款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50,505,758.00</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收回投资转往来款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150,000,000.00</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7,320,100.00</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234,004,116.16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239,314,521.51</w:t>
            </w:r>
          </w:p>
        </w:tc>
      </w:tr>
    </w:tbl>
    <w:p>
      <w:pPr>
        <w:spacing w:line="240" w:lineRule="auto" w:before="2"/>
        <w:rPr>
          <w:rFonts w:ascii="宋体" w:hAnsi="宋体" w:cs="宋体" w:eastAsia="宋体" w:hint="default"/>
          <w:sz w:val="20"/>
          <w:szCs w:val="20"/>
        </w:rPr>
      </w:pPr>
    </w:p>
    <w:p>
      <w:pPr>
        <w:pStyle w:val="BodyText"/>
        <w:spacing w:line="290" w:lineRule="auto" w:before="36"/>
        <w:ind w:left="158" w:right="5054"/>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40" w:right="1120"/>
        </w:sectPr>
      </w:pPr>
    </w:p>
    <w:p>
      <w:pPr>
        <w:pStyle w:val="Heading4"/>
        <w:tabs>
          <w:tab w:pos="858" w:val="left" w:leader="none"/>
        </w:tabs>
        <w:spacing w:line="240" w:lineRule="auto" w:before="36"/>
        <w:ind w:left="1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9"/>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费用类支出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6,240,288.56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10,925,093.70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董文亮往来款</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27,610,000.00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顾国平往来款</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投资转往来款</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16,799,607.82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21,052,414.73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证监会罚款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2,400,000.00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还上海慧球往来款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159,305,000.00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伙）</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7,320,100.00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192,064,996.38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219,587,508.43</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pStyle w:val="BodyText"/>
        <w:spacing w:line="290" w:lineRule="auto" w:before="36"/>
        <w:ind w:right="5134"/>
        <w:jc w:val="left"/>
      </w:pPr>
      <w:r>
        <w:rPr>
          <w:spacing w:val="-2"/>
        </w:rPr>
        <w:t>支付的其他与经营活动有关的现金说明：</w:t>
      </w:r>
      <w:r>
        <w:rPr>
          <w:spacing w:val="-69"/>
        </w:rPr>
        <w:t> </w:t>
      </w:r>
      <w:r>
        <w:rPr>
          <w:spacing w:val="-69"/>
        </w:rPr>
      </w:r>
      <w:r>
        <w:rPr/>
        <w:t>无</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04"/>
          <w:pgSz w:w="11910" w:h="16840"/>
          <w:pgMar w:footer="1195" w:header="882" w:top="1120" w:bottom="1380" w:left="1580" w:right="1040"/>
        </w:sectPr>
      </w:pPr>
    </w:p>
    <w:p>
      <w:pPr>
        <w:pStyle w:val="Heading4"/>
        <w:tabs>
          <w:tab w:pos="945" w:val="left" w:leader="none"/>
        </w:tabs>
        <w:spacing w:line="240" w:lineRule="auto" w:before="36"/>
        <w:ind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109" w:space="2518"/>
            <w:col w:w="2663"/>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收回理财产品本息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27,719,536.00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退回购房款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36,719,536.00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90" w:lineRule="auto" w:before="36"/>
        <w:ind w:right="5134"/>
        <w:jc w:val="left"/>
      </w:pPr>
      <w:r>
        <w:rPr>
          <w:spacing w:val="-2"/>
        </w:rPr>
        <w:t>收到的其他与投资活动有关的现金说明：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tabs>
          <w:tab w:pos="945" w:val="left" w:leader="none"/>
        </w:tabs>
        <w:spacing w:line="240" w:lineRule="auto" w:before="36"/>
        <w:ind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09" w:space="241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购买理财产品</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27,680,000.00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处置子公司及其他营业单位损失的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2,032,358.59</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29,712,358.59</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90" w:lineRule="auto" w:before="36"/>
        <w:ind w:right="5134"/>
        <w:jc w:val="left"/>
      </w:pPr>
      <w:r>
        <w:rPr>
          <w:spacing w:val="-2"/>
        </w:rPr>
        <w:t>支付的其他与投资活动有关的现金说明：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tabs>
          <w:tab w:pos="1057" w:val="left" w:leader="none"/>
        </w:tabs>
        <w:spacing w:line="240" w:lineRule="auto" w:before="36"/>
        <w:ind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6"/>
              <w:jc w:val="right"/>
              <w:rPr>
                <w:rFonts w:ascii="宋体" w:hAnsi="宋体" w:cs="宋体" w:eastAsia="宋体" w:hint="default"/>
                <w:sz w:val="21"/>
                <w:szCs w:val="21"/>
              </w:rPr>
            </w:pPr>
            <w:r>
              <w:rPr>
                <w:rFonts w:ascii="宋体" w:hAnsi="宋体" w:cs="宋体" w:eastAsia="宋体" w:hint="default"/>
                <w:spacing w:val="-1"/>
                <w:sz w:val="21"/>
                <w:szCs w:val="21"/>
              </w:rPr>
              <w:t>受限的货币资金解冻</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1,322,241.00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1,322,241.00</w:t>
            </w:r>
          </w:p>
        </w:tc>
      </w:tr>
    </w:tbl>
    <w:p>
      <w:pPr>
        <w:pStyle w:val="BodyText"/>
        <w:spacing w:line="290" w:lineRule="auto" w:before="26"/>
        <w:ind w:right="5134"/>
        <w:jc w:val="left"/>
      </w:pPr>
      <w:r>
        <w:rPr>
          <w:spacing w:val="-2"/>
        </w:rPr>
        <w:t>收到的其他与筹资活动有关的现金说明：</w:t>
      </w:r>
      <w:r>
        <w:rPr>
          <w:spacing w:val="-69"/>
        </w:rPr>
        <w:t> </w:t>
      </w:r>
      <w:r>
        <w:rPr>
          <w:spacing w:val="-69"/>
        </w:rPr>
      </w:r>
      <w:r>
        <w:rPr/>
        <w:t>无</w:t>
      </w:r>
    </w:p>
    <w:p>
      <w:pPr>
        <w:spacing w:line="240" w:lineRule="auto" w:before="11"/>
        <w:rPr>
          <w:rFonts w:ascii="宋体" w:hAnsi="宋体" w:cs="宋体" w:eastAsia="宋体" w:hint="default"/>
          <w:sz w:val="21"/>
          <w:szCs w:val="21"/>
        </w:rPr>
      </w:pPr>
    </w:p>
    <w:p>
      <w:pPr>
        <w:pStyle w:val="Heading4"/>
        <w:tabs>
          <w:tab w:pos="1057" w:val="left" w:leader="none"/>
        </w:tabs>
        <w:spacing w:line="240" w:lineRule="auto"/>
        <w:ind w:right="2465"/>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8"/>
        <w:jc w:val="left"/>
        <w:rPr>
          <w:b w:val="0"/>
          <w:bCs w:val="0"/>
        </w:rPr>
      </w:pPr>
      <w:r>
        <w:rPr>
          <w:rFonts w:ascii="宋体" w:hAnsi="宋体" w:cs="宋体" w:eastAsia="宋体" w:hint="default"/>
        </w:rPr>
        <w:t>73</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12"/>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3,273,092.88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-26,503,950.16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1,419,950.46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8,343,359.07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185,809.52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299,074.31</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21,605.35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16,494.38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52,246.57</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977.00</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-9,332,339.05</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-129,763.08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-52,557.17</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-3,578.95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43,719.41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216,018,247.77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-164,606,149.93</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-165,967,698.49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190,366,700.49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45,538,549.98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7,906,690.40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85,593,709.73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30,643,573.18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30,643,573.18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33,567,346.29</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54,950,136.55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-2,923,773.11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footerReference w:type="default" r:id="rId105"/>
          <w:pgSz w:w="11910" w:h="16840"/>
          <w:pgMar w:footer="1195" w:header="882" w:top="1120" w:bottom="1380" w:left="1580" w:right="1040"/>
          <w:pgNumType w:start="131"/>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85,593,709.73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30,643,573.18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213,769.84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158,785.18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85,379,939.89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30,484,788.00</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85,593,709.73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30,643,573.18</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2465"/>
        <w:jc w:val="left"/>
      </w:pPr>
      <w:r>
        <w:rPr/>
        <w:t>其他说明：</w:t>
      </w:r>
    </w:p>
    <w:p>
      <w:pPr>
        <w:pStyle w:val="BodyText"/>
        <w:spacing w:line="240" w:lineRule="auto" w:before="56"/>
        <w:ind w:right="24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spacing w:line="290" w:lineRule="auto" w:before="0"/>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40" w:lineRule="auto" w:before="89"/>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75</w:t>
      </w:r>
      <w:r>
        <w:rPr/>
        <w:t>、</w:t>
      </w:r>
      <w:r>
        <w:rPr>
          <w:spacing w:val="-27"/>
        </w:rPr>
        <w:t> </w:t>
      </w:r>
      <w:r>
        <w:rPr/>
        <w:t>所有权或使用权受到限制的资产</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918" w:val="left" w:leader="none"/>
        </w:tabs>
        <w:spacing w:line="290" w:lineRule="auto"/>
        <w:ind w:right="6675"/>
        <w:jc w:val="left"/>
        <w:rPr>
          <w:rFonts w:ascii="宋体" w:hAnsi="宋体" w:cs="宋体" w:eastAsia="宋体" w:hint="default"/>
          <w:b w:val="0"/>
          <w:bCs w:val="0"/>
        </w:rPr>
      </w:pPr>
      <w:r>
        <w:rPr>
          <w:rFonts w:ascii="宋体" w:hAnsi="宋体" w:cs="宋体" w:eastAsia="宋体" w:hint="default"/>
        </w:rPr>
        <w:t>76</w:t>
      </w:r>
      <w:r>
        <w:rPr/>
        <w:t>、</w:t>
      </w:r>
      <w:r>
        <w:rPr>
          <w:spacing w:val="-10"/>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5"/>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918" w:val="left" w:leader="none"/>
        </w:tabs>
        <w:spacing w:line="240" w:lineRule="auto"/>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77</w:t>
      </w:r>
      <w:r>
        <w:rPr/>
        <w:t>、</w:t>
      </w:r>
      <w:r>
        <w:rPr>
          <w:spacing w:val="-26"/>
        </w:rPr>
        <w:t> </w:t>
      </w:r>
      <w:r>
        <w:rPr/>
        <w:t>套期</w:t>
      </w:r>
      <w:r>
        <w:rPr>
          <w:b w:val="0"/>
          <w:bCs w:val="0"/>
        </w:rPr>
      </w:r>
    </w:p>
    <w:p>
      <w:pPr>
        <w:pStyle w:val="BodyText"/>
        <w:spacing w:line="240" w:lineRule="auto" w:before="58"/>
        <w:ind w:right="2465"/>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78</w:t>
      </w:r>
      <w:r>
        <w:rPr/>
        <w:t>、</w:t>
      </w:r>
      <w:r>
        <w:rPr>
          <w:spacing w:val="-25"/>
        </w:rPr>
        <w:t> </w:t>
      </w:r>
      <w:r>
        <w:rPr/>
        <w:t>政府补助</w:t>
      </w:r>
      <w:r>
        <w:rPr>
          <w:b w:val="0"/>
          <w:bCs w:val="0"/>
        </w:rPr>
      </w:r>
    </w:p>
    <w:p>
      <w:pPr>
        <w:pStyle w:val="Heading4"/>
        <w:tabs>
          <w:tab w:pos="642" w:val="left" w:leader="none"/>
        </w:tabs>
        <w:spacing w:line="240" w:lineRule="auto" w:before="58"/>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4" w:right="0"/>
              <w:jc w:val="left"/>
              <w:rPr>
                <w:rFonts w:ascii="宋体" w:hAnsi="宋体" w:cs="宋体" w:eastAsia="宋体" w:hint="default"/>
                <w:sz w:val="21"/>
                <w:szCs w:val="21"/>
              </w:rPr>
            </w:pPr>
            <w:r>
              <w:rPr>
                <w:rFonts w:ascii="宋体"/>
                <w:sz w:val="21"/>
              </w:rPr>
              <w:t>20,000.00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5" w:right="0"/>
              <w:jc w:val="left"/>
              <w:rPr>
                <w:rFonts w:ascii="宋体" w:hAnsi="宋体" w:cs="宋体" w:eastAsia="宋体" w:hint="default"/>
                <w:sz w:val="21"/>
                <w:szCs w:val="21"/>
              </w:rPr>
            </w:pPr>
            <w:r>
              <w:rPr>
                <w:rFonts w:ascii="宋体"/>
                <w:sz w:val="21"/>
              </w:rPr>
              <w:t>20,000.00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tabs>
          <w:tab w:pos="642" w:val="left" w:leader="none"/>
        </w:tabs>
        <w:spacing w:line="240" w:lineRule="auto" w:before="36"/>
        <w:ind w:right="2465"/>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2" w:lineRule="exact"/>
        <w:ind w:right="2465"/>
        <w:jc w:val="left"/>
      </w:pPr>
      <w:r>
        <w:rPr>
          <w:w w:val="100"/>
        </w:rPr>
        <w:t>无</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79</w:t>
      </w:r>
      <w:r>
        <w:rPr/>
        <w:t>、</w:t>
      </w:r>
      <w:r>
        <w:rPr>
          <w:spacing w:val="-26"/>
        </w:rPr>
        <w:t> </w:t>
      </w:r>
      <w:r>
        <w:rPr/>
        <w:t>其他</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t>八、合并范围的变更</w:t>
      </w:r>
      <w:r>
        <w:rPr>
          <w:b w:val="0"/>
          <w:bCs w:val="0"/>
        </w:rPr>
      </w:r>
    </w:p>
    <w:p>
      <w:pPr>
        <w:pStyle w:val="Heading4"/>
        <w:spacing w:line="240" w:lineRule="auto" w:before="56"/>
        <w:ind w:right="246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60"/>
        </w:sectPr>
      </w:pPr>
    </w:p>
    <w:p>
      <w:pPr>
        <w:spacing w:line="290" w:lineRule="auto" w:before="17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0"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060"/>
          <w:cols w:num="2" w:equalWidth="0">
            <w:col w:w="4973" w:space="1760"/>
            <w:col w:w="2457"/>
          </w:cols>
        </w:sectPr>
      </w:pP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434"/>
        <w:gridCol w:w="562"/>
        <w:gridCol w:w="590"/>
        <w:gridCol w:w="603"/>
        <w:gridCol w:w="600"/>
        <w:gridCol w:w="713"/>
        <w:gridCol w:w="1090"/>
        <w:gridCol w:w="686"/>
        <w:gridCol w:w="725"/>
        <w:gridCol w:w="718"/>
        <w:gridCol w:w="790"/>
        <w:gridCol w:w="809"/>
        <w:gridCol w:w="538"/>
      </w:tblGrid>
      <w:tr>
        <w:trPr>
          <w:trHeight w:val="382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2" w:right="-1"/>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64" w:right="62"/>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价款</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79" w:right="77"/>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4" w:lineRule="exact"/>
              <w:ind w:left="2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83" w:right="86"/>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81" w:right="84"/>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33" w:right="35"/>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制权时</w:t>
            </w:r>
            <w:r>
              <w:rPr>
                <w:rFonts w:ascii="宋体" w:hAnsi="宋体" w:cs="宋体" w:eastAsia="宋体" w:hint="default"/>
                <w:spacing w:val="-102"/>
                <w:sz w:val="21"/>
                <w:szCs w:val="21"/>
              </w:rPr>
              <w:t> </w:t>
            </w:r>
            <w:r>
              <w:rPr>
                <w:rFonts w:ascii="宋体" w:hAnsi="宋体" w:cs="宋体" w:eastAsia="宋体" w:hint="default"/>
                <w:sz w:val="21"/>
                <w:szCs w:val="21"/>
              </w:rPr>
              <w:t>点的确</w:t>
            </w:r>
            <w:r>
              <w:rPr>
                <w:rFonts w:ascii="宋体" w:hAnsi="宋体" w:cs="宋体" w:eastAsia="宋体" w:hint="default"/>
                <w:spacing w:val="-102"/>
                <w:sz w:val="21"/>
                <w:szCs w:val="21"/>
              </w:rPr>
              <w:t> </w:t>
            </w:r>
            <w:r>
              <w:rPr>
                <w:rFonts w:ascii="宋体" w:hAnsi="宋体" w:cs="宋体" w:eastAsia="宋体" w:hint="default"/>
                <w:sz w:val="21"/>
                <w:szCs w:val="21"/>
              </w:rPr>
              <w:t>定依据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4" w:right="10"/>
              <w:jc w:val="both"/>
              <w:rPr>
                <w:rFonts w:ascii="宋体" w:hAnsi="宋体" w:cs="宋体" w:eastAsia="宋体" w:hint="default"/>
                <w:sz w:val="21"/>
                <w:szCs w:val="21"/>
              </w:rPr>
            </w:pPr>
            <w:r>
              <w:rPr>
                <w:rFonts w:ascii="宋体" w:hAnsi="宋体" w:cs="宋体" w:eastAsia="宋体" w:hint="default"/>
                <w:sz w:val="21"/>
                <w:szCs w:val="21"/>
              </w:rPr>
              <w:t>处置价款与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处置投资对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应的合并财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务报表层面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享有该子公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司净资产份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额的差额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21" w:right="19"/>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制权之</w:t>
            </w:r>
            <w:r>
              <w:rPr>
                <w:rFonts w:ascii="宋体" w:hAnsi="宋体" w:cs="宋体" w:eastAsia="宋体" w:hint="default"/>
                <w:spacing w:val="-102"/>
                <w:sz w:val="21"/>
                <w:szCs w:val="21"/>
              </w:rPr>
              <w:t> </w:t>
            </w:r>
            <w:r>
              <w:rPr>
                <w:rFonts w:ascii="宋体" w:hAnsi="宋体" w:cs="宋体" w:eastAsia="宋体" w:hint="default"/>
                <w:sz w:val="21"/>
                <w:szCs w:val="21"/>
              </w:rPr>
              <w:t>日剩余</w:t>
            </w:r>
            <w:r>
              <w:rPr>
                <w:rFonts w:ascii="宋体" w:hAnsi="宋体" w:cs="宋体" w:eastAsia="宋体" w:hint="default"/>
                <w:spacing w:val="-102"/>
                <w:sz w:val="21"/>
                <w:szCs w:val="21"/>
              </w:rPr>
              <w:t> </w:t>
            </w:r>
            <w:r>
              <w:rPr>
                <w:rFonts w:ascii="宋体" w:hAnsi="宋体" w:cs="宋体" w:eastAsia="宋体" w:hint="default"/>
                <w:sz w:val="21"/>
                <w:szCs w:val="21"/>
              </w:rPr>
              <w:t>股权的</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1" w:lineRule="exact"/>
              <w:ind w:left="7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40" w:right="38"/>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股权的</w:t>
            </w:r>
            <w:r>
              <w:rPr>
                <w:rFonts w:ascii="宋体" w:hAnsi="宋体" w:cs="宋体" w:eastAsia="宋体" w:hint="default"/>
                <w:w w:val="100"/>
                <w:sz w:val="21"/>
                <w:szCs w:val="21"/>
              </w:rPr>
              <w:t> </w:t>
            </w:r>
            <w:r>
              <w:rPr>
                <w:rFonts w:ascii="宋体" w:hAnsi="宋体" w:cs="宋体" w:eastAsia="宋体" w:hint="default"/>
                <w:sz w:val="21"/>
                <w:szCs w:val="21"/>
              </w:rPr>
              <w:t>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38" w:right="35"/>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股权的</w:t>
            </w:r>
            <w:r>
              <w:rPr>
                <w:rFonts w:ascii="宋体" w:hAnsi="宋体" w:cs="宋体" w:eastAsia="宋体" w:hint="default"/>
                <w:w w:val="100"/>
                <w:sz w:val="21"/>
                <w:szCs w:val="21"/>
              </w:rPr>
              <w:t> </w:t>
            </w:r>
            <w:r>
              <w:rPr>
                <w:rFonts w:ascii="宋体" w:hAnsi="宋体" w:cs="宋体" w:eastAsia="宋体" w:hint="default"/>
                <w:sz w:val="21"/>
                <w:szCs w:val="21"/>
              </w:rPr>
              <w:t>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74" w:right="70"/>
              <w:jc w:val="center"/>
              <w:rPr>
                <w:rFonts w:ascii="宋体" w:hAnsi="宋体" w:cs="宋体" w:eastAsia="宋体" w:hint="default"/>
                <w:sz w:val="21"/>
                <w:szCs w:val="21"/>
              </w:rPr>
            </w:pPr>
            <w:r>
              <w:rPr>
                <w:rFonts w:ascii="宋体" w:hAnsi="宋体" w:cs="宋体" w:eastAsia="宋体" w:hint="default"/>
                <w:sz w:val="21"/>
                <w:szCs w:val="21"/>
              </w:rPr>
              <w:t>按照公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重新计</w:t>
            </w:r>
            <w:r>
              <w:rPr>
                <w:rFonts w:ascii="宋体" w:hAnsi="宋体" w:cs="宋体" w:eastAsia="宋体" w:hint="default"/>
                <w:w w:val="100"/>
                <w:sz w:val="21"/>
                <w:szCs w:val="21"/>
              </w:rPr>
              <w:t> </w:t>
            </w:r>
            <w:r>
              <w:rPr>
                <w:rFonts w:ascii="宋体" w:hAnsi="宋体" w:cs="宋体" w:eastAsia="宋体" w:hint="default"/>
                <w:sz w:val="21"/>
                <w:szCs w:val="21"/>
              </w:rPr>
              <w:t>量剩余</w:t>
            </w:r>
            <w:r>
              <w:rPr>
                <w:rFonts w:ascii="宋体" w:hAnsi="宋体" w:cs="宋体" w:eastAsia="宋体" w:hint="default"/>
                <w:w w:val="100"/>
                <w:sz w:val="21"/>
                <w:szCs w:val="21"/>
              </w:rPr>
              <w:t> </w:t>
            </w:r>
            <w:r>
              <w:rPr>
                <w:rFonts w:ascii="宋体" w:hAnsi="宋体" w:cs="宋体" w:eastAsia="宋体" w:hint="default"/>
                <w:sz w:val="21"/>
                <w:szCs w:val="21"/>
              </w:rPr>
              <w:t>股权产</w:t>
            </w:r>
            <w:r>
              <w:rPr>
                <w:rFonts w:ascii="宋体" w:hAnsi="宋体" w:cs="宋体" w:eastAsia="宋体" w:hint="default"/>
                <w:w w:val="100"/>
                <w:sz w:val="21"/>
                <w:szCs w:val="21"/>
              </w:rPr>
              <w:t> </w:t>
            </w:r>
            <w:r>
              <w:rPr>
                <w:rFonts w:ascii="宋体" w:hAnsi="宋体" w:cs="宋体" w:eastAsia="宋体" w:hint="default"/>
                <w:sz w:val="21"/>
                <w:szCs w:val="21"/>
              </w:rPr>
              <w:t>生的利</w:t>
            </w:r>
            <w:r>
              <w:rPr>
                <w:rFonts w:ascii="宋体" w:hAnsi="宋体" w:cs="宋体" w:eastAsia="宋体" w:hint="default"/>
                <w:w w:val="100"/>
                <w:sz w:val="21"/>
                <w:szCs w:val="21"/>
              </w:rPr>
              <w:t> </w:t>
            </w:r>
            <w:r>
              <w:rPr>
                <w:rFonts w:ascii="宋体" w:hAnsi="宋体" w:cs="宋体" w:eastAsia="宋体" w:hint="default"/>
                <w:sz w:val="21"/>
                <w:szCs w:val="21"/>
              </w:rPr>
              <w:t>得或损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84" w:right="79"/>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的确定</w:t>
            </w:r>
            <w:r>
              <w:rPr>
                <w:rFonts w:ascii="宋体" w:hAnsi="宋体" w:cs="宋体" w:eastAsia="宋体" w:hint="default"/>
                <w:w w:val="100"/>
                <w:sz w:val="21"/>
                <w:szCs w:val="21"/>
              </w:rPr>
              <w:t> </w:t>
            </w:r>
            <w:r>
              <w:rPr>
                <w:rFonts w:ascii="宋体" w:hAnsi="宋体" w:cs="宋体" w:eastAsia="宋体" w:hint="default"/>
                <w:sz w:val="21"/>
                <w:szCs w:val="21"/>
              </w:rPr>
              <w:t>方法及</w:t>
            </w:r>
            <w:r>
              <w:rPr>
                <w:rFonts w:ascii="宋体" w:hAnsi="宋体" w:cs="宋体" w:eastAsia="宋体" w:hint="default"/>
                <w:w w:val="100"/>
                <w:sz w:val="21"/>
                <w:szCs w:val="21"/>
              </w:rPr>
              <w:t> </w:t>
            </w:r>
            <w:r>
              <w:rPr>
                <w:rFonts w:ascii="宋体" w:hAnsi="宋体" w:cs="宋体" w:eastAsia="宋体" w:hint="default"/>
                <w:sz w:val="21"/>
                <w:szCs w:val="21"/>
              </w:rPr>
              <w:t>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both"/>
              <w:rPr>
                <w:rFonts w:ascii="宋体" w:hAnsi="宋体" w:cs="宋体" w:eastAsia="宋体" w:hint="default"/>
                <w:sz w:val="21"/>
                <w:szCs w:val="21"/>
              </w:rPr>
            </w:pPr>
            <w:r>
              <w:rPr>
                <w:rFonts w:ascii="宋体" w:hAnsi="宋体" w:cs="宋体" w:eastAsia="宋体" w:hint="default"/>
                <w:sz w:val="21"/>
                <w:szCs w:val="21"/>
              </w:rPr>
              <w:t>与原</w:t>
            </w:r>
          </w:p>
          <w:p>
            <w:pPr>
              <w:pStyle w:val="TableParagraph"/>
              <w:spacing w:line="237" w:lineRule="auto"/>
              <w:ind w:left="52" w:right="5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权投</w:t>
            </w:r>
            <w:r>
              <w:rPr>
                <w:rFonts w:ascii="宋体" w:hAnsi="宋体" w:cs="宋体" w:eastAsia="宋体" w:hint="default"/>
                <w:spacing w:val="-103"/>
                <w:sz w:val="21"/>
                <w:szCs w:val="21"/>
              </w:rPr>
              <w:t> </w:t>
            </w:r>
            <w:r>
              <w:rPr>
                <w:rFonts w:ascii="宋体" w:hAnsi="宋体" w:cs="宋体" w:eastAsia="宋体" w:hint="default"/>
                <w:sz w:val="21"/>
                <w:szCs w:val="21"/>
              </w:rPr>
              <w:t>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pacing w:val="-103"/>
                <w:sz w:val="21"/>
                <w:szCs w:val="21"/>
              </w:rPr>
              <w:t> </w:t>
            </w:r>
            <w:r>
              <w:rPr>
                <w:rFonts w:ascii="宋体" w:hAnsi="宋体" w:cs="宋体" w:eastAsia="宋体" w:hint="default"/>
                <w:sz w:val="21"/>
                <w:szCs w:val="21"/>
              </w:rPr>
              <w:t>的金</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1409"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both"/>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26"/>
                <w:sz w:val="18"/>
                <w:szCs w:val="18"/>
              </w:rPr>
              <w:t> </w:t>
            </w:r>
            <w:r>
              <w:rPr>
                <w:rFonts w:ascii="宋体" w:hAnsi="宋体" w:cs="宋体" w:eastAsia="宋体" w:hint="default"/>
                <w:sz w:val="18"/>
                <w:szCs w:val="18"/>
              </w:rPr>
              <w:t>阳</w:t>
            </w:r>
          </w:p>
          <w:p>
            <w:pPr>
              <w:pStyle w:val="TableParagraph"/>
              <w:spacing w:line="237" w:lineRule="auto"/>
              <w:ind w:left="-1" w:right="-1"/>
              <w:jc w:val="both"/>
              <w:rPr>
                <w:rFonts w:ascii="宋体" w:hAnsi="宋体" w:cs="宋体" w:eastAsia="宋体" w:hint="default"/>
                <w:sz w:val="18"/>
                <w:szCs w:val="18"/>
              </w:rPr>
            </w:pPr>
            <w:r>
              <w:rPr>
                <w:rFonts w:ascii="宋体" w:hAnsi="宋体" w:cs="宋体" w:eastAsia="宋体" w:hint="default"/>
                <w:sz w:val="18"/>
                <w:szCs w:val="18"/>
              </w:rPr>
              <w:t>辽</w:t>
            </w:r>
            <w:r>
              <w:rPr>
                <w:rFonts w:ascii="宋体" w:hAnsi="宋体" w:cs="宋体" w:eastAsia="宋体" w:hint="default"/>
                <w:spacing w:val="-26"/>
                <w:sz w:val="18"/>
                <w:szCs w:val="18"/>
              </w:rPr>
              <w:t> </w:t>
            </w:r>
            <w:r>
              <w:rPr>
                <w:rFonts w:ascii="宋体" w:hAnsi="宋体" w:cs="宋体" w:eastAsia="宋体" w:hint="default"/>
                <w:sz w:val="18"/>
                <w:szCs w:val="18"/>
              </w:rPr>
              <w:t>原</w:t>
            </w:r>
            <w:r>
              <w:rPr>
                <w:rFonts w:ascii="宋体" w:hAnsi="宋体" w:cs="宋体" w:eastAsia="宋体" w:hint="default"/>
                <w:sz w:val="18"/>
                <w:szCs w:val="18"/>
              </w:rPr>
              <w:t> 物</w:t>
            </w:r>
            <w:r>
              <w:rPr>
                <w:rFonts w:ascii="宋体" w:hAnsi="宋体" w:cs="宋体" w:eastAsia="宋体" w:hint="default"/>
                <w:spacing w:val="-26"/>
                <w:sz w:val="18"/>
                <w:szCs w:val="18"/>
              </w:rPr>
              <w:t> </w:t>
            </w:r>
            <w:r>
              <w:rPr>
                <w:rFonts w:ascii="宋体" w:hAnsi="宋体" w:cs="宋体" w:eastAsia="宋体" w:hint="default"/>
                <w:sz w:val="18"/>
                <w:szCs w:val="18"/>
              </w:rPr>
              <w:t>业</w:t>
            </w:r>
            <w:r>
              <w:rPr>
                <w:rFonts w:ascii="宋体" w:hAnsi="宋体" w:cs="宋体" w:eastAsia="宋体" w:hint="default"/>
                <w:sz w:val="18"/>
                <w:szCs w:val="18"/>
              </w:rPr>
              <w:t> 管</w:t>
            </w:r>
            <w:r>
              <w:rPr>
                <w:rFonts w:ascii="宋体" w:hAnsi="宋体" w:cs="宋体" w:eastAsia="宋体" w:hint="default"/>
                <w:spacing w:val="-26"/>
                <w:sz w:val="18"/>
                <w:szCs w:val="18"/>
              </w:rPr>
              <w:t> </w:t>
            </w:r>
            <w:r>
              <w:rPr>
                <w:rFonts w:ascii="宋体" w:hAnsi="宋体" w:cs="宋体" w:eastAsia="宋体" w:hint="default"/>
                <w:sz w:val="18"/>
                <w:szCs w:val="18"/>
              </w:rPr>
              <w:t>理</w:t>
            </w:r>
            <w:r>
              <w:rPr>
                <w:rFonts w:ascii="宋体" w:hAnsi="宋体" w:cs="宋体" w:eastAsia="宋体" w:hint="default"/>
                <w:sz w:val="18"/>
                <w:szCs w:val="18"/>
              </w:rPr>
              <w:t> 有</w:t>
            </w:r>
            <w:r>
              <w:rPr>
                <w:rFonts w:ascii="宋体" w:hAnsi="宋体" w:cs="宋体" w:eastAsia="宋体" w:hint="default"/>
                <w:spacing w:val="-26"/>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1"/>
              <w:jc w:val="left"/>
              <w:rPr>
                <w:rFonts w:ascii="宋体" w:hAnsi="宋体" w:cs="宋体" w:eastAsia="宋体" w:hint="default"/>
                <w:sz w:val="18"/>
                <w:szCs w:val="18"/>
              </w:rPr>
            </w:pPr>
            <w:r>
              <w:rPr>
                <w:rFonts w:ascii="宋体"/>
                <w:sz w:val="18"/>
              </w:rPr>
              <w:t>1.00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1"/>
              <w:jc w:val="left"/>
              <w:rPr>
                <w:rFonts w:ascii="宋体" w:hAnsi="宋体" w:cs="宋体" w:eastAsia="宋体" w:hint="default"/>
                <w:sz w:val="18"/>
                <w:szCs w:val="18"/>
              </w:rPr>
            </w:pPr>
            <w:r>
              <w:rPr>
                <w:rFonts w:ascii="宋体"/>
                <w:sz w:val="18"/>
              </w:rPr>
              <w:t>100.00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9"/>
                <w:sz w:val="18"/>
                <w:szCs w:val="18"/>
              </w:rPr>
              <w:t> </w:t>
            </w:r>
            <w:r>
              <w:rPr>
                <w:rFonts w:ascii="宋体" w:hAnsi="宋体" w:cs="宋体" w:eastAsia="宋体" w:hint="default"/>
                <w:sz w:val="18"/>
                <w:szCs w:val="18"/>
              </w:rPr>
              <w:t>年</w:t>
            </w:r>
          </w:p>
          <w:p>
            <w:pPr>
              <w:pStyle w:val="TableParagraph"/>
              <w:spacing w:line="233" w:lineRule="exact"/>
              <w:ind w:left="-3" w:right="-1"/>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30</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81"/>
                <w:sz w:val="18"/>
                <w:szCs w:val="18"/>
              </w:rPr>
              <w:t>控</w:t>
            </w:r>
            <w:r>
              <w:rPr>
                <w:rFonts w:ascii="宋体" w:hAnsi="宋体" w:cs="宋体" w:eastAsia="宋体" w:hint="default"/>
                <w:sz w:val="18"/>
                <w:szCs w:val="18"/>
              </w:rPr>
              <w:t>制</w:t>
            </w:r>
            <w:r>
              <w:rPr>
                <w:rFonts w:ascii="宋体" w:hAnsi="宋体" w:cs="宋体" w:eastAsia="宋体" w:hint="default"/>
                <w:spacing w:val="-9"/>
                <w:sz w:val="18"/>
                <w:szCs w:val="18"/>
              </w:rPr>
              <w:t> </w:t>
            </w:r>
            <w:r>
              <w:rPr>
                <w:rFonts w:ascii="宋体" w:hAnsi="宋体" w:cs="宋体" w:eastAsia="宋体" w:hint="default"/>
                <w:sz w:val="18"/>
                <w:szCs w:val="18"/>
              </w:rPr>
              <w:t>权</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转移</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9,332,339.05</w:t>
            </w:r>
          </w:p>
        </w:tc>
        <w:tc>
          <w:tcPr>
            <w:tcW w:w="68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38" w:right="106"/>
        <w:jc w:val="left"/>
      </w:pPr>
      <w:r>
        <w:rPr/>
        <w:t>其他说明：</w:t>
      </w:r>
    </w:p>
    <w:p>
      <w:pPr>
        <w:pStyle w:val="BodyText"/>
        <w:spacing w:line="273" w:lineRule="exact"/>
        <w:ind w:left="138" w:right="106"/>
        <w:jc w:val="left"/>
      </w:pPr>
      <w:r>
        <w:rPr/>
        <w:t>√适用</w:t>
      </w:r>
      <w:r>
        <w:rPr>
          <w:spacing w:val="-1"/>
        </w:rPr>
        <w:t> </w:t>
      </w:r>
      <w:r>
        <w:rPr/>
        <w:t>□不适用</w:t>
      </w:r>
    </w:p>
    <w:p>
      <w:pPr>
        <w:pStyle w:val="BodyText"/>
        <w:spacing w:line="355" w:lineRule="auto" w:before="118"/>
        <w:ind w:left="138" w:right="107" w:firstLine="419"/>
        <w:jc w:val="both"/>
      </w:pPr>
      <w:r>
        <w:rPr>
          <w:rFonts w:ascii="宋体" w:hAnsi="宋体" w:cs="宋体" w:eastAsia="宋体" w:hint="default"/>
          <w:w w:val="100"/>
        </w:rPr>
        <w:t>2017</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11</w:t>
      </w:r>
      <w:r>
        <w:rPr>
          <w:rFonts w:ascii="宋体" w:hAnsi="宋体" w:cs="宋体" w:eastAsia="宋体" w:hint="default"/>
          <w:spacing w:val="-53"/>
          <w:w w:val="100"/>
        </w:rPr>
        <w:t> </w:t>
      </w:r>
      <w:r>
        <w:rPr>
          <w:spacing w:val="-6"/>
          <w:w w:val="100"/>
        </w:rPr>
        <w:t>月，公司全资子公司杭州郡原物业服务有限公司（下称“郡原物业”）与沈阳华凌</w:t>
      </w:r>
      <w:r>
        <w:rPr>
          <w:w w:val="100"/>
        </w:rPr>
        <w:t> </w:t>
      </w:r>
      <w:r>
        <w:rPr>
          <w:spacing w:val="-6"/>
          <w:w w:val="100"/>
        </w:rPr>
        <w:t>房地产有限公司签署了《股权转让协议》，郡原物业向沈阳华凌房地产有限公司转让旗下全资子公</w:t>
      </w:r>
      <w:r>
        <w:rPr>
          <w:spacing w:val="-104"/>
          <w:w w:val="100"/>
        </w:rPr>
        <w:t> </w:t>
      </w:r>
      <w:r>
        <w:rPr>
          <w:spacing w:val="-104"/>
          <w:w w:val="100"/>
        </w:rPr>
      </w:r>
      <w:r>
        <w:rPr/>
        <w:t>司辽原物业</w:t>
      </w:r>
      <w:r>
        <w:rPr>
          <w:spacing w:val="16"/>
        </w:rPr>
        <w:t> </w:t>
      </w:r>
      <w:r>
        <w:rPr>
          <w:rFonts w:ascii="宋体" w:hAnsi="宋体" w:cs="宋体" w:eastAsia="宋体" w:hint="default"/>
        </w:rPr>
        <w:t>100%</w:t>
      </w:r>
      <w:r>
        <w:rPr/>
        <w:t>股权，转让时公司净资产为人民币</w:t>
      </w:r>
      <w:r>
        <w:rPr>
          <w:rFonts w:ascii="宋体" w:hAnsi="宋体" w:cs="宋体" w:eastAsia="宋体" w:hint="default"/>
        </w:rPr>
        <w:t>-9,332,338.05</w:t>
      </w:r>
      <w:r>
        <w:rPr>
          <w:rFonts w:ascii="宋体" w:hAnsi="宋体" w:cs="宋体" w:eastAsia="宋体" w:hint="default"/>
          <w:spacing w:val="-40"/>
        </w:rPr>
        <w:t> </w:t>
      </w:r>
      <w:r>
        <w:rPr/>
        <w:t>元，转让价格为人民币</w:t>
      </w:r>
      <w:r>
        <w:rPr>
          <w:spacing w:val="-39"/>
        </w:rPr>
        <w:t> </w:t>
      </w:r>
      <w:r>
        <w:rPr>
          <w:rFonts w:ascii="宋体" w:hAnsi="宋体" w:cs="宋体" w:eastAsia="宋体" w:hint="default"/>
        </w:rPr>
        <w:t>1</w:t>
      </w:r>
      <w:r>
        <w:rPr>
          <w:rFonts w:ascii="宋体" w:hAnsi="宋体" w:cs="宋体" w:eastAsia="宋体" w:hint="default"/>
          <w:spacing w:val="-40"/>
        </w:rPr>
        <w:t> </w:t>
      </w:r>
      <w:r>
        <w:rPr/>
        <w:t>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74" w:lineRule="exact"/>
        <w:ind w:left="138" w:right="106"/>
        <w:jc w:val="left"/>
      </w:pPr>
      <w:r>
        <w:rPr/>
        <w:t>是否存在通过多次交易分步处置对子公司投资且在本期丧失控制权的情形</w:t>
      </w:r>
    </w:p>
    <w:p>
      <w:pPr>
        <w:pStyle w:val="BodyText"/>
        <w:spacing w:line="274" w:lineRule="exact"/>
        <w:ind w:left="138" w:right="106"/>
        <w:jc w:val="left"/>
      </w:pPr>
      <w:r>
        <w:rPr/>
        <w:t>□适用√不适用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0"/>
        <w:ind w:left="138" w:right="106" w:firstLine="419"/>
        <w:jc w:val="left"/>
        <w:rPr>
          <w:rFonts w:ascii="宋体" w:hAnsi="宋体" w:cs="宋体" w:eastAsia="宋体" w:hint="default"/>
          <w:sz w:val="21"/>
          <w:szCs w:val="21"/>
        </w:rPr>
      </w:pP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left="138" w:right="106"/>
        <w:jc w:val="left"/>
      </w:pPr>
      <w:r>
        <w:rPr/>
        <w:t>√适用</w:t>
      </w:r>
      <w:r>
        <w:rPr>
          <w:spacing w:val="-1"/>
        </w:rPr>
        <w:t> </w:t>
      </w:r>
      <w:r>
        <w:rPr/>
        <w:t>□不适用</w:t>
      </w:r>
    </w:p>
    <w:p>
      <w:pPr>
        <w:pStyle w:val="BodyText"/>
        <w:spacing w:line="357" w:lineRule="auto"/>
        <w:ind w:left="138" w:right="270" w:firstLine="419"/>
        <w:jc w:val="both"/>
      </w:pPr>
      <w:r>
        <w:rPr/>
        <w:t>（</w:t>
      </w:r>
      <w:r>
        <w:rPr>
          <w:rFonts w:ascii="宋体" w:hAnsi="宋体" w:cs="宋体" w:eastAsia="宋体" w:hint="default"/>
        </w:rPr>
        <w:t>1</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26</w:t>
      </w:r>
      <w:r>
        <w:rPr>
          <w:rFonts w:ascii="宋体" w:hAnsi="宋体" w:cs="宋体" w:eastAsia="宋体" w:hint="default"/>
          <w:spacing w:val="-54"/>
        </w:rPr>
        <w:t> </w:t>
      </w:r>
      <w:r>
        <w:rPr/>
        <w:t>日，上海慧球通信科技有限公司决议增加注册资本至人民币</w:t>
      </w:r>
      <w:r>
        <w:rPr>
          <w:spacing w:val="-54"/>
        </w:rPr>
        <w:t> </w:t>
      </w:r>
      <w:r>
        <w:rPr>
          <w:rFonts w:ascii="宋体" w:hAnsi="宋体" w:cs="宋体" w:eastAsia="宋体" w:hint="default"/>
        </w:rPr>
        <w:t>4</w:t>
      </w:r>
      <w:r>
        <w:rPr>
          <w:rFonts w:ascii="宋体" w:hAnsi="宋体" w:cs="宋体" w:eastAsia="宋体" w:hint="default"/>
          <w:spacing w:val="-54"/>
        </w:rPr>
        <w:t> </w:t>
      </w:r>
      <w:r>
        <w:rPr/>
        <w:t>亿元，</w:t>
      </w:r>
      <w:r>
        <w:rPr>
          <w:w w:val="100"/>
        </w:rPr>
        <w:t> </w:t>
      </w:r>
      <w:r>
        <w:rPr/>
        <w:t>新增注册资本由湖北柯塞威数据科技有限公司认缴，增资后本公司持股比例下降为</w:t>
      </w:r>
      <w:r>
        <w:rPr>
          <w:spacing w:val="-54"/>
        </w:rPr>
        <w:t> </w:t>
      </w:r>
      <w:r>
        <w:rPr>
          <w:rFonts w:ascii="宋体" w:hAnsi="宋体" w:cs="宋体" w:eastAsia="宋体" w:hint="default"/>
        </w:rPr>
        <w:t>5%</w:t>
      </w:r>
      <w:r>
        <w:rPr/>
        <w:t>，</w:t>
      </w:r>
      <w:r>
        <w:rPr>
          <w:rFonts w:ascii="宋体" w:hAnsi="宋体" w:cs="宋体" w:eastAsia="宋体" w:hint="default"/>
        </w:rPr>
        <w:t>2016</w:t>
      </w:r>
      <w:r>
        <w:rPr>
          <w:rFonts w:ascii="宋体" w:hAnsi="宋体" w:cs="宋体" w:eastAsia="宋体" w:hint="default"/>
          <w:spacing w:val="-55"/>
        </w:rPr>
        <w:t> </w:t>
      </w:r>
      <w:r>
        <w:rPr/>
        <w:t>年</w:t>
      </w:r>
      <w:r>
        <w:rPr>
          <w:w w:val="100"/>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29</w:t>
      </w:r>
      <w:r>
        <w:rPr>
          <w:rFonts w:ascii="宋体" w:hAnsi="宋体" w:cs="宋体" w:eastAsia="宋体" w:hint="default"/>
          <w:spacing w:val="-55"/>
        </w:rPr>
        <w:t> </w:t>
      </w:r>
      <w:r>
        <w:rPr/>
        <w:t>日，已进行工商变更，但湖北柯塞威数据科技有限公司仍未实际缴纳上述出资，本公司</w:t>
      </w:r>
    </w:p>
    <w:p>
      <w:pPr>
        <w:pStyle w:val="BodyText"/>
        <w:spacing w:line="355" w:lineRule="auto" w:before="30"/>
        <w:ind w:left="138" w:right="106"/>
        <w:jc w:val="left"/>
      </w:pPr>
      <w:r>
        <w:rPr>
          <w:spacing w:val="-7"/>
        </w:rPr>
        <w:t>判断，截止</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spacing w:val="-4"/>
        </w:rPr>
        <w:t>日，本公司仍控制上海慧球通信科技有限公司，故纳入当年合并报表</w:t>
      </w:r>
      <w:r>
        <w:rPr>
          <w:spacing w:val="-102"/>
        </w:rPr>
        <w:t> </w:t>
      </w:r>
      <w:r>
        <w:rPr>
          <w:spacing w:val="-102"/>
        </w:rPr>
      </w:r>
      <w:r>
        <w:rPr/>
        <w:t>范围内。</w:t>
      </w:r>
    </w:p>
    <w:p>
      <w:pPr>
        <w:spacing w:after="0" w:line="355" w:lineRule="auto"/>
        <w:jc w:val="left"/>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BodyText"/>
        <w:spacing w:line="340" w:lineRule="auto" w:before="36"/>
        <w:ind w:left="138" w:right="128" w:firstLine="419"/>
        <w:jc w:val="both"/>
      </w:pPr>
      <w:r>
        <w:rPr>
          <w:rFonts w:ascii="Arial" w:hAnsi="Arial" w:cs="Arial" w:eastAsia="Arial" w:hint="default"/>
          <w:w w:val="100"/>
        </w:rPr>
        <w:t>2017</w:t>
      </w:r>
      <w:r>
        <w:rPr>
          <w:rFonts w:ascii="Arial" w:hAnsi="Arial" w:cs="Arial" w:eastAsia="Arial" w:hint="default"/>
          <w:spacing w:val="-1"/>
          <w:w w:val="100"/>
        </w:rPr>
        <w:t> </w:t>
      </w:r>
      <w:r>
        <w:rPr>
          <w:spacing w:val="-4"/>
          <w:w w:val="100"/>
        </w:rPr>
        <w:t>年本公司实际控制人发生变更，本公司已不再对上海慧球通信科技有限公司拥有实际控</w:t>
      </w:r>
      <w:r>
        <w:rPr>
          <w:w w:val="100"/>
        </w:rPr>
        <w:t> </w:t>
      </w:r>
      <w:r>
        <w:rPr/>
        <w:t>制权，因此转为可供出售金额资产进行核算。</w:t>
      </w:r>
    </w:p>
    <w:p>
      <w:pPr>
        <w:pStyle w:val="BodyText"/>
        <w:spacing w:line="355" w:lineRule="auto" w:before="45"/>
        <w:ind w:left="138" w:right="128" w:firstLine="419"/>
        <w:jc w:val="both"/>
      </w:pPr>
      <w:r>
        <w:rPr/>
        <w:t>（</w:t>
      </w:r>
      <w:r>
        <w:rPr>
          <w:rFonts w:ascii="宋体" w:hAnsi="宋体" w:cs="宋体" w:eastAsia="宋体" w:hint="default"/>
        </w:rPr>
        <w:t>2</w:t>
      </w:r>
      <w:r>
        <w:rPr/>
        <w:t>）本公司第八届董事会第四十三次会议、</w:t>
      </w:r>
      <w:r>
        <w:rPr>
          <w:rFonts w:ascii="宋体" w:hAnsi="宋体" w:cs="宋体" w:eastAsia="宋体" w:hint="default"/>
        </w:rPr>
        <w:t>2016</w:t>
      </w:r>
      <w:r>
        <w:rPr>
          <w:rFonts w:ascii="宋体" w:hAnsi="宋体" w:cs="宋体" w:eastAsia="宋体" w:hint="default"/>
          <w:spacing w:val="-8"/>
        </w:rPr>
        <w:t> </w:t>
      </w:r>
      <w:r>
        <w:rPr/>
        <w:t>年年度股东大会通过了《关于处置部分子</w:t>
      </w:r>
      <w:r>
        <w:rPr>
          <w:w w:val="100"/>
        </w:rPr>
        <w:t> </w:t>
      </w:r>
      <w:r>
        <w:rPr>
          <w:spacing w:val="-6"/>
          <w:w w:val="100"/>
        </w:rPr>
        <w:t>公司的议案》，并授权董事会根据实际情况对相关子公司采取包括但不限于注销、对外转让等方式</w:t>
      </w:r>
      <w:r>
        <w:rPr>
          <w:spacing w:val="-104"/>
          <w:w w:val="100"/>
        </w:rPr>
        <w:t> </w:t>
      </w:r>
      <w:r>
        <w:rPr>
          <w:spacing w:val="-104"/>
          <w:w w:val="100"/>
        </w:rPr>
      </w:r>
      <w:r>
        <w:rPr/>
        <w:t>予以处置。</w:t>
      </w:r>
    </w:p>
    <w:p>
      <w:pPr>
        <w:pStyle w:val="BodyText"/>
        <w:spacing w:line="240" w:lineRule="auto" w:before="32"/>
        <w:ind w:left="138" w:right="147" w:firstLine="419"/>
        <w:jc w:val="both"/>
      </w:pPr>
      <w:r>
        <w:rPr>
          <w:rFonts w:ascii="宋体" w:hAnsi="宋体" w:cs="宋体" w:eastAsia="宋体" w:hint="default"/>
        </w:rPr>
        <w:t>2017 </w:t>
      </w:r>
      <w:r>
        <w:rPr/>
        <w:t>年 </w:t>
      </w:r>
      <w:r>
        <w:rPr>
          <w:rFonts w:ascii="宋体" w:hAnsi="宋体" w:cs="宋体" w:eastAsia="宋体" w:hint="default"/>
        </w:rPr>
        <w:t>9 </w:t>
      </w:r>
      <w:r>
        <w:rPr/>
        <w:t>月 </w:t>
      </w:r>
      <w:r>
        <w:rPr>
          <w:rFonts w:ascii="宋体" w:hAnsi="宋体" w:cs="宋体" w:eastAsia="宋体" w:hint="default"/>
        </w:rPr>
        <w:t>7</w:t>
      </w:r>
      <w:r>
        <w:rPr>
          <w:rFonts w:ascii="宋体" w:hAnsi="宋体" w:cs="宋体" w:eastAsia="宋体" w:hint="default"/>
          <w:spacing w:val="59"/>
        </w:rPr>
        <w:t> </w:t>
      </w:r>
      <w:r>
        <w:rPr>
          <w:spacing w:val="-5"/>
        </w:rPr>
        <w:t>日，公司收到《准予注销登记通知书》（</w:t>
      </w:r>
      <w:r>
        <w:rPr>
          <w:rFonts w:ascii="宋体" w:hAnsi="宋体" w:cs="宋体" w:eastAsia="宋体" w:hint="default"/>
          <w:spacing w:val="-5"/>
        </w:rPr>
        <w:t>&lt;</w:t>
      </w:r>
      <w:r>
        <w:rPr>
          <w:spacing w:val="-5"/>
        </w:rPr>
        <w:t>甬新市监</w:t>
      </w:r>
      <w:r>
        <w:rPr>
          <w:rFonts w:ascii="宋体" w:hAnsi="宋体" w:cs="宋体" w:eastAsia="宋体" w:hint="default"/>
          <w:spacing w:val="-5"/>
        </w:rPr>
        <w:t>&gt;</w:t>
      </w:r>
      <w:r>
        <w:rPr>
          <w:spacing w:val="-5"/>
        </w:rPr>
        <w:t>登记内销字【</w:t>
      </w:r>
      <w:r>
        <w:rPr>
          <w:rFonts w:ascii="宋体" w:hAnsi="宋体" w:cs="宋体" w:eastAsia="宋体" w:hint="default"/>
          <w:spacing w:val="-5"/>
        </w:rPr>
        <w:t>2017</w:t>
      </w:r>
      <w:r>
        <w:rPr>
          <w:spacing w:val="-5"/>
        </w:rPr>
        <w:t>】第</w:t>
      </w:r>
      <w:r>
        <w:rPr>
          <w:spacing w:val="-17"/>
          <w:w w:val="100"/>
        </w:rPr>
        <w:t> </w:t>
      </w:r>
      <w:r>
        <w:rPr>
          <w:rFonts w:ascii="宋体" w:hAnsi="宋体" w:cs="宋体" w:eastAsia="宋体" w:hint="default"/>
        </w:rPr>
        <w:t>L-25</w:t>
      </w:r>
      <w:r>
        <w:rPr>
          <w:rFonts w:ascii="宋体" w:hAnsi="宋体" w:cs="宋体" w:eastAsia="宋体" w:hint="default"/>
          <w:spacing w:val="-6"/>
        </w:rPr>
        <w:t> </w:t>
      </w:r>
      <w:r>
        <w:rPr/>
        <w:t>号），准予慧球智慧科技（宁波）有限公司（以下简称“宁波慧球”）注销登记。</w:t>
      </w:r>
    </w:p>
    <w:p>
      <w:pPr>
        <w:pStyle w:val="BodyText"/>
        <w:spacing w:line="286" w:lineRule="exact"/>
        <w:ind w:left="558" w:right="0"/>
        <w:jc w:val="left"/>
      </w:pPr>
      <w:r>
        <w:rPr/>
        <w:pict>
          <v:shape style="position:absolute;margin-left:89.183998pt;margin-top:15.203465pt;width:419pt;height:5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1"/>
                    <w:gridCol w:w="2470"/>
                    <w:gridCol w:w="2208"/>
                  </w:tblGrid>
                  <w:tr>
                    <w:trPr>
                      <w:trHeight w:val="351" w:hRule="exact"/>
                    </w:trPr>
                    <w:tc>
                      <w:tcPr>
                        <w:tcW w:w="3701"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7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208"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成立时间</w:t>
                        </w:r>
                      </w:p>
                    </w:tc>
                  </w:tr>
                  <w:tr>
                    <w:trPr>
                      <w:trHeight w:val="264"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慧金股权投资基金管理成都有限公司</w:t>
                        </w:r>
                      </w:p>
                    </w:tc>
                    <w:tc>
                      <w:tcPr>
                        <w:tcW w:w="2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10,000,000.00</w:t>
                        </w:r>
                      </w:p>
                    </w:tc>
                    <w:tc>
                      <w:tcPr>
                        <w:tcW w:w="2208"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5"/>
                          <w:jc w:val="center"/>
                          <w:rPr>
                            <w:rFonts w:ascii="宋体" w:hAnsi="宋体" w:cs="宋体" w:eastAsia="宋体" w:hint="default"/>
                            <w:sz w:val="21"/>
                            <w:szCs w:val="21"/>
                          </w:rPr>
                        </w:pPr>
                        <w:r>
                          <w:rPr>
                            <w:rFonts w:ascii="宋体"/>
                            <w:sz w:val="21"/>
                          </w:rPr>
                          <w:t>2017-08-30</w:t>
                        </w:r>
                      </w:p>
                    </w:tc>
                  </w:tr>
                  <w:tr>
                    <w:trPr>
                      <w:trHeight w:val="456" w:hRule="exact"/>
                    </w:trPr>
                    <w:tc>
                      <w:tcPr>
                        <w:tcW w:w="3701"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鲲鹏未来资产管理成都有限公司</w:t>
                        </w:r>
                      </w:p>
                    </w:tc>
                    <w:tc>
                      <w:tcPr>
                        <w:tcW w:w="24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10,000,000.00</w:t>
                        </w:r>
                      </w:p>
                    </w:tc>
                    <w:tc>
                      <w:tcPr>
                        <w:tcW w:w="220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0"/>
                          <w:ind w:right="5"/>
                          <w:jc w:val="center"/>
                          <w:rPr>
                            <w:rFonts w:ascii="宋体" w:hAnsi="宋体" w:cs="宋体" w:eastAsia="宋体" w:hint="default"/>
                            <w:sz w:val="21"/>
                            <w:szCs w:val="21"/>
                          </w:rPr>
                        </w:pPr>
                        <w:r>
                          <w:rPr>
                            <w:rFonts w:ascii="宋体"/>
                            <w:sz w:val="21"/>
                          </w:rPr>
                          <w:t>2017-09-26</w:t>
                        </w:r>
                      </w:p>
                    </w:tc>
                  </w:tr>
                </w:tbl>
                <w:p>
                  <w:pPr/>
                </w:p>
              </w:txbxContent>
            </v:textbox>
            <w10:wrap type="none"/>
          </v:shape>
        </w:pict>
      </w:r>
      <w:r>
        <w:rPr/>
        <w:t>（</w:t>
      </w:r>
      <w:r>
        <w:rPr>
          <w:rFonts w:ascii="Arial" w:hAnsi="Arial" w:cs="Arial" w:eastAsia="Arial" w:hint="default"/>
        </w:rPr>
        <w:t>3</w:t>
      </w:r>
      <w:r>
        <w:rPr/>
        <w:t>）报告期内因新设子公司增加合并单位</w:t>
      </w:r>
      <w:r>
        <w:rPr>
          <w:spacing w:val="-56"/>
        </w:rPr>
        <w:t> </w:t>
      </w:r>
      <w:r>
        <w:rPr>
          <w:rFonts w:ascii="Arial" w:hAnsi="Arial" w:cs="Arial" w:eastAsia="Arial" w:hint="default"/>
        </w:rPr>
        <w:t>2</w:t>
      </w:r>
      <w:r>
        <w:rPr>
          <w:rFonts w:ascii="Arial" w:hAnsi="Arial" w:cs="Arial" w:eastAsia="Arial" w:hint="default"/>
          <w:spacing w:val="-11"/>
        </w:rPr>
        <w:t> </w:t>
      </w:r>
      <w:r>
        <w:rPr/>
        <w:t>家，具体明细如下：</w:t>
      </w:r>
    </w:p>
    <w:p>
      <w:pPr>
        <w:spacing w:line="240" w:lineRule="auto" w:before="7"/>
        <w:rPr>
          <w:rFonts w:ascii="宋体" w:hAnsi="宋体" w:cs="宋体" w:eastAsia="宋体" w:hint="default"/>
          <w:sz w:val="3"/>
          <w:szCs w:val="3"/>
        </w:rPr>
      </w:pPr>
    </w:p>
    <w:p>
      <w:pPr>
        <w:tabs>
          <w:tab w:pos="6290" w:val="left" w:leader="none"/>
        </w:tabs>
        <w:spacing w:line="20" w:lineRule="exact"/>
        <w:ind w:left="3820" w:right="0" w:firstLine="0"/>
        <w:rPr>
          <w:rFonts w:ascii="宋体" w:hAnsi="宋体" w:cs="宋体" w:eastAsia="宋体" w:hint="default"/>
          <w:sz w:val="2"/>
          <w:szCs w:val="2"/>
        </w:rPr>
      </w:pPr>
      <w:r>
        <w:rPr>
          <w:rFonts w:ascii="宋体"/>
          <w:sz w:val="2"/>
        </w:rPr>
        <w:drawing>
          <wp:inline distT="0" distB="0" distL="0" distR="0">
            <wp:extent cx="6093" cy="1524"/>
            <wp:effectExtent l="0" t="0" r="0" b="0"/>
            <wp:docPr id="5" name="image60.png" descr=""/>
            <wp:cNvGraphicFramePr>
              <a:graphicFrameLocks noChangeAspect="1"/>
            </wp:cNvGraphicFramePr>
            <a:graphic>
              <a:graphicData uri="http://schemas.openxmlformats.org/drawingml/2006/picture">
                <pic:pic>
                  <pic:nvPicPr>
                    <pic:cNvPr id="6" name="image60.png"/>
                    <pic:cNvPicPr/>
                  </pic:nvPicPr>
                  <pic:blipFill>
                    <a:blip r:embed="rId106" cstate="print"/>
                    <a:stretch>
                      <a:fillRect/>
                    </a:stretch>
                  </pic:blipFill>
                  <pic:spPr>
                    <a:xfrm>
                      <a:off x="0" y="0"/>
                      <a:ext cx="6093"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3" cy="1524"/>
            <wp:effectExtent l="0" t="0" r="0" b="0"/>
            <wp:docPr id="7" name="image60.png" descr=""/>
            <wp:cNvGraphicFramePr>
              <a:graphicFrameLocks noChangeAspect="1"/>
            </wp:cNvGraphicFramePr>
            <a:graphic>
              <a:graphicData uri="http://schemas.openxmlformats.org/drawingml/2006/picture">
                <pic:pic>
                  <pic:nvPicPr>
                    <pic:cNvPr id="8" name="image60.png"/>
                    <pic:cNvPicPr/>
                  </pic:nvPicPr>
                  <pic:blipFill>
                    <a:blip r:embed="rId106" cstate="print"/>
                    <a:stretch>
                      <a:fillRect/>
                    </a:stretch>
                  </pic:blipFill>
                  <pic:spPr>
                    <a:xfrm>
                      <a:off x="0" y="0"/>
                      <a:ext cx="6093" cy="1524"/>
                    </a:xfrm>
                    <a:prstGeom prst="rect">
                      <a:avLst/>
                    </a:prstGeom>
                  </pic:spPr>
                </pic:pic>
              </a:graphicData>
            </a:graphic>
          </wp:inline>
        </w:drawing>
      </w:r>
      <w:r>
        <w:rPr>
          <w:rFonts w:ascii="宋体"/>
          <w:sz w:val="2"/>
        </w:rPr>
      </w:r>
    </w:p>
    <w:p>
      <w:pPr>
        <w:spacing w:line="240" w:lineRule="auto" w:before="7"/>
        <w:rPr>
          <w:rFonts w:ascii="宋体" w:hAnsi="宋体" w:cs="宋体" w:eastAsia="宋体" w:hint="default"/>
          <w:sz w:val="24"/>
          <w:szCs w:val="24"/>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8.3pt;height:.5pt;mso-position-horizontal-relative:char;mso-position-vertical-relative:line" coordorigin="0,0" coordsize="8366,10">
            <v:shape style="position:absolute;left:0;top:0;width:3682;height:10" type="#_x0000_t75" stroked="false">
              <v:imagedata r:id="rId61" o:title=""/>
            </v:shape>
            <v:shape style="position:absolute;left:3677;top:0;width:2475;height:10" type="#_x0000_t75" stroked="false">
              <v:imagedata r:id="rId107" o:title=""/>
            </v:shape>
            <v:shape style="position:absolute;left:6147;top:0;width:2218;height:10" type="#_x0000_t75" stroked="false">
              <v:imagedata r:id="rId108"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8"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18.3pt;height:5.05pt;mso-position-horizontal-relative:char;mso-position-vertical-relative:line" coordorigin="0,0" coordsize="8366,101">
            <v:shape style="position:absolute;left:0;top:0;width:3701;height:101" type="#_x0000_t75" stroked="false">
              <v:imagedata r:id="rId56" o:title=""/>
            </v:shape>
            <v:shape style="position:absolute;left:3677;top:91;width:2475;height:10" type="#_x0000_t75" stroked="false">
              <v:imagedata r:id="rId107" o:title=""/>
            </v:shape>
            <v:shape style="position:absolute;left:6147;top:91;width:2218;height:10" type="#_x0000_t75" stroked="false">
              <v:imagedata r:id="rId108" o:title=""/>
            </v:shape>
          </v:group>
        </w:pict>
      </w:r>
      <w:r>
        <w:rPr>
          <w:rFonts w:ascii="宋体" w:hAnsi="宋体" w:cs="宋体" w:eastAsia="宋体" w:hint="default"/>
          <w:position w:val="-1"/>
          <w:sz w:val="10"/>
          <w:szCs w:val="10"/>
        </w:rPr>
      </w:r>
    </w:p>
    <w:p>
      <w:pPr>
        <w:spacing w:line="240" w:lineRule="auto" w:before="9"/>
        <w:rPr>
          <w:rFonts w:ascii="宋体" w:hAnsi="宋体" w:cs="宋体" w:eastAsia="宋体" w:hint="default"/>
          <w:sz w:val="25"/>
          <w:szCs w:val="25"/>
        </w:rPr>
      </w:pPr>
    </w:p>
    <w:p>
      <w:pPr>
        <w:pStyle w:val="BodyText"/>
        <w:spacing w:line="348" w:lineRule="auto"/>
        <w:ind w:left="138" w:right="128" w:firstLine="419"/>
        <w:jc w:val="both"/>
      </w:pPr>
      <w:r>
        <w:rPr>
          <w:spacing w:val="-5"/>
        </w:rPr>
        <w:t>（</w:t>
      </w:r>
      <w:r>
        <w:rPr>
          <w:rFonts w:ascii="Arial" w:hAnsi="Arial" w:cs="Arial" w:eastAsia="Arial" w:hint="default"/>
          <w:spacing w:val="-5"/>
        </w:rPr>
        <w:t>4</w:t>
      </w:r>
      <w:r>
        <w:rPr>
          <w:spacing w:val="-5"/>
        </w:rPr>
        <w:t>）截止</w:t>
      </w:r>
      <w:r>
        <w:rPr>
          <w:spacing w:val="-44"/>
        </w:rPr>
        <w:t> </w:t>
      </w:r>
      <w:r>
        <w:rPr>
          <w:rFonts w:ascii="Arial" w:hAnsi="Arial" w:cs="Arial" w:eastAsia="Arial" w:hint="default"/>
        </w:rPr>
        <w:t>2017</w:t>
      </w:r>
      <w:r>
        <w:rPr>
          <w:rFonts w:ascii="Arial" w:hAnsi="Arial" w:cs="Arial" w:eastAsia="Arial" w:hint="default"/>
          <w:spacing w:val="1"/>
        </w:rPr>
        <w:t> </w:t>
      </w:r>
      <w:r>
        <w:rPr/>
        <w:t>年</w:t>
      </w:r>
      <w:r>
        <w:rPr>
          <w:spacing w:val="-42"/>
        </w:rPr>
        <w:t> </w:t>
      </w:r>
      <w:r>
        <w:rPr>
          <w:rFonts w:ascii="Arial" w:hAnsi="Arial" w:cs="Arial" w:eastAsia="Arial" w:hint="default"/>
        </w:rPr>
        <w:t>12</w:t>
      </w:r>
      <w:r>
        <w:rPr>
          <w:rFonts w:ascii="Arial" w:hAnsi="Arial" w:cs="Arial" w:eastAsia="Arial" w:hint="default"/>
          <w:spacing w:val="3"/>
        </w:rPr>
        <w:t> </w:t>
      </w:r>
      <w:r>
        <w:rPr/>
        <w:t>月</w:t>
      </w:r>
      <w:r>
        <w:rPr>
          <w:spacing w:val="-46"/>
        </w:rPr>
        <w:t> </w:t>
      </w:r>
      <w:r>
        <w:rPr>
          <w:rFonts w:ascii="Arial" w:hAnsi="Arial" w:cs="Arial" w:eastAsia="Arial" w:hint="default"/>
        </w:rPr>
        <w:t>31</w:t>
      </w:r>
      <w:r>
        <w:rPr>
          <w:rFonts w:ascii="Arial" w:hAnsi="Arial" w:cs="Arial" w:eastAsia="Arial" w:hint="default"/>
          <w:spacing w:val="3"/>
        </w:rPr>
        <w:t> </w:t>
      </w:r>
      <w:r>
        <w:rPr>
          <w:spacing w:val="-5"/>
        </w:rPr>
        <w:t>日，淮南市慧球科技有限公司、慧球科技（靖江）有限公司、沈</w:t>
      </w:r>
      <w:r>
        <w:rPr>
          <w:w w:val="100"/>
        </w:rPr>
        <w:t> </w:t>
      </w:r>
      <w:r>
        <w:rPr>
          <w:spacing w:val="-2"/>
        </w:rPr>
        <w:t>阳慧球科技有限公司、慧球科技（华容）有限公司等公司仅办理了工商设立登记手续，注册资金</w:t>
      </w:r>
      <w:r>
        <w:rPr>
          <w:spacing w:val="-25"/>
        </w:rPr>
        <w:t> </w:t>
      </w:r>
      <w:r>
        <w:rPr>
          <w:spacing w:val="-25"/>
        </w:rPr>
      </w:r>
      <w:r>
        <w:rPr/>
        <w:t>尚未到位，自成立至今尚未展开经营活动，暂无相关财务数据。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ind w:left="138" w:right="0"/>
        <w:jc w:val="left"/>
        <w:rPr>
          <w:b w:val="0"/>
          <w:bCs w:val="0"/>
        </w:rPr>
      </w:pPr>
      <w:r>
        <w:rPr>
          <w:rFonts w:ascii="宋体" w:hAnsi="宋体" w:cs="宋体" w:eastAsia="宋体" w:hint="default"/>
        </w:rPr>
        <w:t>5</w:t>
      </w:r>
      <w:r>
        <w:rPr/>
        <w:t>、</w:t>
      </w:r>
      <w:r>
        <w:rPr>
          <w:spacing w:val="-3"/>
        </w:rPr>
        <w:t> </w:t>
      </w:r>
      <w:r>
        <w:rPr/>
        <w:t>其他</w:t>
      </w:r>
      <w:r>
        <w:rPr>
          <w:b w:val="0"/>
          <w:bCs w:val="0"/>
        </w:rPr>
      </w:r>
    </w:p>
    <w:p>
      <w:pPr>
        <w:pStyle w:val="BodyText"/>
        <w:spacing w:line="240" w:lineRule="auto" w:before="56"/>
        <w:ind w:left="138"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61" w:val="left" w:leader="none"/>
        </w:tabs>
        <w:spacing w:line="290" w:lineRule="auto" w:before="175"/>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1" w:hRule="exact"/>
        </w:trPr>
        <w:tc>
          <w:tcPr>
            <w:tcW w:w="1200"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110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南宁市智</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诚合讯信</w:t>
            </w:r>
            <w:r>
              <w:rPr>
                <w:rFonts w:ascii="宋体" w:hAnsi="宋体" w:cs="宋体" w:eastAsia="宋体" w:hint="default"/>
                <w:w w:val="100"/>
                <w:sz w:val="21"/>
                <w:szCs w:val="21"/>
              </w:rPr>
              <w:t> </w:t>
            </w:r>
            <w:r>
              <w:rPr>
                <w:rFonts w:ascii="宋体" w:hAnsi="宋体" w:cs="宋体" w:eastAsia="宋体" w:hint="default"/>
                <w:sz w:val="21"/>
                <w:szCs w:val="21"/>
              </w:rPr>
              <w:t>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广西南宁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广西南宁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（重庆）有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淮南市慧</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球科技有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安徽淮南</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安徽淮南</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智诚合讯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5"/>
                <w:sz w:val="21"/>
                <w:szCs w:val="21"/>
              </w:rPr>
              <w:t>（徐州）有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江苏徐州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江苏徐州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（华容）有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湖南华容</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湖南华容</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93.75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湖北科赛</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威供应链</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湖北荆门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湖北荆门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慧金科技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5"/>
                <w:sz w:val="21"/>
                <w:szCs w:val="21"/>
              </w:rPr>
              <w:t>（深圳）有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5"/>
                <w:sz w:val="21"/>
                <w:szCs w:val="21"/>
              </w:rPr>
              <w:t>（靖江）有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靖江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靖江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慧球智慧</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z w:val="21"/>
                <w:szCs w:val="21"/>
              </w:rPr>
              <w:t>科技（宁</w:t>
            </w:r>
            <w:r>
              <w:rPr>
                <w:rFonts w:ascii="宋体" w:hAnsi="宋体" w:cs="宋体" w:eastAsia="宋体" w:hint="default"/>
                <w:w w:val="100"/>
                <w:sz w:val="21"/>
                <w:szCs w:val="21"/>
              </w:rPr>
              <w:t> </w:t>
            </w:r>
            <w:r>
              <w:rPr>
                <w:rFonts w:ascii="宋体" w:hAnsi="宋体" w:cs="宋体" w:eastAsia="宋体" w:hint="default"/>
                <w:spacing w:val="-15"/>
                <w:sz w:val="21"/>
                <w:szCs w:val="21"/>
              </w:rPr>
              <w:t>波）有限公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沈阳慧球</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湖南郡原</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湖南长沙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成都山外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山物业管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bl>
    <w:p>
      <w:pPr>
        <w:spacing w:after="0" w:line="27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建德郡原</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物业服务业</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慧金股权</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投资基金</w:t>
            </w:r>
            <w:r>
              <w:rPr>
                <w:rFonts w:ascii="宋体" w:hAnsi="宋体" w:cs="宋体" w:eastAsia="宋体" w:hint="default"/>
                <w:w w:val="100"/>
                <w:sz w:val="21"/>
                <w:szCs w:val="21"/>
              </w:rPr>
              <w:t> </w:t>
            </w:r>
            <w:r>
              <w:rPr>
                <w:rFonts w:ascii="宋体" w:hAnsi="宋体" w:cs="宋体" w:eastAsia="宋体" w:hint="default"/>
                <w:sz w:val="21"/>
                <w:szCs w:val="21"/>
              </w:rPr>
              <w:t>管理成都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鲲鹏未来</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资产管理</w:t>
            </w:r>
            <w:r>
              <w:rPr>
                <w:rFonts w:ascii="宋体" w:hAnsi="宋体" w:cs="宋体" w:eastAsia="宋体" w:hint="default"/>
                <w:w w:val="100"/>
                <w:sz w:val="21"/>
                <w:szCs w:val="21"/>
              </w:rPr>
              <w:t> </w:t>
            </w:r>
            <w:r>
              <w:rPr>
                <w:rFonts w:ascii="宋体" w:hAnsi="宋体" w:cs="宋体" w:eastAsia="宋体" w:hint="default"/>
                <w:sz w:val="21"/>
                <w:szCs w:val="21"/>
              </w:rPr>
              <w:t>成都有限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7"/>
        <w:rPr>
          <w:rFonts w:ascii="宋体" w:hAnsi="宋体" w:cs="宋体" w:eastAsia="宋体" w:hint="default"/>
          <w:sz w:val="15"/>
          <w:szCs w:val="15"/>
        </w:rPr>
      </w:pPr>
    </w:p>
    <w:p>
      <w:pPr>
        <w:pStyle w:val="BodyText"/>
        <w:spacing w:line="340" w:lineRule="auto" w:before="36"/>
        <w:ind w:left="638" w:right="97" w:hanging="420"/>
        <w:jc w:val="left"/>
      </w:pPr>
      <w:r>
        <w:rPr/>
        <w:t>在子公司的持股比例不同于表决权比例的说明：</w:t>
      </w:r>
      <w:r>
        <w:rPr>
          <w:w w:val="100"/>
        </w:rPr>
        <w:t> </w:t>
      </w:r>
      <w:r>
        <w:rPr>
          <w:spacing w:val="-2"/>
        </w:rPr>
        <w:t>本公司对慧球科技（重庆）有限公司持股比例与表决权比例不一致的原因为：慧球科技（重</w:t>
      </w:r>
    </w:p>
    <w:p>
      <w:pPr>
        <w:pStyle w:val="BodyText"/>
        <w:spacing w:line="240" w:lineRule="auto" w:before="47"/>
        <w:ind w:right="0"/>
        <w:jc w:val="both"/>
      </w:pPr>
      <w:r>
        <w:rPr/>
        <w:t>庆）有限公司于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日成立，设立时注册资本为人民币</w:t>
      </w:r>
      <w:r>
        <w:rPr>
          <w:spacing w:val="-53"/>
        </w:rPr>
        <w:t> </w:t>
      </w:r>
      <w:r>
        <w:rPr>
          <w:rFonts w:ascii="宋体" w:hAnsi="宋体" w:cs="宋体" w:eastAsia="宋体" w:hint="default"/>
        </w:rPr>
        <w:t>8,750</w:t>
      </w:r>
      <w:r>
        <w:rPr>
          <w:rFonts w:ascii="宋体" w:hAnsi="宋体" w:cs="宋体" w:eastAsia="宋体" w:hint="default"/>
          <w:spacing w:val="-55"/>
        </w:rPr>
        <w:t> </w:t>
      </w:r>
      <w:r>
        <w:rPr/>
        <w:t>万元，其中本公司出资</w:t>
      </w:r>
    </w:p>
    <w:p>
      <w:pPr>
        <w:pStyle w:val="BodyText"/>
        <w:spacing w:line="357" w:lineRule="auto" w:before="133"/>
        <w:ind w:right="228"/>
        <w:jc w:val="both"/>
      </w:pPr>
      <w:r>
        <w:rPr/>
        <w:t>人民币</w:t>
      </w:r>
      <w:r>
        <w:rPr>
          <w:spacing w:val="-54"/>
        </w:rPr>
        <w:t> </w:t>
      </w:r>
      <w:r>
        <w:rPr>
          <w:rFonts w:ascii="宋体" w:hAnsi="宋体" w:cs="宋体" w:eastAsia="宋体" w:hint="default"/>
        </w:rPr>
        <w:t>7,000</w:t>
      </w:r>
      <w:r>
        <w:rPr>
          <w:rFonts w:ascii="宋体" w:hAnsi="宋体" w:cs="宋体" w:eastAsia="宋体" w:hint="default"/>
          <w:spacing w:val="-54"/>
        </w:rPr>
        <w:t> </w:t>
      </w:r>
      <w:r>
        <w:rPr/>
        <w:t>万元，占注册资本的</w:t>
      </w:r>
      <w:r>
        <w:rPr>
          <w:spacing w:val="-53"/>
        </w:rPr>
        <w:t> </w:t>
      </w:r>
      <w:r>
        <w:rPr>
          <w:rFonts w:ascii="宋体" w:hAnsi="宋体" w:cs="宋体" w:eastAsia="宋体" w:hint="default"/>
        </w:rPr>
        <w:t>80%</w:t>
      </w:r>
      <w:r>
        <w:rPr/>
        <w:t>；重庆云计算投资运营有限公司出资人民币</w:t>
      </w:r>
      <w:r>
        <w:rPr>
          <w:spacing w:val="-53"/>
        </w:rPr>
        <w:t> </w:t>
      </w:r>
      <w:r>
        <w:rPr>
          <w:rFonts w:ascii="宋体" w:hAnsi="宋体" w:cs="宋体" w:eastAsia="宋体" w:hint="default"/>
        </w:rPr>
        <w:t>1,750</w:t>
      </w:r>
      <w:r>
        <w:rPr>
          <w:rFonts w:ascii="宋体" w:hAnsi="宋体" w:cs="宋体" w:eastAsia="宋体" w:hint="default"/>
          <w:spacing w:val="-54"/>
        </w:rPr>
        <w:t> </w:t>
      </w:r>
      <w:r>
        <w:rPr/>
        <w:t>万元，</w:t>
      </w:r>
      <w:r>
        <w:rPr>
          <w:w w:val="100"/>
        </w:rPr>
        <w:t> </w:t>
      </w:r>
      <w:r>
        <w:rPr/>
        <w:t>占注册资本的</w:t>
      </w:r>
      <w:r>
        <w:rPr>
          <w:spacing w:val="-45"/>
        </w:rPr>
        <w:t> </w:t>
      </w:r>
      <w:r>
        <w:rPr>
          <w:rFonts w:ascii="宋体" w:hAnsi="宋体" w:cs="宋体" w:eastAsia="宋体" w:hint="default"/>
          <w:spacing w:val="-5"/>
        </w:rPr>
        <w:t>20%</w:t>
      </w:r>
      <w:r>
        <w:rPr>
          <w:spacing w:val="-5"/>
        </w:rPr>
        <w:t>；由股东分期缴足出资。</w:t>
      </w:r>
      <w:r>
        <w:rPr>
          <w:rFonts w:ascii="宋体" w:hAnsi="宋体" w:cs="宋体" w:eastAsia="宋体" w:hint="default"/>
          <w:spacing w:val="-5"/>
        </w:rPr>
        <w:t>2015</w:t>
      </w:r>
      <w:r>
        <w:rPr>
          <w:rFonts w:ascii="宋体" w:hAnsi="宋体" w:cs="宋体" w:eastAsia="宋体" w:hint="default"/>
          <w:spacing w:val="-47"/>
        </w:rPr>
        <w:t> </w:t>
      </w:r>
      <w:r>
        <w:rPr/>
        <w:t>年</w:t>
      </w:r>
      <w:r>
        <w:rPr>
          <w:spacing w:val="-44"/>
        </w:rPr>
        <w:t> </w:t>
      </w:r>
      <w:r>
        <w:rPr>
          <w:rFonts w:ascii="宋体" w:hAnsi="宋体" w:cs="宋体" w:eastAsia="宋体" w:hint="default"/>
        </w:rPr>
        <w:t>8</w:t>
      </w:r>
      <w:r>
        <w:rPr>
          <w:rFonts w:ascii="宋体" w:hAnsi="宋体" w:cs="宋体" w:eastAsia="宋体" w:hint="default"/>
          <w:spacing w:val="-47"/>
        </w:rPr>
        <w:t> </w:t>
      </w:r>
      <w:r>
        <w:rPr>
          <w:spacing w:val="-4"/>
        </w:rPr>
        <w:t>月，公司股东首次货币出资人民币</w:t>
      </w:r>
      <w:r>
        <w:rPr>
          <w:spacing w:val="-44"/>
        </w:rPr>
        <w:t> </w:t>
      </w:r>
      <w:r>
        <w:rPr>
          <w:rFonts w:ascii="宋体" w:hAnsi="宋体" w:cs="宋体" w:eastAsia="宋体" w:hint="default"/>
        </w:rPr>
        <w:t>350</w:t>
      </w:r>
      <w:r>
        <w:rPr>
          <w:rFonts w:ascii="宋体" w:hAnsi="宋体" w:cs="宋体" w:eastAsia="宋体" w:hint="default"/>
          <w:spacing w:val="-45"/>
        </w:rPr>
        <w:t> </w:t>
      </w:r>
      <w:r>
        <w:rPr/>
        <w:t>万元</w:t>
      </w:r>
      <w:r>
        <w:rPr>
          <w:rFonts w:ascii="宋体" w:hAnsi="宋体" w:cs="宋体" w:eastAsia="宋体" w:hint="default"/>
        </w:rPr>
        <w:t>,</w:t>
      </w:r>
      <w:r>
        <w:rPr>
          <w:rFonts w:ascii="宋体" w:hAnsi="宋体" w:cs="宋体" w:eastAsia="宋体" w:hint="default"/>
          <w:spacing w:val="-102"/>
        </w:rPr>
        <w:t> </w:t>
      </w:r>
      <w:r>
        <w:rPr/>
        <w:t>其中本公司出资人民币</w:t>
      </w:r>
      <w:r>
        <w:rPr>
          <w:spacing w:val="-36"/>
        </w:rPr>
        <w:t> </w:t>
      </w:r>
      <w:r>
        <w:rPr>
          <w:rFonts w:ascii="宋体" w:hAnsi="宋体" w:cs="宋体" w:eastAsia="宋体" w:hint="default"/>
        </w:rPr>
        <w:t>300</w:t>
      </w:r>
      <w:r>
        <w:rPr>
          <w:rFonts w:ascii="宋体" w:hAnsi="宋体" w:cs="宋体" w:eastAsia="宋体" w:hint="default"/>
          <w:spacing w:val="-37"/>
        </w:rPr>
        <w:t> </w:t>
      </w:r>
      <w:r>
        <w:rPr>
          <w:spacing w:val="-4"/>
        </w:rPr>
        <w:t>万元，占实收资本的</w:t>
      </w:r>
      <w:r>
        <w:rPr>
          <w:spacing w:val="-37"/>
        </w:rPr>
        <w:t> </w:t>
      </w:r>
      <w:r>
        <w:rPr>
          <w:rFonts w:ascii="宋体" w:hAnsi="宋体" w:cs="宋体" w:eastAsia="宋体" w:hint="default"/>
          <w:spacing w:val="-3"/>
        </w:rPr>
        <w:t>85.71%</w:t>
      </w:r>
      <w:r>
        <w:rPr>
          <w:spacing w:val="-3"/>
        </w:rPr>
        <w:t>；重庆云计算投资运营有限公司出资人民</w:t>
      </w:r>
      <w:r>
        <w:rPr>
          <w:spacing w:val="-98"/>
        </w:rPr>
        <w:t> </w:t>
      </w:r>
      <w:r>
        <w:rPr>
          <w:spacing w:val="-98"/>
        </w:rPr>
      </w:r>
      <w:r>
        <w:rPr/>
        <w:t>币</w:t>
      </w:r>
      <w:r>
        <w:rPr>
          <w:spacing w:val="-54"/>
        </w:rPr>
        <w:t> </w:t>
      </w:r>
      <w:r>
        <w:rPr>
          <w:rFonts w:ascii="宋体" w:hAnsi="宋体" w:cs="宋体" w:eastAsia="宋体" w:hint="default"/>
        </w:rPr>
        <w:t>50</w:t>
      </w:r>
      <w:r>
        <w:rPr>
          <w:rFonts w:ascii="宋体" w:hAnsi="宋体" w:cs="宋体" w:eastAsia="宋体" w:hint="default"/>
          <w:spacing w:val="-56"/>
        </w:rPr>
        <w:t> </w:t>
      </w:r>
      <w:r>
        <w:rPr/>
        <w:t>万元，占实收资本的</w:t>
      </w:r>
      <w:r>
        <w:rPr>
          <w:spacing w:val="-53"/>
        </w:rPr>
        <w:t> </w:t>
      </w:r>
      <w:r>
        <w:rPr>
          <w:rFonts w:ascii="宋体" w:hAnsi="宋体" w:cs="宋体" w:eastAsia="宋体" w:hint="default"/>
        </w:rPr>
        <w:t>14.29%</w:t>
      </w:r>
      <w:r>
        <w:rPr/>
        <w:t>。根据公司章程约定，依照公司法规定由股东按照出资比例行</w:t>
      </w:r>
      <w:r>
        <w:rPr>
          <w:w w:val="100"/>
        </w:rPr>
        <w:t> </w:t>
      </w:r>
      <w:r>
        <w:rPr/>
        <w:t>使表决权。本公司对慧球科技（重庆）有限公司按实缴出资比例行使表决权。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2" w:lineRule="exact"/>
        <w:ind w:right="9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49" w:lineRule="exact"/>
        <w:ind w:right="0"/>
        <w:jc w:val="both"/>
      </w:pPr>
      <w:r>
        <w:rPr>
          <w:w w:val="100"/>
        </w:rPr>
        <w:t>无</w:t>
      </w:r>
    </w:p>
    <w:p>
      <w:pPr>
        <w:spacing w:line="240" w:lineRule="auto" w:before="10"/>
        <w:rPr>
          <w:rFonts w:ascii="宋体" w:hAnsi="宋体" w:cs="宋体" w:eastAsia="宋体" w:hint="default"/>
          <w:sz w:val="22"/>
          <w:szCs w:val="22"/>
        </w:rPr>
      </w:pPr>
    </w:p>
    <w:p>
      <w:pPr>
        <w:pStyle w:val="BodyText"/>
        <w:spacing w:line="272" w:lineRule="exact"/>
        <w:ind w:right="388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right="5342"/>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22"/>
          <w:szCs w:val="22"/>
        </w:rPr>
      </w:pPr>
    </w:p>
    <w:p>
      <w:pPr>
        <w:pStyle w:val="BodyText"/>
        <w:spacing w:line="272" w:lineRule="exact"/>
        <w:ind w:right="7998"/>
        <w:jc w:val="left"/>
      </w:pPr>
      <w:r>
        <w:rPr/>
        <w:t>其他说明：</w:t>
      </w:r>
      <w:r>
        <w:rPr>
          <w:spacing w:val="-102"/>
        </w:rPr>
        <w:t> </w:t>
      </w:r>
      <w:r>
        <w:rPr>
          <w:spacing w:val="-102"/>
        </w:rPr>
      </w:r>
      <w:r>
        <w:rPr/>
        <w:t>无</w:t>
      </w:r>
    </w:p>
    <w:p>
      <w:pPr>
        <w:spacing w:line="240" w:lineRule="auto" w:before="4"/>
        <w:rPr>
          <w:rFonts w:ascii="宋体" w:hAnsi="宋体" w:cs="宋体" w:eastAsia="宋体" w:hint="default"/>
          <w:sz w:val="23"/>
          <w:szCs w:val="23"/>
        </w:rPr>
      </w:pPr>
    </w:p>
    <w:p>
      <w:pPr>
        <w:pStyle w:val="Heading4"/>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1"/>
        </w:rPr>
        <w:t> </w:t>
      </w:r>
      <w:r>
        <w:rPr/>
        <w:t>重要的非全资子公司</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(3). </w:t>
      </w:r>
      <w:r>
        <w:rPr>
          <w:rFonts w:ascii="宋体" w:hAnsi="宋体" w:cs="宋体" w:eastAsia="宋体" w:hint="default"/>
          <w:spacing w:val="7"/>
        </w:rPr>
        <w:t> </w:t>
      </w:r>
      <w:r>
        <w:rPr/>
        <w:t>重要非全资子公司的主要财务信息</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tabs>
          <w:tab w:pos="781" w:val="left" w:leader="none"/>
        </w:tabs>
        <w:spacing w:line="240" w:lineRule="auto" w:before="36"/>
        <w:ind w:left="13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其他说明：</w:t>
      </w:r>
    </w:p>
    <w:p>
      <w:pPr>
        <w:pStyle w:val="BodyText"/>
        <w:spacing w:line="274"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30"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十、与金融工具相关的风险</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0"/>
        <w:jc w:val="left"/>
        <w:rPr>
          <w:b w:val="0"/>
          <w:bCs w:val="0"/>
        </w:rPr>
      </w:pPr>
      <w:r>
        <w:rPr/>
        <w:t>十一、</w:t>
        <w:tab/>
        <w:t>公允价值的披露</w:t>
      </w:r>
      <w:r>
        <w:rPr>
          <w:b w:val="0"/>
          <w:bCs w:val="0"/>
        </w:rPr>
      </w:r>
    </w:p>
    <w:p>
      <w:pPr>
        <w:pStyle w:val="Heading4"/>
        <w:spacing w:line="240" w:lineRule="auto" w:before="56"/>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9"/>
        <w:ind w:left="138" w:right="0"/>
        <w:jc w:val="left"/>
      </w:pPr>
      <w:r>
        <w:rPr/>
        <w:t>□适用</w:t>
      </w:r>
      <w:r>
        <w:rPr>
          <w:spacing w:val="-1"/>
        </w:rPr>
        <w:t> </w:t>
      </w:r>
      <w:r>
        <w:rPr/>
        <w:t>√不适用</w:t>
      </w:r>
    </w:p>
    <w:p>
      <w:pPr>
        <w:pStyle w:val="Heading4"/>
        <w:spacing w:line="240" w:lineRule="auto" w:before="56"/>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5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left="138"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72" w:lineRule="exact"/>
        <w:ind w:left="56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3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left="138" w:right="0"/>
        <w:jc w:val="left"/>
      </w:pPr>
      <w:r>
        <w:rPr/>
        <w:t>□适用</w:t>
      </w:r>
      <w:r>
        <w:rPr>
          <w:spacing w:val="-1"/>
        </w:rPr>
        <w:t> </w:t>
      </w:r>
      <w:r>
        <w:rPr/>
        <w:t>√不适用</w:t>
      </w:r>
    </w:p>
    <w:p>
      <w:pPr>
        <w:pStyle w:val="Heading4"/>
        <w:tabs>
          <w:tab w:pos="977" w:val="left" w:leader="none"/>
        </w:tabs>
        <w:spacing w:line="290" w:lineRule="auto" w:before="58"/>
        <w:ind w:left="138" w:right="64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980" w:val="left" w:leader="none"/>
        </w:tabs>
        <w:spacing w:line="240" w:lineRule="auto" w:before="14"/>
        <w:ind w:left="138" w:right="0"/>
        <w:jc w:val="left"/>
      </w:pPr>
      <w:r>
        <w:rPr>
          <w:spacing w:val="-1"/>
        </w:rPr>
        <w:t>√适用</w:t>
        <w:tab/>
      </w:r>
      <w:r>
        <w:rPr>
          <w:spacing w:val="-2"/>
        </w:rPr>
        <w:t>□不适用</w:t>
      </w:r>
    </w:p>
    <w:p>
      <w:pPr>
        <w:spacing w:line="240" w:lineRule="auto" w:before="10"/>
        <w:rPr>
          <w:rFonts w:ascii="宋体" w:hAnsi="宋体" w:cs="宋体" w:eastAsia="宋体" w:hint="default"/>
          <w:sz w:val="22"/>
          <w:szCs w:val="22"/>
        </w:rPr>
      </w:pPr>
    </w:p>
    <w:p>
      <w:pPr>
        <w:pStyle w:val="BodyText"/>
        <w:spacing w:line="272" w:lineRule="exact"/>
        <w:ind w:left="558" w:right="0" w:hanging="420"/>
        <w:jc w:val="left"/>
      </w:pPr>
      <w:r>
        <w:rPr/>
        <w:t>本企业的母公司情况的说明</w:t>
      </w:r>
      <w:r>
        <w:rPr>
          <w:w w:val="100"/>
        </w:rPr>
        <w:t> </w:t>
      </w:r>
      <w:r>
        <w:rPr>
          <w:spacing w:val="-5"/>
        </w:rPr>
        <w:t>根据中国证券监督管理委员会《行政处罚及市场禁入事先告知书》处罚字</w:t>
      </w:r>
      <w:r>
        <w:rPr>
          <w:rFonts w:ascii="宋体" w:hAnsi="宋体" w:cs="宋体" w:eastAsia="宋体" w:hint="default"/>
          <w:spacing w:val="-5"/>
        </w:rPr>
        <w:t>[2017]818</w:t>
      </w:r>
      <w:r>
        <w:rPr>
          <w:rFonts w:ascii="宋体" w:hAnsi="宋体" w:cs="宋体" w:eastAsia="宋体" w:hint="default"/>
          <w:spacing w:val="5"/>
        </w:rPr>
        <w:t> </w:t>
      </w:r>
      <w:r>
        <w:rPr>
          <w:spacing w:val="-3"/>
        </w:rPr>
        <w:t>号认定：</w:t>
      </w:r>
      <w:r>
        <w:rPr/>
      </w:r>
    </w:p>
    <w:p>
      <w:pPr>
        <w:pStyle w:val="BodyText"/>
        <w:spacing w:line="357" w:lineRule="auto" w:before="108"/>
        <w:ind w:left="138" w:right="127" w:firstLine="419"/>
        <w:jc w:val="both"/>
      </w:pPr>
      <w:r>
        <w:rPr>
          <w:rFonts w:ascii="宋体" w:hAnsi="宋体" w:cs="宋体" w:eastAsia="宋体" w:hint="default"/>
          <w:w w:val="100"/>
        </w:rPr>
        <w:t>2016</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4</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spacing w:val="-2"/>
          <w:w w:val="100"/>
        </w:rPr>
        <w:t>26</w:t>
      </w:r>
      <w:r>
        <w:rPr>
          <w:rFonts w:ascii="宋体" w:hAnsi="宋体" w:cs="宋体" w:eastAsia="宋体" w:hint="default"/>
          <w:spacing w:val="-60"/>
          <w:w w:val="100"/>
        </w:rPr>
        <w:t> </w:t>
      </w:r>
      <w:r>
        <w:rPr>
          <w:w w:val="100"/>
        </w:rPr>
        <w:t>至</w:t>
      </w:r>
      <w:r>
        <w:rPr>
          <w:spacing w:val="-57"/>
          <w:w w:val="100"/>
        </w:rPr>
        <w:t> </w:t>
      </w:r>
      <w:r>
        <w:rPr>
          <w:rFonts w:ascii="宋体" w:hAnsi="宋体" w:cs="宋体" w:eastAsia="宋体" w:hint="default"/>
          <w:spacing w:val="-2"/>
          <w:w w:val="100"/>
        </w:rPr>
        <w:t>27</w:t>
      </w:r>
      <w:r>
        <w:rPr>
          <w:rFonts w:ascii="宋体" w:hAnsi="宋体" w:cs="宋体" w:eastAsia="宋体" w:hint="default"/>
          <w:spacing w:val="-60"/>
          <w:w w:val="100"/>
        </w:rPr>
        <w:t> </w:t>
      </w:r>
      <w:r>
        <w:rPr>
          <w:spacing w:val="-8"/>
          <w:w w:val="100"/>
        </w:rPr>
        <w:t>日，鲜言与时任本公司的董事长、第一大股东顾国平达成股权转让意向，</w:t>
      </w:r>
      <w:r>
        <w:rPr>
          <w:w w:val="100"/>
        </w:rPr>
        <w:t> </w:t>
      </w:r>
      <w:r>
        <w:rPr>
          <w:spacing w:val="-2"/>
        </w:rPr>
        <w:t>并根据鲜言安排，由鲜言实际控制的上海躬盛网络科技有限公司（以下简称上海躬盛）与顾国平</w:t>
      </w:r>
      <w:r>
        <w:rPr>
          <w:spacing w:val="-25"/>
        </w:rPr>
        <w:t> </w:t>
      </w:r>
      <w:r>
        <w:rPr>
          <w:spacing w:val="-25"/>
        </w:rPr>
      </w:r>
      <w:r>
        <w:rPr>
          <w:spacing w:val="-2"/>
        </w:rPr>
        <w:t>签订《经营权和股份转让协议书》、《表决权委托书》、《借款协议》、《股权转让备忘录》。</w:t>
      </w:r>
    </w:p>
    <w:p>
      <w:pPr>
        <w:pStyle w:val="BodyText"/>
        <w:spacing w:line="355" w:lineRule="auto" w:before="30"/>
        <w:ind w:left="138" w:right="137" w:firstLine="419"/>
        <w:jc w:val="both"/>
      </w:pPr>
      <w:r>
        <w:rPr>
          <w:spacing w:val="-2"/>
        </w:rPr>
        <w:t>《经营权和股份转让协议书》约定，顾国平同意将其与一致行动人持有的本公司经营权、所</w:t>
      </w:r>
      <w:r>
        <w:rPr>
          <w:w w:val="100"/>
        </w:rPr>
        <w:t> </w:t>
      </w:r>
      <w:r>
        <w:rPr>
          <w:spacing w:val="-2"/>
        </w:rPr>
        <w:t>拥有本公司股份及附属权益转让给上海躬盛或上海躬盛指定的受让主体；顾国平确保上海躬盛或</w:t>
      </w:r>
      <w:r>
        <w:rPr>
          <w:spacing w:val="-25"/>
        </w:rPr>
        <w:t> </w:t>
      </w:r>
      <w:r>
        <w:rPr>
          <w:spacing w:val="-25"/>
        </w:rPr>
      </w:r>
      <w:r>
        <w:rPr/>
        <w:t>上海躬盛指定的受让方指定的合格人员在约定期限内成为本公司的董事、监事；</w:t>
      </w:r>
    </w:p>
    <w:p>
      <w:pPr>
        <w:pStyle w:val="BodyText"/>
        <w:spacing w:line="357" w:lineRule="auto" w:before="32"/>
        <w:ind w:left="138" w:right="128" w:firstLine="419"/>
        <w:jc w:val="both"/>
      </w:pPr>
      <w:r>
        <w:rPr>
          <w:spacing w:val="-2"/>
        </w:rPr>
        <w:t>《表决权委托书》约定，在上海躬盛完成向顾国平支付上述《经营权和股份转让协议书》中</w:t>
      </w:r>
      <w:r>
        <w:rPr>
          <w:w w:val="100"/>
        </w:rPr>
        <w:t> </w:t>
      </w:r>
      <w:r>
        <w:rPr/>
        <w:t>约定的首笔股权转让对价人民币</w:t>
      </w:r>
      <w:r>
        <w:rPr>
          <w:spacing w:val="-44"/>
        </w:rPr>
        <w:t> </w:t>
      </w:r>
      <w:r>
        <w:rPr>
          <w:rFonts w:ascii="宋体" w:hAnsi="宋体" w:cs="宋体" w:eastAsia="宋体" w:hint="default"/>
        </w:rPr>
        <w:t>3</w:t>
      </w:r>
      <w:r>
        <w:rPr>
          <w:rFonts w:ascii="宋体" w:hAnsi="宋体" w:cs="宋体" w:eastAsia="宋体" w:hint="default"/>
          <w:spacing w:val="-44"/>
        </w:rPr>
        <w:t> </w:t>
      </w:r>
      <w:r>
        <w:rPr>
          <w:spacing w:val="-5"/>
        </w:rPr>
        <w:t>亿元后，顾国平将其及一致行动人持有的</w:t>
      </w:r>
      <w:r>
        <w:rPr>
          <w:spacing w:val="-46"/>
        </w:rPr>
        <w:t> </w:t>
      </w:r>
      <w:r>
        <w:rPr>
          <w:rFonts w:ascii="宋体" w:hAnsi="宋体" w:cs="宋体" w:eastAsia="宋体" w:hint="default"/>
        </w:rPr>
        <w:t>26,301,701</w:t>
      </w:r>
      <w:r>
        <w:rPr>
          <w:rFonts w:ascii="宋体" w:hAnsi="宋体" w:cs="宋体" w:eastAsia="宋体" w:hint="default"/>
          <w:spacing w:val="-43"/>
        </w:rPr>
        <w:t> </w:t>
      </w:r>
      <w:r>
        <w:rPr>
          <w:spacing w:val="-13"/>
        </w:rPr>
        <w:t>股“本公</w:t>
      </w:r>
      <w:r>
        <w:rPr>
          <w:spacing w:val="-101"/>
        </w:rPr>
        <w:t> </w:t>
      </w:r>
      <w:r>
        <w:rPr>
          <w:spacing w:val="-101"/>
        </w:rPr>
      </w:r>
      <w:r>
        <w:rPr>
          <w:spacing w:val="-2"/>
        </w:rPr>
        <w:t>司”的表决权委托给上海躬盛。上海躬盛在委托期限内，有权根据有效的本公司公司章程行使包</w:t>
      </w:r>
      <w:r>
        <w:rPr>
          <w:spacing w:val="-25"/>
        </w:rPr>
        <w:t> </w:t>
      </w:r>
      <w:r>
        <w:rPr>
          <w:spacing w:val="-25"/>
        </w:rPr>
      </w:r>
      <w:r>
        <w:rPr>
          <w:spacing w:val="-2"/>
        </w:rPr>
        <w:t>括但不限于如下权利：“召集、召开和出席本公司股东大会会议；针对所有根据相关法律或本公</w:t>
      </w:r>
      <w:r>
        <w:rPr>
          <w:spacing w:val="-25"/>
        </w:rPr>
        <w:t> </w:t>
      </w:r>
      <w:r>
        <w:rPr>
          <w:spacing w:val="-25"/>
        </w:rPr>
      </w:r>
      <w:r>
        <w:rPr>
          <w:spacing w:val="-2"/>
        </w:rPr>
        <w:t>司公司章程需要股东大会讨论、决策的事项行使表决权；有效的相关中华人民共和国法律、行政</w:t>
      </w:r>
      <w:r>
        <w:rPr>
          <w:spacing w:val="-25"/>
        </w:rPr>
        <w:t> </w:t>
      </w:r>
      <w:r>
        <w:rPr>
          <w:spacing w:val="-25"/>
        </w:rPr>
      </w:r>
      <w:r>
        <w:rPr>
          <w:spacing w:val="-6"/>
          <w:w w:val="100"/>
        </w:rPr>
        <w:t>法规、行政规章、地方法规及其他有法律约束力的规范性文件规定的股东所应享有的其他表决权；</w:t>
      </w:r>
      <w:r>
        <w:rPr>
          <w:w w:val="100"/>
        </w:rPr>
        <w:t> </w:t>
      </w:r>
      <w:r>
        <w:rPr/>
        <w:t>其他公司章程项下的股东表决权。”</w:t>
      </w:r>
    </w:p>
    <w:p>
      <w:pPr>
        <w:pStyle w:val="BodyText"/>
        <w:spacing w:line="240" w:lineRule="auto" w:before="30"/>
        <w:ind w:left="558" w:right="0"/>
        <w:jc w:val="left"/>
      </w:pPr>
      <w:r>
        <w:rPr>
          <w:spacing w:val="-5"/>
        </w:rPr>
        <w:t>《股权转让备忘录》约定，若顾国平于</w:t>
      </w:r>
      <w:r>
        <w:rPr>
          <w:spacing w:val="-44"/>
        </w:rPr>
        <w:t> </w:t>
      </w:r>
      <w:r>
        <w:rPr>
          <w:rFonts w:ascii="宋体" w:hAnsi="宋体" w:cs="宋体" w:eastAsia="宋体" w:hint="default"/>
        </w:rPr>
        <w:t>2016</w:t>
      </w:r>
      <w:r>
        <w:rPr>
          <w:rFonts w:ascii="宋体" w:hAnsi="宋体" w:cs="宋体" w:eastAsia="宋体" w:hint="default"/>
          <w:spacing w:val="-46"/>
        </w:rPr>
        <w:t> </w:t>
      </w:r>
      <w:r>
        <w:rPr/>
        <w:t>年</w:t>
      </w:r>
      <w:r>
        <w:rPr>
          <w:spacing w:val="-43"/>
        </w:rPr>
        <w:t> </w:t>
      </w:r>
      <w:r>
        <w:rPr>
          <w:rFonts w:ascii="宋体" w:hAnsi="宋体" w:cs="宋体" w:eastAsia="宋体" w:hint="default"/>
        </w:rPr>
        <w:t>8</w:t>
      </w:r>
      <w:r>
        <w:rPr>
          <w:rFonts w:ascii="宋体" w:hAnsi="宋体" w:cs="宋体" w:eastAsia="宋体" w:hint="default"/>
          <w:spacing w:val="-46"/>
        </w:rPr>
        <w:t> </w:t>
      </w:r>
      <w:r>
        <w:rPr/>
        <w:t>月</w:t>
      </w:r>
      <w:r>
        <w:rPr>
          <w:spacing w:val="-46"/>
        </w:rPr>
        <w:t> </w:t>
      </w:r>
      <w:r>
        <w:rPr>
          <w:rFonts w:ascii="宋体" w:hAnsi="宋体" w:cs="宋体" w:eastAsia="宋体" w:hint="default"/>
        </w:rPr>
        <w:t>1</w:t>
      </w:r>
      <w:r>
        <w:rPr>
          <w:rFonts w:ascii="宋体" w:hAnsi="宋体" w:cs="宋体" w:eastAsia="宋体" w:hint="default"/>
          <w:spacing w:val="-44"/>
        </w:rPr>
        <w:t> </w:t>
      </w:r>
      <w:r>
        <w:rPr>
          <w:spacing w:val="-4"/>
        </w:rPr>
        <w:t>日前，完成对上海斐讯数据通信技术有</w:t>
      </w:r>
    </w:p>
    <w:p>
      <w:pPr>
        <w:pStyle w:val="BodyText"/>
        <w:spacing w:line="357" w:lineRule="auto" w:before="133"/>
        <w:ind w:left="138" w:right="128"/>
        <w:jc w:val="both"/>
      </w:pPr>
      <w:r>
        <w:rPr>
          <w:spacing w:val="-4"/>
        </w:rPr>
        <w:t>限公司（以下简称斐讯通信）的重组，顾国平向上海躬盛支付人民币</w:t>
      </w:r>
      <w:r>
        <w:rPr>
          <w:spacing w:val="-29"/>
        </w:rPr>
        <w:t> </w:t>
      </w:r>
      <w:r>
        <w:rPr>
          <w:rFonts w:ascii="宋体" w:hAnsi="宋体" w:cs="宋体" w:eastAsia="宋体" w:hint="default"/>
        </w:rPr>
        <w:t>15</w:t>
      </w:r>
      <w:r>
        <w:rPr>
          <w:rFonts w:ascii="宋体" w:hAnsi="宋体" w:cs="宋体" w:eastAsia="宋体" w:hint="default"/>
          <w:spacing w:val="-29"/>
        </w:rPr>
        <w:t> </w:t>
      </w:r>
      <w:r>
        <w:rPr>
          <w:spacing w:val="-4"/>
        </w:rPr>
        <w:t>亿元，上海躬盛与顾国平</w:t>
      </w:r>
      <w:r>
        <w:rPr>
          <w:spacing w:val="-94"/>
        </w:rPr>
        <w:t> </w:t>
      </w:r>
      <w:r>
        <w:rPr>
          <w:spacing w:val="-94"/>
        </w:rPr>
      </w:r>
      <w:r>
        <w:rPr>
          <w:spacing w:val="-2"/>
        </w:rPr>
        <w:t>签订的股权转让协议解除，上海躬盛全面退出斐讯通信和本公司管理，相关印鉴、证照、文件归</w:t>
      </w:r>
      <w:r>
        <w:rPr>
          <w:spacing w:val="-25"/>
        </w:rPr>
        <w:t> </w:t>
      </w:r>
      <w:r>
        <w:rPr>
          <w:spacing w:val="-25"/>
        </w:rPr>
      </w:r>
      <w:r>
        <w:rPr>
          <w:spacing w:val="-10"/>
          <w:w w:val="100"/>
        </w:rPr>
        <w:t>还顾国平；若顾国平未能在</w:t>
      </w:r>
      <w:r>
        <w:rPr>
          <w:spacing w:val="-50"/>
          <w:w w:val="100"/>
        </w:rPr>
        <w:t> </w:t>
      </w:r>
      <w:r>
        <w:rPr>
          <w:rFonts w:ascii="宋体" w:hAnsi="宋体" w:cs="宋体" w:eastAsia="宋体" w:hint="default"/>
          <w:spacing w:val="-1"/>
          <w:w w:val="100"/>
        </w:rPr>
        <w:t>2016</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spacing w:val="-2"/>
          <w:w w:val="100"/>
        </w:rPr>
        <w:t>日前完成对斐讯通信的资本重组或完成资本重组后未能</w:t>
      </w:r>
    </w:p>
    <w:p>
      <w:pPr>
        <w:pStyle w:val="BodyText"/>
        <w:spacing w:line="355" w:lineRule="auto" w:before="30"/>
        <w:ind w:left="138" w:right="0"/>
        <w:jc w:val="left"/>
      </w:pPr>
      <w:r>
        <w:rPr/>
        <w:t>及时支付约定的</w:t>
      </w:r>
      <w:r>
        <w:rPr>
          <w:spacing w:val="-24"/>
        </w:rPr>
        <w:t> </w:t>
      </w:r>
      <w:r>
        <w:rPr>
          <w:rFonts w:ascii="宋体" w:hAnsi="宋体" w:cs="宋体" w:eastAsia="宋体" w:hint="default"/>
        </w:rPr>
        <w:t>15</w:t>
      </w:r>
      <w:r>
        <w:rPr>
          <w:rFonts w:ascii="宋体" w:hAnsi="宋体" w:cs="宋体" w:eastAsia="宋体" w:hint="default"/>
          <w:spacing w:val="-27"/>
        </w:rPr>
        <w:t> </w:t>
      </w:r>
      <w:r>
        <w:rPr>
          <w:spacing w:val="-5"/>
        </w:rPr>
        <w:t>亿元款项，顾国平全面配合上海躬盛完成包含但不限于对本公司的法人、董事</w:t>
      </w:r>
      <w:r>
        <w:rPr>
          <w:spacing w:val="-94"/>
        </w:rPr>
        <w:t> </w:t>
      </w:r>
      <w:r>
        <w:rPr>
          <w:spacing w:val="-94"/>
        </w:rPr>
      </w:r>
      <w:r>
        <w:rPr/>
        <w:t>会、监事会、公司章程等的实质变更及过户手续。</w:t>
      </w:r>
    </w:p>
    <w:p>
      <w:pPr>
        <w:spacing w:after="0" w:line="35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日，顾国平开始向上海躬盛移交本公司的印鉴、证照、财务资料、人力资源</w:t>
      </w:r>
      <w:r>
        <w:rPr>
          <w:w w:val="100"/>
        </w:rPr>
        <w:t> </w:t>
      </w:r>
      <w:r>
        <w:rPr>
          <w:spacing w:val="-2"/>
        </w:rPr>
        <w:t>部章、劳动合同专用章，本公司子公司智诚合讯人力资源部章、劳动合同章等公司材料。上海躬</w:t>
      </w:r>
      <w:r>
        <w:rPr>
          <w:spacing w:val="-25"/>
        </w:rPr>
        <w:t> </w:t>
      </w:r>
      <w:r>
        <w:rPr>
          <w:spacing w:val="-25"/>
        </w:rPr>
      </w:r>
      <w:r>
        <w:rPr>
          <w:spacing w:val="-6"/>
        </w:rPr>
        <w:t>盛出具承诺函称：鉴于广西慧球科技股份有限公司（</w:t>
      </w:r>
      <w:r>
        <w:rPr>
          <w:rFonts w:ascii="宋体" w:hAnsi="宋体" w:cs="宋体" w:eastAsia="宋体" w:hint="default"/>
          <w:spacing w:val="-6"/>
        </w:rPr>
        <w:t>600556</w:t>
      </w:r>
      <w:r>
        <w:rPr>
          <w:spacing w:val="-6"/>
        </w:rPr>
        <w:t>）及子公司印章、证照已向我方交割，</w:t>
      </w:r>
      <w:r>
        <w:rPr>
          <w:spacing w:val="-33"/>
        </w:rPr>
        <w:t> </w:t>
      </w:r>
      <w:r>
        <w:rPr>
          <w:spacing w:val="-33"/>
        </w:rPr>
      </w:r>
      <w:r>
        <w:rPr>
          <w:spacing w:val="-2"/>
        </w:rPr>
        <w:t>兹承诺：在本公司董事会三分之二董事改选完成之前，本公司及其子公司一切行为及法律责任皆</w:t>
      </w:r>
      <w:r>
        <w:rPr>
          <w:spacing w:val="-25"/>
        </w:rPr>
        <w:t> </w:t>
      </w:r>
      <w:r>
        <w:rPr>
          <w:spacing w:val="-25"/>
        </w:rPr>
      </w:r>
      <w:r>
        <w:rPr/>
        <w:t>由我方承担。</w:t>
      </w:r>
    </w:p>
    <w:p>
      <w:pPr>
        <w:pStyle w:val="BodyText"/>
        <w:spacing w:line="240" w:lineRule="auto" w:before="30"/>
        <w:ind w:left="558" w:right="0"/>
        <w:jc w:val="left"/>
      </w:pPr>
      <w:r>
        <w:rPr>
          <w:rFonts w:ascii="宋体" w:hAnsi="宋体" w:cs="宋体" w:eastAsia="宋体" w:hint="default"/>
        </w:rPr>
        <w:t>2016</w:t>
      </w:r>
      <w:r>
        <w:rPr>
          <w:rFonts w:ascii="宋体" w:hAnsi="宋体" w:cs="宋体" w:eastAsia="宋体" w:hint="default"/>
          <w:spacing w:val="-43"/>
        </w:rPr>
        <w:t> </w:t>
      </w:r>
      <w:r>
        <w:rPr/>
        <w:t>年</w:t>
      </w:r>
      <w:r>
        <w:rPr>
          <w:spacing w:val="-41"/>
        </w:rPr>
        <w:t> </w:t>
      </w:r>
      <w:r>
        <w:rPr>
          <w:rFonts w:ascii="宋体" w:hAnsi="宋体" w:cs="宋体" w:eastAsia="宋体" w:hint="default"/>
        </w:rPr>
        <w:t>5</w:t>
      </w:r>
      <w:r>
        <w:rPr>
          <w:rFonts w:ascii="宋体" w:hAnsi="宋体" w:cs="宋体" w:eastAsia="宋体" w:hint="default"/>
          <w:spacing w:val="-43"/>
        </w:rPr>
        <w:t> </w:t>
      </w:r>
      <w:r>
        <w:rPr/>
        <w:t>月</w:t>
      </w:r>
      <w:r>
        <w:rPr>
          <w:spacing w:val="-41"/>
        </w:rPr>
        <w:t> </w:t>
      </w:r>
      <w:r>
        <w:rPr>
          <w:rFonts w:ascii="宋体" w:hAnsi="宋体" w:cs="宋体" w:eastAsia="宋体" w:hint="default"/>
        </w:rPr>
        <w:t>9</w:t>
      </w:r>
      <w:r>
        <w:rPr>
          <w:rFonts w:ascii="宋体" w:hAnsi="宋体" w:cs="宋体" w:eastAsia="宋体" w:hint="default"/>
          <w:spacing w:val="-43"/>
        </w:rPr>
        <w:t> </w:t>
      </w:r>
      <w:r>
        <w:rPr>
          <w:spacing w:val="-3"/>
        </w:rPr>
        <w:t>日，代表顾国平利益的本公司原董事王忠华、张凌兴以及独立董事花炳灿提出</w:t>
      </w:r>
    </w:p>
    <w:p>
      <w:pPr>
        <w:pStyle w:val="BodyText"/>
        <w:spacing w:line="357" w:lineRule="auto" w:before="135"/>
        <w:ind w:left="138" w:right="130"/>
        <w:jc w:val="both"/>
        <w:rPr>
          <w:rFonts w:ascii="宋体" w:hAnsi="宋体" w:cs="宋体" w:eastAsia="宋体" w:hint="default"/>
        </w:rPr>
      </w:pPr>
      <w:r>
        <w:rPr>
          <w:spacing w:val="-5"/>
        </w:rPr>
        <w:t>辞职。根据鲜言要求，本公司第</w:t>
      </w:r>
      <w:r>
        <w:rPr>
          <w:spacing w:val="-40"/>
        </w:rPr>
        <w:t> </w:t>
      </w:r>
      <w:r>
        <w:rPr>
          <w:rFonts w:ascii="宋体" w:hAnsi="宋体" w:cs="宋体" w:eastAsia="宋体" w:hint="default"/>
        </w:rPr>
        <w:t>8</w:t>
      </w:r>
      <w:r>
        <w:rPr>
          <w:rFonts w:ascii="宋体" w:hAnsi="宋体" w:cs="宋体" w:eastAsia="宋体" w:hint="default"/>
          <w:spacing w:val="-42"/>
        </w:rPr>
        <w:t> </w:t>
      </w:r>
      <w:r>
        <w:rPr/>
        <w:t>届董事会第</w:t>
      </w:r>
      <w:r>
        <w:rPr>
          <w:spacing w:val="-42"/>
        </w:rPr>
        <w:t> </w:t>
      </w:r>
      <w:r>
        <w:rPr>
          <w:rFonts w:ascii="宋体" w:hAnsi="宋体" w:cs="宋体" w:eastAsia="宋体" w:hint="default"/>
        </w:rPr>
        <w:t>26</w:t>
      </w:r>
      <w:r>
        <w:rPr>
          <w:rFonts w:ascii="宋体" w:hAnsi="宋体" w:cs="宋体" w:eastAsia="宋体" w:hint="default"/>
          <w:spacing w:val="-44"/>
        </w:rPr>
        <w:t> </w:t>
      </w:r>
      <w:r>
        <w:rPr>
          <w:spacing w:val="-4"/>
        </w:rPr>
        <w:t>次会议决定提名温利华、董文亮为公司董事，提</w:t>
      </w:r>
      <w:r>
        <w:rPr>
          <w:spacing w:val="-100"/>
        </w:rPr>
        <w:t> </w:t>
      </w:r>
      <w:r>
        <w:rPr>
          <w:spacing w:val="-100"/>
        </w:rPr>
      </w:r>
      <w:r>
        <w:rPr>
          <w:spacing w:val="-2"/>
        </w:rPr>
        <w:t>名刘光如为公司独立董事，聘请陆俊安为证券事务代表。温利华、董文亮、陆俊安均为鲜言实际</w:t>
      </w:r>
      <w:r>
        <w:rPr>
          <w:spacing w:val="-26"/>
        </w:rPr>
        <w:t> </w:t>
      </w:r>
      <w:r>
        <w:rPr>
          <w:spacing w:val="-26"/>
        </w:rPr>
      </w:r>
      <w:r>
        <w:rPr/>
        <w:t>控制的上海柯塞威股权投资基金管理有限公司员工，刘光如与鲜言为朋友关系。</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23</w:t>
      </w:r>
    </w:p>
    <w:p>
      <w:pPr>
        <w:pStyle w:val="BodyText"/>
        <w:spacing w:line="357" w:lineRule="auto" w:before="30"/>
        <w:ind w:left="138" w:right="128"/>
        <w:jc w:val="both"/>
      </w:pPr>
      <w:r>
        <w:rPr>
          <w:spacing w:val="-5"/>
        </w:rPr>
        <w:t>日，本公司召开</w:t>
      </w:r>
      <w:r>
        <w:rPr>
          <w:spacing w:val="-40"/>
        </w:rPr>
        <w:t> </w:t>
      </w:r>
      <w:r>
        <w:rPr>
          <w:rFonts w:ascii="宋体" w:hAnsi="宋体" w:cs="宋体" w:eastAsia="宋体" w:hint="default"/>
        </w:rPr>
        <w:t>2016</w:t>
      </w:r>
      <w:r>
        <w:rPr>
          <w:rFonts w:ascii="宋体" w:hAnsi="宋体" w:cs="宋体" w:eastAsia="宋体" w:hint="default"/>
          <w:spacing w:val="-42"/>
        </w:rPr>
        <w:t> </w:t>
      </w:r>
      <w:r>
        <w:rPr/>
        <w:t>年第</w:t>
      </w:r>
      <w:r>
        <w:rPr>
          <w:spacing w:val="-41"/>
        </w:rPr>
        <w:t> </w:t>
      </w:r>
      <w:r>
        <w:rPr>
          <w:rFonts w:ascii="宋体" w:hAnsi="宋体" w:cs="宋体" w:eastAsia="宋体" w:hint="default"/>
        </w:rPr>
        <w:t>2</w:t>
      </w:r>
      <w:r>
        <w:rPr>
          <w:rFonts w:ascii="宋体" w:hAnsi="宋体" w:cs="宋体" w:eastAsia="宋体" w:hint="default"/>
          <w:spacing w:val="-40"/>
        </w:rPr>
        <w:t> </w:t>
      </w:r>
      <w:r>
        <w:rPr>
          <w:spacing w:val="-4"/>
        </w:rPr>
        <w:t>次临时股东大会，表决通过聘请温利华、董文亮、刘光如为公司董事</w:t>
      </w:r>
      <w:r>
        <w:rPr>
          <w:spacing w:val="-100"/>
        </w:rPr>
        <w:t> </w:t>
      </w:r>
      <w:r>
        <w:rPr>
          <w:spacing w:val="-100"/>
        </w:rPr>
      </w:r>
      <w:r>
        <w:rPr>
          <w:spacing w:val="-3"/>
        </w:rPr>
        <w:t>的议案。</w:t>
      </w:r>
      <w:r>
        <w:rPr>
          <w:rFonts w:ascii="宋体" w:hAnsi="宋体" w:cs="宋体" w:eastAsia="宋体" w:hint="default"/>
          <w:spacing w:val="-3"/>
        </w:rPr>
        <w:t>7</w:t>
      </w:r>
      <w:r>
        <w:rPr>
          <w:rFonts w:ascii="宋体" w:hAnsi="宋体" w:cs="宋体" w:eastAsia="宋体" w:hint="default"/>
          <w:spacing w:val="-36"/>
        </w:rPr>
        <w:t> </w:t>
      </w:r>
      <w:r>
        <w:rPr/>
        <w:t>月</w:t>
      </w:r>
      <w:r>
        <w:rPr>
          <w:spacing w:val="-33"/>
        </w:rPr>
        <w:t> </w:t>
      </w:r>
      <w:r>
        <w:rPr>
          <w:rFonts w:ascii="宋体" w:hAnsi="宋体" w:cs="宋体" w:eastAsia="宋体" w:hint="default"/>
        </w:rPr>
        <w:t>18</w:t>
      </w:r>
      <w:r>
        <w:rPr>
          <w:rFonts w:ascii="宋体" w:hAnsi="宋体" w:cs="宋体" w:eastAsia="宋体" w:hint="default"/>
          <w:spacing w:val="-33"/>
        </w:rPr>
        <w:t> </w:t>
      </w:r>
      <w:r>
        <w:rPr>
          <w:spacing w:val="-3"/>
        </w:rPr>
        <w:t>日，顾国平辞去董事长职务，并根据鲜言建议，向董事会提议由董文亮担任董事</w:t>
      </w:r>
      <w:r>
        <w:rPr>
          <w:spacing w:val="-96"/>
        </w:rPr>
        <w:t> </w:t>
      </w:r>
      <w:r>
        <w:rPr>
          <w:spacing w:val="-96"/>
        </w:rPr>
      </w:r>
      <w:r>
        <w:rPr/>
        <w:t>长。同日，本公司召开第</w:t>
      </w:r>
      <w:r>
        <w:rPr>
          <w:spacing w:val="-57"/>
        </w:rPr>
        <w:t> </w:t>
      </w:r>
      <w:r>
        <w:rPr>
          <w:rFonts w:ascii="宋体" w:hAnsi="宋体" w:cs="宋体" w:eastAsia="宋体" w:hint="default"/>
        </w:rPr>
        <w:t>8</w:t>
      </w:r>
      <w:r>
        <w:rPr>
          <w:rFonts w:ascii="宋体" w:hAnsi="宋体" w:cs="宋体" w:eastAsia="宋体" w:hint="default"/>
          <w:spacing w:val="-55"/>
        </w:rPr>
        <w:t> </w:t>
      </w:r>
      <w:r>
        <w:rPr/>
        <w:t>届董事会第</w:t>
      </w:r>
      <w:r>
        <w:rPr>
          <w:spacing w:val="-55"/>
        </w:rPr>
        <w:t> </w:t>
      </w:r>
      <w:r>
        <w:rPr>
          <w:rFonts w:ascii="宋体" w:hAnsi="宋体" w:cs="宋体" w:eastAsia="宋体" w:hint="default"/>
        </w:rPr>
        <w:t>27</w:t>
      </w:r>
      <w:r>
        <w:rPr>
          <w:rFonts w:ascii="宋体" w:hAnsi="宋体" w:cs="宋体" w:eastAsia="宋体" w:hint="default"/>
          <w:spacing w:val="-55"/>
        </w:rPr>
        <w:t> </w:t>
      </w:r>
      <w:r>
        <w:rPr/>
        <w:t>次会议，选举董文亮为董事长。</w:t>
      </w:r>
    </w:p>
    <w:p>
      <w:pPr>
        <w:pStyle w:val="BodyText"/>
        <w:spacing w:line="240" w:lineRule="auto" w:before="30"/>
        <w:ind w:left="558" w:right="0"/>
        <w:jc w:val="left"/>
      </w:pPr>
      <w:r>
        <w:rPr/>
        <w:t>综上，根据中国证监会认定：不晚于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4"/>
        </w:rPr>
        <w:t> </w:t>
      </w:r>
      <w:r>
        <w:rPr/>
        <w:t>日，鲜言通过自已实际控制的上海躬盛</w:t>
      </w:r>
    </w:p>
    <w:p>
      <w:pPr>
        <w:pStyle w:val="BodyText"/>
        <w:spacing w:line="357" w:lineRule="auto" w:before="133"/>
        <w:ind w:left="138" w:right="0"/>
        <w:jc w:val="left"/>
      </w:pPr>
      <w:r>
        <w:rPr/>
        <w:t>与本公司时任实际控制人顾国平签订系列协议，获得顾国平及其一致行动人持有的</w:t>
      </w:r>
      <w:r>
        <w:rPr>
          <w:spacing w:val="-54"/>
        </w:rPr>
        <w:t> </w:t>
      </w:r>
      <w:r>
        <w:rPr>
          <w:rFonts w:ascii="宋体" w:hAnsi="宋体" w:cs="宋体" w:eastAsia="宋体" w:hint="default"/>
        </w:rPr>
        <w:t>26,301,701</w:t>
      </w:r>
      <w:r>
        <w:rPr>
          <w:rFonts w:ascii="宋体" w:hAnsi="宋体" w:cs="宋体" w:eastAsia="宋体" w:hint="default"/>
          <w:w w:val="100"/>
        </w:rPr>
        <w:t> </w:t>
      </w:r>
      <w:r>
        <w:rPr>
          <w:spacing w:val="-2"/>
        </w:rPr>
        <w:t>股“本公司”的表决权，掌握公司印章、证照、并实际掌控公司董事会，对公司的信息披露、设</w:t>
      </w:r>
      <w:r>
        <w:rPr>
          <w:spacing w:val="-25"/>
        </w:rPr>
        <w:t> </w:t>
      </w:r>
      <w:r>
        <w:rPr>
          <w:spacing w:val="-25"/>
        </w:rPr>
      </w:r>
      <w:r>
        <w:rPr>
          <w:spacing w:val="-2"/>
        </w:rPr>
        <w:t>立子公司扩展经营范围、向子公司增资等重大事项具有决策权，可实际支配本公司的行为。依据</w:t>
      </w:r>
    </w:p>
    <w:p>
      <w:pPr>
        <w:pStyle w:val="BodyText"/>
        <w:spacing w:line="240" w:lineRule="auto" w:before="30"/>
        <w:ind w:left="138" w:right="0"/>
        <w:jc w:val="both"/>
      </w:pPr>
      <w:r>
        <w:rPr/>
        <w:t>《公司法》第</w:t>
      </w:r>
      <w:r>
        <w:rPr>
          <w:spacing w:val="-54"/>
        </w:rPr>
        <w:t> </w:t>
      </w:r>
      <w:r>
        <w:rPr>
          <w:rFonts w:ascii="宋体" w:hAnsi="宋体" w:cs="宋体" w:eastAsia="宋体" w:hint="default"/>
        </w:rPr>
        <w:t>216</w:t>
      </w:r>
      <w:r>
        <w:rPr>
          <w:rFonts w:ascii="宋体" w:hAnsi="宋体" w:cs="宋体" w:eastAsia="宋体" w:hint="default"/>
          <w:spacing w:val="-54"/>
        </w:rPr>
        <w:t> </w:t>
      </w:r>
      <w:r>
        <w:rPr/>
        <w:t>条第</w:t>
      </w:r>
      <w:r>
        <w:rPr>
          <w:spacing w:val="-53"/>
        </w:rPr>
        <w:t> </w:t>
      </w:r>
      <w:r>
        <w:rPr>
          <w:rFonts w:ascii="宋体" w:hAnsi="宋体" w:cs="宋体" w:eastAsia="宋体" w:hint="default"/>
        </w:rPr>
        <w:t>3</w:t>
      </w:r>
      <w:r>
        <w:rPr>
          <w:rFonts w:ascii="宋体" w:hAnsi="宋体" w:cs="宋体" w:eastAsia="宋体" w:hint="default"/>
          <w:spacing w:val="-56"/>
        </w:rPr>
        <w:t> </w:t>
      </w:r>
      <w:r>
        <w:rPr/>
        <w:t>项关于“实际控制人是指虽不是公司的股东，但通过投资关系、协议或</w:t>
      </w:r>
    </w:p>
    <w:p>
      <w:pPr>
        <w:pStyle w:val="BodyText"/>
        <w:spacing w:line="355" w:lineRule="auto" w:before="133"/>
        <w:ind w:left="138" w:right="139"/>
        <w:jc w:val="both"/>
      </w:pPr>
      <w:r>
        <w:rPr/>
        <w:t>者其他安排，能够实际支配公司行为的人”的规定，鲜言不晚于</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18</w:t>
      </w:r>
      <w:r>
        <w:rPr>
          <w:rFonts w:ascii="宋体" w:hAnsi="宋体" w:cs="宋体" w:eastAsia="宋体" w:hint="default"/>
          <w:spacing w:val="-55"/>
        </w:rPr>
        <w:t> </w:t>
      </w:r>
      <w:r>
        <w:rPr/>
        <w:t>日成为本公司实</w:t>
      </w:r>
      <w:r>
        <w:rPr>
          <w:w w:val="100"/>
        </w:rPr>
        <w:t> </w:t>
      </w:r>
      <w:r>
        <w:rPr/>
        <w:t>际控制人。</w:t>
      </w:r>
    </w:p>
    <w:p>
      <w:pPr>
        <w:pStyle w:val="BodyText"/>
        <w:spacing w:line="240" w:lineRule="auto" w:before="32"/>
        <w:ind w:left="558"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日开始，深圳市瑞莱嘉誉投资有限公司（有限合伙）（以下简称瑞莱嘉誉）</w:t>
      </w:r>
    </w:p>
    <w:p>
      <w:pPr>
        <w:pStyle w:val="BodyText"/>
        <w:spacing w:line="357" w:lineRule="auto" w:before="135"/>
        <w:ind w:left="138" w:right="128"/>
        <w:jc w:val="both"/>
      </w:pPr>
      <w:r>
        <w:rPr/>
        <w:t>持续买入本公司股票。至</w:t>
      </w:r>
      <w:r>
        <w:rPr>
          <w:spacing w:val="-56"/>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日，瑞莱嘉誉持有本公司股票</w:t>
      </w:r>
      <w:r>
        <w:rPr>
          <w:spacing w:val="-54"/>
        </w:rPr>
        <w:t> </w:t>
      </w:r>
      <w:r>
        <w:rPr>
          <w:rFonts w:ascii="宋体" w:hAnsi="宋体" w:cs="宋体" w:eastAsia="宋体" w:hint="default"/>
        </w:rPr>
        <w:t>43,345,642</w:t>
      </w:r>
      <w:r>
        <w:rPr>
          <w:rFonts w:ascii="宋体" w:hAnsi="宋体" w:cs="宋体" w:eastAsia="宋体" w:hint="default"/>
          <w:spacing w:val="-53"/>
        </w:rPr>
        <w:t> </w:t>
      </w:r>
      <w:r>
        <w:rPr/>
        <w:t>股，占本公</w:t>
      </w:r>
      <w:r>
        <w:rPr>
          <w:w w:val="100"/>
        </w:rPr>
        <w:t> </w:t>
      </w:r>
      <w:r>
        <w:rPr/>
        <w:t>司总股份的 </w:t>
      </w:r>
      <w:r>
        <w:rPr>
          <w:rFonts w:ascii="宋体" w:hAnsi="宋体" w:cs="宋体" w:eastAsia="宋体" w:hint="default"/>
          <w:spacing w:val="-3"/>
        </w:rPr>
        <w:t>10.9793%</w:t>
      </w:r>
      <w:r>
        <w:rPr>
          <w:spacing w:val="-3"/>
        </w:rPr>
        <w:t>，成为本公司第一大股东。但由于瑞莱嘉誉并未及时改组本公司董事会，本</w:t>
      </w:r>
      <w:r>
        <w:rPr>
          <w:spacing w:val="-85"/>
        </w:rPr>
        <w:t> </w:t>
      </w:r>
      <w:r>
        <w:rPr>
          <w:spacing w:val="-85"/>
        </w:rPr>
      </w:r>
      <w:r>
        <w:rPr/>
        <w:t>公司仍由鲜言实际控制。至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日，本公司披露董文亮辞去公司董事长、董事职务，</w:t>
      </w:r>
      <w:r>
        <w:rPr>
          <w:w w:val="100"/>
        </w:rPr>
        <w:t> </w:t>
      </w:r>
      <w:r>
        <w:rPr>
          <w:spacing w:val="-2"/>
        </w:rPr>
        <w:t>温利华辞去公司董事职务，刘光如、李占国、刘士林辞去公司独立董事职务，鲜言不再实际支配</w:t>
      </w:r>
      <w:r>
        <w:rPr>
          <w:spacing w:val="-25"/>
        </w:rPr>
        <w:t> </w:t>
      </w:r>
      <w:r>
        <w:rPr>
          <w:spacing w:val="-25"/>
        </w:rPr>
      </w:r>
      <w:r>
        <w:rPr/>
        <w:t>本公司的行为，不再构成对本公司的实际控制。</w:t>
      </w:r>
    </w:p>
    <w:p>
      <w:pPr>
        <w:pStyle w:val="BodyText"/>
        <w:spacing w:line="355" w:lineRule="auto" w:before="30"/>
        <w:ind w:left="138" w:right="128" w:firstLine="419"/>
        <w:jc w:val="both"/>
      </w:pPr>
      <w:r>
        <w:rPr>
          <w:rFonts w:ascii="宋体" w:hAnsi="宋体" w:cs="宋体" w:eastAsia="宋体" w:hint="default"/>
          <w:w w:val="100"/>
        </w:rPr>
        <w:t>2017 </w:t>
      </w:r>
      <w:r>
        <w:rPr>
          <w:w w:val="100"/>
        </w:rPr>
        <w:t>年</w:t>
      </w:r>
      <w:r>
        <w:rPr>
          <w:spacing w:val="2"/>
          <w:w w:val="100"/>
        </w:rPr>
        <w:t> </w:t>
      </w:r>
      <w:r>
        <w:rPr>
          <w:rFonts w:ascii="宋体" w:hAnsi="宋体" w:cs="宋体" w:eastAsia="宋体" w:hint="default"/>
          <w:w w:val="100"/>
        </w:rPr>
        <w:t>1 </w:t>
      </w:r>
      <w:r>
        <w:rPr>
          <w:w w:val="100"/>
        </w:rPr>
        <w:t>月</w:t>
      </w:r>
      <w:r>
        <w:rPr>
          <w:spacing w:val="2"/>
          <w:w w:val="100"/>
        </w:rPr>
        <w:t> </w:t>
      </w:r>
      <w:r>
        <w:rPr>
          <w:rFonts w:ascii="宋体" w:hAnsi="宋体" w:cs="宋体" w:eastAsia="宋体" w:hint="default"/>
          <w:spacing w:val="-2"/>
          <w:w w:val="100"/>
        </w:rPr>
        <w:t>25</w:t>
      </w:r>
      <w:r>
        <w:rPr>
          <w:rFonts w:ascii="宋体" w:hAnsi="宋体" w:cs="宋体" w:eastAsia="宋体" w:hint="default"/>
          <w:spacing w:val="3"/>
          <w:w w:val="100"/>
        </w:rPr>
        <w:t> </w:t>
      </w:r>
      <w:r>
        <w:rPr>
          <w:spacing w:val="-17"/>
          <w:w w:val="100"/>
        </w:rPr>
        <w:t>日，根据公司</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spacing w:val="-2"/>
          <w:w w:val="100"/>
        </w:rPr>
        <w:t>年第一次临时股东大会及公司第八届董事会第四十一次</w:t>
      </w:r>
      <w:r>
        <w:rPr>
          <w:w w:val="100"/>
        </w:rPr>
        <w:t> </w:t>
      </w:r>
      <w:r>
        <w:rPr>
          <w:spacing w:val="-2"/>
        </w:rPr>
        <w:t>会议决议，公司选举张琲为公司新任董事长，陈凤桃、张向阳为公司董事，唐功远、杜民、魏霞</w:t>
      </w:r>
      <w:r>
        <w:rPr>
          <w:spacing w:val="-25"/>
        </w:rPr>
        <w:t> </w:t>
      </w:r>
      <w:r>
        <w:rPr>
          <w:spacing w:val="-25"/>
        </w:rPr>
      </w:r>
      <w:r>
        <w:rPr/>
        <w:t>为独立董事；增补王懋、李明为监事，李洁为公司总经理。</w:t>
      </w:r>
    </w:p>
    <w:p>
      <w:pPr>
        <w:pStyle w:val="BodyText"/>
        <w:spacing w:line="240" w:lineRule="auto" w:before="32"/>
        <w:ind w:left="558" w:right="0"/>
        <w:jc w:val="left"/>
        <w:rPr>
          <w:rFonts w:ascii="宋体" w:hAnsi="宋体" w:cs="宋体" w:eastAsia="宋体" w:hint="default"/>
        </w:rPr>
      </w:pPr>
      <w:r>
        <w:rPr/>
        <w:t>公司职工代表监事顾远因工作变动原因辞去职工代表监事，公司职工代表大会于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p>
    <w:p>
      <w:pPr>
        <w:pStyle w:val="BodyText"/>
        <w:spacing w:line="355" w:lineRule="auto" w:before="135"/>
        <w:ind w:left="558" w:right="4646" w:hanging="420"/>
        <w:jc w:val="left"/>
      </w:pP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日在公司召开选举王肖为职工代表监事。</w:t>
      </w:r>
      <w:r>
        <w:rPr>
          <w:w w:val="100"/>
        </w:rPr>
        <w:t> </w:t>
      </w:r>
      <w:r>
        <w:rPr/>
        <w:t>张琲成为公司实际控制人。</w:t>
      </w:r>
    </w:p>
    <w:p>
      <w:pPr>
        <w:spacing w:line="240" w:lineRule="auto" w:before="0"/>
        <w:rPr>
          <w:rFonts w:ascii="宋体" w:hAnsi="宋体" w:cs="宋体" w:eastAsia="宋体" w:hint="default"/>
          <w:sz w:val="20"/>
          <w:szCs w:val="20"/>
        </w:rPr>
      </w:pPr>
    </w:p>
    <w:p>
      <w:pPr>
        <w:pStyle w:val="BodyText"/>
        <w:spacing w:line="240" w:lineRule="auto" w:before="179"/>
        <w:ind w:left="138" w:right="6652"/>
        <w:jc w:val="left"/>
      </w:pPr>
      <w:r>
        <w:rPr>
          <w:spacing w:val="-2"/>
        </w:rPr>
        <w:t>本企业最终控制方是张琲</w:t>
      </w:r>
      <w:r>
        <w:rPr>
          <w:spacing w:val="-82"/>
        </w:rPr>
        <w:t> </w:t>
      </w:r>
      <w:r>
        <w:rPr>
          <w:spacing w:val="-82"/>
        </w:rPr>
      </w:r>
      <w:r>
        <w:rPr/>
        <w:t>其他说明：</w:t>
      </w:r>
    </w:p>
    <w:p>
      <w:pPr>
        <w:spacing w:after="0" w:line="240" w:lineRule="auto"/>
        <w:jc w:val="left"/>
        <w:sectPr>
          <w:footerReference w:type="default" r:id="rId109"/>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w w:val="100"/>
        </w:rPr>
        <w:t>无</w:t>
      </w:r>
    </w:p>
    <w:p>
      <w:pPr>
        <w:spacing w:line="290" w:lineRule="auto" w:before="58"/>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本企业子公司的情况详见附注（九、</w:t>
      </w:r>
      <w:r>
        <w:rPr>
          <w:rFonts w:ascii="宋体" w:hAnsi="宋体" w:cs="宋体" w:eastAsia="宋体" w:hint="default"/>
          <w:spacing w:val="-2"/>
          <w:sz w:val="21"/>
          <w:szCs w:val="21"/>
        </w:rPr>
        <w:t>1</w:t>
      </w:r>
      <w:r>
        <w:rPr>
          <w:rFonts w:ascii="宋体" w:hAnsi="宋体" w:cs="宋体" w:eastAsia="宋体" w:hint="default"/>
          <w:spacing w:val="-2"/>
          <w:sz w:val="21"/>
          <w:szCs w:val="21"/>
        </w:rPr>
        <w:t>）在子公司中的权益。</w:t>
      </w:r>
    </w:p>
    <w:p>
      <w:pPr>
        <w:pStyle w:val="BodyText"/>
        <w:spacing w:line="230"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right="2465"/>
        <w:jc w:val="left"/>
      </w:pPr>
      <w:r>
        <w:rPr/>
        <w:t>□适用</w:t>
      </w:r>
      <w:r>
        <w:rPr>
          <w:spacing w:val="-1"/>
        </w:rPr>
        <w:t> </w:t>
      </w:r>
      <w:r>
        <w:rPr/>
        <w:t>√不适用</w:t>
      </w:r>
    </w:p>
    <w:p>
      <w:pPr>
        <w:pStyle w:val="BodyText"/>
        <w:spacing w:line="240" w:lineRule="auto"/>
        <w:ind w:right="9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2"/>
        <w:ind w:right="7474"/>
        <w:jc w:val="left"/>
      </w:pPr>
      <w:r>
        <w:rPr/>
        <w:t>□适用</w:t>
      </w:r>
      <w:r>
        <w:rPr>
          <w:spacing w:val="-1"/>
        </w:rPr>
        <w:t> </w:t>
      </w:r>
      <w:r>
        <w:rPr/>
        <w:t>√不适用</w:t>
      </w:r>
      <w:r>
        <w:rPr>
          <w:w w:val="100"/>
        </w:rPr>
        <w:t> </w:t>
      </w:r>
      <w:r>
        <w:rPr/>
        <w:t>其他说明</w:t>
      </w:r>
    </w:p>
    <w:p>
      <w:pPr>
        <w:pStyle w:val="BodyText"/>
        <w:spacing w:line="246"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上海躬盛网络科技有限公司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湖北柯塞威数据科技有限公司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温利华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陆俊安</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湖北汉佳置业有限公司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荆门汉达实业有限公司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荆门市汉通置业公司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关联人（与公司同一董事长）</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深圳市前海瑞莱小微金融资产管理有限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深圳市优博网络科技有限公司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沈阳天创信息科技股份有限公司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苏州乐易科技实业有限公司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深圳市兴邦联投资管理有限公司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深圳市天创瑞莱基金管理有限公司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深圳赫美智慧科技有限公司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深圳市瑞莱启德教育企业（有限合伙）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深圳市瑞莱创富投资企业（有限合伙）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深圳市前海中久瑞莱资产管理有限公司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深圳市瑞莱金典投资有限公司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深圳市瑞莱远策投资企业（有限合伙）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深圳市瑞莱优胜投资企业（有限合伙）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深圳市瑞莱欣茂投资企业（有限合伙）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深圳市瑞莱乐融投资企业（有限合伙）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深圳市瑞莱鲲鹏科技投资企业（有限合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深圳市瑞莱卓信投资企业（有限合伙）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footerReference w:type="default" r:id="rId110"/>
          <w:pgSz w:w="11910" w:h="16840"/>
          <w:pgMar w:footer="1195" w:header="882" w:top="1120" w:bottom="1380" w:left="1580" w:right="1040"/>
          <w:pgNumType w:start="1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深圳市瑞莱方德投资企业（有限合伙）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深圳市瑞莱纳思投资企业（有限合伙）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深圳市瑞莱乐睿投资企业（有限合伙）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深圳市瑞莱宝信投资企业（有限合伙）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深圳市瑞莱泰和投资企业（有限合伙）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深圳市爱爱宝餐饮有限公司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深圳市杰普特光电股份有限公司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广东四象智能制造股份有限公司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深圳市云高信息技术股份有限公司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北京微磁场教育科技有限公司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深圳市鑫运通创业投资有限公司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珠海市瑞莱欣美投资企业（有限合伙）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南宁市瑞莱晨星投资合伙企业</w:t>
            </w:r>
            <w:r>
              <w:rPr>
                <w:rFonts w:ascii="宋体" w:hAnsi="宋体" w:cs="宋体" w:eastAsia="宋体" w:hint="default"/>
                <w:sz w:val="21"/>
                <w:szCs w:val="21"/>
              </w:rPr>
              <w:t>(</w:t>
            </w:r>
            <w:r>
              <w:rPr>
                <w:rFonts w:ascii="宋体" w:hAnsi="宋体" w:cs="宋体" w:eastAsia="宋体" w:hint="default"/>
                <w:sz w:val="21"/>
                <w:szCs w:val="21"/>
              </w:rPr>
              <w:t>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深圳市莱盛得贸易有限责任公司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深圳市新坪教育投资顾问有限公司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玉成有限公司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北京太和宝盈投资有限责任公司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东莞长联新材料科技股份有限公司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深圳市商德先进陶瓷股份有限公司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line="240" w:lineRule="auto" w:before="0"/>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218" w:right="484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8" w:lineRule="exact"/>
        <w:ind w:right="2465"/>
        <w:jc w:val="left"/>
      </w:pPr>
      <w:r>
        <w:rPr/>
        <w:t>□适用</w:t>
      </w:r>
      <w:r>
        <w:rPr>
          <w:spacing w:val="-1"/>
        </w:rPr>
        <w:t> </w:t>
      </w:r>
      <w:r>
        <w:rPr/>
        <w:t>√不适用</w:t>
      </w:r>
    </w:p>
    <w:p>
      <w:pPr>
        <w:pStyle w:val="BodyText"/>
        <w:spacing w:line="272" w:lineRule="exact"/>
        <w:ind w:right="2465"/>
        <w:jc w:val="left"/>
      </w:pPr>
      <w:r>
        <w:rPr/>
        <w:t>出售商品</w:t>
      </w:r>
      <w:r>
        <w:rPr>
          <w:rFonts w:ascii="宋体" w:hAnsi="宋体" w:cs="宋体" w:eastAsia="宋体" w:hint="default"/>
        </w:rPr>
        <w:t>/</w:t>
      </w:r>
      <w:r>
        <w:rPr/>
        <w:t>提供劳务情况表</w:t>
      </w:r>
    </w:p>
    <w:p>
      <w:pPr>
        <w:pStyle w:val="BodyText"/>
        <w:spacing w:line="272" w:lineRule="exact" w:before="27"/>
        <w:ind w:right="4688"/>
        <w:jc w:val="left"/>
      </w:pPr>
      <w:r>
        <w:rPr/>
        <w:t>□适用</w:t>
      </w:r>
      <w:r>
        <w:rPr>
          <w:spacing w:val="-2"/>
        </w:rPr>
        <w:t> </w:t>
      </w:r>
      <w:r>
        <w:rPr/>
        <w:t>√不适用</w:t>
      </w:r>
      <w:r>
        <w:rPr>
          <w:w w:val="100"/>
        </w:rPr>
        <w:t> </w:t>
      </w:r>
      <w:r>
        <w:rPr>
          <w:spacing w:val="-2"/>
        </w:rPr>
        <w:t>购销商品、提供和接受劳务的关联交易说明</w:t>
      </w:r>
    </w:p>
    <w:p>
      <w:pPr>
        <w:pStyle w:val="BodyText"/>
        <w:spacing w:line="249"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1" w:lineRule="auto" w:before="0"/>
        <w:ind w:left="218" w:right="463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72" w:lineRule="exact"/>
        <w:ind w:right="6323"/>
        <w:jc w:val="left"/>
      </w:pPr>
      <w:r>
        <w:rPr/>
        <w:t>□适用</w:t>
      </w:r>
      <w:r>
        <w:rPr>
          <w:spacing w:val="-2"/>
        </w:rPr>
        <w:t> </w:t>
      </w:r>
      <w:r>
        <w:rPr/>
        <w:t>√不适用</w:t>
      </w:r>
      <w:r>
        <w:rPr>
          <w:w w:val="100"/>
        </w:rPr>
        <w:t> </w:t>
      </w:r>
      <w:r>
        <w:rPr>
          <w:spacing w:val="-2"/>
        </w:rPr>
        <w:t>关联托管</w:t>
      </w:r>
      <w:r>
        <w:rPr>
          <w:rFonts w:ascii="宋体" w:hAnsi="宋体" w:cs="宋体" w:eastAsia="宋体" w:hint="default"/>
          <w:spacing w:val="-2"/>
        </w:rPr>
        <w:t>/</w:t>
      </w:r>
      <w:r>
        <w:rPr>
          <w:spacing w:val="-2"/>
        </w:rPr>
        <w:t>承包情况说明</w:t>
      </w:r>
    </w:p>
    <w:p>
      <w:pPr>
        <w:pStyle w:val="BodyText"/>
        <w:spacing w:line="249" w:lineRule="exact"/>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本公司委托管理</w:t>
      </w:r>
      <w:r>
        <w:rPr>
          <w:rFonts w:ascii="宋体" w:hAnsi="宋体" w:cs="宋体" w:eastAsia="宋体" w:hint="default"/>
        </w:rPr>
        <w:t>/</w:t>
      </w:r>
      <w:r>
        <w:rPr/>
        <w:t>出包情况表：</w:t>
      </w:r>
    </w:p>
    <w:p>
      <w:pPr>
        <w:pStyle w:val="BodyText"/>
        <w:spacing w:line="240" w:lineRule="auto"/>
        <w:ind w:right="6323"/>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spacing w:after="0" w:line="29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7167"/>
        <w:jc w:val="left"/>
      </w:pPr>
      <w:r>
        <w:rPr/>
        <w:t>□适用</w:t>
      </w:r>
      <w:r>
        <w:rPr>
          <w:spacing w:val="-2"/>
        </w:rPr>
        <w:t> </w:t>
      </w:r>
      <w:r>
        <w:rPr/>
        <w:t>√不适用</w:t>
      </w:r>
      <w:r>
        <w:rPr>
          <w:w w:val="100"/>
        </w:rPr>
        <w:t> </w:t>
      </w:r>
      <w:r>
        <w:rPr>
          <w:spacing w:val="-1"/>
        </w:rPr>
        <w:t>本公司作为承租方：</w:t>
      </w:r>
    </w:p>
    <w:p>
      <w:pPr>
        <w:pStyle w:val="BodyText"/>
        <w:spacing w:line="274" w:lineRule="exact" w:before="22"/>
        <w:ind w:right="7383"/>
        <w:jc w:val="left"/>
      </w:pPr>
      <w:r>
        <w:rPr/>
        <w:t>□适用</w:t>
      </w:r>
      <w:r>
        <w:rPr>
          <w:spacing w:val="-2"/>
        </w:rPr>
        <w:t> </w:t>
      </w:r>
      <w:r>
        <w:rPr/>
        <w:t>√不适用</w:t>
      </w:r>
      <w:r>
        <w:rPr>
          <w:w w:val="100"/>
        </w:rPr>
        <w:t> </w:t>
      </w:r>
      <w:r>
        <w:rPr>
          <w:spacing w:val="-2"/>
        </w:rPr>
        <w:t>关联租赁情况说明</w:t>
      </w:r>
    </w:p>
    <w:p>
      <w:pPr>
        <w:pStyle w:val="BodyText"/>
        <w:spacing w:line="246"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6" w:lineRule="exact"/>
        <w:ind w:right="2465"/>
        <w:jc w:val="left"/>
      </w:pPr>
      <w:r>
        <w:rPr/>
        <w:t>□适用</w:t>
      </w:r>
      <w:r>
        <w:rPr>
          <w:spacing w:val="-1"/>
        </w:rPr>
        <w:t> </w:t>
      </w:r>
      <w:r>
        <w:rPr/>
        <w:t>√不适用</w:t>
      </w:r>
    </w:p>
    <w:p>
      <w:pPr>
        <w:pStyle w:val="BodyText"/>
        <w:spacing w:line="272" w:lineRule="exact"/>
        <w:ind w:right="2465"/>
        <w:jc w:val="left"/>
      </w:pPr>
      <w:r>
        <w:rPr/>
        <w:t>本公司作为被担保方</w:t>
      </w:r>
    </w:p>
    <w:p>
      <w:pPr>
        <w:pStyle w:val="BodyText"/>
        <w:spacing w:line="240" w:lineRule="auto"/>
        <w:ind w:right="7383"/>
        <w:jc w:val="left"/>
      </w:pPr>
      <w:r>
        <w:rPr/>
        <w:t>□适用</w:t>
      </w:r>
      <w:r>
        <w:rPr>
          <w:spacing w:val="-2"/>
        </w:rPr>
        <w:t> </w:t>
      </w:r>
      <w:r>
        <w:rPr/>
        <w:t>√不适用</w:t>
      </w:r>
      <w:r>
        <w:rPr>
          <w:w w:val="100"/>
        </w:rPr>
        <w:t> </w:t>
      </w:r>
      <w:r>
        <w:rPr>
          <w:spacing w:val="-2"/>
        </w:rPr>
        <w:t>关联担保情况说明</w:t>
      </w:r>
    </w:p>
    <w:p>
      <w:pPr>
        <w:pStyle w:val="BodyText"/>
        <w:spacing w:line="272" w:lineRule="exact"/>
        <w:ind w:right="2465"/>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11"/>
          <w:pgSz w:w="11910" w:h="16840"/>
          <w:pgMar w:footer="1195" w:header="882" w:top="1120" w:bottom="1380" w:left="1580" w:right="1040"/>
          <w:pgNumType w:start="143"/>
        </w:sectPr>
      </w:pPr>
    </w:p>
    <w:p>
      <w:pPr>
        <w:pStyle w:val="Heading4"/>
        <w:spacing w:line="240" w:lineRule="auto" w:before="36"/>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14" w:space="441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瑞莱嘉誉</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sz w:val="21"/>
              </w:rPr>
              <w:t>7,320,100.00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报告期内已经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归还</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4"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大卓（上海）网络科技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2" w:right="0"/>
              <w:jc w:val="left"/>
              <w:rPr>
                <w:rFonts w:ascii="宋体" w:hAnsi="宋体" w:cs="宋体" w:eastAsia="宋体" w:hint="default"/>
                <w:sz w:val="21"/>
                <w:szCs w:val="21"/>
              </w:rPr>
            </w:pPr>
            <w:r>
              <w:rPr>
                <w:rFonts w:ascii="宋体"/>
                <w:sz w:val="21"/>
              </w:rPr>
              <w:t>2,562,552.16</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2525" w:space="39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before="36"/>
        <w:ind w:right="2465"/>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right="6723"/>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spacing w:line="240" w:lineRule="auto" w:before="14"/>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946" w:val="left" w:leader="none"/>
        </w:tabs>
        <w:spacing w:line="240" w:lineRule="auto" w:before="36"/>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荆门汉达实业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90,000,000.00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湖北汉佳置业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上海躬盛网络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4,713,021.99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14,745,573.78</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董文亮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212,500.00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6,375.00</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陆俊安</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188,370.00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5,651.10</w:t>
            </w: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温利华</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1,500.00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4"/>
        <w:spacing w:line="240" w:lineRule="auto" w:before="36"/>
        <w:ind w:left="138" w:right="-18"/>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715" w:space="5018"/>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顾国平</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3,800,000.00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湖北柯塞威数据科技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138" w:right="1046"/>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138" w:right="1046"/>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before="0"/>
        <w:ind w:left="138" w:right="1046"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8"/>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1046"/>
        <w:jc w:val="left"/>
        <w:rPr>
          <w:b w:val="0"/>
          <w:bCs w:val="0"/>
        </w:rPr>
      </w:pPr>
      <w:r>
        <w:rPr/>
        <w:t>十三、</w:t>
        <w:tab/>
        <w:t>股份支付</w:t>
      </w:r>
      <w:r>
        <w:rPr>
          <w:b w:val="0"/>
          <w:bCs w:val="0"/>
        </w:rPr>
      </w:r>
    </w:p>
    <w:p>
      <w:pPr>
        <w:pStyle w:val="Heading4"/>
        <w:spacing w:line="240" w:lineRule="auto" w:before="56"/>
        <w:ind w:left="138" w:right="1046"/>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046"/>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8" w:right="1046"/>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8" w:right="1046"/>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138" w:right="1046"/>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4"/>
        <w:spacing w:line="240" w:lineRule="auto" w:before="36"/>
        <w:ind w:left="138" w:right="2465"/>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13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90" w:lineRule="auto"/>
        <w:ind w:left="138" w:right="68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138" w:right="4688"/>
        <w:jc w:val="left"/>
      </w:pPr>
      <w:r>
        <w:rPr/>
        <w:t>√适用</w:t>
      </w:r>
      <w:r>
        <w:rPr>
          <w:spacing w:val="-2"/>
        </w:rPr>
        <w:t> </w:t>
      </w:r>
      <w:r>
        <w:rPr/>
        <w:t>□不适用</w:t>
      </w:r>
      <w:r>
        <w:rPr>
          <w:w w:val="100"/>
        </w:rPr>
        <w:t> </w:t>
      </w:r>
      <w:r>
        <w:rPr>
          <w:spacing w:val="-2"/>
        </w:rPr>
        <w:t>资产负债表日存在的对外重要承诺、性质、金额</w:t>
      </w:r>
    </w:p>
    <w:p>
      <w:pPr>
        <w:pStyle w:val="Heading4"/>
        <w:spacing w:line="249" w:lineRule="exact"/>
        <w:ind w:left="558" w:right="2465"/>
        <w:jc w:val="left"/>
        <w:rPr>
          <w:b w:val="0"/>
          <w:bCs w:val="0"/>
        </w:rPr>
      </w:pPr>
      <w:r>
        <w:rPr>
          <w:rFonts w:ascii="宋体" w:hAnsi="宋体" w:cs="宋体" w:eastAsia="宋体" w:hint="default"/>
        </w:rPr>
        <w:t>1</w:t>
      </w:r>
      <w:r>
        <w:rPr/>
        <w:t>、签订的尚未履行或尚未完全履行的对外投资合同及有关财务支出</w:t>
      </w:r>
      <w:r>
        <w:rPr>
          <w:b w:val="0"/>
          <w:bCs w:val="0"/>
        </w:rPr>
      </w:r>
    </w:p>
    <w:p>
      <w:pPr>
        <w:pStyle w:val="Heading4"/>
        <w:spacing w:line="240" w:lineRule="auto" w:before="133"/>
        <w:ind w:left="560" w:right="2465"/>
        <w:jc w:val="left"/>
        <w:rPr>
          <w:b w:val="0"/>
          <w:bCs w:val="0"/>
        </w:rPr>
      </w:pPr>
      <w:r>
        <w:rPr/>
        <w:t>（</w:t>
      </w:r>
      <w:r>
        <w:rPr>
          <w:rFonts w:ascii="宋体" w:hAnsi="宋体" w:cs="宋体" w:eastAsia="宋体" w:hint="default"/>
        </w:rPr>
        <w:t>1</w:t>
      </w:r>
      <w:r>
        <w:rPr/>
        <w:t>）关于泰兴智慧城市项目战略合作协议</w:t>
      </w:r>
      <w:r>
        <w:rPr>
          <w:b w:val="0"/>
          <w:bCs w:val="0"/>
        </w:rPr>
      </w:r>
    </w:p>
    <w:p>
      <w:pPr>
        <w:pStyle w:val="BodyText"/>
        <w:spacing w:line="357" w:lineRule="auto" w:before="133"/>
        <w:ind w:left="138" w:right="97" w:firstLine="419"/>
        <w:jc w:val="left"/>
      </w:pPr>
      <w:r>
        <w:rPr>
          <w:w w:val="100"/>
        </w:rPr>
        <w:t>本公司于</w:t>
      </w:r>
      <w:r>
        <w:rPr>
          <w:spacing w:val="-69"/>
          <w:w w:val="100"/>
        </w:rPr>
        <w:t> </w:t>
      </w:r>
      <w:r>
        <w:rPr>
          <w:rFonts w:ascii="宋体" w:hAnsi="宋体" w:cs="宋体" w:eastAsia="宋体" w:hint="default"/>
          <w:w w:val="100"/>
        </w:rPr>
        <w:t>2015</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10</w:t>
      </w:r>
      <w:r>
        <w:rPr>
          <w:rFonts w:ascii="宋体" w:hAnsi="宋体" w:cs="宋体" w:eastAsia="宋体" w:hint="default"/>
          <w:spacing w:val="-66"/>
          <w:w w:val="100"/>
        </w:rPr>
        <w:t> </w:t>
      </w:r>
      <w:r>
        <w:rPr>
          <w:w w:val="100"/>
        </w:rPr>
        <w:t>月</w:t>
      </w:r>
      <w:r>
        <w:rPr>
          <w:spacing w:val="-66"/>
          <w:w w:val="100"/>
        </w:rPr>
        <w:t> </w:t>
      </w:r>
      <w:r>
        <w:rPr>
          <w:rFonts w:ascii="宋体" w:hAnsi="宋体" w:cs="宋体" w:eastAsia="宋体" w:hint="default"/>
          <w:w w:val="100"/>
        </w:rPr>
        <w:t>20</w:t>
      </w:r>
      <w:r>
        <w:rPr>
          <w:rFonts w:ascii="宋体" w:hAnsi="宋体" w:cs="宋体" w:eastAsia="宋体" w:hint="default"/>
          <w:spacing w:val="-69"/>
          <w:w w:val="100"/>
        </w:rPr>
        <w:t> </w:t>
      </w:r>
      <w:r>
        <w:rPr>
          <w:spacing w:val="-9"/>
          <w:w w:val="100"/>
        </w:rPr>
        <w:t>日与泰兴市人民政府签订了《关于泰兴智慧城市项目战略合作协议》。</w:t>
      </w:r>
      <w:r>
        <w:rPr>
          <w:w w:val="100"/>
        </w:rPr>
        <w:t> </w:t>
      </w:r>
      <w:r>
        <w:rPr/>
        <w:t>依据合作协议，泰兴市政府将未来</w:t>
      </w:r>
      <w:r>
        <w:rPr>
          <w:spacing w:val="-54"/>
        </w:rPr>
        <w:t> </w:t>
      </w:r>
      <w:r>
        <w:rPr>
          <w:rFonts w:ascii="宋体" w:hAnsi="宋体" w:cs="宋体" w:eastAsia="宋体" w:hint="default"/>
        </w:rPr>
        <w:t>5</w:t>
      </w:r>
      <w:r>
        <w:rPr>
          <w:rFonts w:ascii="宋体" w:hAnsi="宋体" w:cs="宋体" w:eastAsia="宋体" w:hint="default"/>
          <w:spacing w:val="-56"/>
        </w:rPr>
        <w:t> </w:t>
      </w:r>
      <w:r>
        <w:rPr/>
        <w:t>年（</w:t>
      </w:r>
      <w:r>
        <w:rPr>
          <w:rFonts w:ascii="宋体" w:hAnsi="宋体" w:cs="宋体" w:eastAsia="宋体" w:hint="default"/>
        </w:rPr>
        <w:t>2015-2019</w:t>
      </w:r>
      <w:r>
        <w:rPr>
          <w:rFonts w:ascii="宋体" w:hAnsi="宋体" w:cs="宋体" w:eastAsia="宋体" w:hint="default"/>
          <w:spacing w:val="-53"/>
        </w:rPr>
        <w:t> </w:t>
      </w:r>
      <w:r>
        <w:rPr/>
        <w:t>年）由市财政及投资公司投资建设的泰兴市</w:t>
      </w:r>
      <w:r>
        <w:rPr>
          <w:w w:val="100"/>
        </w:rPr>
        <w:t> </w:t>
      </w:r>
      <w:r>
        <w:rPr>
          <w:spacing w:val="-4"/>
          <w:w w:val="100"/>
        </w:rPr>
        <w:t>智慧城市项目通过合法有效方式总包给本公司。本公司作为总包方参与项目的投融资和工程建设。</w:t>
      </w:r>
      <w:r>
        <w:rPr>
          <w:spacing w:val="-85"/>
          <w:w w:val="100"/>
        </w:rPr>
        <w:t> </w:t>
      </w:r>
      <w:r>
        <w:rPr>
          <w:spacing w:val="-85"/>
          <w:w w:val="100"/>
        </w:rPr>
      </w:r>
      <w:r>
        <w:rPr/>
        <w:t>项目总投资额不低于</w:t>
      </w:r>
      <w:r>
        <w:rPr>
          <w:spacing w:val="-53"/>
        </w:rPr>
        <w:t> </w:t>
      </w:r>
      <w:r>
        <w:rPr>
          <w:rFonts w:ascii="宋体" w:hAnsi="宋体" w:cs="宋体" w:eastAsia="宋体" w:hint="default"/>
        </w:rPr>
        <w:t>10</w:t>
      </w:r>
      <w:r>
        <w:rPr>
          <w:rFonts w:ascii="宋体" w:hAnsi="宋体" w:cs="宋体" w:eastAsia="宋体" w:hint="default"/>
          <w:spacing w:val="-54"/>
        </w:rPr>
        <w:t> </w:t>
      </w:r>
      <w:r>
        <w:rPr/>
        <w:t>亿元。</w:t>
      </w:r>
    </w:p>
    <w:p>
      <w:pPr>
        <w:pStyle w:val="Heading4"/>
        <w:spacing w:line="240" w:lineRule="auto" w:before="30"/>
        <w:ind w:left="560" w:right="2465"/>
        <w:jc w:val="left"/>
        <w:rPr>
          <w:b w:val="0"/>
          <w:bCs w:val="0"/>
        </w:rPr>
      </w:pPr>
      <w:r>
        <w:rPr/>
        <w:t>泰兴市智慧城市建设顶层设计咨询项目服务合同</w:t>
      </w:r>
      <w:r>
        <w:rPr>
          <w:b w:val="0"/>
          <w:bCs w:val="0"/>
        </w:rPr>
      </w:r>
    </w:p>
    <w:p>
      <w:pPr>
        <w:pStyle w:val="BodyText"/>
        <w:spacing w:line="240" w:lineRule="auto" w:before="133"/>
        <w:ind w:left="558" w:right="97"/>
        <w:jc w:val="left"/>
      </w:pPr>
      <w:r>
        <w:rPr/>
        <w:t>本公司于</w:t>
      </w:r>
      <w:r>
        <w:rPr>
          <w:spacing w:val="-52"/>
        </w:rPr>
        <w:t> </w:t>
      </w: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10</w:t>
      </w:r>
      <w:r>
        <w:rPr>
          <w:rFonts w:ascii="宋体" w:hAnsi="宋体" w:cs="宋体" w:eastAsia="宋体" w:hint="default"/>
          <w:spacing w:val="-54"/>
        </w:rPr>
        <w:t> </w:t>
      </w:r>
      <w:r>
        <w:rPr/>
        <w:t>月</w:t>
      </w:r>
      <w:r>
        <w:rPr>
          <w:spacing w:val="-52"/>
        </w:rPr>
        <w:t> </w:t>
      </w:r>
      <w:r>
        <w:rPr>
          <w:rFonts w:ascii="宋体" w:hAnsi="宋体" w:cs="宋体" w:eastAsia="宋体" w:hint="default"/>
        </w:rPr>
        <w:t>20</w:t>
      </w:r>
      <w:r>
        <w:rPr>
          <w:rFonts w:ascii="宋体" w:hAnsi="宋体" w:cs="宋体" w:eastAsia="宋体" w:hint="default"/>
          <w:spacing w:val="-54"/>
        </w:rPr>
        <w:t> </w:t>
      </w:r>
      <w:r>
        <w:rPr/>
        <w:t>日与泰兴市中泰城市建设投资有限公司（以下简称“泰兴中泰”）</w:t>
      </w:r>
    </w:p>
    <w:p>
      <w:pPr>
        <w:pStyle w:val="BodyText"/>
        <w:spacing w:line="357" w:lineRule="auto" w:before="133"/>
        <w:ind w:left="138" w:right="204"/>
        <w:jc w:val="left"/>
      </w:pPr>
      <w:r>
        <w:rPr/>
        <w:t>签订了《泰兴市智慧城市建设顶层设计咨询项目服务合同》，本公司于</w:t>
      </w:r>
      <w:r>
        <w:rPr>
          <w:spacing w:val="-52"/>
        </w:rPr>
        <w:t> </w:t>
      </w:r>
      <w:r>
        <w:rPr>
          <w:rFonts w:ascii="宋体" w:hAnsi="宋体" w:cs="宋体" w:eastAsia="宋体" w:hint="default"/>
        </w:rPr>
        <w:t>2015</w:t>
      </w:r>
      <w:r>
        <w:rPr>
          <w:rFonts w:ascii="宋体" w:hAnsi="宋体" w:cs="宋体" w:eastAsia="宋体" w:hint="default"/>
          <w:spacing w:val="-54"/>
        </w:rPr>
        <w:t> </w:t>
      </w:r>
      <w:r>
        <w:rPr/>
        <w:t>年已完成相关工作，</w:t>
      </w:r>
      <w:r>
        <w:rPr>
          <w:w w:val="100"/>
        </w:rPr>
        <w:t> </w:t>
      </w:r>
      <w:r>
        <w:rPr>
          <w:spacing w:val="-3"/>
        </w:rPr>
        <w:t>并交付了有关工作成果，当年确认相关收入</w:t>
      </w:r>
      <w:r>
        <w:rPr>
          <w:spacing w:val="-39"/>
        </w:rPr>
        <w:t> </w:t>
      </w:r>
      <w:r>
        <w:rPr>
          <w:rFonts w:ascii="宋体" w:hAnsi="宋体" w:cs="宋体" w:eastAsia="宋体" w:hint="default"/>
        </w:rPr>
        <w:t>880</w:t>
      </w:r>
      <w:r>
        <w:rPr>
          <w:rFonts w:ascii="宋体" w:hAnsi="宋体" w:cs="宋体" w:eastAsia="宋体" w:hint="default"/>
          <w:spacing w:val="-39"/>
        </w:rPr>
        <w:t> </w:t>
      </w:r>
      <w:r>
        <w:rPr>
          <w:spacing w:val="-3"/>
        </w:rPr>
        <w:t>万元，</w:t>
      </w:r>
      <w:r>
        <w:rPr>
          <w:rFonts w:ascii="宋体" w:hAnsi="宋体" w:cs="宋体" w:eastAsia="宋体" w:hint="default"/>
          <w:spacing w:val="-3"/>
        </w:rPr>
        <w:t>2016</w:t>
      </w:r>
      <w:r>
        <w:rPr>
          <w:rFonts w:ascii="宋体" w:hAnsi="宋体" w:cs="宋体" w:eastAsia="宋体" w:hint="default"/>
          <w:spacing w:val="-39"/>
        </w:rPr>
        <w:t> </w:t>
      </w:r>
      <w:r>
        <w:rPr>
          <w:spacing w:val="-3"/>
        </w:rPr>
        <w:t>年受公司实际控制人变更的影响，该</w:t>
      </w:r>
      <w:r>
        <w:rPr>
          <w:spacing w:val="-72"/>
        </w:rPr>
        <w:t> </w:t>
      </w:r>
      <w:r>
        <w:rPr>
          <w:spacing w:val="-72"/>
        </w:rPr>
      </w:r>
      <w:r>
        <w:rPr>
          <w:spacing w:val="-10"/>
          <w:w w:val="100"/>
        </w:rPr>
        <w:t>项目后续停滞，泰兴中泰亦未组织项目最终的验收，截止</w:t>
      </w:r>
      <w:r>
        <w:rPr>
          <w:spacing w:val="-51"/>
          <w:w w:val="100"/>
        </w:rPr>
        <w:t> </w:t>
      </w:r>
      <w:r>
        <w:rPr>
          <w:rFonts w:ascii="宋体" w:hAnsi="宋体" w:cs="宋体" w:eastAsia="宋体" w:hint="default"/>
          <w:spacing w:val="-1"/>
          <w:w w:val="100"/>
        </w:rPr>
        <w:t>2016</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11"/>
          <w:w w:val="100"/>
        </w:rPr>
        <w:t>日，上述款项尚未收回，</w:t>
      </w:r>
      <w:r>
        <w:rPr>
          <w:spacing w:val="-101"/>
          <w:w w:val="100"/>
        </w:rPr>
        <w:t> </w:t>
      </w:r>
      <w:r>
        <w:rPr>
          <w:spacing w:val="-101"/>
          <w:w w:val="100"/>
        </w:rPr>
      </w:r>
      <w:r>
        <w:rPr>
          <w:spacing w:val="-2"/>
        </w:rPr>
        <w:t>本公司综合项目执行情况及债务人经营情况判断，对该笔款项按余额计提了</w:t>
      </w:r>
      <w:r>
        <w:rPr>
          <w:spacing w:val="14"/>
        </w:rPr>
        <w:t> </w:t>
      </w:r>
      <w:r>
        <w:rPr>
          <w:rFonts w:ascii="宋体" w:hAnsi="宋体" w:cs="宋体" w:eastAsia="宋体" w:hint="default"/>
          <w:spacing w:val="-1"/>
        </w:rPr>
        <w:t>50%</w:t>
      </w:r>
      <w:r>
        <w:rPr>
          <w:spacing w:val="-1"/>
        </w:rPr>
        <w:t>的坏账准备。</w:t>
      </w:r>
    </w:p>
    <w:p>
      <w:pPr>
        <w:pStyle w:val="BodyText"/>
        <w:spacing w:line="357" w:lineRule="auto" w:before="30"/>
        <w:ind w:left="138" w:right="307" w:firstLine="419"/>
        <w:jc w:val="both"/>
      </w:pPr>
      <w:r>
        <w:rPr>
          <w:spacing w:val="-2"/>
        </w:rPr>
        <w:t>本公司现任管理层自接管公司业务起，正在与泰兴市政府、泰兴中泰方面进行沟通。，继续</w:t>
      </w:r>
      <w:r>
        <w:rPr>
          <w:w w:val="100"/>
        </w:rPr>
        <w:t> </w:t>
      </w:r>
      <w:r>
        <w:rPr>
          <w:spacing w:val="-3"/>
        </w:rPr>
        <w:t>推进本合同及后续相关业务的执行，</w:t>
      </w:r>
      <w:r>
        <w:rPr>
          <w:rFonts w:ascii="宋体" w:hAnsi="宋体" w:cs="宋体" w:eastAsia="宋体" w:hint="default"/>
          <w:spacing w:val="-3"/>
        </w:rPr>
        <w:t>2017</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39"/>
        </w:rPr>
        <w:t> </w:t>
      </w:r>
      <w:r>
        <w:rPr>
          <w:rFonts w:ascii="宋体" w:hAnsi="宋体" w:cs="宋体" w:eastAsia="宋体" w:hint="default"/>
        </w:rPr>
        <w:t>20</w:t>
      </w:r>
      <w:r>
        <w:rPr>
          <w:rFonts w:ascii="宋体" w:hAnsi="宋体" w:cs="宋体" w:eastAsia="宋体" w:hint="default"/>
          <w:spacing w:val="-40"/>
        </w:rPr>
        <w:t> </w:t>
      </w:r>
      <w:r>
        <w:rPr>
          <w:spacing w:val="-3"/>
        </w:rPr>
        <w:t>日，公司与江苏中兴新泰物联网科技园有限</w:t>
      </w:r>
      <w:r>
        <w:rPr>
          <w:spacing w:val="-100"/>
        </w:rPr>
        <w:t> </w:t>
      </w:r>
      <w:r>
        <w:rPr>
          <w:spacing w:val="-100"/>
        </w:rPr>
      </w:r>
      <w:r>
        <w:rPr>
          <w:spacing w:val="-5"/>
        </w:rPr>
        <w:t>公司（以下简称“中兴新泰”）签订协议</w:t>
      </w:r>
      <w:r>
        <w:rPr>
          <w:spacing w:val="26"/>
        </w:rPr>
        <w:t> </w:t>
      </w:r>
      <w:r>
        <w:rPr>
          <w:spacing w:val="-3"/>
        </w:rPr>
        <w:t>，将上述债权作价人民币</w:t>
      </w:r>
      <w:r>
        <w:rPr>
          <w:spacing w:val="-39"/>
        </w:rPr>
        <w:t> </w:t>
      </w:r>
      <w:r>
        <w:rPr>
          <w:rFonts w:ascii="宋体" w:hAnsi="宋体" w:cs="宋体" w:eastAsia="宋体" w:hint="default"/>
        </w:rPr>
        <w:t>440</w:t>
      </w:r>
      <w:r>
        <w:rPr>
          <w:rFonts w:ascii="宋体" w:hAnsi="宋体" w:cs="宋体" w:eastAsia="宋体" w:hint="default"/>
          <w:spacing w:val="-42"/>
        </w:rPr>
        <w:t> </w:t>
      </w:r>
      <w:r>
        <w:rPr>
          <w:spacing w:val="-3"/>
        </w:rPr>
        <w:t>万元转让给中兴新泰，关</w:t>
      </w:r>
      <w:r>
        <w:rPr>
          <w:spacing w:val="-100"/>
        </w:rPr>
        <w:t> </w:t>
      </w:r>
      <w:r>
        <w:rPr>
          <w:spacing w:val="-100"/>
        </w:rPr>
      </w:r>
      <w:r>
        <w:rPr/>
        <w:t>于泰兴市智慧城市项目的后续子项目收入分配，双方将根据提供资源情况另行约定。</w:t>
      </w:r>
    </w:p>
    <w:p>
      <w:pPr>
        <w:pStyle w:val="Heading4"/>
        <w:spacing w:line="240" w:lineRule="auto" w:before="30"/>
        <w:ind w:left="560" w:right="2465"/>
        <w:jc w:val="left"/>
        <w:rPr>
          <w:b w:val="0"/>
          <w:bCs w:val="0"/>
        </w:rPr>
      </w:pPr>
      <w:r>
        <w:rPr/>
        <w:t>（</w:t>
      </w:r>
      <w:r>
        <w:rPr>
          <w:rFonts w:ascii="宋体" w:hAnsi="宋体" w:cs="宋体" w:eastAsia="宋体" w:hint="default"/>
        </w:rPr>
        <w:t>2</w:t>
      </w:r>
      <w:r>
        <w:rPr/>
        <w:t>）关于宁波杭州湾新区滨海六路智慧交通</w:t>
      </w:r>
      <w:r>
        <w:rPr>
          <w:spacing w:val="-54"/>
        </w:rPr>
        <w:t> </w:t>
      </w:r>
      <w:r>
        <w:rPr>
          <w:rFonts w:ascii="宋体" w:hAnsi="宋体" w:cs="宋体" w:eastAsia="宋体" w:hint="default"/>
        </w:rPr>
        <w:t>PPP</w:t>
      </w:r>
      <w:r>
        <w:rPr>
          <w:rFonts w:ascii="宋体" w:hAnsi="宋体" w:cs="宋体" w:eastAsia="宋体" w:hint="default"/>
          <w:spacing w:val="-55"/>
        </w:rPr>
        <w:t> </w:t>
      </w:r>
      <w:r>
        <w:rPr/>
        <w:t>建设项目</w:t>
      </w:r>
      <w:r>
        <w:rPr>
          <w:b w:val="0"/>
          <w:bCs w:val="0"/>
        </w:rPr>
      </w:r>
    </w:p>
    <w:p>
      <w:pPr>
        <w:pStyle w:val="BodyText"/>
        <w:spacing w:line="357" w:lineRule="auto" w:before="133"/>
        <w:ind w:left="138" w:right="308" w:firstLine="419"/>
        <w:jc w:val="both"/>
      </w:pPr>
      <w:r>
        <w:rPr>
          <w:rFonts w:ascii="宋体" w:hAnsi="宋体" w:cs="宋体" w:eastAsia="宋体" w:hint="default"/>
        </w:rPr>
        <w:t>2015</w:t>
      </w:r>
      <w:r>
        <w:rPr>
          <w:rFonts w:ascii="宋体" w:hAnsi="宋体" w:cs="宋体" w:eastAsia="宋体" w:hint="default"/>
          <w:spacing w:val="-36"/>
        </w:rPr>
        <w:t> </w:t>
      </w:r>
      <w:r>
        <w:rPr/>
        <w:t>年</w:t>
      </w:r>
      <w:r>
        <w:rPr>
          <w:spacing w:val="-33"/>
        </w:rPr>
        <w:t> </w:t>
      </w:r>
      <w:r>
        <w:rPr>
          <w:rFonts w:ascii="宋体" w:hAnsi="宋体" w:cs="宋体" w:eastAsia="宋体" w:hint="default"/>
        </w:rPr>
        <w:t>4</w:t>
      </w:r>
      <w:r>
        <w:rPr>
          <w:rFonts w:ascii="宋体" w:hAnsi="宋体" w:cs="宋体" w:eastAsia="宋体" w:hint="default"/>
          <w:spacing w:val="-36"/>
        </w:rPr>
        <w:t> </w:t>
      </w:r>
      <w:r>
        <w:rPr>
          <w:spacing w:val="-3"/>
        </w:rPr>
        <w:t>月，本公司与宁波杭州湾新区开发建设有限公司签订《宁波杭州湾新区滨海六路智</w:t>
      </w:r>
      <w:r>
        <w:rPr>
          <w:w w:val="100"/>
        </w:rPr>
        <w:t> </w:t>
      </w:r>
      <w:r>
        <w:rPr/>
        <w:t>慧交通</w:t>
      </w:r>
      <w:r>
        <w:rPr>
          <w:spacing w:val="-53"/>
        </w:rPr>
        <w:t> </w:t>
      </w:r>
      <w:r>
        <w:rPr>
          <w:rFonts w:ascii="宋体" w:hAnsi="宋体" w:cs="宋体" w:eastAsia="宋体" w:hint="default"/>
        </w:rPr>
        <w:t>PPP</w:t>
      </w:r>
      <w:r>
        <w:rPr>
          <w:rFonts w:ascii="宋体" w:hAnsi="宋体" w:cs="宋体" w:eastAsia="宋体" w:hint="default"/>
          <w:spacing w:val="-55"/>
        </w:rPr>
        <w:t> </w:t>
      </w:r>
      <w:r>
        <w:rPr/>
        <w:t>建设合同》，根据合同，宁波杭州湾新区管委会以</w:t>
      </w:r>
      <w:r>
        <w:rPr>
          <w:spacing w:val="-52"/>
        </w:rPr>
        <w:t> </w:t>
      </w:r>
      <w:r>
        <w:rPr>
          <w:rFonts w:ascii="宋体" w:hAnsi="宋体" w:cs="宋体" w:eastAsia="宋体" w:hint="default"/>
        </w:rPr>
        <w:t>PPP</w:t>
      </w:r>
      <w:r>
        <w:rPr>
          <w:rFonts w:ascii="宋体" w:hAnsi="宋体" w:cs="宋体" w:eastAsia="宋体" w:hint="default"/>
          <w:spacing w:val="-55"/>
        </w:rPr>
        <w:t> </w:t>
      </w:r>
      <w:r>
        <w:rPr/>
        <w:t>与社会资本合作模板与本公司</w:t>
      </w:r>
      <w:r>
        <w:rPr>
          <w:w w:val="100"/>
        </w:rPr>
        <w:t> </w:t>
      </w:r>
      <w:r>
        <w:rPr>
          <w:spacing w:val="-7"/>
          <w:w w:val="100"/>
        </w:rPr>
        <w:t>合作实施本项目，由本公司负责本项目的投融资与工程建议服务，合同价款总额</w:t>
      </w:r>
      <w:r>
        <w:rPr>
          <w:spacing w:val="-52"/>
          <w:w w:val="100"/>
        </w:rPr>
        <w:t> </w:t>
      </w:r>
      <w:r>
        <w:rPr>
          <w:rFonts w:ascii="宋体" w:hAnsi="宋体" w:cs="宋体" w:eastAsia="宋体" w:hint="default"/>
          <w:spacing w:val="-1"/>
          <w:w w:val="100"/>
        </w:rPr>
        <w:t>46,146.94</w:t>
      </w:r>
      <w:r>
        <w:rPr>
          <w:rFonts w:ascii="宋体" w:hAnsi="宋体" w:cs="宋体" w:eastAsia="宋体" w:hint="default"/>
          <w:spacing w:val="-55"/>
          <w:w w:val="100"/>
        </w:rPr>
        <w:t> </w:t>
      </w:r>
      <w:r>
        <w:rPr>
          <w:spacing w:val="-3"/>
          <w:w w:val="100"/>
        </w:rPr>
        <w:t>万元。</w:t>
      </w:r>
      <w:r>
        <w:rPr>
          <w:w w:val="100"/>
        </w:rPr>
      </w:r>
    </w:p>
    <w:p>
      <w:pPr>
        <w:pStyle w:val="BodyText"/>
        <w:spacing w:line="240" w:lineRule="auto" w:before="30"/>
        <w:ind w:left="558" w:right="97"/>
        <w:jc w:val="left"/>
      </w:pPr>
      <w:r>
        <w:rPr>
          <w:spacing w:val="-3"/>
        </w:rPr>
        <w:t>履约情况：</w:t>
      </w:r>
      <w:r>
        <w:rPr>
          <w:rFonts w:ascii="宋体" w:hAnsi="宋体" w:cs="宋体" w:eastAsia="宋体" w:hint="default"/>
          <w:spacing w:val="-3"/>
        </w:rPr>
        <w:t>2015</w:t>
      </w:r>
      <w:r>
        <w:rPr>
          <w:rFonts w:ascii="宋体" w:hAnsi="宋体" w:cs="宋体" w:eastAsia="宋体" w:hint="default"/>
          <w:spacing w:val="-43"/>
        </w:rPr>
        <w:t> </w:t>
      </w:r>
      <w:r>
        <w:rPr/>
        <w:t>年</w:t>
      </w:r>
      <w:r>
        <w:rPr>
          <w:spacing w:val="-39"/>
        </w:rPr>
        <w:t> </w:t>
      </w:r>
      <w:r>
        <w:rPr>
          <w:rFonts w:ascii="宋体" w:hAnsi="宋体" w:cs="宋体" w:eastAsia="宋体" w:hint="default"/>
        </w:rPr>
        <w:t>10</w:t>
      </w:r>
      <w:r>
        <w:rPr>
          <w:rFonts w:ascii="宋体" w:hAnsi="宋体" w:cs="宋体" w:eastAsia="宋体" w:hint="default"/>
          <w:spacing w:val="-43"/>
        </w:rPr>
        <w:t> </w:t>
      </w:r>
      <w:r>
        <w:rPr/>
        <w:t>月</w:t>
      </w:r>
      <w:r>
        <w:rPr>
          <w:spacing w:val="-40"/>
        </w:rPr>
        <w:t> </w:t>
      </w:r>
      <w:r>
        <w:rPr>
          <w:rFonts w:ascii="宋体" w:hAnsi="宋体" w:cs="宋体" w:eastAsia="宋体" w:hint="default"/>
        </w:rPr>
        <w:t>12</w:t>
      </w:r>
      <w:r>
        <w:rPr>
          <w:rFonts w:ascii="宋体" w:hAnsi="宋体" w:cs="宋体" w:eastAsia="宋体" w:hint="default"/>
          <w:spacing w:val="-40"/>
        </w:rPr>
        <w:t> </w:t>
      </w:r>
      <w:r>
        <w:rPr>
          <w:spacing w:val="-3"/>
        </w:rPr>
        <w:t>日公司设立慧球智慧科技（宁波）有限公司作为本项目具体实施</w:t>
      </w:r>
    </w:p>
    <w:p>
      <w:pPr>
        <w:pStyle w:val="BodyText"/>
        <w:spacing w:line="355" w:lineRule="auto" w:before="133"/>
        <w:ind w:left="138" w:right="97"/>
        <w:jc w:val="left"/>
      </w:pPr>
      <w:r>
        <w:rPr>
          <w:spacing w:val="-4"/>
        </w:rPr>
        <w:t>主体，但仅办理了工商设立登记手续，截止</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5"/>
        </w:rPr>
        <w:t>日，该公司已注销，自成立至注销未</w:t>
      </w:r>
      <w:r>
        <w:rPr>
          <w:spacing w:val="-102"/>
        </w:rPr>
        <w:t> </w:t>
      </w:r>
      <w:r>
        <w:rPr>
          <w:spacing w:val="-102"/>
        </w:rPr>
      </w:r>
      <w:r>
        <w:rPr/>
        <w:t>展开经营活动。</w:t>
      </w:r>
    </w:p>
    <w:p>
      <w:pPr>
        <w:pStyle w:val="Heading4"/>
        <w:spacing w:line="240" w:lineRule="auto" w:before="34"/>
        <w:ind w:left="560" w:right="2465"/>
        <w:jc w:val="left"/>
        <w:rPr>
          <w:b w:val="0"/>
          <w:bCs w:val="0"/>
        </w:rPr>
      </w:pPr>
      <w:r>
        <w:rPr/>
        <w:t>（</w:t>
      </w:r>
      <w:r>
        <w:rPr>
          <w:rFonts w:ascii="宋体" w:hAnsi="宋体" w:cs="宋体" w:eastAsia="宋体" w:hint="default"/>
        </w:rPr>
        <w:t>3</w:t>
      </w:r>
      <w:r>
        <w:rPr/>
        <w:t>）关于靖江市智慧新港城</w:t>
      </w:r>
      <w:r>
        <w:rPr>
          <w:spacing w:val="-54"/>
        </w:rPr>
        <w:t> </w:t>
      </w:r>
      <w:r>
        <w:rPr>
          <w:rFonts w:ascii="宋体" w:hAnsi="宋体" w:cs="宋体" w:eastAsia="宋体" w:hint="default"/>
        </w:rPr>
        <w:t>PPP</w:t>
      </w:r>
      <w:r>
        <w:rPr>
          <w:rFonts w:ascii="宋体" w:hAnsi="宋体" w:cs="宋体" w:eastAsia="宋体" w:hint="default"/>
          <w:spacing w:val="-55"/>
        </w:rPr>
        <w:t> </w:t>
      </w:r>
      <w:r>
        <w:rPr/>
        <w:t>项目</w:t>
      </w:r>
      <w:r>
        <w:rPr>
          <w:b w:val="0"/>
          <w:bCs w:val="0"/>
        </w:rPr>
      </w:r>
    </w:p>
    <w:p>
      <w:pPr>
        <w:pStyle w:val="BodyText"/>
        <w:spacing w:line="357" w:lineRule="auto" w:before="133"/>
        <w:ind w:left="138" w:right="308" w:firstLine="419"/>
        <w:jc w:val="both"/>
      </w:pPr>
      <w:r>
        <w:rPr>
          <w:rFonts w:ascii="宋体" w:hAnsi="宋体" w:cs="宋体" w:eastAsia="宋体" w:hint="default"/>
        </w:rPr>
        <w:t>2015</w:t>
      </w:r>
      <w:r>
        <w:rPr>
          <w:rFonts w:ascii="宋体" w:hAnsi="宋体" w:cs="宋体" w:eastAsia="宋体" w:hint="default"/>
          <w:spacing w:val="-38"/>
        </w:rPr>
        <w:t> </w:t>
      </w:r>
      <w:r>
        <w:rPr/>
        <w:t>年</w:t>
      </w:r>
      <w:r>
        <w:rPr>
          <w:spacing w:val="-35"/>
        </w:rPr>
        <w:t> </w:t>
      </w:r>
      <w:r>
        <w:rPr>
          <w:rFonts w:ascii="宋体" w:hAnsi="宋体" w:cs="宋体" w:eastAsia="宋体" w:hint="default"/>
        </w:rPr>
        <w:t>8</w:t>
      </w:r>
      <w:r>
        <w:rPr>
          <w:rFonts w:ascii="宋体" w:hAnsi="宋体" w:cs="宋体" w:eastAsia="宋体" w:hint="default"/>
          <w:spacing w:val="-38"/>
        </w:rPr>
        <w:t> </w:t>
      </w:r>
      <w:r>
        <w:rPr>
          <w:spacing w:val="-3"/>
        </w:rPr>
        <w:t>月，本公司与靖江新港城投资建设有限公司（以下简称“靖江新城投”）签订《靖</w:t>
      </w:r>
      <w:r>
        <w:rPr>
          <w:w w:val="100"/>
        </w:rPr>
        <w:t> </w:t>
      </w:r>
      <w:r>
        <w:rPr/>
        <w:t>江市智慧新港城项目</w:t>
      </w:r>
      <w:r>
        <w:rPr>
          <w:spacing w:val="-54"/>
        </w:rPr>
        <w:t> </w:t>
      </w:r>
      <w:r>
        <w:rPr>
          <w:rFonts w:ascii="宋体" w:hAnsi="宋体" w:cs="宋体" w:eastAsia="宋体" w:hint="default"/>
        </w:rPr>
        <w:t>PPP</w:t>
      </w:r>
      <w:r>
        <w:rPr>
          <w:rFonts w:ascii="宋体" w:hAnsi="宋体" w:cs="宋体" w:eastAsia="宋体" w:hint="default"/>
          <w:spacing w:val="-55"/>
        </w:rPr>
        <w:t> </w:t>
      </w:r>
      <w:r>
        <w:rPr/>
        <w:t>共建合同》，根据合同，靖江经济技术开发区管委会以</w:t>
      </w:r>
      <w:r>
        <w:rPr>
          <w:spacing w:val="-53"/>
        </w:rPr>
        <w:t> </w:t>
      </w:r>
      <w:r>
        <w:rPr>
          <w:rFonts w:ascii="宋体" w:hAnsi="宋体" w:cs="宋体" w:eastAsia="宋体" w:hint="default"/>
        </w:rPr>
        <w:t>PPP</w:t>
      </w:r>
      <w:r>
        <w:rPr>
          <w:rFonts w:ascii="宋体" w:hAnsi="宋体" w:cs="宋体" w:eastAsia="宋体" w:hint="default"/>
          <w:spacing w:val="-54"/>
        </w:rPr>
        <w:t> </w:t>
      </w:r>
      <w:r>
        <w:rPr/>
        <w:t>与社会资本</w:t>
      </w:r>
      <w:r>
        <w:rPr>
          <w:w w:val="100"/>
        </w:rPr>
        <w:t> </w:t>
      </w:r>
      <w:r>
        <w:rPr>
          <w:spacing w:val="-2"/>
        </w:rPr>
        <w:t>合作模式与本公司合作实施本项目，由本公司负责本项目的投融资与工程建议服务，合同价款总</w:t>
      </w:r>
      <w:r>
        <w:rPr>
          <w:spacing w:val="-25"/>
        </w:rPr>
        <w:t> </w:t>
      </w:r>
      <w:r>
        <w:rPr>
          <w:spacing w:val="-25"/>
        </w:rPr>
      </w:r>
      <w:r>
        <w:rPr/>
        <w:t>额</w:t>
      </w:r>
      <w:r>
        <w:rPr>
          <w:spacing w:val="-53"/>
        </w:rPr>
        <w:t> </w:t>
      </w:r>
      <w:r>
        <w:rPr>
          <w:rFonts w:ascii="宋体" w:hAnsi="宋体" w:cs="宋体" w:eastAsia="宋体" w:hint="default"/>
        </w:rPr>
        <w:t>7.69</w:t>
      </w:r>
      <w:r>
        <w:rPr>
          <w:rFonts w:ascii="宋体" w:hAnsi="宋体" w:cs="宋体" w:eastAsia="宋体" w:hint="default"/>
          <w:spacing w:val="-53"/>
        </w:rPr>
        <w:t> </w:t>
      </w:r>
      <w:r>
        <w:rPr/>
        <w:t>亿元。</w:t>
      </w:r>
    </w:p>
    <w:p>
      <w:pPr>
        <w:pStyle w:val="BodyText"/>
        <w:spacing w:line="240" w:lineRule="auto" w:before="30"/>
        <w:ind w:left="558" w:right="97"/>
        <w:jc w:val="left"/>
      </w:pPr>
      <w:r>
        <w:rPr>
          <w:spacing w:val="-4"/>
        </w:rPr>
        <w:t>履约情况：截止至</w:t>
      </w:r>
      <w:r>
        <w:rPr>
          <w:spacing w:val="-42"/>
        </w:rPr>
        <w:t> </w:t>
      </w:r>
      <w:r>
        <w:rPr>
          <w:rFonts w:ascii="宋体" w:hAnsi="宋体" w:cs="宋体" w:eastAsia="宋体" w:hint="default"/>
        </w:rPr>
        <w:t>2017</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5"/>
        </w:rPr>
        <w:t>日，项目公司慧球智慧科技（靖江）有限公司已成立，但</w:t>
      </w:r>
    </w:p>
    <w:p>
      <w:pPr>
        <w:spacing w:after="0" w:line="240" w:lineRule="auto"/>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spacing w:line="357" w:lineRule="auto" w:before="36"/>
        <w:ind w:left="666" w:right="0" w:hanging="528"/>
        <w:jc w:val="left"/>
        <w:rPr>
          <w:rFonts w:ascii="宋体" w:hAnsi="宋体" w:cs="宋体" w:eastAsia="宋体" w:hint="default"/>
          <w:sz w:val="21"/>
          <w:szCs w:val="21"/>
        </w:rPr>
      </w:pPr>
      <w:r>
        <w:rPr>
          <w:rFonts w:ascii="宋体" w:hAnsi="宋体" w:cs="宋体" w:eastAsia="宋体" w:hint="default"/>
          <w:sz w:val="21"/>
          <w:szCs w:val="21"/>
        </w:rPr>
        <w:t>仅办理了工商设立登记手续，注册资金尚未到位。</w:t>
      </w:r>
      <w:r>
        <w:rPr>
          <w:rFonts w:ascii="宋体" w:hAnsi="宋体" w:cs="宋体" w:eastAsia="宋体" w:hint="default"/>
          <w:w w:val="100"/>
          <w:sz w:val="21"/>
          <w:szCs w:val="21"/>
        </w:rPr>
        <w:t> </w:t>
      </w:r>
      <w:r>
        <w:rPr>
          <w:rFonts w:ascii="宋体" w:hAnsi="宋体" w:cs="宋体" w:eastAsia="宋体" w:hint="default"/>
          <w:b/>
          <w:bCs/>
          <w:spacing w:val="-1"/>
          <w:sz w:val="21"/>
          <w:szCs w:val="21"/>
        </w:rPr>
        <w:t>关于靖江智慧新港城建设顶层设计咨询项目服务合同</w:t>
      </w:r>
      <w:r>
        <w:rPr>
          <w:rFonts w:ascii="宋体" w:hAnsi="宋体" w:cs="宋体" w:eastAsia="宋体" w:hint="default"/>
          <w:spacing w:val="-1"/>
          <w:sz w:val="21"/>
          <w:szCs w:val="21"/>
        </w:rPr>
      </w:r>
    </w:p>
    <w:p>
      <w:pPr>
        <w:pStyle w:val="BodyText"/>
        <w:spacing w:line="355" w:lineRule="auto" w:before="30"/>
        <w:ind w:left="138" w:right="137"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月，公司与靖江新港城投资建设有限公司（以下简称“靖江新城投”）签订《靖</w:t>
      </w:r>
      <w:r>
        <w:rPr>
          <w:w w:val="100"/>
        </w:rPr>
        <w:t> </w:t>
      </w:r>
      <w:r>
        <w:rPr>
          <w:spacing w:val="-2"/>
        </w:rPr>
        <w:t>江新港城建设顶层设计咨询项目服务合同》，依据合同，本公司提供咨询服务，本合同咨询费总</w:t>
      </w:r>
      <w:r>
        <w:rPr>
          <w:spacing w:val="-25"/>
        </w:rPr>
        <w:t> </w:t>
      </w:r>
      <w:r>
        <w:rPr>
          <w:spacing w:val="-25"/>
        </w:rPr>
      </w:r>
      <w:r>
        <w:rPr/>
        <w:t>计（含税）</w:t>
      </w:r>
      <w:r>
        <w:rPr>
          <w:rFonts w:ascii="宋体" w:hAnsi="宋体" w:cs="宋体" w:eastAsia="宋体" w:hint="default"/>
        </w:rPr>
        <w:t>4,998,000.00</w:t>
      </w:r>
      <w:r>
        <w:rPr>
          <w:rFonts w:ascii="宋体" w:hAnsi="宋体" w:cs="宋体" w:eastAsia="宋体" w:hint="default"/>
          <w:spacing w:val="-55"/>
        </w:rPr>
        <w:t> </w:t>
      </w:r>
      <w:r>
        <w:rPr/>
        <w:t>元，截止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日，项目处于停滞状态。</w:t>
      </w:r>
    </w:p>
    <w:p>
      <w:pPr>
        <w:pStyle w:val="Heading4"/>
        <w:spacing w:line="240" w:lineRule="auto" w:before="32"/>
        <w:ind w:left="560" w:right="0"/>
        <w:jc w:val="left"/>
        <w:rPr>
          <w:b w:val="0"/>
          <w:bCs w:val="0"/>
        </w:rPr>
      </w:pPr>
      <w:r>
        <w:rPr/>
        <w:t>（</w:t>
      </w:r>
      <w:r>
        <w:rPr>
          <w:rFonts w:ascii="宋体" w:hAnsi="宋体" w:cs="宋体" w:eastAsia="宋体" w:hint="default"/>
        </w:rPr>
        <w:t>4</w:t>
      </w:r>
      <w:r>
        <w:rPr/>
        <w:t>）湖南华容工业集中区智慧创新产业园</w:t>
      </w:r>
      <w:r>
        <w:rPr>
          <w:spacing w:val="-54"/>
        </w:rPr>
        <w:t> </w:t>
      </w:r>
      <w:r>
        <w:rPr>
          <w:rFonts w:ascii="宋体" w:hAnsi="宋体" w:cs="宋体" w:eastAsia="宋体" w:hint="default"/>
        </w:rPr>
        <w:t>PPP</w:t>
      </w:r>
      <w:r>
        <w:rPr>
          <w:rFonts w:ascii="宋体" w:hAnsi="宋体" w:cs="宋体" w:eastAsia="宋体" w:hint="default"/>
          <w:spacing w:val="-54"/>
        </w:rPr>
        <w:t> </w:t>
      </w:r>
      <w:r>
        <w:rPr/>
        <w:t>建设合同</w:t>
      </w:r>
      <w:r>
        <w:rPr>
          <w:b w:val="0"/>
          <w:bCs w:val="0"/>
        </w:rPr>
      </w:r>
    </w:p>
    <w:p>
      <w:pPr>
        <w:pStyle w:val="BodyText"/>
        <w:spacing w:line="357" w:lineRule="auto" w:before="135"/>
        <w:ind w:left="138" w:right="128" w:firstLine="419"/>
        <w:jc w:val="both"/>
      </w:pPr>
      <w:r>
        <w:rPr>
          <w:rFonts w:ascii="宋体" w:hAnsi="宋体" w:cs="宋体" w:eastAsia="宋体" w:hint="default"/>
        </w:rPr>
        <w:t>2015</w:t>
      </w:r>
      <w:r>
        <w:rPr>
          <w:rFonts w:ascii="宋体" w:hAnsi="宋体" w:cs="宋体" w:eastAsia="宋体" w:hint="default"/>
          <w:spacing w:val="-36"/>
        </w:rPr>
        <w:t> </w:t>
      </w:r>
      <w:r>
        <w:rPr/>
        <w:t>年</w:t>
      </w:r>
      <w:r>
        <w:rPr>
          <w:spacing w:val="-33"/>
        </w:rPr>
        <w:t> </w:t>
      </w:r>
      <w:r>
        <w:rPr>
          <w:rFonts w:ascii="宋体" w:hAnsi="宋体" w:cs="宋体" w:eastAsia="宋体" w:hint="default"/>
        </w:rPr>
        <w:t>4</w:t>
      </w:r>
      <w:r>
        <w:rPr>
          <w:rFonts w:ascii="宋体" w:hAnsi="宋体" w:cs="宋体" w:eastAsia="宋体" w:hint="default"/>
          <w:spacing w:val="-36"/>
        </w:rPr>
        <w:t> </w:t>
      </w:r>
      <w:r>
        <w:rPr>
          <w:spacing w:val="-3"/>
        </w:rPr>
        <w:t>月，本公司与华容县海源建设投资有限公司签订《华容工业集中区智慧创新产业园</w:t>
      </w:r>
      <w:r>
        <w:rPr>
          <w:w w:val="100"/>
        </w:rPr>
        <w:t> </w:t>
      </w:r>
      <w:r>
        <w:rPr>
          <w:rFonts w:ascii="宋体" w:hAnsi="宋体" w:cs="宋体" w:eastAsia="宋体" w:hint="default"/>
        </w:rPr>
        <w:t>PPP</w:t>
      </w:r>
      <w:r>
        <w:rPr>
          <w:rFonts w:ascii="宋体" w:hAnsi="宋体" w:cs="宋体" w:eastAsia="宋体" w:hint="default"/>
          <w:spacing w:val="-54"/>
        </w:rPr>
        <w:t> </w:t>
      </w:r>
      <w:r>
        <w:rPr/>
        <w:t>建设合同》，根据合同，本公司与海源建设投资有限公司通过共同出资设立的</w:t>
      </w:r>
      <w:r>
        <w:rPr>
          <w:spacing w:val="-53"/>
        </w:rPr>
        <w:t> </w:t>
      </w:r>
      <w:r>
        <w:rPr>
          <w:rFonts w:ascii="宋体" w:hAnsi="宋体" w:cs="宋体" w:eastAsia="宋体" w:hint="default"/>
        </w:rPr>
        <w:t>PPP</w:t>
      </w:r>
      <w:r>
        <w:rPr>
          <w:rFonts w:ascii="宋体" w:hAnsi="宋体" w:cs="宋体" w:eastAsia="宋体" w:hint="default"/>
          <w:spacing w:val="-56"/>
        </w:rPr>
        <w:t> </w:t>
      </w:r>
      <w:r>
        <w:rPr/>
        <w:t>合资项目</w:t>
      </w:r>
      <w:r>
        <w:rPr>
          <w:w w:val="100"/>
        </w:rPr>
        <w:t> </w:t>
      </w:r>
      <w:r>
        <w:rPr/>
        <w:t>公司实施完成本项目，由本公司负责本项目的投融资与工程建议服务，合同价款总额</w:t>
      </w:r>
      <w:r>
        <w:rPr>
          <w:spacing w:val="-54"/>
        </w:rPr>
        <w:t> </w:t>
      </w:r>
      <w:r>
        <w:rPr>
          <w:rFonts w:ascii="宋体" w:hAnsi="宋体" w:cs="宋体" w:eastAsia="宋体" w:hint="default"/>
        </w:rPr>
        <w:t>37,200.00</w:t>
      </w:r>
      <w:r>
        <w:rPr>
          <w:rFonts w:ascii="宋体" w:hAnsi="宋体" w:cs="宋体" w:eastAsia="宋体" w:hint="default"/>
          <w:w w:val="100"/>
        </w:rPr>
        <w:t> </w:t>
      </w:r>
      <w:r>
        <w:rPr/>
        <w:t>万元。</w:t>
      </w:r>
    </w:p>
    <w:p>
      <w:pPr>
        <w:pStyle w:val="BodyText"/>
        <w:spacing w:line="355" w:lineRule="auto" w:before="32"/>
        <w:ind w:left="138" w:right="128" w:firstLine="419"/>
        <w:jc w:val="both"/>
      </w:pPr>
      <w:r>
        <w:rPr>
          <w:spacing w:val="-4"/>
        </w:rPr>
        <w:t>履约情况：截止</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5"/>
        </w:rPr>
        <w:t>日，项目公司慧球智慧科技（华容）有限公司已成立，但仅</w:t>
      </w:r>
      <w:r>
        <w:rPr>
          <w:w w:val="100"/>
        </w:rPr>
        <w:t> </w:t>
      </w:r>
      <w:r>
        <w:rPr/>
        <w:t>办理了工商设立登记手续，注册资金尚未到位，自成立至今尚未展开经营活动。</w:t>
      </w:r>
    </w:p>
    <w:p>
      <w:pPr>
        <w:pStyle w:val="Heading4"/>
        <w:spacing w:line="240" w:lineRule="auto" w:before="32"/>
        <w:ind w:left="666" w:right="0"/>
        <w:jc w:val="left"/>
        <w:rPr>
          <w:b w:val="0"/>
          <w:bCs w:val="0"/>
        </w:rPr>
      </w:pPr>
      <w:r>
        <w:rPr/>
        <w:t>（</w:t>
      </w:r>
      <w:r>
        <w:rPr>
          <w:rFonts w:ascii="宋体" w:hAnsi="宋体" w:cs="宋体" w:eastAsia="宋体" w:hint="default"/>
        </w:rPr>
        <w:t>5</w:t>
      </w:r>
      <w:r>
        <w:rPr/>
        <w:t>）沈阳市智慧沈北项目共建合同</w:t>
      </w:r>
      <w:r>
        <w:rPr>
          <w:b w:val="0"/>
          <w:bCs w:val="0"/>
        </w:rPr>
      </w:r>
    </w:p>
    <w:p>
      <w:pPr>
        <w:pStyle w:val="BodyText"/>
        <w:spacing w:line="357" w:lineRule="auto" w:before="133"/>
        <w:ind w:left="138" w:right="137"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日，本公司与辽宁现代通讯产业投资发展有限公司签订《沈阳市智慧沈北项</w:t>
      </w:r>
      <w:r>
        <w:rPr>
          <w:w w:val="100"/>
        </w:rPr>
        <w:t> </w:t>
      </w:r>
      <w:r>
        <w:rPr/>
        <w:t>目合同》，根据合同，沈阳市沈北新区人民政府决定以</w:t>
      </w:r>
      <w:r>
        <w:rPr>
          <w:spacing w:val="-55"/>
        </w:rPr>
        <w:t> </w:t>
      </w:r>
      <w:r>
        <w:rPr>
          <w:rFonts w:ascii="宋体" w:hAnsi="宋体" w:cs="宋体" w:eastAsia="宋体" w:hint="default"/>
        </w:rPr>
        <w:t>PPP</w:t>
      </w:r>
      <w:r>
        <w:rPr>
          <w:rFonts w:ascii="宋体" w:hAnsi="宋体" w:cs="宋体" w:eastAsia="宋体" w:hint="default"/>
          <w:spacing w:val="-55"/>
        </w:rPr>
        <w:t> </w:t>
      </w:r>
      <w:r>
        <w:rPr/>
        <w:t>与社会资本合作模式参与本公司合作</w:t>
      </w:r>
      <w:r>
        <w:rPr>
          <w:w w:val="100"/>
        </w:rPr>
        <w:t> </w:t>
      </w:r>
      <w:r>
        <w:rPr/>
        <w:t>实施本项目，由本公司负责本项目的投融资与工程建议服务，合同价款总额</w:t>
      </w:r>
      <w:r>
        <w:rPr>
          <w:spacing w:val="-57"/>
        </w:rPr>
        <w:t> </w:t>
      </w:r>
      <w:r>
        <w:rPr>
          <w:rFonts w:ascii="宋体" w:hAnsi="宋体" w:cs="宋体" w:eastAsia="宋体" w:hint="default"/>
        </w:rPr>
        <w:t>15</w:t>
      </w:r>
      <w:r>
        <w:rPr>
          <w:rFonts w:ascii="宋体" w:hAnsi="宋体" w:cs="宋体" w:eastAsia="宋体" w:hint="default"/>
          <w:spacing w:val="-54"/>
        </w:rPr>
        <w:t> </w:t>
      </w:r>
      <w:r>
        <w:rPr/>
        <w:t>亿元。</w:t>
      </w:r>
    </w:p>
    <w:p>
      <w:pPr>
        <w:pStyle w:val="BodyText"/>
        <w:spacing w:line="355" w:lineRule="auto" w:before="30"/>
        <w:ind w:left="138" w:right="128" w:firstLine="419"/>
        <w:jc w:val="both"/>
      </w:pPr>
      <w:r>
        <w:rPr>
          <w:spacing w:val="-6"/>
        </w:rPr>
        <w:t>履约情况：截止</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4"/>
        </w:rPr>
        <w:t>日，项目公司沈阳慧球科技有限公司已成立，但仅办理了工</w:t>
      </w:r>
      <w:r>
        <w:rPr>
          <w:w w:val="100"/>
        </w:rPr>
        <w:t> </w:t>
      </w:r>
      <w:r>
        <w:rPr/>
        <w:t>商设立登记手续，注册资金尚未到位，自成立至今尚未展开经营活动。</w:t>
      </w:r>
    </w:p>
    <w:p>
      <w:pPr>
        <w:pStyle w:val="BodyText"/>
        <w:spacing w:line="240" w:lineRule="auto" w:before="32"/>
        <w:ind w:left="558" w:right="0"/>
        <w:jc w:val="left"/>
      </w:pPr>
      <w:r>
        <w:rPr/>
        <w:t>除上述事项外，本公司不存在其他需要披露的重要承诺事项。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ind w:left="138"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tabs>
          <w:tab w:pos="980" w:val="left" w:leader="none"/>
        </w:tabs>
        <w:spacing w:line="343" w:lineRule="auto" w:before="56"/>
        <w:ind w:left="558" w:right="4327"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未决诉讼或仲裁形成的或有事项及其财务影响</w:t>
      </w:r>
      <w:r>
        <w:rPr>
          <w:rFonts w:ascii="宋体" w:hAnsi="宋体" w:cs="宋体" w:eastAsia="宋体" w:hint="default"/>
          <w:spacing w:val="-1"/>
          <w:sz w:val="21"/>
          <w:szCs w:val="21"/>
        </w:rPr>
      </w:r>
    </w:p>
    <w:p>
      <w:pPr>
        <w:pStyle w:val="Heading4"/>
        <w:spacing w:line="240" w:lineRule="auto" w:before="43"/>
        <w:ind w:left="560" w:right="0"/>
        <w:jc w:val="left"/>
        <w:rPr>
          <w:b w:val="0"/>
          <w:bCs w:val="0"/>
        </w:rPr>
      </w:pPr>
      <w:r>
        <w:rPr/>
        <w:t>（</w:t>
      </w:r>
      <w:r>
        <w:rPr>
          <w:rFonts w:ascii="Arial Narrow" w:hAnsi="Arial Narrow" w:cs="Arial Narrow" w:eastAsia="Arial Narrow" w:hint="default"/>
        </w:rPr>
        <w:t>1</w:t>
      </w:r>
      <w:r>
        <w:rPr/>
        <w:t>）关于与上海躬盛网络科技有限公司诉讼事项</w:t>
      </w:r>
      <w:r>
        <w:rPr>
          <w:b w:val="0"/>
          <w:bCs w:val="0"/>
        </w:rPr>
      </w:r>
    </w:p>
    <w:p>
      <w:pPr>
        <w:pStyle w:val="BodyText"/>
        <w:spacing w:line="357" w:lineRule="auto" w:before="118"/>
        <w:ind w:left="138" w:right="130" w:firstLine="419"/>
        <w:jc w:val="both"/>
      </w:pPr>
      <w:r>
        <w:rPr>
          <w:spacing w:val="-2"/>
          <w:w w:val="100"/>
        </w:rPr>
        <w:t>上海市高级人民法院于</w:t>
      </w:r>
      <w:r>
        <w:rPr>
          <w:spacing w:val="-51"/>
          <w:w w:val="100"/>
        </w:rPr>
        <w:t> </w:t>
      </w:r>
      <w:r>
        <w:rPr>
          <w:rFonts w:ascii="宋体" w:hAnsi="宋体" w:cs="宋体" w:eastAsia="宋体" w:hint="default"/>
          <w:spacing w:val="-2"/>
          <w:w w:val="100"/>
        </w:rPr>
        <w:t>2016</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9</w:t>
      </w:r>
      <w:r>
        <w:rPr>
          <w:rFonts w:ascii="宋体" w:hAnsi="宋体" w:cs="宋体" w:eastAsia="宋体" w:hint="default"/>
          <w:spacing w:val="-52"/>
          <w:w w:val="100"/>
        </w:rPr>
        <w:t> </w:t>
      </w:r>
      <w:r>
        <w:rPr>
          <w:spacing w:val="-5"/>
          <w:w w:val="100"/>
        </w:rPr>
        <w:t>月受理了原告上海躬盛网络科技有限公司诉被告顾国平（第</w:t>
      </w:r>
      <w:r>
        <w:rPr>
          <w:w w:val="100"/>
        </w:rPr>
        <w:t> </w:t>
      </w:r>
      <w:r>
        <w:rPr>
          <w:spacing w:val="-2"/>
        </w:rPr>
        <w:t>一被告）、上海斐讯数据通信技术有限公司（第二被告）、广西慧球科技股份有限公司（第三被</w:t>
      </w:r>
      <w:r>
        <w:rPr>
          <w:spacing w:val="-25"/>
        </w:rPr>
        <w:t> </w:t>
      </w:r>
      <w:r>
        <w:rPr>
          <w:spacing w:val="-25"/>
        </w:rPr>
      </w:r>
      <w:r>
        <w:rPr/>
        <w:t>告）股权转让纠纷一案，案号为（</w:t>
      </w:r>
      <w:r>
        <w:rPr>
          <w:rFonts w:ascii="宋体" w:hAnsi="宋体" w:cs="宋体" w:eastAsia="宋体" w:hint="default"/>
        </w:rPr>
        <w:t>2016</w:t>
      </w:r>
      <w:r>
        <w:rPr/>
        <w:t>）沪民初 </w:t>
      </w:r>
      <w:r>
        <w:rPr>
          <w:rFonts w:ascii="宋体" w:hAnsi="宋体" w:cs="宋体" w:eastAsia="宋体" w:hint="default"/>
        </w:rPr>
        <w:t>29</w:t>
      </w:r>
      <w:r>
        <w:rPr>
          <w:rFonts w:ascii="宋体" w:hAnsi="宋体" w:cs="宋体" w:eastAsia="宋体" w:hint="default"/>
          <w:spacing w:val="-11"/>
        </w:rPr>
        <w:t> </w:t>
      </w:r>
      <w:r>
        <w:rPr/>
        <w:t>号。在诉讼中，原告要求第一被告偿还借款</w:t>
      </w:r>
    </w:p>
    <w:p>
      <w:pPr>
        <w:pStyle w:val="BodyText"/>
        <w:spacing w:line="355" w:lineRule="auto" w:before="30"/>
        <w:ind w:left="138" w:right="134"/>
        <w:jc w:val="left"/>
      </w:pPr>
      <w:r>
        <w:rPr/>
        <w:t>及违约金合计人民币</w:t>
      </w:r>
      <w:r>
        <w:rPr>
          <w:spacing w:val="-56"/>
        </w:rPr>
        <w:t> </w:t>
      </w:r>
      <w:r>
        <w:rPr>
          <w:rFonts w:ascii="宋体" w:hAnsi="宋体" w:cs="宋体" w:eastAsia="宋体" w:hint="default"/>
        </w:rPr>
        <w:t>18.00</w:t>
      </w:r>
      <w:r>
        <w:rPr>
          <w:rFonts w:ascii="宋体" w:hAnsi="宋体" w:cs="宋体" w:eastAsia="宋体" w:hint="default"/>
          <w:spacing w:val="-55"/>
        </w:rPr>
        <w:t> </w:t>
      </w:r>
      <w:r>
        <w:rPr/>
        <w:t>亿元，要求本公司及第二被告作为上述协议的担保人，应当对以上款</w:t>
      </w:r>
      <w:r>
        <w:rPr>
          <w:w w:val="100"/>
        </w:rPr>
        <w:t> </w:t>
      </w:r>
      <w:r>
        <w:rPr/>
        <w:t>项依法承担无限连带担保责任。</w:t>
      </w:r>
    </w:p>
    <w:p>
      <w:pPr>
        <w:pStyle w:val="BodyText"/>
        <w:spacing w:line="357" w:lineRule="auto" w:before="32"/>
        <w:ind w:left="138" w:right="127" w:firstLine="419"/>
        <w:jc w:val="both"/>
      </w:pPr>
      <w:r>
        <w:rPr/>
        <w:t>上海市高级人民法院分别于</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23</w:t>
      </w:r>
      <w:r>
        <w:rPr>
          <w:rFonts w:ascii="宋体" w:hAnsi="宋体" w:cs="宋体" w:eastAsia="宋体" w:hint="default"/>
          <w:spacing w:val="-52"/>
        </w:rPr>
        <w:t> </w:t>
      </w:r>
      <w:r>
        <w:rPr>
          <w:spacing w:val="-10"/>
        </w:rPr>
        <w:t>日、</w:t>
      </w:r>
      <w:r>
        <w:rPr>
          <w:rFonts w:ascii="宋体" w:hAnsi="宋体" w:cs="宋体" w:eastAsia="宋体" w:hint="default"/>
          <w:spacing w:val="-10"/>
        </w:rPr>
        <w:t>2017</w:t>
      </w:r>
      <w:r>
        <w:rPr>
          <w:rFonts w:ascii="宋体" w:hAnsi="宋体" w:cs="宋体" w:eastAsia="宋体" w:hint="default"/>
          <w:spacing w:val="-52"/>
        </w:rPr>
        <w:t> </w:t>
      </w:r>
      <w:r>
        <w:rPr/>
        <w:t>年</w:t>
      </w:r>
      <w:r>
        <w:rPr>
          <w:spacing w:val="-52"/>
        </w:rPr>
        <w:t> </w:t>
      </w:r>
      <w:r>
        <w:rPr>
          <w:rFonts w:ascii="宋体" w:hAnsi="宋体" w:cs="宋体" w:eastAsia="宋体" w:hint="default"/>
        </w:rPr>
        <w:t>2</w:t>
      </w:r>
      <w:r>
        <w:rPr>
          <w:rFonts w:ascii="宋体" w:hAnsi="宋体" w:cs="宋体" w:eastAsia="宋体" w:hint="default"/>
          <w:spacing w:val="-54"/>
        </w:rPr>
        <w:t> </w:t>
      </w:r>
      <w:r>
        <w:rPr/>
        <w:t>月</w:t>
      </w:r>
      <w:r>
        <w:rPr>
          <w:spacing w:val="-52"/>
        </w:rPr>
        <w:t> </w:t>
      </w:r>
      <w:r>
        <w:rPr>
          <w:rFonts w:ascii="宋体" w:hAnsi="宋体" w:cs="宋体" w:eastAsia="宋体" w:hint="default"/>
        </w:rPr>
        <w:t>16</w:t>
      </w:r>
      <w:r>
        <w:rPr>
          <w:rFonts w:ascii="宋体" w:hAnsi="宋体" w:cs="宋体" w:eastAsia="宋体" w:hint="default"/>
          <w:spacing w:val="-52"/>
        </w:rPr>
        <w:t> </w:t>
      </w:r>
      <w:r>
        <w:rPr>
          <w:spacing w:val="-9"/>
        </w:rPr>
        <w:t>日、</w:t>
      </w:r>
      <w:r>
        <w:rPr>
          <w:rFonts w:ascii="宋体" w:hAnsi="宋体" w:cs="宋体" w:eastAsia="宋体" w:hint="default"/>
          <w:spacing w:val="-9"/>
        </w:rPr>
        <w:t>2017</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日三次开</w:t>
      </w:r>
      <w:r>
        <w:rPr>
          <w:w w:val="100"/>
        </w:rPr>
        <w:t> </w:t>
      </w:r>
      <w:r>
        <w:rPr/>
        <w:t>庭审理本案，目前仍在审理中。</w:t>
      </w:r>
    </w:p>
    <w:p>
      <w:pPr>
        <w:pStyle w:val="BodyText"/>
        <w:spacing w:line="355" w:lineRule="auto" w:before="30"/>
        <w:ind w:left="138" w:right="137" w:firstLine="419"/>
        <w:jc w:val="both"/>
      </w:pPr>
      <w:r>
        <w:rPr>
          <w:spacing w:val="-2"/>
        </w:rPr>
        <w:t>鉴于对原告所举证的、本公司对该事项出具的担保函之真实性的质疑，及各方和解之意愿，</w:t>
      </w:r>
      <w:r>
        <w:rPr>
          <w:w w:val="100"/>
        </w:rPr>
        <w:t> </w:t>
      </w:r>
      <w:r>
        <w:rPr/>
        <w:t>本公司判断将不会对本公司造成不利影响，因此未计提预计负债。</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4"/>
        <w:spacing w:line="240" w:lineRule="auto" w:before="36"/>
        <w:ind w:left="560" w:right="0"/>
        <w:jc w:val="left"/>
        <w:rPr>
          <w:b w:val="0"/>
          <w:bCs w:val="0"/>
        </w:rPr>
      </w:pPr>
      <w:r>
        <w:rPr/>
        <w:t>（</w:t>
      </w:r>
      <w:r>
        <w:rPr>
          <w:rFonts w:ascii="Arial Narrow" w:hAnsi="Arial Narrow" w:cs="Arial Narrow" w:eastAsia="Arial Narrow" w:hint="default"/>
        </w:rPr>
        <w:t>2</w:t>
      </w:r>
      <w:r>
        <w:rPr/>
        <w:t>）关于与上海瀚辉投资有限公司诉讼事项</w:t>
      </w:r>
      <w:r>
        <w:rPr>
          <w:b w:val="0"/>
          <w:bCs w:val="0"/>
        </w:rPr>
      </w:r>
    </w:p>
    <w:p>
      <w:pPr>
        <w:pStyle w:val="BodyText"/>
        <w:spacing w:line="355" w:lineRule="auto" w:before="193"/>
        <w:ind w:left="138" w:right="128" w:firstLine="419"/>
        <w:jc w:val="both"/>
      </w:pPr>
      <w:r>
        <w:rPr/>
        <w:t>上海市第一中级人民法院于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月受理了原告上海瀚辉投资有限公司诉被告上海斐讯</w:t>
      </w:r>
      <w:r>
        <w:rPr>
          <w:w w:val="100"/>
        </w:rPr>
        <w:t> </w:t>
      </w:r>
      <w:r>
        <w:rPr>
          <w:spacing w:val="-11"/>
        </w:rPr>
        <w:t>投资有限公司（第一被告）、顾国平（第二被告）、上海斐讯数据通信技术有限公司（第三被告）、</w:t>
      </w:r>
      <w:r>
        <w:rPr>
          <w:spacing w:val="-37"/>
        </w:rPr>
        <w:t> </w:t>
      </w:r>
      <w:r>
        <w:rPr>
          <w:spacing w:val="-37"/>
        </w:rPr>
      </w:r>
      <w:r>
        <w:rPr>
          <w:spacing w:val="-7"/>
        </w:rPr>
        <w:t>广西慧球科技股份有限公司（第四被告）股权转让纠纷一案，案号为（</w:t>
      </w:r>
      <w:r>
        <w:rPr>
          <w:rFonts w:ascii="宋体" w:hAnsi="宋体" w:cs="宋体" w:eastAsia="宋体" w:hint="default"/>
          <w:spacing w:val="-7"/>
        </w:rPr>
        <w:t>2016</w:t>
      </w:r>
      <w:r>
        <w:rPr>
          <w:spacing w:val="-7"/>
        </w:rPr>
        <w:t>）沪 </w:t>
      </w:r>
      <w:r>
        <w:rPr>
          <w:rFonts w:ascii="宋体" w:hAnsi="宋体" w:cs="宋体" w:eastAsia="宋体" w:hint="default"/>
        </w:rPr>
        <w:t>01 </w:t>
      </w:r>
      <w:r>
        <w:rPr/>
        <w:t>民初 </w:t>
      </w:r>
      <w:r>
        <w:rPr>
          <w:rFonts w:ascii="宋体" w:hAnsi="宋体" w:cs="宋体" w:eastAsia="宋体" w:hint="default"/>
        </w:rPr>
        <w:t>806</w:t>
      </w:r>
      <w:r>
        <w:rPr>
          <w:rFonts w:ascii="宋体" w:hAnsi="宋体" w:cs="宋体" w:eastAsia="宋体" w:hint="default"/>
          <w:spacing w:val="-44"/>
        </w:rPr>
        <w:t> </w:t>
      </w:r>
      <w:r>
        <w:rPr>
          <w:spacing w:val="-3"/>
        </w:rPr>
        <w:t>号，</w:t>
      </w:r>
      <w:r>
        <w:rPr/>
      </w:r>
    </w:p>
    <w:p>
      <w:pPr>
        <w:pStyle w:val="BodyText"/>
        <w:spacing w:line="355" w:lineRule="auto" w:before="32"/>
        <w:ind w:left="138" w:right="0"/>
        <w:jc w:val="left"/>
      </w:pPr>
      <w:r>
        <w:rPr>
          <w:spacing w:val="-4"/>
        </w:rPr>
        <w:t>在诉讼中，原告要求第一被告偿还借款及违约金合计人民币</w:t>
      </w:r>
      <w:r>
        <w:rPr>
          <w:spacing w:val="-21"/>
        </w:rPr>
        <w:t> </w:t>
      </w:r>
      <w:r>
        <w:rPr>
          <w:rFonts w:ascii="宋体" w:hAnsi="宋体" w:cs="宋体" w:eastAsia="宋体" w:hint="default"/>
        </w:rPr>
        <w:t>1.83</w:t>
      </w:r>
      <w:r>
        <w:rPr>
          <w:rFonts w:ascii="宋体" w:hAnsi="宋体" w:cs="宋体" w:eastAsia="宋体" w:hint="default"/>
          <w:spacing w:val="-25"/>
        </w:rPr>
        <w:t> </w:t>
      </w:r>
      <w:r>
        <w:rPr>
          <w:spacing w:val="-5"/>
        </w:rPr>
        <w:t>亿元，请求判令本公司及第二被</w:t>
      </w:r>
      <w:r>
        <w:rPr>
          <w:spacing w:val="-93"/>
        </w:rPr>
        <w:t> </w:t>
      </w:r>
      <w:r>
        <w:rPr>
          <w:spacing w:val="-93"/>
        </w:rPr>
      </w:r>
      <w:r>
        <w:rPr/>
        <w:t>告、第三被告就上述讼诉请求的付款义务承担连带清偿责任。</w:t>
      </w:r>
    </w:p>
    <w:p>
      <w:pPr>
        <w:pStyle w:val="BodyText"/>
        <w:spacing w:line="240" w:lineRule="auto" w:before="106"/>
        <w:ind w:left="558" w:right="0"/>
        <w:jc w:val="left"/>
      </w:pPr>
      <w:r>
        <w:rPr/>
        <w:t>本案于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日开庭审理，目前尚在审理中。</w:t>
      </w:r>
    </w:p>
    <w:p>
      <w:pPr>
        <w:spacing w:line="240" w:lineRule="auto" w:before="9"/>
        <w:rPr>
          <w:rFonts w:ascii="宋体" w:hAnsi="宋体" w:cs="宋体" w:eastAsia="宋体" w:hint="default"/>
          <w:sz w:val="15"/>
          <w:szCs w:val="15"/>
        </w:rPr>
      </w:pPr>
    </w:p>
    <w:p>
      <w:pPr>
        <w:pStyle w:val="BodyText"/>
        <w:spacing w:line="357" w:lineRule="auto"/>
        <w:ind w:left="138" w:right="128" w:firstLine="419"/>
        <w:jc w:val="both"/>
      </w:pPr>
      <w:r>
        <w:rPr/>
        <w:t>鉴于本公司对原告提供的于</w:t>
      </w:r>
      <w:r>
        <w:rPr>
          <w:spacing w:val="-46"/>
        </w:rPr>
        <w:t> </w:t>
      </w: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5</w:t>
      </w:r>
      <w:r>
        <w:rPr>
          <w:rFonts w:ascii="宋体" w:hAnsi="宋体" w:cs="宋体" w:eastAsia="宋体" w:hint="default"/>
          <w:spacing w:val="-47"/>
        </w:rPr>
        <w:t> </w:t>
      </w:r>
      <w:r>
        <w:rPr/>
        <w:t>月</w:t>
      </w:r>
      <w:r>
        <w:rPr>
          <w:spacing w:val="-50"/>
        </w:rPr>
        <w:t> </w:t>
      </w:r>
      <w:r>
        <w:rPr>
          <w:rFonts w:ascii="宋体" w:hAnsi="宋体" w:cs="宋体" w:eastAsia="宋体" w:hint="default"/>
        </w:rPr>
        <w:t>8</w:t>
      </w:r>
      <w:r>
        <w:rPr>
          <w:rFonts w:ascii="宋体" w:hAnsi="宋体" w:cs="宋体" w:eastAsia="宋体" w:hint="default"/>
          <w:spacing w:val="-47"/>
        </w:rPr>
        <w:t> </w:t>
      </w:r>
      <w:r>
        <w:rPr>
          <w:spacing w:val="-6"/>
        </w:rPr>
        <w:t>日与被告一签订的《合作协议》中本公司公章真实</w:t>
      </w:r>
      <w:r>
        <w:rPr>
          <w:w w:val="100"/>
        </w:rPr>
        <w:t> </w:t>
      </w:r>
      <w:r>
        <w:rPr/>
        <w:t>性的质疑，本公司判断将不会对本公司造成不利影响，因此未计提预计负债。</w:t>
      </w:r>
    </w:p>
    <w:p>
      <w:pPr>
        <w:pStyle w:val="BodyText"/>
        <w:spacing w:line="240" w:lineRule="auto" w:before="30"/>
        <w:ind w:left="138" w:right="127" w:firstLine="419"/>
        <w:jc w:val="both"/>
      </w:pPr>
      <w:r>
        <w:rPr>
          <w:spacing w:val="-5"/>
        </w:rPr>
        <w:t>除存在上述或有事项外，截止</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日，本公司无其他应披露未披露的重要或有事</w:t>
      </w:r>
      <w:r>
        <w:rPr>
          <w:w w:val="100"/>
        </w:rPr>
        <w:t> </w:t>
      </w:r>
      <w:r>
        <w:rPr/>
        <w:t>项。</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4"/>
        <w:spacing w:line="240" w:lineRule="auto"/>
        <w:ind w:left="138"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t>十五、</w:t>
      </w:r>
      <w:r>
        <w:rPr>
          <w:spacing w:val="104"/>
        </w:rPr>
        <w:t> </w:t>
      </w:r>
      <w:r>
        <w:rPr/>
        <w:t>资产负债表日后事项</w:t>
      </w:r>
      <w:r>
        <w:rPr>
          <w:b w:val="0"/>
          <w:bCs w:val="0"/>
        </w:rPr>
      </w:r>
    </w:p>
    <w:p>
      <w:pPr>
        <w:pStyle w:val="Heading4"/>
        <w:spacing w:line="240" w:lineRule="auto" w:before="56"/>
        <w:ind w:left="138"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38" w:right="0"/>
        <w:jc w:val="both"/>
      </w:pPr>
      <w:r>
        <w:rPr/>
        <w:t>□适用</w:t>
      </w:r>
      <w:r>
        <w:rPr>
          <w:spacing w:val="-1"/>
        </w:rPr>
        <w:t> </w:t>
      </w:r>
      <w:r>
        <w:rPr/>
        <w:t>√不适用</w:t>
      </w:r>
    </w:p>
    <w:p>
      <w:pPr>
        <w:pStyle w:val="Heading4"/>
        <w:spacing w:line="240" w:lineRule="auto" w:before="56"/>
        <w:ind w:left="13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138" w:right="0"/>
        <w:jc w:val="both"/>
      </w:pPr>
      <w:r>
        <w:rPr/>
        <w:t>□适用</w:t>
      </w:r>
      <w:r>
        <w:rPr>
          <w:spacing w:val="-1"/>
        </w:rPr>
        <w:t> </w:t>
      </w:r>
      <w:r>
        <w:rPr/>
        <w:t>√不适用</w:t>
      </w:r>
    </w:p>
    <w:p>
      <w:pPr>
        <w:pStyle w:val="Heading4"/>
        <w:spacing w:line="240" w:lineRule="auto" w:before="56"/>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left="138" w:right="0"/>
        <w:jc w:val="both"/>
      </w:pPr>
      <w:r>
        <w:rPr/>
        <w:t>□适用</w:t>
      </w:r>
      <w:r>
        <w:rPr>
          <w:spacing w:val="-1"/>
        </w:rPr>
        <w:t> </w:t>
      </w:r>
      <w:r>
        <w:rPr/>
        <w:t>√不适用</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4"/>
        <w:spacing w:line="240" w:lineRule="auto" w:before="36"/>
        <w:ind w:right="2465"/>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tabs>
          <w:tab w:pos="861" w:val="left" w:leader="none"/>
        </w:tabs>
        <w:spacing w:line="240" w:lineRule="auto" w:before="58"/>
        <w:ind w:right="2465"/>
        <w:jc w:val="left"/>
        <w:rPr>
          <w:b w:val="0"/>
          <w:bCs w:val="0"/>
        </w:rPr>
      </w:pPr>
      <w:r>
        <w:rPr>
          <w:rFonts w:ascii="宋体" w:hAnsi="宋体" w:cs="宋体" w:eastAsia="宋体" w:hint="default"/>
          <w:w w:val="95"/>
        </w:rPr>
        <w:t>(1).</w:t>
        <w:tab/>
      </w:r>
      <w:r>
        <w:rPr/>
        <w:t>非货币性资产交换</w:t>
      </w:r>
      <w:r>
        <w:rPr>
          <w:b w:val="0"/>
          <w:bCs w:val="0"/>
        </w:rPr>
      </w:r>
    </w:p>
    <w:p>
      <w:pPr>
        <w:pStyle w:val="BodyText"/>
        <w:spacing w:line="240" w:lineRule="auto" w:before="133"/>
        <w:ind w:right="2465"/>
        <w:jc w:val="left"/>
      </w:pPr>
      <w:r>
        <w:rPr/>
        <w:t>□适用</w:t>
      </w:r>
      <w:r>
        <w:rPr>
          <w:spacing w:val="-1"/>
        </w:rPr>
        <w:t> </w:t>
      </w:r>
      <w:r>
        <w:rPr/>
        <w:t>√不适用</w:t>
      </w:r>
    </w:p>
    <w:p>
      <w:pPr>
        <w:spacing w:line="240" w:lineRule="auto" w:before="2"/>
        <w:rPr>
          <w:rFonts w:ascii="宋体" w:hAnsi="宋体" w:cs="宋体" w:eastAsia="宋体" w:hint="default"/>
          <w:sz w:val="26"/>
          <w:szCs w:val="26"/>
        </w:rPr>
      </w:pPr>
    </w:p>
    <w:p>
      <w:pPr>
        <w:pStyle w:val="Heading4"/>
        <w:tabs>
          <w:tab w:pos="861" w:val="left" w:leader="none"/>
        </w:tabs>
        <w:spacing w:line="240" w:lineRule="auto"/>
        <w:ind w:right="2465"/>
        <w:jc w:val="left"/>
        <w:rPr>
          <w:b w:val="0"/>
          <w:bCs w:val="0"/>
        </w:rPr>
      </w:pPr>
      <w:r>
        <w:rPr>
          <w:rFonts w:ascii="宋体" w:hAnsi="宋体" w:cs="宋体" w:eastAsia="宋体" w:hint="default"/>
          <w:w w:val="95"/>
        </w:rPr>
        <w:t>(2).</w:t>
        <w:tab/>
      </w:r>
      <w:r>
        <w:rPr/>
        <w:t>其他资产置换</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tabs>
          <w:tab w:pos="861" w:val="left" w:leader="none"/>
        </w:tabs>
        <w:spacing w:line="240" w:lineRule="auto" w:before="56"/>
        <w:ind w:right="2465"/>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72" w:lineRule="exact" w:before="86"/>
        <w:ind w:right="890"/>
        <w:jc w:val="left"/>
      </w:pPr>
      <w:r>
        <w:rPr/>
        <w:t>√适用</w:t>
      </w:r>
      <w:r>
        <w:rPr>
          <w:spacing w:val="-2"/>
        </w:rPr>
        <w:t> </w:t>
      </w:r>
      <w:r>
        <w:rPr/>
        <w:t>□不适用</w:t>
      </w:r>
      <w:r>
        <w:rPr>
          <w:w w:val="100"/>
        </w:rPr>
        <w:t> </w:t>
      </w:r>
      <w:r>
        <w:rPr>
          <w:spacing w:val="-2"/>
        </w:rPr>
        <w:t>公司按业务类型将公司报告分部分为智慧城市业务分部及物业管理业务分部。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2"/>
          <w:pgSz w:w="11910" w:h="16840"/>
          <w:pgMar w:footer="1554" w:header="882" w:top="1120" w:bottom="1740" w:left="1580" w:right="1040"/>
          <w:pgNumType w:start="148"/>
        </w:sectPr>
      </w:pPr>
    </w:p>
    <w:p>
      <w:pPr>
        <w:pStyle w:val="Heading4"/>
        <w:tabs>
          <w:tab w:pos="861" w:val="left" w:leader="none"/>
        </w:tabs>
        <w:spacing w:line="240" w:lineRule="auto" w:before="36"/>
        <w:ind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60" w:val="left" w:leader="none"/>
        </w:tabs>
        <w:spacing w:line="240" w:lineRule="auto" w:before="56"/>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63" w:space="37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90"/>
        <w:gridCol w:w="1790"/>
        <w:gridCol w:w="1582"/>
        <w:gridCol w:w="1688"/>
        <w:gridCol w:w="1699"/>
      </w:tblGrid>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5" w:right="0"/>
              <w:jc w:val="left"/>
              <w:rPr>
                <w:rFonts w:ascii="宋体" w:hAnsi="宋体" w:cs="宋体" w:eastAsia="宋体" w:hint="default"/>
                <w:sz w:val="21"/>
                <w:szCs w:val="21"/>
              </w:rPr>
            </w:pPr>
            <w:r>
              <w:rPr>
                <w:rFonts w:ascii="宋体" w:hAnsi="宋体" w:cs="宋体" w:eastAsia="宋体" w:hint="default"/>
                <w:sz w:val="21"/>
                <w:szCs w:val="21"/>
              </w:rPr>
              <w:t>物业管理业务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分部间抵销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营业收入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25,061,058.08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40,764,014.35</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65,825,072.43</w:t>
            </w:r>
          </w:p>
        </w:tc>
      </w:tr>
      <w:tr>
        <w:trPr>
          <w:trHeight w:val="281"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营业成本</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18,379,560.73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32,096,135.87</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50,475,696.60</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管理费用</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8,175,243.65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8,622,736.21</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16,797,979.86</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资产减值损失</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899,264.26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520,686.20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1,419,950.46</w:t>
            </w:r>
          </w:p>
        </w:tc>
      </w:tr>
      <w:tr>
        <w:trPr>
          <w:trHeight w:val="281"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利润总额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-4,488,525.27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8,514,447.01</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4,025,921.74</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z w:val="21"/>
                <w:szCs w:val="21"/>
              </w:rPr>
              <w:t>所得税费用</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3,393.53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749,435.33</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752,828.86</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z w:val="21"/>
                <w:szCs w:val="21"/>
              </w:rPr>
              <w:t>净利润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-4,491,918.80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7,765,011.68</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3,273,092.88</w:t>
            </w:r>
          </w:p>
        </w:tc>
      </w:tr>
      <w:tr>
        <w:trPr>
          <w:trHeight w:val="281"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z w:val="21"/>
                <w:szCs w:val="21"/>
              </w:rPr>
              <w:t>资产总额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220,971,204.14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45,344,726.58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140,547,253.24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125,768,677.48</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负债总额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29,490,738.33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18,198,072.56</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47,688,810.89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861" w:val="left" w:leader="none"/>
        </w:tabs>
        <w:spacing w:line="240" w:lineRule="auto" w:before="36"/>
        <w:ind w:right="9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861" w:val="left" w:leader="none"/>
        </w:tabs>
        <w:spacing w:line="240" w:lineRule="auto"/>
        <w:ind w:right="2465"/>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2465"/>
        <w:jc w:val="left"/>
      </w:pPr>
      <w:r>
        <w:rPr/>
        <w:t>□适用</w:t>
      </w:r>
      <w:r>
        <w:rPr>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2465"/>
        <w:jc w:val="left"/>
        <w:rPr>
          <w:b w:val="0"/>
          <w:bCs w:val="0"/>
        </w:rPr>
      </w:pPr>
      <w:r>
        <w:rPr>
          <w:rFonts w:ascii="宋体" w:hAnsi="宋体" w:cs="宋体" w:eastAsia="宋体" w:hint="default"/>
        </w:rPr>
        <w:t>8</w:t>
      </w:r>
      <w:r>
        <w:rPr/>
        <w:t>、</w:t>
      </w:r>
      <w:r>
        <w:rPr>
          <w:spacing w:val="2"/>
        </w:rPr>
        <w:t> </w:t>
      </w:r>
      <w:r>
        <w:rPr/>
        <w:t>其他</w:t>
      </w:r>
      <w:r>
        <w:rPr>
          <w:b w:val="0"/>
          <w:bCs w:val="0"/>
        </w:rPr>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554" w:top="1120" w:bottom="1740" w:left="1660" w:right="1120"/>
        </w:sectPr>
      </w:pPr>
    </w:p>
    <w:p>
      <w:pPr>
        <w:pStyle w:val="Heading4"/>
        <w:tabs>
          <w:tab w:pos="977" w:val="left" w:leader="none"/>
        </w:tabs>
        <w:spacing w:line="290" w:lineRule="auto" w:before="36"/>
        <w:ind w:left="1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977" w:val="left" w:leader="none"/>
        </w:tabs>
        <w:spacing w:line="240" w:lineRule="auto" w:before="12"/>
        <w:ind w:left="279" w:right="0"/>
        <w:jc w:val="left"/>
        <w:rPr>
          <w:b w:val="0"/>
          <w:bCs w:val="0"/>
        </w:rPr>
      </w:pPr>
      <w:r>
        <w:rPr>
          <w:rFonts w:ascii="宋体" w:hAnsi="宋体" w:cs="宋体" w:eastAsia="宋体" w:hint="default"/>
          <w:w w:val="95"/>
        </w:rPr>
        <w:t>(1).</w:t>
        <w:tab/>
      </w:r>
      <w:r>
        <w:rPr/>
        <w:t>应收账款分类披露：</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19" w:space="2802"/>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89"/>
        <w:gridCol w:w="653"/>
        <w:gridCol w:w="646"/>
        <w:gridCol w:w="643"/>
        <w:gridCol w:w="662"/>
        <w:gridCol w:w="641"/>
        <w:gridCol w:w="1008"/>
        <w:gridCol w:w="662"/>
        <w:gridCol w:w="1009"/>
        <w:gridCol w:w="677"/>
        <w:gridCol w:w="1006"/>
      </w:tblGrid>
      <w:tr>
        <w:trPr>
          <w:trHeight w:val="281" w:hRule="exact"/>
        </w:trPr>
        <w:tc>
          <w:tcPr>
            <w:tcW w:w="12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89" w:type="dxa"/>
            <w:vMerge/>
            <w:tcBorders>
              <w:left w:val="single" w:sz="4" w:space="0" w:color="000000"/>
              <w:right w:val="single" w:sz="4" w:space="0" w:color="000000"/>
            </w:tcBorders>
          </w:tcPr>
          <w:p>
            <w:pP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28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1289" w:type="dxa"/>
            <w:vMerge/>
            <w:tcBorders>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1" w:right="10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65" w:right="11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41"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7"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72" w:right="12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06" w:type="dxa"/>
            <w:vMerge/>
            <w:tcBorders>
              <w:left w:val="single" w:sz="4" w:space="0" w:color="000000"/>
              <w:bottom w:val="single" w:sz="4" w:space="0" w:color="000000"/>
              <w:right w:val="single" w:sz="4" w:space="0" w:color="000000"/>
            </w:tcBorders>
          </w:tcPr>
          <w:p>
            <w:pPr/>
          </w:p>
        </w:tc>
      </w:tr>
      <w:tr>
        <w:trPr>
          <w:trHeight w:val="1100"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33"/>
                <w:sz w:val="21"/>
                <w:szCs w:val="21"/>
              </w:rPr>
              <w:t>单项金额重</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37" w:lineRule="auto" w:before="1"/>
              <w:ind w:left="26" w:right="-20"/>
              <w:jc w:val="both"/>
              <w:rPr>
                <w:rFonts w:ascii="宋体" w:hAnsi="宋体" w:cs="宋体" w:eastAsia="宋体" w:hint="default"/>
                <w:sz w:val="21"/>
                <w:szCs w:val="21"/>
              </w:rPr>
            </w:pPr>
            <w:r>
              <w:rPr>
                <w:rFonts w:ascii="宋体" w:hAnsi="宋体" w:cs="宋体" w:eastAsia="宋体" w:hint="default"/>
                <w:spacing w:val="33"/>
                <w:sz w:val="21"/>
                <w:szCs w:val="21"/>
              </w:rPr>
              <w:t>大并单独计</w:t>
            </w:r>
            <w:r>
              <w:rPr>
                <w:rFonts w:ascii="宋体" w:hAnsi="宋体" w:cs="宋体" w:eastAsia="宋体" w:hint="default"/>
                <w:spacing w:val="-93"/>
                <w:sz w:val="21"/>
                <w:szCs w:val="21"/>
              </w:rPr>
              <w:t> </w:t>
            </w:r>
            <w:r>
              <w:rPr>
                <w:rFonts w:ascii="宋体" w:hAnsi="宋体" w:cs="宋体" w:eastAsia="宋体" w:hint="default"/>
                <w:spacing w:val="33"/>
                <w:sz w:val="21"/>
                <w:szCs w:val="21"/>
              </w:rPr>
              <w:t>提坏账准备</w:t>
            </w:r>
            <w:r>
              <w:rPr>
                <w:rFonts w:ascii="宋体" w:hAnsi="宋体" w:cs="宋体" w:eastAsia="宋体" w:hint="default"/>
                <w:spacing w:val="-93"/>
                <w:sz w:val="21"/>
                <w:szCs w:val="21"/>
              </w:rPr>
              <w:t> </w:t>
            </w:r>
            <w:r>
              <w:rPr>
                <w:rFonts w:ascii="宋体" w:hAnsi="宋体" w:cs="宋体" w:eastAsia="宋体" w:hint="default"/>
                <w:sz w:val="21"/>
                <w:szCs w:val="21"/>
              </w:rPr>
              <w:t>的应收账款</w:t>
            </w:r>
          </w:p>
        </w:tc>
        <w:tc>
          <w:tcPr>
            <w:tcW w:w="65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8,800,000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100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4,400,000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sz w:val="21"/>
              </w:rPr>
              <w:t>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4,400,000</w:t>
            </w:r>
          </w:p>
        </w:tc>
      </w:tr>
      <w:tr>
        <w:trPr>
          <w:trHeight w:val="1099"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33"/>
                <w:sz w:val="21"/>
                <w:szCs w:val="21"/>
              </w:rPr>
              <w:t>按信用风险</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pacing w:val="33"/>
                <w:sz w:val="21"/>
                <w:szCs w:val="21"/>
              </w:rPr>
              <w:t>特征组合计</w:t>
            </w:r>
            <w:r>
              <w:rPr>
                <w:rFonts w:ascii="宋体" w:hAnsi="宋体" w:cs="宋体" w:eastAsia="宋体" w:hint="default"/>
                <w:spacing w:val="-93"/>
                <w:sz w:val="21"/>
                <w:szCs w:val="21"/>
              </w:rPr>
              <w:t> </w:t>
            </w:r>
            <w:r>
              <w:rPr>
                <w:rFonts w:ascii="宋体" w:hAnsi="宋体" w:cs="宋体" w:eastAsia="宋体" w:hint="default"/>
                <w:spacing w:val="33"/>
                <w:sz w:val="21"/>
                <w:szCs w:val="21"/>
              </w:rPr>
              <w:t>提坏账准备</w:t>
            </w:r>
            <w:r>
              <w:rPr>
                <w:rFonts w:ascii="宋体" w:hAnsi="宋体" w:cs="宋体" w:eastAsia="宋体" w:hint="default"/>
                <w:spacing w:val="-93"/>
                <w:sz w:val="21"/>
                <w:szCs w:val="21"/>
              </w:rPr>
              <w:t> </w:t>
            </w:r>
            <w:r>
              <w:rPr>
                <w:rFonts w:ascii="宋体" w:hAnsi="宋体" w:cs="宋体" w:eastAsia="宋体" w:hint="default"/>
                <w:sz w:val="21"/>
                <w:szCs w:val="21"/>
              </w:rPr>
              <w:t>的应收账款</w:t>
            </w:r>
          </w:p>
        </w:tc>
        <w:tc>
          <w:tcPr>
            <w:tcW w:w="65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33"/>
                <w:sz w:val="21"/>
                <w:szCs w:val="21"/>
              </w:rPr>
              <w:t>单项金额不</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pacing w:val="33"/>
                <w:sz w:val="21"/>
                <w:szCs w:val="21"/>
              </w:rPr>
              <w:t>重大但单独</w:t>
            </w:r>
            <w:r>
              <w:rPr>
                <w:rFonts w:ascii="宋体" w:hAnsi="宋体" w:cs="宋体" w:eastAsia="宋体" w:hint="default"/>
                <w:spacing w:val="-93"/>
                <w:sz w:val="21"/>
                <w:szCs w:val="21"/>
              </w:rPr>
              <w:t> </w:t>
            </w:r>
            <w:r>
              <w:rPr>
                <w:rFonts w:ascii="宋体" w:hAnsi="宋体" w:cs="宋体" w:eastAsia="宋体" w:hint="default"/>
                <w:spacing w:val="33"/>
                <w:sz w:val="21"/>
                <w:szCs w:val="21"/>
              </w:rPr>
              <w:t>计提坏账准</w:t>
            </w:r>
            <w:r>
              <w:rPr>
                <w:rFonts w:ascii="宋体" w:hAnsi="宋体" w:cs="宋体" w:eastAsia="宋体" w:hint="default"/>
                <w:spacing w:val="-93"/>
                <w:sz w:val="21"/>
                <w:szCs w:val="21"/>
              </w:rPr>
              <w:t> </w:t>
            </w:r>
            <w:r>
              <w:rPr>
                <w:rFonts w:ascii="宋体" w:hAnsi="宋体" w:cs="宋体" w:eastAsia="宋体" w:hint="default"/>
                <w:spacing w:val="33"/>
                <w:sz w:val="21"/>
                <w:szCs w:val="21"/>
              </w:rPr>
              <w:t>备的应收账</w:t>
            </w:r>
            <w:r>
              <w:rPr>
                <w:rFonts w:ascii="宋体" w:hAnsi="宋体" w:cs="宋体" w:eastAsia="宋体" w:hint="default"/>
                <w:spacing w:val="-93"/>
                <w:sz w:val="21"/>
                <w:szCs w:val="21"/>
              </w:rPr>
              <w:t> </w:t>
            </w:r>
            <w:r>
              <w:rPr>
                <w:rFonts w:ascii="宋体" w:hAnsi="宋体" w:cs="宋体" w:eastAsia="宋体" w:hint="default"/>
                <w:sz w:val="21"/>
                <w:szCs w:val="21"/>
              </w:rPr>
              <w:t>款</w:t>
            </w:r>
          </w:p>
        </w:tc>
        <w:tc>
          <w:tcPr>
            <w:tcW w:w="65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5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w w:val="100"/>
                <w:sz w:val="21"/>
              </w:rPr>
              <w:t>/</w:t>
            </w:r>
          </w:p>
        </w:tc>
        <w:tc>
          <w:tcPr>
            <w:tcW w:w="6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w:t>
            </w:r>
          </w:p>
        </w:tc>
        <w:tc>
          <w:tcPr>
            <w:tcW w:w="64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8,800,000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73" w:right="0"/>
              <w:jc w:val="left"/>
              <w:rPr>
                <w:rFonts w:ascii="宋体" w:hAnsi="宋体" w:cs="宋体" w:eastAsia="宋体" w:hint="default"/>
                <w:sz w:val="21"/>
                <w:szCs w:val="21"/>
              </w:rPr>
            </w:pPr>
            <w:r>
              <w:rPr>
                <w:rFonts w:ascii="宋体"/>
                <w:w w:val="100"/>
                <w:sz w:val="21"/>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4,400,000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4,400,000</w:t>
            </w:r>
          </w:p>
        </w:tc>
      </w:tr>
    </w:tbl>
    <w:p>
      <w:pPr>
        <w:spacing w:line="240" w:lineRule="auto" w:before="2"/>
        <w:rPr>
          <w:rFonts w:ascii="宋体" w:hAnsi="宋体" w:cs="宋体" w:eastAsia="宋体" w:hint="default"/>
          <w:sz w:val="20"/>
          <w:szCs w:val="20"/>
        </w:rPr>
      </w:pPr>
    </w:p>
    <w:p>
      <w:pPr>
        <w:pStyle w:val="BodyText"/>
        <w:spacing w:line="240" w:lineRule="auto" w:before="36"/>
        <w:ind w:left="138" w:right="1046"/>
        <w:jc w:val="left"/>
      </w:pPr>
      <w:r>
        <w:rPr/>
        <w:t>期末单项金额重大并单项计提坏账准备的应收账款：</w:t>
      </w:r>
    </w:p>
    <w:p>
      <w:pPr>
        <w:pStyle w:val="BodyText"/>
        <w:spacing w:line="290" w:lineRule="auto" w:before="56"/>
        <w:ind w:left="138" w:right="2859"/>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38" w:right="1046"/>
        <w:jc w:val="left"/>
      </w:pPr>
      <w:r>
        <w:rPr/>
        <w:t>组合中，采用余额百分比法计提坏账准备的应收账款：</w:t>
      </w:r>
    </w:p>
    <w:p>
      <w:pPr>
        <w:pStyle w:val="BodyText"/>
        <w:spacing w:line="240" w:lineRule="auto" w:before="56"/>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138" w:right="1046"/>
        <w:jc w:val="left"/>
      </w:pPr>
      <w:r>
        <w:rPr/>
        <w:t>组合中，采用其他方法计提坏账准备的应收账款：</w:t>
      </w:r>
    </w:p>
    <w:p>
      <w:pPr>
        <w:pStyle w:val="BodyText"/>
        <w:spacing w:line="240" w:lineRule="auto" w:before="58"/>
        <w:ind w:left="138" w:right="104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tabs>
          <w:tab w:pos="698" w:val="left" w:leader="none"/>
        </w:tabs>
        <w:spacing w:line="240" w:lineRule="auto"/>
        <w:ind w:left="0" w:right="4069"/>
        <w:jc w:val="center"/>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138" w:right="1046"/>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4" w:lineRule="exact"/>
        <w:ind w:left="138" w:right="1046"/>
        <w:jc w:val="left"/>
      </w:pPr>
      <w:r>
        <w:rPr/>
        <w:t>其中本期坏账准备收回或转回金额重要的：</w:t>
      </w:r>
    </w:p>
    <w:p>
      <w:pPr>
        <w:pStyle w:val="BodyText"/>
        <w:spacing w:line="274" w:lineRule="exact"/>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tabs>
          <w:tab w:pos="977" w:val="left" w:leader="none"/>
        </w:tabs>
        <w:spacing w:line="240" w:lineRule="auto"/>
        <w:ind w:left="279" w:right="1046"/>
        <w:jc w:val="left"/>
        <w:rPr>
          <w:b w:val="0"/>
          <w:bCs w:val="0"/>
        </w:rPr>
      </w:pPr>
      <w:r>
        <w:rPr>
          <w:rFonts w:ascii="宋体" w:hAnsi="宋体" w:cs="宋体" w:eastAsia="宋体" w:hint="default"/>
          <w:w w:val="95"/>
        </w:rPr>
        <w:t>(3).</w:t>
        <w:tab/>
      </w:r>
      <w:r>
        <w:rPr/>
        <w:t>本期实际核销的应收账款情况</w:t>
      </w:r>
      <w:r>
        <w:rPr>
          <w:b w:val="0"/>
          <w:bCs w:val="0"/>
        </w:rPr>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b/>
          <w:bCs/>
          <w:sz w:val="25"/>
          <w:szCs w:val="25"/>
        </w:rPr>
      </w:pPr>
    </w:p>
    <w:p>
      <w:pPr>
        <w:pStyle w:val="BodyText"/>
        <w:spacing w:line="274" w:lineRule="exact" w:before="36"/>
        <w:ind w:left="138" w:right="1046"/>
        <w:jc w:val="left"/>
      </w:pPr>
      <w:r>
        <w:rPr/>
        <w:t>其中重要的应收账款核销情况</w:t>
      </w:r>
    </w:p>
    <w:p>
      <w:pPr>
        <w:pStyle w:val="BodyText"/>
        <w:spacing w:line="274" w:lineRule="exact"/>
        <w:ind w:left="138"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977" w:val="left" w:leader="none"/>
        </w:tabs>
        <w:spacing w:line="240" w:lineRule="auto"/>
        <w:ind w:left="279" w:right="1046"/>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58"/>
        <w:ind w:left="138" w:right="1046"/>
        <w:jc w:val="left"/>
      </w:pPr>
      <w:r>
        <w:rPr/>
        <w:t>□适用</w:t>
      </w:r>
      <w:r>
        <w:rPr>
          <w:spacing w:val="-1"/>
        </w:rPr>
        <w:t> </w:t>
      </w:r>
      <w:r>
        <w:rPr/>
        <w:t>√不适用</w:t>
      </w:r>
    </w:p>
    <w:p>
      <w:pPr>
        <w:pStyle w:val="Heading4"/>
        <w:tabs>
          <w:tab w:pos="977" w:val="left" w:leader="none"/>
        </w:tabs>
        <w:spacing w:line="240" w:lineRule="auto" w:before="56"/>
        <w:ind w:left="279" w:right="1046"/>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8"/>
        <w:ind w:left="138" w:right="1046"/>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4"/>
        <w:tabs>
          <w:tab w:pos="977" w:val="left" w:leader="none"/>
        </w:tabs>
        <w:spacing w:line="240" w:lineRule="auto"/>
        <w:ind w:left="279" w:right="1046"/>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40" w:lineRule="auto" w:before="56"/>
        <w:ind w:left="138" w:right="1046"/>
        <w:jc w:val="left"/>
      </w:pPr>
      <w:r>
        <w:rPr/>
        <w:t>□适用</w:t>
      </w:r>
      <w:r>
        <w:rPr>
          <w:spacing w:val="-1"/>
        </w:rPr>
        <w:t> </w:t>
      </w:r>
      <w:r>
        <w:rPr/>
        <w:t>√不适用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13"/>
          <w:pgSz w:w="11910" w:h="16840"/>
          <w:pgMar w:footer="1195" w:header="882" w:top="1120" w:bottom="1380" w:left="1660" w:right="1120"/>
        </w:sectPr>
      </w:pPr>
    </w:p>
    <w:p>
      <w:pPr>
        <w:pStyle w:val="BodyText"/>
        <w:spacing w:line="274" w:lineRule="exact" w:before="36"/>
        <w:ind w:left="138" w:right="1044"/>
        <w:jc w:val="left"/>
      </w:pPr>
      <w:r>
        <w:rPr/>
        <w:t>其他说明：</w:t>
      </w:r>
    </w:p>
    <w:p>
      <w:pPr>
        <w:spacing w:line="290" w:lineRule="auto" w:before="0"/>
        <w:ind w:left="138" w:right="10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4"/>
        <w:spacing w:line="240" w:lineRule="auto" w:before="14"/>
        <w:ind w:left="1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0" w:val="left" w:leader="none"/>
        </w:tabs>
        <w:spacing w:line="240" w:lineRule="auto" w:before="56"/>
        <w:ind w:left="1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777" w:space="3745"/>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0"/>
        <w:gridCol w:w="1152"/>
        <w:gridCol w:w="564"/>
        <w:gridCol w:w="901"/>
        <w:gridCol w:w="398"/>
        <w:gridCol w:w="1150"/>
        <w:gridCol w:w="1236"/>
        <w:gridCol w:w="564"/>
        <w:gridCol w:w="1069"/>
        <w:gridCol w:w="398"/>
        <w:gridCol w:w="1234"/>
      </w:tblGrid>
      <w:tr>
        <w:trPr>
          <w:trHeight w:val="293" w:hRule="exact"/>
        </w:trPr>
        <w:tc>
          <w:tcPr>
            <w:tcW w:w="2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8"/>
              <w:ind w:left="26"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0" w:type="dxa"/>
            <w:vMerge/>
            <w:tcBorders>
              <w:left w:val="single" w:sz="4" w:space="0" w:color="000000"/>
              <w:right w:val="single" w:sz="4" w:space="0" w:color="000000"/>
            </w:tcBorders>
          </w:tcPr>
          <w:p>
            <w:pP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57" w:right="35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400" w:right="39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230"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0"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35" w:right="35"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50"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9"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35" w:right="35"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34" w:type="dxa"/>
            <w:vMerge/>
            <w:tcBorders>
              <w:left w:val="single" w:sz="4" w:space="0" w:color="000000"/>
              <w:bottom w:val="single" w:sz="4" w:space="0" w:color="000000"/>
              <w:right w:val="single" w:sz="4" w:space="0" w:color="000000"/>
            </w:tcBorders>
          </w:tcPr>
          <w:p>
            <w:pPr/>
          </w:p>
        </w:tc>
      </w:tr>
      <w:tr>
        <w:trPr>
          <w:trHeight w:val="5729"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5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30"/>
        <w:gridCol w:w="1152"/>
        <w:gridCol w:w="564"/>
        <w:gridCol w:w="901"/>
        <w:gridCol w:w="398"/>
        <w:gridCol w:w="1150"/>
        <w:gridCol w:w="1236"/>
        <w:gridCol w:w="564"/>
        <w:gridCol w:w="1069"/>
        <w:gridCol w:w="398"/>
        <w:gridCol w:w="1234"/>
      </w:tblGrid>
      <w:tr>
        <w:trPr>
          <w:trHeight w:val="5732"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41,756,073</w:t>
            </w:r>
          </w:p>
          <w:p>
            <w:pPr>
              <w:pStyle w:val="TableParagraph"/>
              <w:spacing w:line="273" w:lineRule="exact"/>
              <w:ind w:right="23"/>
              <w:jc w:val="right"/>
              <w:rPr>
                <w:rFonts w:ascii="宋体" w:hAnsi="宋体" w:cs="宋体" w:eastAsia="宋体" w:hint="default"/>
                <w:sz w:val="21"/>
                <w:szCs w:val="21"/>
              </w:rPr>
            </w:pPr>
            <w:r>
              <w:rPr>
                <w:rFonts w:ascii="宋体"/>
                <w:sz w:val="21"/>
              </w:rPr>
              <w:t>.03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100.</w:t>
            </w:r>
          </w:p>
          <w:p>
            <w:pPr>
              <w:pStyle w:val="TableParagraph"/>
              <w:spacing w:line="273" w:lineRule="exact"/>
              <w:ind w:left="319" w:right="0"/>
              <w:jc w:val="left"/>
              <w:rPr>
                <w:rFonts w:ascii="宋体" w:hAnsi="宋体" w:cs="宋体" w:eastAsia="宋体" w:hint="default"/>
                <w:sz w:val="21"/>
                <w:szCs w:val="21"/>
              </w:rPr>
            </w:pPr>
            <w:r>
              <w:rPr>
                <w:rFonts w:ascii="宋体"/>
                <w:sz w:val="21"/>
              </w:rPr>
              <w:t>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0" w:right="0"/>
              <w:jc w:val="left"/>
              <w:rPr>
                <w:rFonts w:ascii="宋体" w:hAnsi="宋体" w:cs="宋体" w:eastAsia="宋体" w:hint="default"/>
                <w:sz w:val="21"/>
                <w:szCs w:val="21"/>
              </w:rPr>
            </w:pPr>
            <w:r>
              <w:rPr>
                <w:rFonts w:ascii="宋体"/>
                <w:sz w:val="21"/>
              </w:rPr>
              <w:t>527,188</w:t>
            </w:r>
          </w:p>
          <w:p>
            <w:pPr>
              <w:pStyle w:val="TableParagraph"/>
              <w:spacing w:line="273" w:lineRule="exact"/>
              <w:ind w:left="550" w:right="0"/>
              <w:jc w:val="left"/>
              <w:rPr>
                <w:rFonts w:ascii="宋体" w:hAnsi="宋体" w:cs="宋体" w:eastAsia="宋体" w:hint="default"/>
                <w:sz w:val="21"/>
                <w:szCs w:val="21"/>
              </w:rPr>
            </w:pPr>
            <w:r>
              <w:rPr>
                <w:rFonts w:ascii="宋体"/>
                <w:sz w:val="21"/>
              </w:rPr>
              <w:t>.35</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 w:right="0"/>
              <w:jc w:val="left"/>
              <w:rPr>
                <w:rFonts w:ascii="宋体" w:hAnsi="宋体" w:cs="宋体" w:eastAsia="宋体" w:hint="default"/>
                <w:sz w:val="21"/>
                <w:szCs w:val="21"/>
              </w:rPr>
            </w:pPr>
            <w:r>
              <w:rPr>
                <w:rFonts w:ascii="宋体"/>
                <w:sz w:val="21"/>
              </w:rPr>
              <w:t>1.2</w:t>
            </w:r>
          </w:p>
          <w:p>
            <w:pPr>
              <w:pStyle w:val="TableParagraph"/>
              <w:spacing w:line="273" w:lineRule="exact"/>
              <w:ind w:left="256" w:right="0"/>
              <w:jc w:val="left"/>
              <w:rPr>
                <w:rFonts w:ascii="宋体" w:hAnsi="宋体" w:cs="宋体" w:eastAsia="宋体" w:hint="default"/>
                <w:sz w:val="21"/>
                <w:szCs w:val="21"/>
              </w:rPr>
            </w:pPr>
            <w:r>
              <w:rPr>
                <w:rFonts w:ascii="宋体"/>
                <w:w w:val="100"/>
                <w:sz w:val="21"/>
              </w:rPr>
              <w:t>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41,228,884</w:t>
            </w:r>
          </w:p>
          <w:p>
            <w:pPr>
              <w:pStyle w:val="TableParagraph"/>
              <w:spacing w:line="273" w:lineRule="exact"/>
              <w:ind w:right="23"/>
              <w:jc w:val="right"/>
              <w:rPr>
                <w:rFonts w:ascii="宋体" w:hAnsi="宋体" w:cs="宋体" w:eastAsia="宋体" w:hint="default"/>
                <w:sz w:val="21"/>
                <w:szCs w:val="21"/>
              </w:rPr>
            </w:pPr>
            <w:r>
              <w:rPr>
                <w:rFonts w:ascii="宋体"/>
                <w:sz w:val="21"/>
              </w:rPr>
              <w:t>.68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218,355,278</w:t>
            </w:r>
          </w:p>
          <w:p>
            <w:pPr>
              <w:pStyle w:val="TableParagraph"/>
              <w:spacing w:line="273" w:lineRule="exact"/>
              <w:ind w:right="23"/>
              <w:jc w:val="right"/>
              <w:rPr>
                <w:rFonts w:ascii="宋体" w:hAnsi="宋体" w:cs="宋体" w:eastAsia="宋体" w:hint="default"/>
                <w:sz w:val="21"/>
                <w:szCs w:val="21"/>
              </w:rPr>
            </w:pPr>
            <w:r>
              <w:rPr>
                <w:rFonts w:ascii="宋体"/>
                <w:sz w:val="21"/>
              </w:rPr>
              <w:t>.96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100.</w:t>
            </w:r>
          </w:p>
          <w:p>
            <w:pPr>
              <w:pStyle w:val="TableParagraph"/>
              <w:spacing w:line="273" w:lineRule="exact"/>
              <w:ind w:left="319" w:right="0"/>
              <w:jc w:val="left"/>
              <w:rPr>
                <w:rFonts w:ascii="宋体" w:hAnsi="宋体" w:cs="宋体" w:eastAsia="宋体" w:hint="default"/>
                <w:sz w:val="21"/>
                <w:szCs w:val="21"/>
              </w:rPr>
            </w:pPr>
            <w:r>
              <w:rPr>
                <w:rFonts w:ascii="宋体"/>
                <w:sz w:val="21"/>
              </w:rPr>
              <w:t>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3,007,782</w:t>
            </w:r>
          </w:p>
          <w:p>
            <w:pPr>
              <w:pStyle w:val="TableParagraph"/>
              <w:spacing w:line="273" w:lineRule="exact"/>
              <w:ind w:right="22"/>
              <w:jc w:val="right"/>
              <w:rPr>
                <w:rFonts w:ascii="宋体" w:hAnsi="宋体" w:cs="宋体" w:eastAsia="宋体" w:hint="default"/>
                <w:sz w:val="21"/>
                <w:szCs w:val="21"/>
              </w:rPr>
            </w:pPr>
            <w:r>
              <w:rPr>
                <w:rFonts w:ascii="宋体"/>
                <w:sz w:val="21"/>
              </w:rPr>
              <w:t>.13</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 w:right="0"/>
              <w:jc w:val="left"/>
              <w:rPr>
                <w:rFonts w:ascii="宋体" w:hAnsi="宋体" w:cs="宋体" w:eastAsia="宋体" w:hint="default"/>
                <w:sz w:val="21"/>
                <w:szCs w:val="21"/>
              </w:rPr>
            </w:pPr>
            <w:r>
              <w:rPr>
                <w:rFonts w:ascii="宋体"/>
                <w:sz w:val="21"/>
              </w:rPr>
              <w:t>1.3</w:t>
            </w:r>
          </w:p>
          <w:p>
            <w:pPr>
              <w:pStyle w:val="TableParagraph"/>
              <w:spacing w:line="273" w:lineRule="exact"/>
              <w:ind w:left="256" w:right="0"/>
              <w:jc w:val="left"/>
              <w:rPr>
                <w:rFonts w:ascii="宋体" w:hAnsi="宋体" w:cs="宋体" w:eastAsia="宋体" w:hint="default"/>
                <w:sz w:val="21"/>
                <w:szCs w:val="21"/>
              </w:rPr>
            </w:pPr>
            <w:r>
              <w:rPr>
                <w:rFonts w:ascii="宋体"/>
                <w:w w:val="100"/>
                <w:sz w:val="21"/>
              </w:rPr>
              <w:t>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215,347,496</w:t>
            </w:r>
          </w:p>
          <w:p>
            <w:pPr>
              <w:pStyle w:val="TableParagraph"/>
              <w:spacing w:line="273" w:lineRule="exact"/>
              <w:ind w:right="23"/>
              <w:jc w:val="right"/>
              <w:rPr>
                <w:rFonts w:ascii="宋体" w:hAnsi="宋体" w:cs="宋体" w:eastAsia="宋体" w:hint="default"/>
                <w:sz w:val="21"/>
                <w:szCs w:val="21"/>
              </w:rPr>
            </w:pPr>
            <w:r>
              <w:rPr>
                <w:rFonts w:ascii="宋体"/>
                <w:sz w:val="21"/>
              </w:rPr>
              <w:t>.83</w:t>
            </w:r>
          </w:p>
        </w:tc>
      </w:tr>
      <w:tr>
        <w:trPr>
          <w:trHeight w:val="6001"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17"/>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5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17"/>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17"/>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41,756,073</w:t>
            </w:r>
          </w:p>
          <w:p>
            <w:pPr>
              <w:pStyle w:val="TableParagraph"/>
              <w:spacing w:line="274" w:lineRule="exact"/>
              <w:ind w:right="23"/>
              <w:jc w:val="right"/>
              <w:rPr>
                <w:rFonts w:ascii="宋体" w:hAnsi="宋体" w:cs="宋体" w:eastAsia="宋体" w:hint="default"/>
                <w:sz w:val="21"/>
                <w:szCs w:val="21"/>
              </w:rPr>
            </w:pPr>
            <w:r>
              <w:rPr>
                <w:rFonts w:ascii="宋体"/>
                <w:sz w:val="21"/>
              </w:rPr>
              <w:t>.03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sz w:val="21"/>
              </w:rPr>
              <w:t>527,188</w:t>
            </w:r>
          </w:p>
          <w:p>
            <w:pPr>
              <w:pStyle w:val="TableParagraph"/>
              <w:spacing w:line="274" w:lineRule="exact"/>
              <w:ind w:left="550" w:right="0"/>
              <w:jc w:val="left"/>
              <w:rPr>
                <w:rFonts w:ascii="宋体" w:hAnsi="宋体" w:cs="宋体" w:eastAsia="宋体" w:hint="default"/>
                <w:sz w:val="21"/>
                <w:szCs w:val="21"/>
              </w:rPr>
            </w:pPr>
            <w:r>
              <w:rPr>
                <w:rFonts w:ascii="宋体"/>
                <w:sz w:val="21"/>
              </w:rPr>
              <w:t>.35</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41,228,884</w:t>
            </w:r>
          </w:p>
          <w:p>
            <w:pPr>
              <w:pStyle w:val="TableParagraph"/>
              <w:spacing w:line="274" w:lineRule="exact"/>
              <w:ind w:right="23"/>
              <w:jc w:val="right"/>
              <w:rPr>
                <w:rFonts w:ascii="宋体" w:hAnsi="宋体" w:cs="宋体" w:eastAsia="宋体" w:hint="default"/>
                <w:sz w:val="21"/>
                <w:szCs w:val="21"/>
              </w:rPr>
            </w:pPr>
            <w:r>
              <w:rPr>
                <w:rFonts w:ascii="宋体"/>
                <w:sz w:val="21"/>
              </w:rPr>
              <w:t>.68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218,355,278</w:t>
            </w:r>
          </w:p>
          <w:p>
            <w:pPr>
              <w:pStyle w:val="TableParagraph"/>
              <w:spacing w:line="274" w:lineRule="exact"/>
              <w:ind w:right="23"/>
              <w:jc w:val="right"/>
              <w:rPr>
                <w:rFonts w:ascii="宋体" w:hAnsi="宋体" w:cs="宋体" w:eastAsia="宋体" w:hint="default"/>
                <w:sz w:val="21"/>
                <w:szCs w:val="21"/>
              </w:rPr>
            </w:pPr>
            <w:r>
              <w:rPr>
                <w:rFonts w:ascii="宋体"/>
                <w:sz w:val="21"/>
              </w:rPr>
              <w:t>.96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3,007,782</w:t>
            </w:r>
          </w:p>
          <w:p>
            <w:pPr>
              <w:pStyle w:val="TableParagraph"/>
              <w:spacing w:line="274" w:lineRule="exact"/>
              <w:ind w:right="22"/>
              <w:jc w:val="right"/>
              <w:rPr>
                <w:rFonts w:ascii="宋体" w:hAnsi="宋体" w:cs="宋体" w:eastAsia="宋体" w:hint="default"/>
                <w:sz w:val="21"/>
                <w:szCs w:val="21"/>
              </w:rPr>
            </w:pPr>
            <w:r>
              <w:rPr>
                <w:rFonts w:ascii="宋体"/>
                <w:sz w:val="21"/>
              </w:rPr>
              <w:t>.13</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215,347,496</w:t>
            </w:r>
          </w:p>
          <w:p>
            <w:pPr>
              <w:pStyle w:val="TableParagraph"/>
              <w:spacing w:line="274" w:lineRule="exact"/>
              <w:ind w:right="23"/>
              <w:jc w:val="right"/>
              <w:rPr>
                <w:rFonts w:ascii="宋体" w:hAnsi="宋体" w:cs="宋体" w:eastAsia="宋体" w:hint="default"/>
                <w:sz w:val="21"/>
                <w:szCs w:val="21"/>
              </w:rPr>
            </w:pPr>
            <w:r>
              <w:rPr>
                <w:rFonts w:ascii="宋体"/>
                <w:sz w:val="21"/>
              </w:rPr>
              <w:t>.83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6"/>
        <w:ind w:left="138" w:right="1046"/>
        <w:jc w:val="left"/>
      </w:pPr>
      <w:r>
        <w:rPr/>
        <w:t>期末单项金额重大并单项计提坏账准备的其他应收款：</w:t>
      </w:r>
    </w:p>
    <w:p>
      <w:pPr>
        <w:pStyle w:val="BodyText"/>
        <w:spacing w:line="290" w:lineRule="auto" w:before="59"/>
        <w:ind w:left="138" w:right="2859"/>
        <w:jc w:val="left"/>
      </w:pPr>
      <w:r>
        <w:rPr/>
        <w:t>□适用</w:t>
      </w:r>
      <w:r>
        <w:rPr>
          <w:spacing w:val="-2"/>
        </w:rPr>
        <w:t> </w:t>
      </w:r>
      <w:r>
        <w:rPr/>
        <w:t>√不适用</w:t>
      </w:r>
      <w:r>
        <w:rPr>
          <w:w w:val="100"/>
        </w:rPr>
        <w:t> </w:t>
      </w:r>
      <w:r>
        <w:rPr>
          <w:spacing w:val="-2"/>
        </w:rPr>
        <w:t>组合中，按账龄分析法计提坏账准备的其他应收款：</w:t>
      </w:r>
    </w:p>
    <w:p>
      <w:pPr>
        <w:spacing w:after="0" w:line="290" w:lineRule="auto"/>
        <w:jc w:val="left"/>
        <w:sectPr>
          <w:footerReference w:type="default" r:id="rId114"/>
          <w:pgSz w:w="11910" w:h="16840"/>
          <w:pgMar w:footer="1195" w:header="882" w:top="1120" w:bottom="1380" w:left="1660" w:right="1120"/>
          <w:pgNumType w:start="151"/>
        </w:sectPr>
      </w:pPr>
    </w:p>
    <w:p>
      <w:pPr>
        <w:spacing w:line="240" w:lineRule="auto" w:before="1"/>
        <w:rPr>
          <w:rFonts w:ascii="宋体" w:hAnsi="宋体" w:cs="宋体" w:eastAsia="宋体" w:hint="default"/>
          <w:sz w:val="25"/>
          <w:szCs w:val="25"/>
        </w:rPr>
      </w:pPr>
    </w:p>
    <w:p>
      <w:pPr>
        <w:pStyle w:val="BodyText"/>
        <w:spacing w:line="274" w:lineRule="exact" w:before="36"/>
        <w:ind w:left="238" w:right="0"/>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60,589.02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9,088.35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515,000.00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600,589.02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527,188.35</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38" w:right="2788"/>
        <w:jc w:val="left"/>
      </w:pPr>
      <w:r>
        <w:rPr/>
        <w:t>确定该组合依据的说明：</w:t>
      </w:r>
      <w:r>
        <w:rPr>
          <w:w w:val="100"/>
        </w:rPr>
        <w:t> </w:t>
      </w:r>
      <w:r>
        <w:rPr/>
        <w:t>除代垫费用、合并范围内关联方按账龄计提</w:t>
      </w:r>
    </w:p>
    <w:p>
      <w:pPr>
        <w:spacing w:line="240" w:lineRule="auto" w:before="4"/>
        <w:rPr>
          <w:rFonts w:ascii="宋体" w:hAnsi="宋体" w:cs="宋体" w:eastAsia="宋体" w:hint="default"/>
          <w:sz w:val="23"/>
          <w:szCs w:val="23"/>
        </w:rPr>
      </w:pPr>
    </w:p>
    <w:p>
      <w:pPr>
        <w:pStyle w:val="BodyText"/>
        <w:spacing w:line="240" w:lineRule="auto"/>
        <w:ind w:left="238" w:right="0"/>
        <w:jc w:val="left"/>
      </w:pPr>
      <w:r>
        <w:rPr/>
        <w:t>组合中，采用余额百分比法计提坏账准备的其他应收款：</w:t>
      </w:r>
    </w:p>
    <w:p>
      <w:pPr>
        <w:pStyle w:val="BodyText"/>
        <w:spacing w:line="240" w:lineRule="auto" w:before="56"/>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38" w:right="0"/>
        <w:jc w:val="left"/>
      </w:pPr>
      <w:r>
        <w:rPr/>
        <w:t>组合中，采用其他方法计提坏账准备的其他应收款：</w:t>
      </w:r>
    </w:p>
    <w:p>
      <w:pPr>
        <w:pStyle w:val="BodyText"/>
        <w:tabs>
          <w:tab w:pos="1080" w:val="left" w:leader="none"/>
        </w:tabs>
        <w:spacing w:line="240" w:lineRule="auto" w:before="56"/>
        <w:ind w:left="238" w:right="0"/>
        <w:jc w:val="left"/>
      </w:pPr>
      <w:r>
        <w:rPr/>
        <w:pict>
          <v:group style="position:absolute;margin-left:230.929993pt;margin-top:33.183685pt;width:270.45pt;height:14.8pt;mso-position-horizontal-relative:page;mso-position-vertical-relative:paragraph;z-index:-718720" coordorigin="4619,664" coordsize="5409,296">
            <v:shape style="position:absolute;left:4628;top:664;width:10;height:2" type="#_x0000_t75" stroked="false">
              <v:imagedata r:id="rId106" o:title=""/>
            </v:shape>
            <v:group style="position:absolute;left:4628;top:685;width:10;height:20" coordorigin="4628,685" coordsize="10,20">
              <v:shape style="position:absolute;left:4628;top:685;width:10;height:20" coordorigin="4628,685" coordsize="10,20" path="m4628,704l4638,704,4638,685,4628,685,4628,704xe" filled="true" fillcolor="#000000" stroked="false">
                <v:path arrowok="t"/>
                <v:fill type="solid"/>
              </v:shape>
            </v:group>
            <v:group style="position:absolute;left:4628;top:704;width:10;height:20" coordorigin="4628,704" coordsize="10,20">
              <v:shape style="position:absolute;left:4628;top:704;width:10;height:20" coordorigin="4628,704" coordsize="10,20" path="m4628,724l4638,724,4638,704,4628,704,4628,724xe" filled="true" fillcolor="#000000" stroked="false">
                <v:path arrowok="t"/>
                <v:fill type="solid"/>
              </v:shape>
            </v:group>
            <v:group style="position:absolute;left:4628;top:724;width:10;height:20" coordorigin="4628,724" coordsize="10,20">
              <v:shape style="position:absolute;left:4628;top:724;width:10;height:20" coordorigin="4628,724" coordsize="10,20" path="m4628,743l4638,743,4638,724,4628,724,4628,743xe" filled="true" fillcolor="#000000" stroked="false">
                <v:path arrowok="t"/>
                <v:fill type="solid"/>
              </v:shape>
            </v:group>
            <v:group style="position:absolute;left:4628;top:743;width:10;height:20" coordorigin="4628,743" coordsize="10,20">
              <v:shape style="position:absolute;left:4628;top:743;width:10;height:20" coordorigin="4628,743" coordsize="10,20" path="m4628,762l4638,762,4638,743,4628,743,4628,762xe" filled="true" fillcolor="#000000" stroked="false">
                <v:path arrowok="t"/>
                <v:fill type="solid"/>
              </v:shape>
            </v:group>
            <v:group style="position:absolute;left:4628;top:762;width:10;height:20" coordorigin="4628,762" coordsize="10,20">
              <v:shape style="position:absolute;left:4628;top:762;width:10;height:20" coordorigin="4628,762" coordsize="10,20" path="m4628,781l4638,781,4638,762,4628,762,4628,781xe" filled="true" fillcolor="#000000" stroked="false">
                <v:path arrowok="t"/>
                <v:fill type="solid"/>
              </v:shape>
            </v:group>
            <v:group style="position:absolute;left:4628;top:781;width:10;height:20" coordorigin="4628,781" coordsize="10,20">
              <v:shape style="position:absolute;left:4628;top:781;width:10;height:20" coordorigin="4628,781" coordsize="10,20" path="m4628,800l4638,800,4638,781,4628,781,4628,800xe" filled="true" fillcolor="#000000" stroked="false">
                <v:path arrowok="t"/>
                <v:fill type="solid"/>
              </v:shape>
            </v:group>
            <v:group style="position:absolute;left:4628;top:800;width:10;height:20" coordorigin="4628,800" coordsize="10,20">
              <v:shape style="position:absolute;left:4628;top:800;width:10;height:20" coordorigin="4628,800" coordsize="10,20" path="m4628,820l4638,820,4638,800,4628,800,4628,820xe" filled="true" fillcolor="#000000" stroked="false">
                <v:path arrowok="t"/>
                <v:fill type="solid"/>
              </v:shape>
            </v:group>
            <v:group style="position:absolute;left:4628;top:820;width:10;height:20" coordorigin="4628,820" coordsize="10,20">
              <v:shape style="position:absolute;left:4628;top:820;width:10;height:20" coordorigin="4628,820" coordsize="10,20" path="m4628,839l4638,839,4638,820,4628,820,4628,839xe" filled="true" fillcolor="#000000" stroked="false">
                <v:path arrowok="t"/>
                <v:fill type="solid"/>
              </v:shape>
            </v:group>
            <v:group style="position:absolute;left:4628;top:839;width:10;height:20" coordorigin="4628,839" coordsize="10,20">
              <v:shape style="position:absolute;left:4628;top:839;width:10;height:20" coordorigin="4628,839" coordsize="10,20" path="m4628,858l4638,858,4638,839,4628,839,4628,858xe" filled="true" fillcolor="#000000" stroked="false">
                <v:path arrowok="t"/>
                <v:fill type="solid"/>
              </v:shape>
              <v:shape style="position:absolute;left:4619;top:858;width:5408;height:101" type="#_x0000_t75" stroked="false">
                <v:imagedata r:id="rId115" o:title=""/>
              </v:shape>
            </v:group>
            <w10:wrap type="none"/>
          </v:group>
        </w:pict>
      </w:r>
      <w:r>
        <w:rPr/>
        <w:pict>
          <v:group style="position:absolute;margin-left:84.503998pt;margin-top:57.543728pt;width:416.85pt;height:5.2pt;mso-position-horizontal-relative:page;mso-position-vertical-relative:paragraph;z-index:-718696" coordorigin="1690,1151" coordsize="8337,104">
            <v:shape style="position:absolute;left:1690;top:1151;width:2957;height:103" type="#_x0000_t75" stroked="false">
              <v:imagedata r:id="rId116" o:title=""/>
            </v:shape>
            <v:shape style="position:absolute;left:4623;top:1244;width:5403;height:10" type="#_x0000_t75" stroked="false">
              <v:imagedata r:id="rId117" o:title=""/>
            </v:shape>
            <w10:wrap type="none"/>
          </v:group>
        </w:pict>
      </w:r>
      <w:r>
        <w:rPr/>
        <w:pict>
          <v:group style="position:absolute;margin-left:84.503998pt;margin-top:72.303665pt;width:416.85pt;height:5.05pt;mso-position-horizontal-relative:page;mso-position-vertical-relative:paragraph;z-index:-718672" coordorigin="1690,1446" coordsize="8337,101">
            <v:shape style="position:absolute;left:1690;top:1446;width:2957;height:101" type="#_x0000_t75" stroked="false">
              <v:imagedata r:id="rId118" o:title=""/>
            </v:shape>
            <v:shape style="position:absolute;left:4623;top:1537;width:5403;height:10" type="#_x0000_t75" stroked="false">
              <v:imagedata r:id="rId117" o:title=""/>
            </v:shape>
            <w10:wrap type="none"/>
          </v:group>
        </w:pict>
      </w: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2957"/>
        <w:gridCol w:w="1985"/>
        <w:gridCol w:w="1985"/>
        <w:gridCol w:w="1424"/>
      </w:tblGrid>
      <w:tr>
        <w:trPr>
          <w:trHeight w:val="310" w:hRule="exact"/>
        </w:trPr>
        <w:tc>
          <w:tcPr>
            <w:tcW w:w="2957" w:type="dxa"/>
            <w:vMerge w:val="restart"/>
            <w:tcBorders>
              <w:top w:val="single" w:sz="12" w:space="0" w:color="000000"/>
              <w:left w:val="nil" w:sz="6" w:space="0" w:color="auto"/>
              <w:right w:val="nil" w:sz="6" w:space="0" w:color="auto"/>
            </w:tcBorders>
          </w:tcPr>
          <w:p>
            <w:pPr>
              <w:pStyle w:val="TableParagraph"/>
              <w:spacing w:line="240" w:lineRule="auto" w:before="122"/>
              <w:ind w:left="16"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1985" w:type="dxa"/>
            <w:tcBorders>
              <w:top w:val="single" w:sz="12" w:space="0" w:color="000000"/>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nil" w:sz="6" w:space="0" w:color="auto"/>
              <w:right w:val="nil" w:sz="6" w:space="0" w:color="auto"/>
            </w:tcBorders>
          </w:tcPr>
          <w:p>
            <w:pPr>
              <w:pStyle w:val="TableParagraph"/>
              <w:spacing w:line="248"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4" w:type="dxa"/>
            <w:tcBorders>
              <w:top w:val="single" w:sz="12" w:space="0" w:color="000000"/>
              <w:left w:val="nil" w:sz="6" w:space="0" w:color="auto"/>
              <w:bottom w:val="nil" w:sz="6" w:space="0" w:color="auto"/>
              <w:right w:val="nil" w:sz="6" w:space="0" w:color="auto"/>
            </w:tcBorders>
          </w:tcPr>
          <w:p>
            <w:pPr/>
          </w:p>
        </w:tc>
      </w:tr>
      <w:tr>
        <w:trPr>
          <w:trHeight w:val="248" w:hRule="exact"/>
        </w:trPr>
        <w:tc>
          <w:tcPr>
            <w:tcW w:w="2957" w:type="dxa"/>
            <w:vMerge/>
            <w:tcBorders>
              <w:left w:val="nil" w:sz="6" w:space="0" w:color="auto"/>
              <w:right w:val="nil" w:sz="6" w:space="0" w:color="auto"/>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46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4" w:type="dxa"/>
            <w:tcBorders>
              <w:top w:val="nil" w:sz="6" w:space="0" w:color="auto"/>
              <w:left w:val="single" w:sz="4" w:space="0" w:color="000000"/>
              <w:bottom w:val="nil" w:sz="6" w:space="0" w:color="auto"/>
              <w:right w:val="nil" w:sz="6" w:space="0" w:color="auto"/>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计提比例（</w:t>
            </w:r>
            <w:r>
              <w:rPr>
                <w:rFonts w:ascii="宋体" w:hAnsi="宋体" w:cs="宋体" w:eastAsia="宋体" w:hint="default"/>
                <w:spacing w:val="-9"/>
                <w:sz w:val="21"/>
                <w:szCs w:val="21"/>
              </w:rPr>
              <w:t>%</w:t>
            </w:r>
            <w:r>
              <w:rPr>
                <w:rFonts w:ascii="宋体" w:hAnsi="宋体" w:cs="宋体" w:eastAsia="宋体" w:hint="default"/>
                <w:spacing w:val="-9"/>
                <w:sz w:val="21"/>
                <w:szCs w:val="21"/>
              </w:rPr>
              <w:t>）</w:t>
            </w:r>
          </w:p>
        </w:tc>
      </w:tr>
      <w:tr>
        <w:trPr>
          <w:trHeight w:val="47" w:hRule="exact"/>
        </w:trPr>
        <w:tc>
          <w:tcPr>
            <w:tcW w:w="2957" w:type="dxa"/>
            <w:vMerge/>
            <w:tcBorders>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246"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6" w:lineRule="exact"/>
              <w:ind w:left="122" w:right="-5"/>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8"/>
                <w:sz w:val="21"/>
                <w:szCs w:val="21"/>
              </w:rPr>
              <w:t>代垫费用支出（说明</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4,313,716.68</w:t>
            </w:r>
          </w:p>
        </w:tc>
        <w:tc>
          <w:tcPr>
            <w:tcW w:w="1985"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7" w:hRule="exact"/>
        </w:trPr>
        <w:tc>
          <w:tcPr>
            <w:tcW w:w="295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248"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其他（说明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1,760,000.00</w:t>
            </w:r>
          </w:p>
        </w:tc>
        <w:tc>
          <w:tcPr>
            <w:tcW w:w="1985"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47" w:hRule="exact"/>
        </w:trPr>
        <w:tc>
          <w:tcPr>
            <w:tcW w:w="295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55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合并范围内关联方往来</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35,081,767.33</w:t>
            </w:r>
          </w:p>
        </w:tc>
        <w:tc>
          <w:tcPr>
            <w:tcW w:w="1985"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49" w:lineRule="exact"/>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nil" w:sz="6" w:space="0" w:color="auto"/>
              <w:left w:val="single" w:sz="4" w:space="0" w:color="000000"/>
              <w:bottom w:val="single" w:sz="12"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pacing w:val="-1"/>
                <w:sz w:val="21"/>
              </w:rPr>
              <w:t>41,155,484.01</w:t>
            </w:r>
          </w:p>
        </w:tc>
        <w:tc>
          <w:tcPr>
            <w:tcW w:w="1985" w:type="dxa"/>
            <w:tcBorders>
              <w:top w:val="nil" w:sz="6" w:space="0" w:color="auto"/>
              <w:left w:val="single" w:sz="4" w:space="0" w:color="000000"/>
              <w:bottom w:val="single" w:sz="12" w:space="0" w:color="000000"/>
              <w:right w:val="single" w:sz="4" w:space="0" w:color="000000"/>
            </w:tcBorders>
          </w:tcPr>
          <w:p>
            <w:pPr/>
          </w:p>
        </w:tc>
        <w:tc>
          <w:tcPr>
            <w:tcW w:w="1424"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86"/>
        <w:ind w:left="658" w:right="0"/>
        <w:jc w:val="left"/>
      </w:pPr>
      <w:r>
        <w:rPr/>
        <w:pict>
          <v:group style="position:absolute;margin-left:84.503998pt;margin-top:-48.626339pt;width:416.85pt;height:5.2pt;mso-position-horizontal-relative:page;mso-position-vertical-relative:paragraph;z-index:-718648" coordorigin="1690,-973" coordsize="8337,104">
            <v:shape style="position:absolute;left:1690;top:-973;width:2957;height:103" type="#_x0000_t75" stroked="false">
              <v:imagedata r:id="rId116" o:title=""/>
            </v:shape>
            <v:shape style="position:absolute;left:4623;top:-879;width:5403;height:10" type="#_x0000_t75" stroked="false">
              <v:imagedata r:id="rId119" o:title=""/>
            </v:shape>
            <w10:wrap type="none"/>
          </v:group>
        </w:pict>
      </w:r>
      <w:r>
        <w:rPr/>
        <w:pict>
          <v:group style="position:absolute;margin-left:84.503998pt;margin-top:-16.196301pt;width:416.85pt;height:.5pt;mso-position-horizontal-relative:page;mso-position-vertical-relative:paragraph;z-index:-718624" coordorigin="1690,-324" coordsize="8337,10">
            <v:shape style="position:absolute;left:1690;top:-324;width:2938;height:10" type="#_x0000_t75" stroked="false">
              <v:imagedata r:id="rId76" o:title=""/>
            </v:shape>
            <v:shape style="position:absolute;left:4623;top:-324;width:5403;height:10" type="#_x0000_t75" stroked="false">
              <v:imagedata r:id="rId119" o:title=""/>
            </v:shape>
            <w10:wrap type="none"/>
          </v:group>
        </w:pict>
      </w:r>
      <w:r>
        <w:rPr/>
        <w:t>确定该组合依据的说明：</w:t>
      </w:r>
    </w:p>
    <w:p>
      <w:pPr>
        <w:pStyle w:val="BodyText"/>
        <w:spacing w:line="343" w:lineRule="auto" w:before="133"/>
        <w:ind w:left="238" w:right="227" w:firstLine="419"/>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5"/>
        </w:rPr>
        <w:t>月，本公司及上海慧球通信科技有限公司、科塞威智能（深圳）有限公司（现</w:t>
      </w:r>
      <w:r>
        <w:rPr>
          <w:w w:val="100"/>
        </w:rPr>
        <w:t> </w:t>
      </w:r>
      <w:r>
        <w:rPr>
          <w:spacing w:val="-8"/>
        </w:rPr>
        <w:t>已更名为慧金科技（深圳）有限公司）分别与上海躬盛网络科技有限公司签订一揽子协议，就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6"/>
          <w:w w:val="100"/>
        </w:rPr>
        <w:t>年度本公司及科塞威智能（深圳）有限公司支付并且应由上海躬盛网络科技有限公司承担的费用，</w:t>
      </w:r>
      <w:r>
        <w:rPr>
          <w:w w:val="100"/>
        </w:rPr>
        <w:t> </w:t>
      </w:r>
      <w:r>
        <w:rPr/>
        <w:t>金额合计</w:t>
      </w:r>
      <w:r>
        <w:rPr>
          <w:spacing w:val="-56"/>
        </w:rPr>
        <w:t> </w:t>
      </w:r>
      <w:r>
        <w:rPr>
          <w:rFonts w:ascii="Times New Roman" w:hAnsi="Times New Roman" w:cs="Times New Roman" w:eastAsia="Times New Roman" w:hint="default"/>
        </w:rPr>
        <w:t>14,745,573.78</w:t>
      </w:r>
      <w:r>
        <w:rPr>
          <w:rFonts w:ascii="Times New Roman" w:hAnsi="Times New Roman" w:cs="Times New Roman" w:eastAsia="Times New Roman" w:hint="default"/>
          <w:spacing w:val="-5"/>
        </w:rPr>
        <w:t> </w:t>
      </w:r>
      <w:r>
        <w:rPr/>
        <w:t>元，与本公司所应付该公司款项中相等金额进行抵消。</w:t>
      </w:r>
    </w:p>
    <w:p>
      <w:pPr>
        <w:pStyle w:val="BodyText"/>
        <w:spacing w:line="240" w:lineRule="auto" w:before="17"/>
        <w:ind w:left="658" w:right="0"/>
        <w:jc w:val="left"/>
      </w:pPr>
      <w:r>
        <w:rPr>
          <w:rFonts w:ascii="Times New Roman" w:hAnsi="Times New Roman" w:cs="Times New Roman" w:eastAsia="Times New Roman" w:hint="default"/>
        </w:rPr>
        <w:t>2017 </w:t>
      </w:r>
      <w:r>
        <w:rPr>
          <w:rFonts w:ascii="Times New Roman" w:hAnsi="Times New Roman" w:cs="Times New Roman" w:eastAsia="Times New Roman" w:hint="default"/>
          <w:spacing w:val="12"/>
        </w:rPr>
        <w:t> </w:t>
      </w:r>
      <w:r>
        <w:rPr>
          <w:spacing w:val="-3"/>
        </w:rPr>
        <w:t>年度，本公司及慧金科技（深圳）有限公司支付并且应由上海躬盛网络科技有限公司承</w:t>
      </w:r>
    </w:p>
    <w:p>
      <w:pPr>
        <w:pStyle w:val="BodyText"/>
        <w:spacing w:line="336" w:lineRule="auto" w:before="117"/>
        <w:ind w:left="238" w:right="290"/>
        <w:jc w:val="left"/>
      </w:pPr>
      <w:r>
        <w:rPr/>
        <w:t>担的费用金额合计</w:t>
      </w:r>
      <w:r>
        <w:rPr>
          <w:spacing w:val="-57"/>
        </w:rPr>
        <w:t> </w:t>
      </w:r>
      <w:r>
        <w:rPr>
          <w:rFonts w:ascii="Times New Roman" w:hAnsi="Times New Roman" w:cs="Times New Roman" w:eastAsia="Times New Roman" w:hint="default"/>
        </w:rPr>
        <w:t>4,713,021.99</w:t>
      </w:r>
      <w:r>
        <w:rPr>
          <w:rFonts w:ascii="Times New Roman" w:hAnsi="Times New Roman" w:cs="Times New Roman" w:eastAsia="Times New Roman" w:hint="default"/>
          <w:spacing w:val="-5"/>
        </w:rPr>
        <w:t> </w:t>
      </w:r>
      <w:r>
        <w:rPr/>
        <w:t>元，本公司判断上述垫付款项可与本公司所应付该公司及关联方</w:t>
      </w:r>
      <w:r>
        <w:rPr>
          <w:w w:val="100"/>
        </w:rPr>
        <w:t> </w:t>
      </w:r>
      <w:r>
        <w:rPr/>
        <w:t>款项中相等金额进行抵消，因此不计提坏账准备。</w:t>
      </w:r>
    </w:p>
    <w:p>
      <w:pPr>
        <w:spacing w:after="0" w:line="336" w:lineRule="auto"/>
        <w:jc w:val="left"/>
        <w:sectPr>
          <w:pgSz w:w="11910" w:h="16840"/>
          <w:pgMar w:header="882" w:footer="1195" w:top="1120" w:bottom="1380" w:left="156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97"/>
        <w:jc w:val="left"/>
      </w:pPr>
      <w:r>
        <w:rPr/>
        <w:t>（</w:t>
      </w:r>
      <w:r>
        <w:rPr>
          <w:rFonts w:ascii="Times New Roman" w:hAnsi="Times New Roman" w:cs="Times New Roman" w:eastAsia="Times New Roman" w:hint="default"/>
        </w:rPr>
        <w:t>2</w:t>
      </w:r>
      <w:r>
        <w:rPr/>
        <w:t>）本公司于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日与泰兴市中泰城市建设投资有限公司（以下简称“泰兴中</w:t>
      </w:r>
    </w:p>
    <w:p>
      <w:pPr>
        <w:pStyle w:val="BodyText"/>
        <w:spacing w:line="336" w:lineRule="auto" w:before="119"/>
        <w:ind w:right="227"/>
        <w:jc w:val="both"/>
      </w:pPr>
      <w:r>
        <w:rPr>
          <w:spacing w:val="-5"/>
        </w:rPr>
        <w:t>泰”）签订了《泰兴市智慧城市建设顶层设计咨询项目服务合同》，本公司于 </w:t>
      </w:r>
      <w:r>
        <w:rPr>
          <w:rFonts w:ascii="Times New Roman" w:hAnsi="Times New Roman" w:cs="Times New Roman" w:eastAsia="Times New Roman" w:hint="default"/>
        </w:rPr>
        <w:t>2015 </w:t>
      </w:r>
      <w:r>
        <w:rPr/>
        <w:t>年已完成相关</w:t>
      </w:r>
      <w:r>
        <w:rPr>
          <w:spacing w:val="-85"/>
        </w:rPr>
        <w:t> </w:t>
      </w:r>
      <w:r>
        <w:rPr>
          <w:spacing w:val="-85"/>
        </w:rPr>
      </w:r>
      <w:r>
        <w:rPr>
          <w:spacing w:val="-3"/>
        </w:rPr>
        <w:t>工作，并交付了有关工作成果，当年确认相关收入</w:t>
      </w:r>
      <w:r>
        <w:rPr>
          <w:spacing w:val="-43"/>
        </w:rPr>
        <w:t> </w:t>
      </w:r>
      <w:r>
        <w:rPr>
          <w:rFonts w:ascii="Times New Roman" w:hAnsi="Times New Roman" w:cs="Times New Roman" w:eastAsia="Times New Roman" w:hint="default"/>
        </w:rPr>
        <w:t>880</w:t>
      </w:r>
      <w:r>
        <w:rPr>
          <w:rFonts w:ascii="Times New Roman" w:hAnsi="Times New Roman" w:cs="Times New Roman" w:eastAsia="Times New Roman" w:hint="default"/>
          <w:spacing w:val="10"/>
        </w:rPr>
        <w:t> </w:t>
      </w:r>
      <w:r>
        <w:rPr>
          <w:spacing w:val="-3"/>
        </w:rPr>
        <w:t>万元，</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0"/>
        </w:rPr>
        <w:t> </w:t>
      </w:r>
      <w:r>
        <w:rPr/>
        <w:t>年受公司实际控制人变更的影</w:t>
      </w:r>
      <w:r>
        <w:rPr>
          <w:spacing w:val="-101"/>
        </w:rPr>
        <w:t> </w:t>
      </w:r>
      <w:r>
        <w:rPr>
          <w:spacing w:val="-101"/>
        </w:rPr>
      </w:r>
      <w:r>
        <w:rPr>
          <w:spacing w:val="-4"/>
        </w:rPr>
        <w:t>响，该项目后续业务停滞，泰兴中泰亦未组织项目最终的验收，截止</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6"/>
        </w:rPr>
        <w:t>日，上述款</w:t>
      </w:r>
      <w:r>
        <w:rPr>
          <w:spacing w:val="-102"/>
        </w:rPr>
        <w:t> </w:t>
      </w:r>
      <w:r>
        <w:rPr>
          <w:spacing w:val="-102"/>
        </w:rPr>
      </w:r>
      <w:r>
        <w:rPr/>
        <w:t>项尚未收回。</w:t>
      </w:r>
    </w:p>
    <w:p>
      <w:pPr>
        <w:pStyle w:val="BodyText"/>
        <w:spacing w:line="240" w:lineRule="auto" w:before="49"/>
        <w:ind w:left="638" w:right="9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日，公司与江苏中兴新泰物联网科技园有限公司（以下简称“中兴新泰”）</w:t>
      </w:r>
    </w:p>
    <w:p>
      <w:pPr>
        <w:pStyle w:val="BodyText"/>
        <w:spacing w:line="336" w:lineRule="auto" w:before="119"/>
        <w:ind w:right="232"/>
        <w:jc w:val="left"/>
      </w:pPr>
      <w:r>
        <w:rPr/>
        <w:t>签订协议，将上述债权作价人民币</w:t>
      </w:r>
      <w:r>
        <w:rPr>
          <w:spacing w:val="-55"/>
        </w:rPr>
        <w:t> </w:t>
      </w:r>
      <w:r>
        <w:rPr>
          <w:rFonts w:ascii="Times New Roman" w:hAnsi="Times New Roman" w:cs="Times New Roman" w:eastAsia="Times New Roman" w:hint="default"/>
        </w:rPr>
        <w:t>440</w:t>
      </w:r>
      <w:r>
        <w:rPr>
          <w:rFonts w:ascii="Times New Roman" w:hAnsi="Times New Roman" w:cs="Times New Roman" w:eastAsia="Times New Roman" w:hint="default"/>
          <w:spacing w:val="-2"/>
        </w:rPr>
        <w:t> </w:t>
      </w:r>
      <w:r>
        <w:rPr/>
        <w:t>万元转让给中兴新泰，关于泰兴市智慧城市项目的后续子</w:t>
      </w:r>
      <w:r>
        <w:rPr>
          <w:w w:val="100"/>
        </w:rPr>
        <w:t> </w:t>
      </w:r>
      <w:r>
        <w:rPr/>
        <w:t>项目收入分配，双方将根据提供资源情况另行约定。</w:t>
      </w:r>
    </w:p>
    <w:p>
      <w:pPr>
        <w:pStyle w:val="BodyText"/>
        <w:spacing w:line="336" w:lineRule="auto" w:before="49"/>
        <w:ind w:right="97" w:firstLine="419"/>
        <w:jc w:val="left"/>
      </w:pPr>
      <w:r>
        <w:rPr/>
        <w:t>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日，已收到款项</w:t>
      </w:r>
      <w:r>
        <w:rPr>
          <w:spacing w:val="-53"/>
        </w:rPr>
        <w:t> </w:t>
      </w:r>
      <w:r>
        <w:rPr>
          <w:rFonts w:ascii="Times New Roman" w:hAnsi="Times New Roman" w:cs="Times New Roman" w:eastAsia="Times New Roman" w:hint="default"/>
        </w:rPr>
        <w:t>264</w:t>
      </w:r>
      <w:r>
        <w:rPr>
          <w:rFonts w:ascii="Times New Roman" w:hAnsi="Times New Roman" w:cs="Times New Roman" w:eastAsia="Times New Roman" w:hint="default"/>
          <w:spacing w:val="-3"/>
        </w:rPr>
        <w:t> </w:t>
      </w:r>
      <w:r>
        <w:rPr/>
        <w:t>万元，余款于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月收回，因此不计提坏账</w:t>
      </w:r>
      <w:r>
        <w:rPr>
          <w:w w:val="100"/>
        </w:rPr>
        <w:t> </w:t>
      </w:r>
      <w:r>
        <w:rPr/>
        <w:t>准备。</w:t>
      </w:r>
    </w:p>
    <w:p>
      <w:pPr>
        <w:spacing w:line="240" w:lineRule="auto" w:before="3"/>
        <w:rPr>
          <w:rFonts w:ascii="宋体" w:hAnsi="宋体" w:cs="宋体" w:eastAsia="宋体" w:hint="default"/>
          <w:sz w:val="29"/>
          <w:szCs w:val="29"/>
        </w:rPr>
      </w:pPr>
    </w:p>
    <w:p>
      <w:pPr>
        <w:pStyle w:val="Heading4"/>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2124"/>
        <w:jc w:val="left"/>
      </w:pPr>
      <w:r>
        <w:rPr/>
        <w:t>本期计提坏账准备金额</w:t>
      </w:r>
      <w:r>
        <w:rPr>
          <w:spacing w:val="-53"/>
        </w:rPr>
        <w:t> </w:t>
      </w:r>
      <w:r>
        <w:rPr>
          <w:rFonts w:ascii="Times New Roman" w:hAnsi="Times New Roman" w:cs="Times New Roman" w:eastAsia="Times New Roman" w:hint="default"/>
        </w:rPr>
        <w:t>194,239.57</w:t>
      </w:r>
      <w:r>
        <w:rPr>
          <w:rFonts w:ascii="Times New Roman" w:hAnsi="Times New Roman" w:cs="Times New Roman" w:eastAsia="Times New Roman" w:hint="default"/>
          <w:spacing w:val="-1"/>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6" w:lineRule="exact"/>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4,313,716.68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10,913,545.34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35,081,767.33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151,250,500.00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保证金、押金及备用金等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100,589.02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2,194,566.62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逾期合作款项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53,496,667.00</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资产转让款（保证金尾款）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1,760,000.00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41,756,073.03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218,355,278.96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82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56"/>
              <w:jc w:val="right"/>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5"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慧金科技（深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圳）有限公司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合并范围内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35,079,767.33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84.01</w:t>
            </w:r>
          </w:p>
        </w:tc>
        <w:tc>
          <w:tcPr>
            <w:tcW w:w="16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557"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上海躬盛网络</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代垫费用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4,313,716.68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z w:val="21"/>
              </w:rPr>
              <w:t>10.33</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江苏中兴新泰</w:t>
            </w:r>
          </w:p>
          <w:p>
            <w:pPr>
              <w:pStyle w:val="TableParagraph"/>
              <w:spacing w:line="240" w:lineRule="auto"/>
              <w:ind w:left="26" w:right="182"/>
              <w:jc w:val="left"/>
              <w:rPr>
                <w:rFonts w:ascii="宋体" w:hAnsi="宋体" w:cs="宋体" w:eastAsia="宋体" w:hint="default"/>
                <w:sz w:val="21"/>
                <w:szCs w:val="21"/>
              </w:rPr>
            </w:pPr>
            <w:r>
              <w:rPr>
                <w:rFonts w:ascii="宋体" w:hAnsi="宋体" w:cs="宋体" w:eastAsia="宋体" w:hint="default"/>
                <w:sz w:val="21"/>
                <w:szCs w:val="21"/>
              </w:rPr>
              <w:t>物联网科技园</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其他款项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4.22</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center"/>
              <w:rPr>
                <w:rFonts w:ascii="宋体" w:hAnsi="宋体" w:cs="宋体" w:eastAsia="宋体" w:hint="default"/>
                <w:sz w:val="21"/>
                <w:szCs w:val="21"/>
              </w:rPr>
            </w:pPr>
            <w:r>
              <w:rPr>
                <w:rFonts w:ascii="宋体" w:hAnsi="宋体" w:cs="宋体" w:eastAsia="宋体" w:hint="default"/>
                <w:sz w:val="21"/>
                <w:szCs w:val="21"/>
              </w:rPr>
              <w:t>北京生物医药</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w:t>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智慧靖江顶层</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设计项目</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0.14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41,713,484.01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99.90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7"/>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465"/>
        <w:jc w:val="left"/>
      </w:pPr>
      <w:r>
        <w:rPr/>
        <w:t>其他说明：</w:t>
      </w:r>
    </w:p>
    <w:p>
      <w:pPr>
        <w:pStyle w:val="BodyText"/>
        <w:spacing w:line="273" w:lineRule="exact"/>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1"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140,547,253.24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140,547,253.24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140,547,253.24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140,547,253.24</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140,547,253.24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140,547,253.24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140,547,253.24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140,547,253.24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1"/>
        <w:gridCol w:w="1688"/>
        <w:gridCol w:w="1579"/>
        <w:gridCol w:w="1582"/>
        <w:gridCol w:w="1688"/>
        <w:gridCol w:w="636"/>
        <w:gridCol w:w="636"/>
      </w:tblGrid>
      <w:tr>
        <w:trPr>
          <w:trHeight w:val="109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08" w:right="192" w:hanging="315"/>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09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南宁市智</w:t>
            </w:r>
          </w:p>
          <w:p>
            <w:pPr>
              <w:pStyle w:val="TableParagraph"/>
              <w:spacing w:line="237" w:lineRule="auto" w:before="2"/>
              <w:ind w:left="103" w:right="283"/>
              <w:jc w:val="both"/>
              <w:rPr>
                <w:rFonts w:ascii="宋体" w:hAnsi="宋体" w:cs="宋体" w:eastAsia="宋体" w:hint="default"/>
                <w:sz w:val="21"/>
                <w:szCs w:val="21"/>
              </w:rPr>
            </w:pPr>
            <w:r>
              <w:rPr>
                <w:rFonts w:ascii="宋体" w:hAnsi="宋体" w:cs="宋体" w:eastAsia="宋体" w:hint="default"/>
                <w:sz w:val="21"/>
                <w:szCs w:val="21"/>
              </w:rPr>
              <w:t>诚合讯信</w:t>
            </w:r>
            <w:r>
              <w:rPr>
                <w:rFonts w:ascii="宋体" w:hAnsi="宋体" w:cs="宋体" w:eastAsia="宋体" w:hint="default"/>
                <w:w w:val="100"/>
                <w:sz w:val="21"/>
                <w:szCs w:val="21"/>
              </w:rPr>
              <w:t> </w:t>
            </w:r>
            <w:r>
              <w:rPr>
                <w:rFonts w:ascii="宋体" w:hAnsi="宋体" w:cs="宋体" w:eastAsia="宋体" w:hint="default"/>
                <w:sz w:val="21"/>
                <w:szCs w:val="21"/>
              </w:rPr>
              <w:t>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98,500,000.00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98,500,000.00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慧球科技</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6"/>
                <w:sz w:val="21"/>
                <w:szCs w:val="21"/>
              </w:rPr>
              <w:t>（重庆）有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41"/>
        <w:gridCol w:w="1688"/>
        <w:gridCol w:w="1579"/>
        <w:gridCol w:w="1582"/>
        <w:gridCol w:w="1688"/>
        <w:gridCol w:w="636"/>
        <w:gridCol w:w="636"/>
      </w:tblGrid>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通信科技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杭州郡原</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物业服务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10,047,253.24</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10,047,253.24</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湖北科赛</w:t>
            </w:r>
          </w:p>
          <w:p>
            <w:pPr>
              <w:pStyle w:val="TableParagraph"/>
              <w:spacing w:line="237" w:lineRule="auto"/>
              <w:ind w:left="103" w:right="283"/>
              <w:jc w:val="both"/>
              <w:rPr>
                <w:rFonts w:ascii="宋体" w:hAnsi="宋体" w:cs="宋体" w:eastAsia="宋体" w:hint="default"/>
                <w:sz w:val="21"/>
                <w:szCs w:val="21"/>
              </w:rPr>
            </w:pPr>
            <w:r>
              <w:rPr>
                <w:rFonts w:ascii="宋体" w:hAnsi="宋体" w:cs="宋体" w:eastAsia="宋体" w:hint="default"/>
                <w:sz w:val="21"/>
                <w:szCs w:val="21"/>
              </w:rPr>
              <w:t>威供应链</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科赛威智</w:t>
            </w:r>
          </w:p>
          <w:p>
            <w:pPr>
              <w:pStyle w:val="TableParagraph"/>
              <w:spacing w:line="240" w:lineRule="auto"/>
              <w:ind w:left="103" w:right="74"/>
              <w:jc w:val="left"/>
              <w:rPr>
                <w:rFonts w:ascii="宋体" w:hAnsi="宋体" w:cs="宋体" w:eastAsia="宋体" w:hint="default"/>
                <w:sz w:val="21"/>
                <w:szCs w:val="21"/>
              </w:rPr>
            </w:pPr>
            <w:r>
              <w:rPr>
                <w:rFonts w:ascii="宋体" w:hAnsi="宋体" w:cs="宋体" w:eastAsia="宋体" w:hint="default"/>
                <w:sz w:val="21"/>
                <w:szCs w:val="21"/>
              </w:rPr>
              <w:t>能（深圳）</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慧金股权</w:t>
            </w:r>
          </w:p>
          <w:p>
            <w:pPr>
              <w:pStyle w:val="TableParagraph"/>
              <w:spacing w:line="237" w:lineRule="auto" w:before="2"/>
              <w:ind w:left="103" w:right="283"/>
              <w:jc w:val="both"/>
              <w:rPr>
                <w:rFonts w:ascii="宋体" w:hAnsi="宋体" w:cs="宋体" w:eastAsia="宋体" w:hint="default"/>
                <w:sz w:val="21"/>
                <w:szCs w:val="21"/>
              </w:rPr>
            </w:pPr>
            <w:r>
              <w:rPr>
                <w:rFonts w:ascii="宋体" w:hAnsi="宋体" w:cs="宋体" w:eastAsia="宋体" w:hint="default"/>
                <w:sz w:val="21"/>
                <w:szCs w:val="21"/>
              </w:rPr>
              <w:t>投资基金</w:t>
            </w:r>
            <w:r>
              <w:rPr>
                <w:rFonts w:ascii="宋体" w:hAnsi="宋体" w:cs="宋体" w:eastAsia="宋体" w:hint="default"/>
                <w:w w:val="100"/>
                <w:sz w:val="21"/>
                <w:szCs w:val="21"/>
              </w:rPr>
              <w:t> </w:t>
            </w:r>
            <w:r>
              <w:rPr>
                <w:rFonts w:ascii="宋体" w:hAnsi="宋体" w:cs="宋体" w:eastAsia="宋体" w:hint="default"/>
                <w:sz w:val="21"/>
                <w:szCs w:val="21"/>
              </w:rPr>
              <w:t>管理成都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鲲鹏未来</w:t>
            </w:r>
          </w:p>
          <w:p>
            <w:pPr>
              <w:pStyle w:val="TableParagraph"/>
              <w:spacing w:line="237" w:lineRule="auto"/>
              <w:ind w:left="103" w:right="283"/>
              <w:jc w:val="both"/>
              <w:rPr>
                <w:rFonts w:ascii="宋体" w:hAnsi="宋体" w:cs="宋体" w:eastAsia="宋体" w:hint="default"/>
                <w:sz w:val="21"/>
                <w:szCs w:val="21"/>
              </w:rPr>
            </w:pPr>
            <w:r>
              <w:rPr>
                <w:rFonts w:ascii="宋体" w:hAnsi="宋体" w:cs="宋体" w:eastAsia="宋体" w:hint="default"/>
                <w:sz w:val="21"/>
                <w:szCs w:val="21"/>
              </w:rPr>
              <w:t>资产管理</w:t>
            </w:r>
            <w:r>
              <w:rPr>
                <w:rFonts w:ascii="宋体" w:hAnsi="宋体" w:cs="宋体" w:eastAsia="宋体" w:hint="default"/>
                <w:w w:val="100"/>
                <w:sz w:val="21"/>
                <w:szCs w:val="21"/>
              </w:rPr>
              <w:t> </w:t>
            </w:r>
            <w:r>
              <w:rPr>
                <w:rFonts w:ascii="宋体" w:hAnsi="宋体" w:cs="宋体" w:eastAsia="宋体" w:hint="default"/>
                <w:sz w:val="21"/>
                <w:szCs w:val="21"/>
              </w:rPr>
              <w:t>成都有限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140,547,253.24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140,547,253.24</w:t>
            </w: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2465"/>
        <w:jc w:val="left"/>
      </w:pPr>
      <w:r>
        <w:rPr/>
        <w:t>□适用</w:t>
      </w:r>
      <w:r>
        <w:rPr>
          <w:spacing w:val="-1"/>
        </w:rPr>
        <w:t> </w:t>
      </w:r>
      <w:r>
        <w:rPr/>
        <w:t>√不适用</w:t>
      </w:r>
    </w:p>
    <w:p>
      <w:pPr>
        <w:pStyle w:val="Heading4"/>
        <w:spacing w:line="240" w:lineRule="auto" w:before="58"/>
        <w:ind w:right="2465"/>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sz w:val="21"/>
              </w:rPr>
              <w:t>-5,545,324.99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sz w:val="21"/>
              </w:rPr>
              <w:t>-5,545,324.99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638" w:right="97"/>
        <w:jc w:val="left"/>
      </w:pPr>
      <w:r>
        <w:rPr/>
        <w:t>公司的投资收益为上海慧球</w:t>
      </w:r>
      <w:r>
        <w:rPr>
          <w:spacing w:val="-54"/>
        </w:rPr>
        <w:t> </w:t>
      </w:r>
      <w:r>
        <w:rPr>
          <w:rFonts w:ascii="宋体" w:hAnsi="宋体" w:cs="宋体" w:eastAsia="宋体" w:hint="default"/>
        </w:rPr>
        <w:t>2017</w:t>
      </w:r>
      <w:r>
        <w:rPr>
          <w:rFonts w:ascii="宋体" w:hAnsi="宋体" w:cs="宋体" w:eastAsia="宋体" w:hint="default"/>
          <w:spacing w:val="-55"/>
        </w:rPr>
        <w:t> </w:t>
      </w:r>
      <w:r>
        <w:rPr/>
        <w:t>年纳入合并范围，公司将期股权近</w:t>
      </w:r>
      <w:r>
        <w:rPr>
          <w:spacing w:val="-55"/>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日的账</w:t>
      </w:r>
    </w:p>
    <w:p>
      <w:pPr>
        <w:pStyle w:val="BodyText"/>
        <w:spacing w:line="290" w:lineRule="auto"/>
        <w:ind w:right="1158"/>
        <w:jc w:val="left"/>
        <w:rPr>
          <w:rFonts w:ascii="宋体" w:hAnsi="宋体" w:cs="宋体" w:eastAsia="宋体" w:hint="default"/>
        </w:rPr>
      </w:pPr>
      <w:r>
        <w:rPr>
          <w:spacing w:val="-2"/>
        </w:rPr>
        <w:t>面值净资产价值计入可供出售金融资产，账面值与原始投资额的差额计入投资收益。</w:t>
      </w:r>
      <w:r>
        <w:rPr>
          <w:spacing w:val="-35"/>
        </w:rPr>
        <w:t> </w:t>
      </w:r>
      <w:r>
        <w:rPr>
          <w:spacing w:val="-35"/>
        </w:rPr>
      </w:r>
      <w:r>
        <w:rPr>
          <w:rFonts w:ascii="宋体" w:hAnsi="宋体" w:cs="宋体" w:eastAsia="宋体" w:hint="default"/>
          <w:b/>
          <w:bCs/>
        </w:rPr>
        <w:t>6</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其他</w:t>
      </w:r>
      <w:r>
        <w:rPr>
          <w:rFonts w:ascii="宋体" w:hAnsi="宋体" w:cs="宋体" w:eastAsia="宋体" w:hint="default"/>
        </w:rPr>
      </w:r>
    </w:p>
    <w:p>
      <w:pPr>
        <w:pStyle w:val="BodyText"/>
        <w:spacing w:line="240" w:lineRule="auto" w:before="12"/>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tabs>
          <w:tab w:pos="1057" w:val="left" w:leader="none"/>
        </w:tabs>
        <w:spacing w:line="240" w:lineRule="auto" w:before="36"/>
        <w:ind w:right="-19"/>
        <w:jc w:val="left"/>
        <w:rPr>
          <w:b w:val="0"/>
          <w:bCs w:val="0"/>
        </w:rPr>
      </w:pPr>
      <w:r>
        <w:rPr/>
        <w:t>十八、</w:t>
        <w:tab/>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9,279,115.48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39,536.00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sz w:val="21"/>
              </w:rPr>
              <w:t>-1,878,224.56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3" w:right="0"/>
              <w:jc w:val="left"/>
              <w:rPr>
                <w:rFonts w:ascii="宋体" w:hAnsi="宋体" w:cs="宋体" w:eastAsia="宋体" w:hint="default"/>
                <w:sz w:val="21"/>
                <w:szCs w:val="21"/>
              </w:rPr>
            </w:pPr>
            <w:r>
              <w:rPr>
                <w:rFonts w:ascii="宋体"/>
                <w:sz w:val="21"/>
              </w:rPr>
              <w:t>7,460,426.92</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97"/>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49" w:lineRule="exact"/>
        <w:ind w:right="2465"/>
        <w:jc w:val="left"/>
      </w:pPr>
      <w:r>
        <w:rPr/>
        <w:t>□适用</w:t>
      </w:r>
      <w:r>
        <w:rPr>
          <w:spacing w:val="-1"/>
        </w:rPr>
        <w:t> </w:t>
      </w:r>
      <w:r>
        <w:rPr/>
        <w:t>√不适用</w:t>
      </w:r>
    </w:p>
    <w:p>
      <w:pPr>
        <w:pStyle w:val="Heading4"/>
        <w:spacing w:line="240" w:lineRule="auto" w:before="56"/>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报告期内在中国证监会指定报纸上公开披露过的所有公司文件正本及公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告的原件</w:t>
            </w:r>
          </w:p>
        </w:tc>
      </w:tr>
    </w:tbl>
    <w:p>
      <w:pPr>
        <w:pStyle w:val="BodyText"/>
        <w:spacing w:line="314" w:lineRule="auto" w:before="42"/>
        <w:ind w:left="5319" w:right="229" w:firstLine="2467"/>
        <w:jc w:val="left"/>
      </w:pPr>
      <w:r>
        <w:rPr>
          <w:spacing w:val="-2"/>
        </w:rPr>
        <w:t>董事长：张琲</w:t>
      </w:r>
      <w:r>
        <w:rPr>
          <w:spacing w:val="-3"/>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left="218" w:right="2465"/>
        <w:jc w:val="left"/>
        <w:rPr>
          <w:b w:val="0"/>
          <w:bCs w:val="0"/>
        </w:rPr>
      </w:pPr>
      <w:r>
        <w:rPr/>
        <w:t>修订信息</w:t>
      </w:r>
      <w:r>
        <w:rPr>
          <w:b w:val="0"/>
          <w:bCs w:val="0"/>
        </w:rPr>
      </w:r>
    </w:p>
    <w:p>
      <w:pPr>
        <w:pStyle w:val="BodyText"/>
        <w:spacing w:line="240" w:lineRule="auto" w:before="4"/>
        <w:ind w:right="2465"/>
        <w:jc w:val="left"/>
      </w:pPr>
      <w:r>
        <w:rPr/>
        <w:t>□适用</w:t>
      </w:r>
      <w:r>
        <w:rPr>
          <w:spacing w:val="-1"/>
        </w:rPr>
        <w:t> </w:t>
      </w:r>
      <w:r>
        <w:rPr/>
        <w:t>√不适用</w:t>
      </w:r>
    </w:p>
    <w:sectPr>
      <w:pgSz w:w="11910" w:h="16840"/>
      <w:pgMar w:header="882" w:footer="1195"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19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9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157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9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157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9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719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157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9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9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9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9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9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9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9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9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8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157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8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8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157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8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8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3.244995pt;width:80.850pt;height:12.6pt;mso-position-horizontal-relative:page;mso-position-vertical-relative:page;z-index:-718864" type="#_x0000_t202" filled="false" stroked="false">
          <v:textbox inset="0,0,0,0">
            <w:txbxContent>
              <w:p>
                <w:pPr>
                  <w:pStyle w:val="BodyText"/>
                  <w:spacing w:line="231" w:lineRule="exact"/>
                  <w:ind w:left="20" w:right="0"/>
                  <w:jc w:val="left"/>
                </w:pPr>
                <w:r>
                  <w:rPr/>
                  <w:t>□适用</w:t>
                </w:r>
                <w:r>
                  <w:rPr>
                    <w:spacing w:val="-1"/>
                  </w:rPr>
                  <w:t> </w:t>
                </w:r>
                <w:r>
                  <w:rPr/>
                  <w:t>√不适用</w:t>
                </w:r>
              </w:p>
            </w:txbxContent>
          </v:textbox>
          <w10:wrap type="none"/>
        </v:shape>
      </w:pict>
    </w:r>
    <w:r>
      <w:rPr/>
      <w:pict>
        <v:shape style="position:absolute;margin-left:291.209991pt;margin-top:771.169983pt;width:37.950pt;height:11pt;mso-position-horizontal-relative:page;mso-position-vertical-relative:page;z-index:-718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8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157</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9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157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9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9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157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1996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19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1975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19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71968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19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1944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19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193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19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宋体" w:hAnsi="宋体" w:eastAsia="宋体"/>
      <w:b/>
      <w:bCs/>
      <w:sz w:val="24"/>
      <w:szCs w:val="24"/>
    </w:rPr>
  </w:style>
  <w:style w:styleId="Heading3" w:type="paragraph">
    <w:name w:val="Heading 3"/>
    <w:basedOn w:val="Normal"/>
    <w:uiPriority w:val="1"/>
    <w:qFormat/>
    <w:pPr>
      <w:spacing w:before="34"/>
      <w:ind w:left="138"/>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uiqiukeji@huiqiutec.com" TargetMode="External"/><Relationship Id="rId8" Type="http://schemas.openxmlformats.org/officeDocument/2006/relationships/hyperlink" Target="mailto:huijinkeji@fortunetec.net" TargetMode="External"/><Relationship Id="rId9" Type="http://schemas.openxmlformats.org/officeDocument/2006/relationships/hyperlink" Target="http://www.fortunetec.net/"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eader" Target="header2.xml"/><Relationship Id="rId20" Type="http://schemas.openxmlformats.org/officeDocument/2006/relationships/footer" Target="footer8.xml"/><Relationship Id="rId21" Type="http://schemas.openxmlformats.org/officeDocument/2006/relationships/header" Target="header3.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header" Target="header4.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header" Target="header5.xml"/><Relationship Id="rId35" Type="http://schemas.openxmlformats.org/officeDocument/2006/relationships/footer" Target="footer20.xml"/><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image" Target="media/image14.png"/><Relationship Id="rId48" Type="http://schemas.openxmlformats.org/officeDocument/2006/relationships/image" Target="media/image15.png"/><Relationship Id="rId49" Type="http://schemas.openxmlformats.org/officeDocument/2006/relationships/image" Target="media/image16.png"/><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image" Target="media/image21.png"/><Relationship Id="rId55" Type="http://schemas.openxmlformats.org/officeDocument/2006/relationships/image" Target="media/image22.png"/><Relationship Id="rId56" Type="http://schemas.openxmlformats.org/officeDocument/2006/relationships/image" Target="media/image23.png"/><Relationship Id="rId57" Type="http://schemas.openxmlformats.org/officeDocument/2006/relationships/image" Target="media/image24.png"/><Relationship Id="rId58" Type="http://schemas.openxmlformats.org/officeDocument/2006/relationships/image" Target="media/image25.png"/><Relationship Id="rId59" Type="http://schemas.openxmlformats.org/officeDocument/2006/relationships/image" Target="media/image26.png"/><Relationship Id="rId60" Type="http://schemas.openxmlformats.org/officeDocument/2006/relationships/image" Target="media/image27.png"/><Relationship Id="rId61" Type="http://schemas.openxmlformats.org/officeDocument/2006/relationships/image" Target="media/image28.png"/><Relationship Id="rId62" Type="http://schemas.openxmlformats.org/officeDocument/2006/relationships/image" Target="media/image29.png"/><Relationship Id="rId63" Type="http://schemas.openxmlformats.org/officeDocument/2006/relationships/image" Target="media/image30.png"/><Relationship Id="rId64" Type="http://schemas.openxmlformats.org/officeDocument/2006/relationships/image" Target="media/image31.png"/><Relationship Id="rId65" Type="http://schemas.openxmlformats.org/officeDocument/2006/relationships/image" Target="media/image32.png"/><Relationship Id="rId66" Type="http://schemas.openxmlformats.org/officeDocument/2006/relationships/image" Target="media/image33.png"/><Relationship Id="rId67" Type="http://schemas.openxmlformats.org/officeDocument/2006/relationships/image" Target="media/image34.png"/><Relationship Id="rId68" Type="http://schemas.openxmlformats.org/officeDocument/2006/relationships/footer" Target="footer21.xml"/><Relationship Id="rId69" Type="http://schemas.openxmlformats.org/officeDocument/2006/relationships/footer" Target="footer22.xml"/><Relationship Id="rId70" Type="http://schemas.openxmlformats.org/officeDocument/2006/relationships/footer" Target="footer23.xml"/><Relationship Id="rId71" Type="http://schemas.openxmlformats.org/officeDocument/2006/relationships/footer" Target="footer24.xml"/><Relationship Id="rId72" Type="http://schemas.openxmlformats.org/officeDocument/2006/relationships/footer" Target="footer25.xml"/><Relationship Id="rId73" Type="http://schemas.openxmlformats.org/officeDocument/2006/relationships/footer" Target="footer26.xml"/><Relationship Id="rId74" Type="http://schemas.openxmlformats.org/officeDocument/2006/relationships/footer" Target="footer27.xml"/><Relationship Id="rId75" Type="http://schemas.openxmlformats.org/officeDocument/2006/relationships/image" Target="media/image35.png"/><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pn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png"/><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8.png"/><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image" Target="media/image51.png"/><Relationship Id="rId92" Type="http://schemas.openxmlformats.org/officeDocument/2006/relationships/image" Target="media/image52.png"/><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image" Target="media/image55.png"/><Relationship Id="rId96" Type="http://schemas.openxmlformats.org/officeDocument/2006/relationships/image" Target="media/image56.png"/><Relationship Id="rId97" Type="http://schemas.openxmlformats.org/officeDocument/2006/relationships/image" Target="media/image57.png"/><Relationship Id="rId98" Type="http://schemas.openxmlformats.org/officeDocument/2006/relationships/image" Target="media/image58.png"/><Relationship Id="rId99" Type="http://schemas.openxmlformats.org/officeDocument/2006/relationships/image" Target="media/image59.png"/><Relationship Id="rId100" Type="http://schemas.openxmlformats.org/officeDocument/2006/relationships/footer" Target="footer28.xml"/><Relationship Id="rId101" Type="http://schemas.openxmlformats.org/officeDocument/2006/relationships/footer" Target="footer29.xml"/><Relationship Id="rId102" Type="http://schemas.openxmlformats.org/officeDocument/2006/relationships/footer" Target="footer30.xml"/><Relationship Id="rId103" Type="http://schemas.openxmlformats.org/officeDocument/2006/relationships/footer" Target="footer31.xml"/><Relationship Id="rId104" Type="http://schemas.openxmlformats.org/officeDocument/2006/relationships/footer" Target="footer32.xml"/><Relationship Id="rId105" Type="http://schemas.openxmlformats.org/officeDocument/2006/relationships/footer" Target="footer33.xml"/><Relationship Id="rId106" Type="http://schemas.openxmlformats.org/officeDocument/2006/relationships/image" Target="media/image60.png"/><Relationship Id="rId107" Type="http://schemas.openxmlformats.org/officeDocument/2006/relationships/image" Target="media/image61.png"/><Relationship Id="rId108" Type="http://schemas.openxmlformats.org/officeDocument/2006/relationships/image" Target="media/image62.png"/><Relationship Id="rId109" Type="http://schemas.openxmlformats.org/officeDocument/2006/relationships/footer" Target="footer34.xml"/><Relationship Id="rId110" Type="http://schemas.openxmlformats.org/officeDocument/2006/relationships/footer" Target="footer35.xml"/><Relationship Id="rId111" Type="http://schemas.openxmlformats.org/officeDocument/2006/relationships/footer" Target="footer36.xml"/><Relationship Id="rId112" Type="http://schemas.openxmlformats.org/officeDocument/2006/relationships/footer" Target="footer37.xml"/><Relationship Id="rId113" Type="http://schemas.openxmlformats.org/officeDocument/2006/relationships/footer" Target="footer38.xml"/><Relationship Id="rId114" Type="http://schemas.openxmlformats.org/officeDocument/2006/relationships/footer" Target="footer39.xml"/><Relationship Id="rId115" Type="http://schemas.openxmlformats.org/officeDocument/2006/relationships/image" Target="media/image63.png"/><Relationship Id="rId116" Type="http://schemas.openxmlformats.org/officeDocument/2006/relationships/image" Target="media/image64.png"/><Relationship Id="rId117" Type="http://schemas.openxmlformats.org/officeDocument/2006/relationships/image" Target="media/image65.png"/><Relationship Id="rId118" Type="http://schemas.openxmlformats.org/officeDocument/2006/relationships/image" Target="media/image66.png"/><Relationship Id="rId119"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2020-05-03T03:23:01Z</dcterms:created>
  <dcterms:modified xsi:type="dcterms:W3CDTF">2020-05-03T03:23:01Z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2018-02-13T00:00:00Z</vt:filetime>
  </property>
  <property fmtid="{D5CDD505-2E9C-101B-9397-08002B2CF9AE}" pid="3" name="Creator">
    <vt:lpwstr>Microsoft® Office Word 2007</vt:lpwstr>
  </property>
  <property fmtid="{D5CDD505-2E9C-101B-9397-08002B2CF9AE}" pid="4" name="LastSaved">
    <vt:filetime>2020-05-02T00:00:00Z</vt:filetime>
  </property>
</Properties>
</file>